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05411" w14:textId="77777777" w:rsidR="006856A0" w:rsidRDefault="003342E9">
      <w:pPr>
        <w:ind w:left="284" w:hanging="284"/>
        <w:contextualSpacing/>
        <w:jc w:val="center"/>
        <w:rPr>
          <w:rFonts w:hint="eastAsia"/>
          <w:sz w:val="18"/>
          <w:szCs w:val="18"/>
        </w:rPr>
      </w:pPr>
      <w:r>
        <w:rPr>
          <w:rStyle w:val="normaltextrun"/>
          <w:rFonts w:ascii="Calibri" w:hAnsi="Calibri" w:cs="Calibri"/>
          <w:b/>
          <w:bCs/>
          <w:color w:val="000000" w:themeColor="text1"/>
          <w:lang w:eastAsia="en-GB"/>
        </w:rPr>
        <w:t>The Distributed and Networked University Collaboration (DNUC).</w:t>
      </w:r>
    </w:p>
    <w:p w14:paraId="5FD5D6E8" w14:textId="77777777" w:rsidR="006856A0" w:rsidRDefault="006856A0">
      <w:pPr>
        <w:rPr>
          <w:rFonts w:ascii="Calibri" w:hAnsi="Calibri"/>
        </w:rPr>
      </w:pPr>
    </w:p>
    <w:p w14:paraId="29A26E1B" w14:textId="77777777" w:rsidR="006856A0" w:rsidRDefault="003342E9">
      <w:pPr>
        <w:rPr>
          <w:rFonts w:hint="eastAsia"/>
          <w:b/>
          <w:bCs/>
        </w:rPr>
      </w:pPr>
      <w:r>
        <w:rPr>
          <w:rFonts w:ascii="Calibri" w:hAnsi="Calibri"/>
          <w:b/>
          <w:bCs/>
        </w:rPr>
        <w:t>Executive Summary</w:t>
      </w:r>
    </w:p>
    <w:p w14:paraId="5766C3E5" w14:textId="77777777" w:rsidR="006856A0" w:rsidRDefault="003342E9">
      <w:pPr>
        <w:rPr>
          <w:rFonts w:ascii="Calibri" w:hAnsi="Calibri"/>
        </w:rPr>
      </w:pPr>
      <w:r>
        <w:rPr>
          <w:rFonts w:ascii="Calibri" w:hAnsi="Calibri"/>
        </w:rPr>
        <w:t xml:space="preserve">In this proposal we respond to several suggestions made in the Interim Report of the Universities Accord. Specifically, we argue that many of the suggestions could be </w:t>
      </w:r>
      <w:r>
        <w:rPr>
          <w:rFonts w:ascii="Calibri" w:hAnsi="Calibri"/>
        </w:rPr>
        <w:t>acted upon through the development of the ‘Distributed and Networked University’</w:t>
      </w:r>
      <w:r>
        <w:rPr>
          <w:rStyle w:val="normaltextrun"/>
          <w:rFonts w:ascii="Calibri" w:hAnsi="Calibri" w:cs="Calibri"/>
          <w:color w:val="000000" w:themeColor="text1"/>
          <w:lang w:eastAsia="en-GB"/>
        </w:rPr>
        <w:t>.</w:t>
      </w:r>
      <w:r>
        <w:rPr>
          <w:rFonts w:ascii="Calibri" w:hAnsi="Calibri"/>
        </w:rPr>
        <w:t xml:space="preserve"> </w:t>
      </w:r>
    </w:p>
    <w:p w14:paraId="1C7609FA" w14:textId="77777777" w:rsidR="006856A0" w:rsidRDefault="006856A0">
      <w:pPr>
        <w:rPr>
          <w:rFonts w:ascii="Calibri" w:hAnsi="Calibri"/>
        </w:rPr>
      </w:pPr>
    </w:p>
    <w:p w14:paraId="776970DE" w14:textId="77777777" w:rsidR="006856A0" w:rsidRDefault="003342E9">
      <w:pPr>
        <w:rPr>
          <w:rFonts w:ascii="Calibri" w:hAnsi="Calibri"/>
        </w:rPr>
      </w:pPr>
      <w:r>
        <w:rPr>
          <w:rStyle w:val="normaltextrun"/>
          <w:rFonts w:ascii="Calibri" w:hAnsi="Calibri" w:cs="Calibri"/>
          <w:color w:val="000000" w:themeColor="text1"/>
          <w:lang w:eastAsia="en-GB"/>
        </w:rPr>
        <w:t>We are proposing the Distributed and Networked University as an alternative to the new National Regional University. Rather than establish a new university, we envisage a n</w:t>
      </w:r>
      <w:r>
        <w:rPr>
          <w:rStyle w:val="normaltextrun"/>
          <w:rFonts w:ascii="Calibri" w:hAnsi="Calibri" w:cs="Calibri"/>
          <w:color w:val="000000" w:themeColor="text1"/>
          <w:lang w:eastAsia="en-GB"/>
        </w:rPr>
        <w:t>ew distributed infrastructure to allow students from disadvantaged backgrounds to be able to access courses offered by collaborating universities whose courses would be distributed more widely and effectively than at present.</w:t>
      </w:r>
    </w:p>
    <w:p w14:paraId="231BE591" w14:textId="77777777" w:rsidR="006856A0" w:rsidRDefault="006856A0">
      <w:pPr>
        <w:rPr>
          <w:rStyle w:val="normaltextrun"/>
          <w:rFonts w:ascii="Calibri" w:hAnsi="Calibri" w:cs="Calibri"/>
          <w:color w:val="000000" w:themeColor="text1"/>
          <w:lang w:eastAsia="en-GB"/>
        </w:rPr>
      </w:pPr>
    </w:p>
    <w:p w14:paraId="0042BB54" w14:textId="77777777" w:rsidR="006856A0" w:rsidRDefault="003342E9">
      <w:pPr>
        <w:rPr>
          <w:rFonts w:ascii="Calibri" w:hAnsi="Calibri"/>
        </w:rPr>
      </w:pPr>
      <w:r>
        <w:rPr>
          <w:rStyle w:val="normaltextrun"/>
          <w:rFonts w:ascii="Calibri" w:hAnsi="Calibri" w:cs="Calibri"/>
          <w:color w:val="000000" w:themeColor="text1"/>
          <w:lang w:eastAsia="en-GB"/>
        </w:rPr>
        <w:t>Fully implementing this conce</w:t>
      </w:r>
      <w:r>
        <w:rPr>
          <w:rStyle w:val="normaltextrun"/>
          <w:rFonts w:ascii="Calibri" w:hAnsi="Calibri" w:cs="Calibri"/>
          <w:color w:val="000000" w:themeColor="text1"/>
          <w:lang w:eastAsia="en-GB"/>
        </w:rPr>
        <w:t>pt would embrace many of the excellent ideas for the future contained in the Interim Report of the Accord (IR), especially those that underpin the proposal for a National Regional University.</w:t>
      </w:r>
    </w:p>
    <w:p w14:paraId="1B193C37" w14:textId="77777777" w:rsidR="006856A0" w:rsidRDefault="006856A0">
      <w:pPr>
        <w:rPr>
          <w:rStyle w:val="normaltextrun"/>
          <w:rFonts w:ascii="Calibri" w:hAnsi="Calibri" w:cs="Calibri"/>
          <w:color w:val="000000" w:themeColor="text1"/>
          <w:lang w:eastAsia="en-GB"/>
        </w:rPr>
      </w:pPr>
    </w:p>
    <w:p w14:paraId="3227D463" w14:textId="77777777" w:rsidR="006856A0" w:rsidRDefault="003342E9">
      <w:pPr>
        <w:rPr>
          <w:rFonts w:ascii="Calibri" w:hAnsi="Calibri"/>
        </w:rPr>
      </w:pPr>
      <w:r>
        <w:rPr>
          <w:rStyle w:val="normaltextrun"/>
          <w:rFonts w:ascii="Calibri" w:hAnsi="Calibri" w:cs="Calibri"/>
          <w:color w:val="000000" w:themeColor="text1"/>
          <w:lang w:eastAsia="en-GB"/>
        </w:rPr>
        <w:t>We also describe how the Distributed and Networked University c</w:t>
      </w:r>
      <w:r>
        <w:rPr>
          <w:rStyle w:val="normaltextrun"/>
          <w:rFonts w:ascii="Calibri" w:hAnsi="Calibri" w:cs="Calibri"/>
          <w:color w:val="000000" w:themeColor="text1"/>
          <w:lang w:eastAsia="en-GB"/>
        </w:rPr>
        <w:t>ould contribute to international education.</w:t>
      </w:r>
    </w:p>
    <w:p w14:paraId="3D0BA9FD" w14:textId="77777777" w:rsidR="006856A0" w:rsidRDefault="006856A0">
      <w:pPr>
        <w:rPr>
          <w:rStyle w:val="normaltextrun"/>
          <w:rFonts w:ascii="Calibri" w:hAnsi="Calibri" w:cs="Calibri"/>
          <w:color w:val="000000" w:themeColor="text1"/>
          <w:lang w:eastAsia="en-GB"/>
        </w:rPr>
      </w:pPr>
    </w:p>
    <w:p w14:paraId="03852874" w14:textId="77777777" w:rsidR="006856A0" w:rsidRDefault="003342E9">
      <w:pPr>
        <w:rPr>
          <w:rFonts w:ascii="Calibri" w:hAnsi="Calibri"/>
        </w:rPr>
      </w:pPr>
      <w:r>
        <w:rPr>
          <w:rStyle w:val="normaltextrun"/>
          <w:rFonts w:ascii="Calibri" w:hAnsi="Calibri" w:cs="Calibri"/>
          <w:color w:val="000000" w:themeColor="text1"/>
          <w:lang w:eastAsia="en-GB"/>
        </w:rPr>
        <w:t>We also identify a major area which the IR has omitted, that of the need for the higher education sector to take urgent and serious action on climate change, and how the Distributed and Networked University migh</w:t>
      </w:r>
      <w:r>
        <w:rPr>
          <w:rStyle w:val="normaltextrun"/>
          <w:rFonts w:ascii="Calibri" w:hAnsi="Calibri" w:cs="Calibri"/>
          <w:color w:val="000000" w:themeColor="text1"/>
          <w:lang w:eastAsia="en-GB"/>
        </w:rPr>
        <w:t>t contribute in part to this.</w:t>
      </w:r>
    </w:p>
    <w:p w14:paraId="266D9FF1" w14:textId="77777777" w:rsidR="006856A0" w:rsidRDefault="006856A0">
      <w:pPr>
        <w:rPr>
          <w:rFonts w:ascii="Calibri" w:hAnsi="Calibri"/>
        </w:rPr>
      </w:pPr>
    </w:p>
    <w:p w14:paraId="569DA40F" w14:textId="77777777" w:rsidR="006856A0" w:rsidRDefault="003342E9">
      <w:pPr>
        <w:rPr>
          <w:rFonts w:ascii="Calibri" w:hAnsi="Calibri"/>
        </w:rPr>
      </w:pPr>
      <w:r>
        <w:rPr>
          <w:rFonts w:ascii="Calibri" w:hAnsi="Calibri"/>
          <w:b/>
          <w:bCs/>
        </w:rPr>
        <w:t>Our proposal relates to several recommendations</w:t>
      </w:r>
      <w:r>
        <w:rPr>
          <w:rFonts w:ascii="Calibri" w:hAnsi="Calibri"/>
        </w:rPr>
        <w:t xml:space="preserve"> which we quote directly from the Report:</w:t>
      </w:r>
    </w:p>
    <w:p w14:paraId="78ABC689" w14:textId="77777777" w:rsidR="006856A0" w:rsidRDefault="006856A0">
      <w:pPr>
        <w:rPr>
          <w:rFonts w:ascii="Calibri" w:hAnsi="Calibri"/>
        </w:rPr>
      </w:pPr>
    </w:p>
    <w:p w14:paraId="70EC75F8" w14:textId="77777777" w:rsidR="006856A0" w:rsidRDefault="003342E9">
      <w:pPr>
        <w:pStyle w:val="ListParagraph"/>
        <w:spacing w:line="276" w:lineRule="auto"/>
        <w:ind w:left="0"/>
        <w:rPr>
          <w:rFonts w:hint="eastAsia"/>
          <w:b/>
        </w:rPr>
      </w:pPr>
      <w:r>
        <w:rPr>
          <w:rFonts w:ascii="Calibri" w:hAnsi="Calibri"/>
          <w:i/>
          <w:iCs/>
        </w:rPr>
        <w:t>“Extend visible, local access to tertiary education by creating further Regional University Centres (RUCs) and establish a similar conc</w:t>
      </w:r>
      <w:r>
        <w:rPr>
          <w:rFonts w:ascii="Calibri" w:hAnsi="Calibri"/>
          <w:i/>
          <w:iCs/>
        </w:rPr>
        <w:t>ept for suburban/metropolitan locations.” (</w:t>
      </w:r>
      <w:r>
        <w:rPr>
          <w:rFonts w:ascii="Calibri" w:hAnsi="Calibri"/>
        </w:rPr>
        <w:t>Priority Action 1)</w:t>
      </w:r>
    </w:p>
    <w:p w14:paraId="3A76A334" w14:textId="77777777" w:rsidR="006856A0" w:rsidRDefault="003342E9">
      <w:pPr>
        <w:pStyle w:val="ListParagraph"/>
        <w:spacing w:line="276" w:lineRule="auto"/>
        <w:ind w:left="0"/>
        <w:rPr>
          <w:rFonts w:hint="eastAsia"/>
          <w:b/>
        </w:rPr>
      </w:pPr>
      <w:r>
        <w:rPr>
          <w:rFonts w:ascii="Calibri" w:hAnsi="Calibri"/>
        </w:rPr>
        <w:t xml:space="preserve">and </w:t>
      </w:r>
    </w:p>
    <w:p w14:paraId="745FE252" w14:textId="77777777" w:rsidR="006856A0" w:rsidRDefault="003342E9">
      <w:pPr>
        <w:pStyle w:val="ListParagraph"/>
        <w:spacing w:line="276" w:lineRule="auto"/>
        <w:ind w:left="0"/>
        <w:rPr>
          <w:rFonts w:hint="eastAsia"/>
          <w:b/>
        </w:rPr>
      </w:pPr>
      <w:r>
        <w:rPr>
          <w:rStyle w:val="normaltextrun"/>
          <w:rFonts w:cs="Calibri"/>
          <w:color w:val="000000" w:themeColor="text1"/>
          <w:lang w:eastAsia="en-GB"/>
        </w:rPr>
        <w:t>“</w:t>
      </w:r>
      <w:r>
        <w:rPr>
          <w:rStyle w:val="normaltextrun"/>
          <w:rFonts w:cs="Calibri"/>
          <w:i/>
          <w:iCs/>
          <w:color w:val="000000" w:themeColor="text1"/>
          <w:lang w:eastAsia="en-GB"/>
        </w:rPr>
        <w:t>The Review considers there is merit taking this work forward, with the potential to establish a new National Regional University (NRU) which could have regional universities opt in to beco</w:t>
      </w:r>
      <w:r>
        <w:rPr>
          <w:rStyle w:val="normaltextrun"/>
          <w:rFonts w:cs="Calibri"/>
          <w:i/>
          <w:iCs/>
          <w:color w:val="000000" w:themeColor="text1"/>
          <w:lang w:eastAsia="en-GB"/>
        </w:rPr>
        <w:t>me part of the NRU.” (</w:t>
      </w:r>
      <w:r>
        <w:rPr>
          <w:rStyle w:val="normaltextrun"/>
          <w:rFonts w:cs="Calibri"/>
          <w:color w:val="000000" w:themeColor="text1"/>
          <w:lang w:eastAsia="en-GB"/>
        </w:rPr>
        <w:t>3.1.1.6 A new National Regional University)</w:t>
      </w:r>
    </w:p>
    <w:p w14:paraId="1D7A5B3A" w14:textId="77777777" w:rsidR="006856A0" w:rsidRDefault="003342E9">
      <w:pPr>
        <w:contextualSpacing/>
        <w:rPr>
          <w:rFonts w:hint="eastAsia"/>
          <w:sz w:val="18"/>
          <w:szCs w:val="18"/>
        </w:rPr>
      </w:pPr>
      <w:r>
        <w:rPr>
          <w:rStyle w:val="normaltextrun"/>
          <w:rFonts w:ascii="Calibri" w:hAnsi="Calibri" w:cs="Calibri"/>
          <w:color w:val="000000" w:themeColor="text1"/>
          <w:lang w:eastAsia="en-GB"/>
        </w:rPr>
        <w:t>In addition:</w:t>
      </w:r>
      <w:bookmarkStart w:id="0" w:name="_Toc137829541"/>
      <w:bookmarkStart w:id="1" w:name="_Toc1976753510"/>
      <w:bookmarkStart w:id="2" w:name="_Toc139028873"/>
      <w:bookmarkEnd w:id="0"/>
      <w:bookmarkEnd w:id="1"/>
      <w:bookmarkEnd w:id="2"/>
    </w:p>
    <w:p w14:paraId="7A0A8839" w14:textId="77777777" w:rsidR="006856A0" w:rsidRDefault="006856A0">
      <w:pPr>
        <w:contextualSpacing/>
        <w:rPr>
          <w:rFonts w:hint="eastAsia"/>
          <w:sz w:val="18"/>
          <w:szCs w:val="18"/>
        </w:rPr>
      </w:pPr>
    </w:p>
    <w:p w14:paraId="0118EFD7" w14:textId="77777777" w:rsidR="006856A0" w:rsidRDefault="003342E9">
      <w:pPr>
        <w:rPr>
          <w:rFonts w:hint="eastAsia"/>
          <w:sz w:val="18"/>
          <w:szCs w:val="18"/>
        </w:rPr>
      </w:pPr>
      <w:r>
        <w:rPr>
          <w:rStyle w:val="contentpasted0"/>
          <w:rFonts w:ascii="Calibri" w:eastAsia="Calibri" w:hAnsi="Calibri" w:cs="Calibri"/>
          <w:i/>
          <w:iCs/>
          <w:color w:val="000000"/>
          <w:shd w:val="clear" w:color="auto" w:fill="FFFFFF"/>
          <w:lang w:eastAsia="en-GB"/>
        </w:rPr>
        <w:t xml:space="preserve">“The Review will explore the concept of Cooperative Skills Centres, linking higher education, VET and industry, as a way to develop new skills and qualification </w:t>
      </w:r>
      <w:r>
        <w:rPr>
          <w:rStyle w:val="contentpasted0"/>
          <w:rFonts w:ascii="Calibri" w:eastAsia="Calibri" w:hAnsi="Calibri" w:cs="Calibri"/>
          <w:i/>
          <w:iCs/>
          <w:color w:val="000000"/>
          <w:shd w:val="clear" w:color="auto" w:fill="FFFFFF"/>
          <w:lang w:eastAsia="en-GB"/>
        </w:rPr>
        <w:t>pathways in priority areas such as energy.” (</w:t>
      </w:r>
      <w:bookmarkStart w:id="3" w:name="_Toc1378295411"/>
      <w:bookmarkStart w:id="4" w:name="_Toc19767535101"/>
      <w:bookmarkStart w:id="5" w:name="_Toc1390288731"/>
      <w:r>
        <w:rPr>
          <w:rStyle w:val="normaltextrun"/>
          <w:rFonts w:ascii="Calibri" w:hAnsi="Calibri" w:cs="Calibri"/>
          <w:color w:val="000000" w:themeColor="text1"/>
          <w:lang w:eastAsia="en-GB"/>
        </w:rPr>
        <w:t>2.2.3 Moving towards an aligned tertiary system</w:t>
      </w:r>
      <w:bookmarkEnd w:id="3"/>
      <w:bookmarkEnd w:id="4"/>
      <w:bookmarkEnd w:id="5"/>
      <w:r>
        <w:rPr>
          <w:rStyle w:val="normaltextrun"/>
          <w:rFonts w:ascii="Calibri" w:hAnsi="Calibri" w:cs="Calibri"/>
          <w:color w:val="000000" w:themeColor="text1"/>
          <w:lang w:eastAsia="en-GB"/>
        </w:rPr>
        <w:t>)</w:t>
      </w:r>
    </w:p>
    <w:p w14:paraId="34B5CBC5" w14:textId="77777777" w:rsidR="006856A0" w:rsidRDefault="006856A0">
      <w:pPr>
        <w:rPr>
          <w:rFonts w:hint="eastAsia"/>
          <w:sz w:val="18"/>
          <w:szCs w:val="18"/>
        </w:rPr>
      </w:pPr>
    </w:p>
    <w:p w14:paraId="3D57150B" w14:textId="77777777" w:rsidR="006856A0" w:rsidRDefault="003342E9">
      <w:pPr>
        <w:rPr>
          <w:rFonts w:hint="eastAsia"/>
          <w:sz w:val="18"/>
          <w:szCs w:val="18"/>
        </w:rPr>
      </w:pPr>
      <w:r>
        <w:rPr>
          <w:rStyle w:val="eop"/>
          <w:rFonts w:ascii="Calibri" w:eastAsia="Calibri" w:hAnsi="Calibri" w:cs="Calibri"/>
          <w:i/>
          <w:iCs/>
          <w:color w:val="000000"/>
          <w:shd w:val="clear" w:color="auto" w:fill="FFFFFF"/>
          <w:lang w:eastAsia="en-GB"/>
        </w:rPr>
        <w:t>“The Review considers the concept of the RUCs should be expanded to other areas of need, including outer suburban areas, where accessing higher education can als</w:t>
      </w:r>
      <w:r>
        <w:rPr>
          <w:rStyle w:val="eop"/>
          <w:rFonts w:ascii="Calibri" w:eastAsia="Calibri" w:hAnsi="Calibri" w:cs="Calibri"/>
          <w:i/>
          <w:iCs/>
          <w:color w:val="000000"/>
          <w:shd w:val="clear" w:color="auto" w:fill="FFFFFF"/>
          <w:lang w:eastAsia="en-GB"/>
        </w:rPr>
        <w:t xml:space="preserve">o be difficult. While many prospective students in outer metropolitan and peri-urban areas have access to universities, including remotely through online delivery, such students typically seek to enrol internally at ‘local’ institutions.” </w:t>
      </w:r>
      <w:r>
        <w:rPr>
          <w:rStyle w:val="eop"/>
          <w:rFonts w:ascii="Calibri" w:eastAsia="Calibri" w:hAnsi="Calibri" w:cs="Calibri"/>
          <w:color w:val="000000"/>
          <w:shd w:val="clear" w:color="auto" w:fill="FFFFFF"/>
          <w:lang w:eastAsia="en-GB"/>
        </w:rPr>
        <w:t>(2.3.2.3 Creating</w:t>
      </w:r>
      <w:r>
        <w:rPr>
          <w:rStyle w:val="eop"/>
          <w:rFonts w:ascii="Calibri" w:eastAsia="Calibri" w:hAnsi="Calibri" w:cs="Calibri"/>
          <w:color w:val="000000"/>
          <w:shd w:val="clear" w:color="auto" w:fill="FFFFFF"/>
          <w:lang w:eastAsia="en-GB"/>
        </w:rPr>
        <w:t xml:space="preserve"> accessible places of learning for communities)</w:t>
      </w:r>
    </w:p>
    <w:p w14:paraId="50CF091F" w14:textId="77777777" w:rsidR="006856A0" w:rsidRDefault="006856A0">
      <w:pPr>
        <w:rPr>
          <w:rFonts w:hint="eastAsia"/>
          <w:sz w:val="18"/>
          <w:szCs w:val="18"/>
        </w:rPr>
      </w:pPr>
    </w:p>
    <w:p w14:paraId="319DBC62" w14:textId="77777777" w:rsidR="006856A0" w:rsidRDefault="003342E9">
      <w:pPr>
        <w:rPr>
          <w:rFonts w:ascii="Calibri" w:eastAsia="Calibri" w:hAnsi="Calibri" w:cs="Calibri"/>
          <w:color w:val="000000" w:themeColor="text1"/>
        </w:rPr>
      </w:pPr>
      <w:r>
        <w:rPr>
          <w:rStyle w:val="eop"/>
          <w:rFonts w:ascii="Calibri" w:eastAsia="Calibri" w:hAnsi="Calibri" w:cs="Calibri"/>
          <w:i/>
          <w:iCs/>
          <w:color w:val="000000" w:themeColor="text1"/>
          <w:lang w:eastAsia="en-GB"/>
        </w:rPr>
        <w:t xml:space="preserve">“To meet student and industry demand, higher education providers need a more targeted approach to online delivery, designing content and learning activities with digital and hybrid delivery in mind. </w:t>
      </w:r>
      <w:r>
        <w:rPr>
          <w:rStyle w:val="eop"/>
          <w:rFonts w:ascii="Calibri" w:eastAsiaTheme="majorEastAsia" w:hAnsi="Calibri" w:cstheme="majorBidi"/>
          <w:i/>
          <w:iCs/>
          <w:color w:val="44546A" w:themeColor="text2"/>
          <w:lang w:eastAsia="en-GB"/>
        </w:rPr>
        <w:t xml:space="preserve">It will </w:t>
      </w:r>
      <w:r>
        <w:rPr>
          <w:rStyle w:val="eop"/>
          <w:rFonts w:ascii="Calibri" w:eastAsiaTheme="majorEastAsia" w:hAnsi="Calibri" w:cstheme="majorBidi"/>
          <w:i/>
          <w:iCs/>
          <w:color w:val="44546A" w:themeColor="text2"/>
          <w:lang w:eastAsia="en-GB"/>
        </w:rPr>
        <w:t xml:space="preserve">also need to draw from online resources and shared content repositories to keep pace with the most recent innovations in a field of study.” </w:t>
      </w:r>
      <w:r>
        <w:rPr>
          <w:rStyle w:val="eop"/>
          <w:rFonts w:ascii="Calibri" w:eastAsiaTheme="majorEastAsia" w:hAnsi="Calibri" w:cstheme="majorBidi"/>
          <w:color w:val="44546A" w:themeColor="text2"/>
          <w:lang w:eastAsia="en-GB"/>
        </w:rPr>
        <w:t xml:space="preserve">(2.4.2.1 Utilising knowledge from across the sector, </w:t>
      </w:r>
      <w:proofErr w:type="gramStart"/>
      <w:r>
        <w:rPr>
          <w:rStyle w:val="eop"/>
          <w:rFonts w:ascii="Calibri" w:eastAsiaTheme="majorEastAsia" w:hAnsi="Calibri" w:cstheme="majorBidi"/>
          <w:color w:val="44546A" w:themeColor="text2"/>
          <w:lang w:eastAsia="en-GB"/>
        </w:rPr>
        <w:t>Australia</w:t>
      </w:r>
      <w:proofErr w:type="gramEnd"/>
      <w:r>
        <w:rPr>
          <w:rStyle w:val="eop"/>
          <w:rFonts w:ascii="Calibri" w:eastAsiaTheme="majorEastAsia" w:hAnsi="Calibri" w:cstheme="majorBidi"/>
          <w:color w:val="44546A" w:themeColor="text2"/>
          <w:lang w:eastAsia="en-GB"/>
        </w:rPr>
        <w:t xml:space="preserve"> and the world)</w:t>
      </w:r>
    </w:p>
    <w:p w14:paraId="0B50D871" w14:textId="77777777" w:rsidR="006856A0" w:rsidRDefault="003342E9">
      <w:pPr>
        <w:rPr>
          <w:rFonts w:hint="eastAsia"/>
          <w:sz w:val="18"/>
          <w:szCs w:val="18"/>
        </w:rPr>
      </w:pPr>
      <w:r>
        <w:rPr>
          <w:rStyle w:val="eop"/>
          <w:rFonts w:ascii="Calibri" w:eastAsiaTheme="majorEastAsia" w:hAnsi="Calibri" w:cstheme="majorBidi"/>
          <w:i/>
          <w:iCs/>
          <w:color w:val="44546A" w:themeColor="text2"/>
          <w:lang w:eastAsia="en-GB"/>
        </w:rPr>
        <w:lastRenderedPageBreak/>
        <w:t>“</w:t>
      </w:r>
      <w:r>
        <w:rPr>
          <w:rStyle w:val="eop"/>
          <w:rFonts w:ascii="Calibri" w:eastAsiaTheme="majorEastAsia" w:hAnsi="Calibri" w:cstheme="majorBidi"/>
          <w:i/>
          <w:iCs/>
          <w:color w:val="44546A" w:themeColor="text2"/>
          <w:lang w:eastAsia="en-GB"/>
        </w:rPr>
        <w:t>Improving online learning capability also presents an opportunity for Australia to expand its teaching footprint and reach new students and overseas markets. Current regulatory and policy settings are limiting innovation by restricting access to offshore o</w:t>
      </w:r>
      <w:r>
        <w:rPr>
          <w:rStyle w:val="eop"/>
          <w:rFonts w:ascii="Calibri" w:eastAsiaTheme="majorEastAsia" w:hAnsi="Calibri" w:cstheme="majorBidi"/>
          <w:i/>
          <w:iCs/>
          <w:color w:val="44546A" w:themeColor="text2"/>
          <w:lang w:eastAsia="en-GB"/>
        </w:rPr>
        <w:t xml:space="preserve">nline delivery for international students.” </w:t>
      </w:r>
      <w:r>
        <w:rPr>
          <w:rStyle w:val="eop"/>
          <w:rFonts w:ascii="Calibri" w:eastAsiaTheme="majorEastAsia" w:hAnsi="Calibri" w:cstheme="majorBidi"/>
          <w:color w:val="44546A" w:themeColor="text2"/>
          <w:lang w:eastAsia="en-GB"/>
        </w:rPr>
        <w:t>(2.4.2.2 Embracing new tools and methods for teaching)</w:t>
      </w:r>
    </w:p>
    <w:p w14:paraId="378C1C8D" w14:textId="77777777" w:rsidR="006856A0" w:rsidRDefault="006856A0">
      <w:pPr>
        <w:rPr>
          <w:rFonts w:hint="eastAsia"/>
          <w:sz w:val="18"/>
          <w:szCs w:val="18"/>
        </w:rPr>
      </w:pPr>
    </w:p>
    <w:p w14:paraId="15301B3A" w14:textId="77777777" w:rsidR="006856A0" w:rsidRDefault="003342E9">
      <w:pPr>
        <w:rPr>
          <w:rFonts w:hint="eastAsia"/>
          <w:sz w:val="18"/>
          <w:szCs w:val="18"/>
        </w:rPr>
      </w:pPr>
      <w:r>
        <w:rPr>
          <w:rStyle w:val="eop"/>
          <w:rFonts w:ascii="Calibri" w:eastAsiaTheme="majorEastAsia" w:hAnsi="Calibri" w:cstheme="majorBidi"/>
          <w:i/>
          <w:iCs/>
          <w:color w:val="44546A" w:themeColor="text2"/>
          <w:lang w:eastAsia="en-GB"/>
        </w:rPr>
        <w:t>“</w:t>
      </w:r>
      <w:proofErr w:type="gramStart"/>
      <w:r>
        <w:rPr>
          <w:rStyle w:val="eop"/>
          <w:rFonts w:ascii="Calibri" w:eastAsiaTheme="majorEastAsia" w:hAnsi="Calibri" w:cstheme="majorBidi"/>
          <w:i/>
          <w:iCs/>
          <w:color w:val="44546A" w:themeColor="text2"/>
          <w:lang w:eastAsia="en-GB"/>
        </w:rPr>
        <w:t>launching</w:t>
      </w:r>
      <w:proofErr w:type="gramEnd"/>
      <w:r>
        <w:rPr>
          <w:rStyle w:val="eop"/>
          <w:rFonts w:ascii="Calibri" w:eastAsiaTheme="majorEastAsia" w:hAnsi="Calibri" w:cstheme="majorBidi"/>
          <w:i/>
          <w:iCs/>
          <w:color w:val="44546A" w:themeColor="text2"/>
          <w:lang w:eastAsia="en-GB"/>
        </w:rPr>
        <w:t xml:space="preserve"> a competitive funding program across multiple institutions (universities and TAFEs) with material produced to be available under open access. This concept could be modelled in terms of collaboration and advisory boards on the ARC Centres of Excel</w:t>
      </w:r>
      <w:r>
        <w:rPr>
          <w:rStyle w:val="eop"/>
          <w:rFonts w:ascii="Calibri" w:eastAsiaTheme="majorEastAsia" w:hAnsi="Calibri" w:cstheme="majorBidi"/>
          <w:i/>
          <w:iCs/>
          <w:color w:val="44546A" w:themeColor="text2"/>
          <w:lang w:eastAsia="en-GB"/>
        </w:rPr>
        <w:t xml:space="preserve">lence” </w:t>
      </w:r>
      <w:r>
        <w:rPr>
          <w:rStyle w:val="eop"/>
          <w:rFonts w:ascii="Calibri" w:eastAsiaTheme="majorEastAsia" w:hAnsi="Calibri" w:cstheme="majorBidi"/>
          <w:color w:val="44546A" w:themeColor="text2"/>
          <w:lang w:eastAsia="en-GB"/>
        </w:rPr>
        <w:t>(</w:t>
      </w:r>
      <w:bookmarkStart w:id="6" w:name="_Toc137829555"/>
      <w:bookmarkStart w:id="7" w:name="_Toc1482484386"/>
      <w:bookmarkStart w:id="8" w:name="_Toc139028887"/>
      <w:r>
        <w:rPr>
          <w:rStyle w:val="eop"/>
          <w:rFonts w:ascii="Calibri" w:eastAsiaTheme="majorEastAsia" w:hAnsi="Calibri" w:cstheme="majorBidi"/>
          <w:color w:val="44546A" w:themeColor="text2"/>
          <w:lang w:eastAsia="en-GB"/>
        </w:rPr>
        <w:t>2.4: Excellence in learning, teaching and student experience</w:t>
      </w:r>
      <w:bookmarkEnd w:id="6"/>
      <w:bookmarkEnd w:id="7"/>
      <w:bookmarkEnd w:id="8"/>
      <w:r>
        <w:rPr>
          <w:rStyle w:val="eop"/>
          <w:rFonts w:ascii="Calibri" w:eastAsiaTheme="majorEastAsia" w:hAnsi="Calibri" w:cstheme="majorBidi"/>
          <w:color w:val="44546A" w:themeColor="text2"/>
          <w:lang w:eastAsia="en-GB"/>
        </w:rPr>
        <w:t>: Potential proposals)</w:t>
      </w:r>
    </w:p>
    <w:p w14:paraId="719136EA" w14:textId="77777777" w:rsidR="006856A0" w:rsidRDefault="006856A0">
      <w:pPr>
        <w:rPr>
          <w:rFonts w:hint="eastAsia"/>
          <w:sz w:val="18"/>
          <w:szCs w:val="18"/>
        </w:rPr>
      </w:pPr>
    </w:p>
    <w:p w14:paraId="6AF4ADB6" w14:textId="77777777" w:rsidR="006856A0" w:rsidRDefault="003342E9">
      <w:pPr>
        <w:rPr>
          <w:rFonts w:hint="eastAsia"/>
          <w:sz w:val="18"/>
          <w:szCs w:val="18"/>
        </w:rPr>
      </w:pPr>
      <w:r>
        <w:rPr>
          <w:rStyle w:val="eop"/>
          <w:rFonts w:ascii="Calibri" w:eastAsiaTheme="majorEastAsia" w:hAnsi="Calibri" w:cstheme="majorBidi"/>
          <w:i/>
          <w:iCs/>
          <w:color w:val="44546A" w:themeColor="text2"/>
          <w:lang w:eastAsia="en-GB"/>
        </w:rPr>
        <w:t xml:space="preserve">“promoting flexibility and innovation in international education, including digital and offshore delivery </w:t>
      </w:r>
      <w:proofErr w:type="gramStart"/>
      <w:r>
        <w:rPr>
          <w:rStyle w:val="eop"/>
          <w:rFonts w:ascii="Calibri" w:eastAsiaTheme="majorEastAsia" w:hAnsi="Calibri" w:cstheme="majorBidi"/>
          <w:i/>
          <w:iCs/>
          <w:color w:val="44546A" w:themeColor="text2"/>
          <w:lang w:eastAsia="en-GB"/>
        </w:rPr>
        <w:t>options”</w:t>
      </w:r>
      <w:r>
        <w:rPr>
          <w:rStyle w:val="eop"/>
          <w:rFonts w:ascii="Calibri" w:eastAsiaTheme="majorEastAsia" w:hAnsi="Calibri" w:cstheme="majorBidi"/>
          <w:color w:val="44546A" w:themeColor="text2"/>
          <w:lang w:eastAsia="en-GB"/>
        </w:rPr>
        <w:t xml:space="preserve">  (</w:t>
      </w:r>
      <w:bookmarkStart w:id="9" w:name="_Toc137829566"/>
      <w:bookmarkStart w:id="10" w:name="_Toc506807751"/>
      <w:bookmarkStart w:id="11" w:name="_Toc139028898"/>
      <w:proofErr w:type="gramEnd"/>
      <w:r>
        <w:rPr>
          <w:rStyle w:val="eop"/>
          <w:rFonts w:ascii="Calibri" w:eastAsiaTheme="majorEastAsia" w:hAnsi="Calibri" w:cstheme="majorBidi"/>
          <w:color w:val="44546A" w:themeColor="text2"/>
          <w:lang w:eastAsia="en-GB"/>
        </w:rPr>
        <w:t>2.5.3 Leveraging research and international edu</w:t>
      </w:r>
      <w:r>
        <w:rPr>
          <w:rStyle w:val="eop"/>
          <w:rFonts w:ascii="Calibri" w:eastAsiaTheme="majorEastAsia" w:hAnsi="Calibri" w:cstheme="majorBidi"/>
          <w:color w:val="44546A" w:themeColor="text2"/>
          <w:lang w:eastAsia="en-GB"/>
        </w:rPr>
        <w:t>cation to advance Australia’s interests</w:t>
      </w:r>
      <w:bookmarkEnd w:id="9"/>
      <w:bookmarkEnd w:id="10"/>
      <w:bookmarkEnd w:id="11"/>
      <w:r>
        <w:rPr>
          <w:rStyle w:val="eop"/>
          <w:rFonts w:ascii="Calibri" w:eastAsiaTheme="majorEastAsia" w:hAnsi="Calibri" w:cstheme="majorBidi"/>
          <w:color w:val="44546A" w:themeColor="text2"/>
          <w:lang w:eastAsia="en-GB"/>
        </w:rPr>
        <w:t>: Considerations for change)</w:t>
      </w:r>
    </w:p>
    <w:p w14:paraId="47B8FEF3" w14:textId="77777777" w:rsidR="006856A0" w:rsidRDefault="006856A0">
      <w:pPr>
        <w:rPr>
          <w:rFonts w:hint="eastAsia"/>
          <w:sz w:val="18"/>
          <w:szCs w:val="18"/>
        </w:rPr>
      </w:pPr>
    </w:p>
    <w:p w14:paraId="1F199668" w14:textId="77777777" w:rsidR="006856A0" w:rsidRDefault="003342E9">
      <w:pPr>
        <w:pStyle w:val="Normal-AfterTable"/>
        <w:spacing w:before="0" w:after="160"/>
        <w:ind w:left="284" w:hanging="284"/>
        <w:rPr>
          <w:rFonts w:hint="eastAsia"/>
          <w:sz w:val="18"/>
          <w:szCs w:val="18"/>
        </w:rPr>
      </w:pPr>
      <w:r>
        <w:rPr>
          <w:rStyle w:val="eop"/>
          <w:rFonts w:ascii="Calibri" w:eastAsiaTheme="majorEastAsia" w:hAnsi="Calibri" w:cstheme="majorBidi"/>
          <w:color w:val="44546A" w:themeColor="text2"/>
          <w:lang w:eastAsia="en-GB"/>
        </w:rPr>
        <w:t>There are numerous references in the Interim Report to ‘collaboration’.</w:t>
      </w:r>
    </w:p>
    <w:p w14:paraId="33ABDD5D" w14:textId="77777777" w:rsidR="006856A0" w:rsidRDefault="003342E9">
      <w:pPr>
        <w:ind w:left="284" w:hanging="284"/>
        <w:contextualSpacing/>
        <w:rPr>
          <w:rFonts w:hint="eastAsia"/>
          <w:sz w:val="18"/>
          <w:szCs w:val="18"/>
        </w:rPr>
      </w:pPr>
      <w:r>
        <w:rPr>
          <w:rStyle w:val="normaltextrun"/>
          <w:rFonts w:ascii="Calibri" w:hAnsi="Calibri" w:cs="Calibri"/>
          <w:b/>
          <w:bCs/>
          <w:color w:val="000000" w:themeColor="text1"/>
          <w:lang w:eastAsia="en-GB"/>
        </w:rPr>
        <w:t>The Distributed and Networked University Collaboration (DNUC).</w:t>
      </w:r>
    </w:p>
    <w:p w14:paraId="6357FA7F" w14:textId="77777777" w:rsidR="006856A0" w:rsidRDefault="003342E9">
      <w:pPr>
        <w:rPr>
          <w:rFonts w:hint="eastAsia"/>
          <w:sz w:val="18"/>
          <w:szCs w:val="18"/>
        </w:rPr>
      </w:pPr>
      <w:r>
        <w:rPr>
          <w:rStyle w:val="normaltextrun"/>
          <w:rFonts w:ascii="Calibri" w:hAnsi="Calibri" w:cs="Calibri"/>
          <w:color w:val="000000" w:themeColor="text1"/>
          <w:lang w:eastAsia="en-GB"/>
        </w:rPr>
        <w:t>The partners of this initiative would be drawn mainl</w:t>
      </w:r>
      <w:r>
        <w:rPr>
          <w:rStyle w:val="normaltextrun"/>
          <w:rFonts w:ascii="Calibri" w:hAnsi="Calibri" w:cs="Calibri"/>
          <w:color w:val="000000" w:themeColor="text1"/>
          <w:lang w:eastAsia="en-GB"/>
        </w:rPr>
        <w:t xml:space="preserve">y but not exclusively from regional universities (whose reservations on the proposed National Regional University are listed in the IR). </w:t>
      </w:r>
    </w:p>
    <w:p w14:paraId="4131BF71" w14:textId="77777777" w:rsidR="006856A0" w:rsidRDefault="006856A0">
      <w:pPr>
        <w:ind w:left="284" w:hanging="284"/>
        <w:contextualSpacing/>
        <w:rPr>
          <w:rFonts w:hint="eastAsia"/>
          <w:sz w:val="18"/>
          <w:szCs w:val="18"/>
        </w:rPr>
      </w:pPr>
    </w:p>
    <w:p w14:paraId="2C8A1BB5" w14:textId="77777777" w:rsidR="006856A0" w:rsidRDefault="003342E9">
      <w:pPr>
        <w:rPr>
          <w:rFonts w:hint="eastAsia"/>
          <w:sz w:val="18"/>
          <w:szCs w:val="18"/>
        </w:rPr>
      </w:pPr>
      <w:r>
        <w:rPr>
          <w:rStyle w:val="normaltextrun"/>
          <w:rFonts w:ascii="Calibri" w:hAnsi="Calibri" w:cs="Calibri"/>
          <w:color w:val="000000" w:themeColor="text1"/>
          <w:lang w:eastAsia="en-GB"/>
        </w:rPr>
        <w:t>The main features of the proposed DNUC are consistent with the various chapter headings in the IR:</w:t>
      </w:r>
    </w:p>
    <w:p w14:paraId="4955B76F" w14:textId="77777777" w:rsidR="006856A0" w:rsidRDefault="006856A0">
      <w:pPr>
        <w:ind w:left="284" w:hanging="284"/>
        <w:contextualSpacing/>
        <w:rPr>
          <w:rFonts w:hint="eastAsia"/>
          <w:sz w:val="18"/>
          <w:szCs w:val="18"/>
        </w:rPr>
      </w:pPr>
    </w:p>
    <w:p w14:paraId="786AFE81" w14:textId="77777777" w:rsidR="006856A0" w:rsidRDefault="003342E9">
      <w:pPr>
        <w:ind w:left="284" w:hanging="284"/>
        <w:contextualSpacing/>
        <w:rPr>
          <w:rFonts w:hint="eastAsia"/>
          <w:sz w:val="18"/>
          <w:szCs w:val="18"/>
        </w:rPr>
      </w:pPr>
      <w:r>
        <w:rPr>
          <w:rStyle w:val="normaltextrun"/>
          <w:rFonts w:ascii="Calibri" w:hAnsi="Calibri" w:cs="Calibri"/>
          <w:i/>
          <w:iCs/>
          <w:color w:val="000000" w:themeColor="text1"/>
          <w:lang w:eastAsia="en-GB"/>
        </w:rPr>
        <w:t>Equity in partici</w:t>
      </w:r>
      <w:r>
        <w:rPr>
          <w:rStyle w:val="normaltextrun"/>
          <w:rFonts w:ascii="Calibri" w:hAnsi="Calibri" w:cs="Calibri"/>
          <w:i/>
          <w:iCs/>
          <w:color w:val="000000" w:themeColor="text1"/>
          <w:lang w:eastAsia="en-GB"/>
        </w:rPr>
        <w:t xml:space="preserve">pation, </w:t>
      </w:r>
      <w:proofErr w:type="gramStart"/>
      <w:r>
        <w:rPr>
          <w:rStyle w:val="normaltextrun"/>
          <w:rFonts w:ascii="Calibri" w:hAnsi="Calibri" w:cs="Calibri"/>
          <w:i/>
          <w:iCs/>
          <w:color w:val="000000" w:themeColor="text1"/>
          <w:lang w:eastAsia="en-GB"/>
        </w:rPr>
        <w:t>access</w:t>
      </w:r>
      <w:proofErr w:type="gramEnd"/>
      <w:r>
        <w:rPr>
          <w:rStyle w:val="normaltextrun"/>
          <w:rFonts w:ascii="Calibri" w:hAnsi="Calibri" w:cs="Calibri"/>
          <w:i/>
          <w:iCs/>
          <w:color w:val="000000" w:themeColor="text1"/>
          <w:lang w:eastAsia="en-GB"/>
        </w:rPr>
        <w:t xml:space="preserve"> and opportunity:</w:t>
      </w:r>
    </w:p>
    <w:p w14:paraId="3BB28B42" w14:textId="77777777" w:rsidR="006856A0" w:rsidRDefault="003342E9">
      <w:pPr>
        <w:numPr>
          <w:ilvl w:val="0"/>
          <w:numId w:val="4"/>
        </w:numPr>
        <w:rPr>
          <w:rFonts w:hint="eastAsia"/>
          <w:sz w:val="18"/>
          <w:szCs w:val="18"/>
        </w:rPr>
      </w:pPr>
      <w:r>
        <w:rPr>
          <w:rStyle w:val="normaltextrun"/>
          <w:rFonts w:ascii="Calibri" w:hAnsi="Calibri" w:cs="Calibri"/>
          <w:color w:val="000000" w:themeColor="text1"/>
          <w:lang w:eastAsia="en-GB"/>
        </w:rPr>
        <w:t>The DNUC would establish enrolment pathways for disadvantaged groups identified in the IR as having less access to higher education.</w:t>
      </w:r>
    </w:p>
    <w:p w14:paraId="4B952823" w14:textId="77777777" w:rsidR="006856A0" w:rsidRDefault="003342E9">
      <w:pPr>
        <w:numPr>
          <w:ilvl w:val="0"/>
          <w:numId w:val="4"/>
        </w:numPr>
        <w:rPr>
          <w:rFonts w:hint="eastAsia"/>
          <w:sz w:val="18"/>
          <w:szCs w:val="18"/>
        </w:rPr>
      </w:pPr>
      <w:r>
        <w:rPr>
          <w:rStyle w:val="normaltextrun"/>
        </w:rPr>
        <w:t>Online resources and delivery are core, supported by physical hubs where face-to-face conta</w:t>
      </w:r>
      <w:r>
        <w:rPr>
          <w:rStyle w:val="normaltextrun"/>
        </w:rPr>
        <w:t>ct is necessary.</w:t>
      </w:r>
    </w:p>
    <w:p w14:paraId="3431934B" w14:textId="77777777" w:rsidR="006856A0" w:rsidRDefault="003342E9">
      <w:pPr>
        <w:numPr>
          <w:ilvl w:val="0"/>
          <w:numId w:val="4"/>
        </w:numPr>
        <w:rPr>
          <w:rFonts w:hint="eastAsia"/>
          <w:sz w:val="18"/>
          <w:szCs w:val="18"/>
        </w:rPr>
      </w:pPr>
      <w:r>
        <w:rPr>
          <w:rStyle w:val="normaltextrun"/>
          <w:rFonts w:ascii="Calibri" w:hAnsi="Calibri" w:cs="Calibri"/>
          <w:color w:val="000000" w:themeColor="text1"/>
          <w:lang w:eastAsia="en-GB"/>
        </w:rPr>
        <w:t xml:space="preserve">The online nature of education delivery is scalable to allow for the proposed future increased need for university places. </w:t>
      </w:r>
    </w:p>
    <w:p w14:paraId="6CEC7025" w14:textId="77777777" w:rsidR="006856A0" w:rsidRDefault="003342E9">
      <w:pPr>
        <w:numPr>
          <w:ilvl w:val="0"/>
          <w:numId w:val="4"/>
        </w:numPr>
        <w:rPr>
          <w:rFonts w:hint="eastAsia"/>
          <w:sz w:val="18"/>
          <w:szCs w:val="18"/>
        </w:rPr>
      </w:pPr>
      <w:r>
        <w:rPr>
          <w:rStyle w:val="normaltextrun"/>
          <w:rFonts w:ascii="Calibri" w:hAnsi="Calibri" w:cs="Calibri"/>
          <w:color w:val="000000" w:themeColor="text1"/>
          <w:lang w:eastAsia="en-GB"/>
        </w:rPr>
        <w:t xml:space="preserve">Delivery hubs would be both virtual and </w:t>
      </w:r>
      <w:proofErr w:type="gramStart"/>
      <w:r>
        <w:rPr>
          <w:rStyle w:val="normaltextrun"/>
          <w:rFonts w:ascii="Calibri" w:hAnsi="Calibri" w:cs="Calibri"/>
          <w:color w:val="000000" w:themeColor="text1"/>
          <w:lang w:eastAsia="en-GB"/>
        </w:rPr>
        <w:t>physical, and</w:t>
      </w:r>
      <w:proofErr w:type="gramEnd"/>
      <w:r>
        <w:rPr>
          <w:rStyle w:val="normaltextrun"/>
          <w:rFonts w:ascii="Calibri" w:hAnsi="Calibri" w:cs="Calibri"/>
          <w:color w:val="000000" w:themeColor="text1"/>
          <w:lang w:eastAsia="en-GB"/>
        </w:rPr>
        <w:t xml:space="preserve"> would include RUCs as well as outer metropolitan and peri-urb</w:t>
      </w:r>
      <w:r>
        <w:rPr>
          <w:rStyle w:val="normaltextrun"/>
          <w:rFonts w:ascii="Calibri" w:hAnsi="Calibri" w:cs="Calibri"/>
          <w:color w:val="000000" w:themeColor="text1"/>
          <w:lang w:eastAsia="en-GB"/>
        </w:rPr>
        <w:t>an tertiary study hubs.</w:t>
      </w:r>
    </w:p>
    <w:p w14:paraId="45973BB8" w14:textId="77777777" w:rsidR="006856A0" w:rsidRDefault="003342E9">
      <w:pPr>
        <w:numPr>
          <w:ilvl w:val="0"/>
          <w:numId w:val="4"/>
        </w:numPr>
        <w:rPr>
          <w:rFonts w:hint="eastAsia"/>
          <w:sz w:val="18"/>
          <w:szCs w:val="18"/>
        </w:rPr>
      </w:pPr>
      <w:r>
        <w:rPr>
          <w:rStyle w:val="normaltextrun"/>
          <w:rFonts w:ascii="Calibri" w:hAnsi="Calibri" w:cs="Calibri"/>
          <w:color w:val="000000" w:themeColor="text1"/>
          <w:lang w:eastAsia="en-GB"/>
        </w:rPr>
        <w:t>Physical hubs are placed in local community and industry facilities, preferably not as new builds (saving funds and the environment).</w:t>
      </w:r>
    </w:p>
    <w:p w14:paraId="55DADA7C" w14:textId="77777777" w:rsidR="006856A0" w:rsidRDefault="006856A0">
      <w:pPr>
        <w:ind w:left="709" w:hanging="284"/>
        <w:contextualSpacing/>
        <w:rPr>
          <w:rFonts w:hint="eastAsia"/>
          <w:sz w:val="18"/>
          <w:szCs w:val="18"/>
        </w:rPr>
      </w:pPr>
    </w:p>
    <w:p w14:paraId="47FC9C51" w14:textId="77777777" w:rsidR="006856A0" w:rsidRDefault="003342E9">
      <w:pPr>
        <w:ind w:left="709" w:hanging="284"/>
        <w:contextualSpacing/>
        <w:rPr>
          <w:rFonts w:hint="eastAsia"/>
          <w:sz w:val="18"/>
          <w:szCs w:val="18"/>
        </w:rPr>
      </w:pPr>
      <w:r>
        <w:rPr>
          <w:rStyle w:val="normaltextrun"/>
          <w:rFonts w:ascii="Calibri" w:hAnsi="Calibri" w:cs="Calibri"/>
          <w:i/>
          <w:iCs/>
          <w:color w:val="000000" w:themeColor="text1"/>
          <w:lang w:eastAsia="en-GB"/>
        </w:rPr>
        <w:t>Excellence in learning, teaching and student experience:</w:t>
      </w:r>
    </w:p>
    <w:p w14:paraId="41059E07" w14:textId="77777777" w:rsidR="006856A0" w:rsidRDefault="003342E9">
      <w:pPr>
        <w:numPr>
          <w:ilvl w:val="0"/>
          <w:numId w:val="5"/>
        </w:numPr>
        <w:rPr>
          <w:rFonts w:hint="eastAsia"/>
          <w:sz w:val="18"/>
          <w:szCs w:val="18"/>
        </w:rPr>
      </w:pPr>
      <w:r>
        <w:rPr>
          <w:rStyle w:val="normaltextrun"/>
          <w:rFonts w:ascii="Calibri" w:hAnsi="Calibri" w:cs="Calibri"/>
          <w:color w:val="000000" w:themeColor="text1"/>
          <w:lang w:eastAsia="en-GB"/>
        </w:rPr>
        <w:t xml:space="preserve">In the DUNC partners populate </w:t>
      </w:r>
      <w:r>
        <w:rPr>
          <w:rStyle w:val="normaltextrun"/>
          <w:rFonts w:ascii="Calibri" w:hAnsi="Calibri" w:cs="Calibri"/>
          <w:color w:val="000000" w:themeColor="text1"/>
          <w:lang w:eastAsia="en-GB"/>
        </w:rPr>
        <w:t>repositories of educational resources including portions of courses which, if completed successfully, lead to the award of microcredits. The resources are published as open access under an appropriate Creative Commons licence.</w:t>
      </w:r>
    </w:p>
    <w:p w14:paraId="0F8C3AC7" w14:textId="77777777" w:rsidR="006856A0" w:rsidRDefault="003342E9">
      <w:pPr>
        <w:numPr>
          <w:ilvl w:val="0"/>
          <w:numId w:val="5"/>
        </w:numPr>
        <w:rPr>
          <w:rFonts w:hint="eastAsia"/>
          <w:sz w:val="18"/>
          <w:szCs w:val="18"/>
        </w:rPr>
      </w:pPr>
      <w:r>
        <w:rPr>
          <w:rStyle w:val="normaltextrun"/>
          <w:rFonts w:ascii="Calibri" w:hAnsi="Calibri" w:cs="Calibri"/>
          <w:color w:val="000000" w:themeColor="text1"/>
          <w:lang w:eastAsia="en-GB"/>
        </w:rPr>
        <w:t>A system for peer review of t</w:t>
      </w:r>
      <w:r>
        <w:rPr>
          <w:rStyle w:val="normaltextrun"/>
          <w:rFonts w:ascii="Calibri" w:hAnsi="Calibri" w:cs="Calibri"/>
          <w:color w:val="000000" w:themeColor="text1"/>
          <w:lang w:eastAsia="en-GB"/>
        </w:rPr>
        <w:t>he resources is developed to ensure quality and offer academic credit to the academics who provide them.</w:t>
      </w:r>
    </w:p>
    <w:p w14:paraId="11B79BAB" w14:textId="77777777" w:rsidR="006856A0" w:rsidRDefault="003342E9">
      <w:pPr>
        <w:numPr>
          <w:ilvl w:val="0"/>
          <w:numId w:val="5"/>
        </w:numPr>
        <w:rPr>
          <w:rFonts w:hint="eastAsia"/>
          <w:sz w:val="18"/>
          <w:szCs w:val="18"/>
        </w:rPr>
      </w:pPr>
      <w:r>
        <w:rPr>
          <w:rStyle w:val="normaltextrun"/>
          <w:rFonts w:ascii="Calibri" w:hAnsi="Calibri" w:cs="Calibri"/>
          <w:color w:val="000000" w:themeColor="text1"/>
          <w:lang w:eastAsia="en-GB"/>
        </w:rPr>
        <w:t xml:space="preserve">Assessment is offered by the partners who provided the resources carrying </w:t>
      </w:r>
      <w:proofErr w:type="gramStart"/>
      <w:r>
        <w:rPr>
          <w:rStyle w:val="normaltextrun"/>
          <w:rFonts w:ascii="Calibri" w:hAnsi="Calibri" w:cs="Calibri"/>
          <w:color w:val="000000" w:themeColor="text1"/>
          <w:lang w:eastAsia="en-GB"/>
        </w:rPr>
        <w:t>microcredits</w:t>
      </w:r>
      <w:proofErr w:type="gramEnd"/>
    </w:p>
    <w:p w14:paraId="4BDBAB83" w14:textId="77777777" w:rsidR="006856A0" w:rsidRDefault="003342E9">
      <w:pPr>
        <w:numPr>
          <w:ilvl w:val="0"/>
          <w:numId w:val="5"/>
        </w:numPr>
        <w:rPr>
          <w:rFonts w:hint="eastAsia"/>
          <w:sz w:val="18"/>
          <w:szCs w:val="18"/>
        </w:rPr>
      </w:pPr>
      <w:r>
        <w:rPr>
          <w:rStyle w:val="normaltextrun"/>
          <w:rFonts w:ascii="Calibri" w:hAnsi="Calibri" w:cs="Calibri"/>
          <w:color w:val="000000" w:themeColor="text1"/>
          <w:lang w:eastAsia="en-GB"/>
        </w:rPr>
        <w:t xml:space="preserve">Individual students enrol </w:t>
      </w:r>
      <w:proofErr w:type="gramStart"/>
      <w:r>
        <w:rPr>
          <w:rStyle w:val="normaltextrun"/>
          <w:rFonts w:ascii="Calibri" w:hAnsi="Calibri" w:cs="Calibri"/>
          <w:color w:val="000000" w:themeColor="text1"/>
          <w:lang w:eastAsia="en-GB"/>
        </w:rPr>
        <w:t>in the course of</w:t>
      </w:r>
      <w:proofErr w:type="gramEnd"/>
      <w:r>
        <w:rPr>
          <w:rStyle w:val="normaltextrun"/>
          <w:rFonts w:ascii="Calibri" w:hAnsi="Calibri" w:cs="Calibri"/>
          <w:color w:val="000000" w:themeColor="text1"/>
          <w:lang w:eastAsia="en-GB"/>
        </w:rPr>
        <w:t xml:space="preserve"> their choice, support</w:t>
      </w:r>
      <w:r>
        <w:rPr>
          <w:rStyle w:val="normaltextrun"/>
          <w:rFonts w:ascii="Calibri" w:hAnsi="Calibri" w:cs="Calibri"/>
          <w:color w:val="000000" w:themeColor="text1"/>
          <w:lang w:eastAsia="en-GB"/>
        </w:rPr>
        <w:t>ed by RUCs and tertiary study hubs, who can also advise on how the microcredits may be used to build degrees in the partner universities.</w:t>
      </w:r>
    </w:p>
    <w:p w14:paraId="454FA9DD" w14:textId="77777777" w:rsidR="006856A0" w:rsidRDefault="003342E9">
      <w:pPr>
        <w:numPr>
          <w:ilvl w:val="0"/>
          <w:numId w:val="5"/>
        </w:numPr>
        <w:rPr>
          <w:rFonts w:hint="eastAsia"/>
          <w:sz w:val="18"/>
          <w:szCs w:val="18"/>
        </w:rPr>
      </w:pPr>
      <w:r>
        <w:rPr>
          <w:rStyle w:val="normaltextrun"/>
          <w:rFonts w:ascii="Calibri" w:hAnsi="Calibri" w:cs="Calibri"/>
          <w:color w:val="000000" w:themeColor="text1"/>
          <w:lang w:eastAsia="en-GB"/>
        </w:rPr>
        <w:t>Partner universities collaborate and agree to recognise the microcredits towards their awards, even if not gained from</w:t>
      </w:r>
      <w:r>
        <w:rPr>
          <w:rStyle w:val="normaltextrun"/>
          <w:rFonts w:ascii="Calibri" w:hAnsi="Calibri" w:cs="Calibri"/>
          <w:color w:val="000000" w:themeColor="text1"/>
          <w:lang w:eastAsia="en-GB"/>
        </w:rPr>
        <w:t xml:space="preserve"> their own </w:t>
      </w:r>
      <w:proofErr w:type="gramStart"/>
      <w:r>
        <w:rPr>
          <w:rStyle w:val="normaltextrun"/>
          <w:rFonts w:ascii="Calibri" w:hAnsi="Calibri" w:cs="Calibri"/>
          <w:color w:val="000000" w:themeColor="text1"/>
          <w:lang w:eastAsia="en-GB"/>
        </w:rPr>
        <w:t>courses</w:t>
      </w:r>
      <w:proofErr w:type="gramEnd"/>
    </w:p>
    <w:p w14:paraId="1C3464FF" w14:textId="77777777" w:rsidR="006856A0" w:rsidRDefault="006856A0">
      <w:pPr>
        <w:ind w:left="284" w:hanging="284"/>
        <w:contextualSpacing/>
        <w:rPr>
          <w:rFonts w:hint="eastAsia"/>
          <w:sz w:val="18"/>
          <w:szCs w:val="18"/>
        </w:rPr>
      </w:pPr>
    </w:p>
    <w:p w14:paraId="211338B8" w14:textId="77777777" w:rsidR="006856A0" w:rsidRDefault="003342E9">
      <w:pPr>
        <w:ind w:left="284" w:hanging="284"/>
        <w:contextualSpacing/>
        <w:rPr>
          <w:rFonts w:hint="eastAsia"/>
          <w:sz w:val="18"/>
          <w:szCs w:val="18"/>
        </w:rPr>
      </w:pPr>
      <w:r>
        <w:rPr>
          <w:rStyle w:val="normaltextrun"/>
          <w:rFonts w:ascii="Calibri" w:hAnsi="Calibri" w:cs="Calibri"/>
          <w:i/>
          <w:iCs/>
          <w:color w:val="000000" w:themeColor="text1"/>
          <w:lang w:eastAsia="en-GB"/>
        </w:rPr>
        <w:t>Fostering international engagement</w:t>
      </w:r>
      <w:r>
        <w:rPr>
          <w:rStyle w:val="normaltextrun"/>
          <w:rFonts w:ascii="Calibri" w:hAnsi="Calibri" w:cs="Calibri"/>
          <w:color w:val="000000" w:themeColor="text1"/>
          <w:lang w:eastAsia="en-GB"/>
        </w:rPr>
        <w:t xml:space="preserve">: </w:t>
      </w:r>
    </w:p>
    <w:p w14:paraId="7973B984" w14:textId="77777777" w:rsidR="006856A0" w:rsidRDefault="003342E9">
      <w:pPr>
        <w:numPr>
          <w:ilvl w:val="0"/>
          <w:numId w:val="6"/>
        </w:numPr>
        <w:rPr>
          <w:rFonts w:hint="eastAsia"/>
          <w:sz w:val="18"/>
          <w:szCs w:val="18"/>
        </w:rPr>
      </w:pPr>
      <w:r>
        <w:rPr>
          <w:rStyle w:val="normaltextrun"/>
          <w:rFonts w:ascii="Calibri" w:hAnsi="Calibri" w:cs="Calibri"/>
          <w:color w:val="000000" w:themeColor="text1"/>
          <w:lang w:eastAsia="en-GB"/>
        </w:rPr>
        <w:lastRenderedPageBreak/>
        <w:t>The DNUC would host an online network for global education</w:t>
      </w:r>
      <w:r>
        <w:rPr>
          <w:rStyle w:val="FootnoteAnchor"/>
          <w:rFonts w:ascii="Calibri" w:hAnsi="Calibri" w:cs="Calibri"/>
          <w:color w:val="000000" w:themeColor="text1"/>
          <w:lang w:eastAsia="en-GB"/>
        </w:rPr>
        <w:footnoteReference w:id="1"/>
      </w:r>
      <w:r>
        <w:rPr>
          <w:rStyle w:val="normaltextrun"/>
          <w:rFonts w:ascii="Calibri" w:hAnsi="Calibri" w:cs="Calibri"/>
          <w:color w:val="000000" w:themeColor="text1"/>
          <w:lang w:eastAsia="en-GB"/>
        </w:rPr>
        <w:t>, based on materials in the repositories but supplemented by other materials, created by partners both from universities in Australia and the Global South. This would help correct the global inequalities in access to higher education which are not currentl</w:t>
      </w:r>
      <w:r>
        <w:rPr>
          <w:rStyle w:val="normaltextrun"/>
          <w:rFonts w:ascii="Calibri" w:hAnsi="Calibri" w:cs="Calibri"/>
          <w:color w:val="000000" w:themeColor="text1"/>
          <w:lang w:eastAsia="en-GB"/>
        </w:rPr>
        <w:t xml:space="preserve">y met by Australia’s international student programmes. This aspect of the DNUC would be an appropriate call on the proposed levy of income derived from international student fees. </w:t>
      </w:r>
    </w:p>
    <w:p w14:paraId="67A0F283" w14:textId="77777777" w:rsidR="006856A0" w:rsidRDefault="006856A0">
      <w:pPr>
        <w:ind w:left="284" w:hanging="284"/>
        <w:contextualSpacing/>
        <w:rPr>
          <w:rFonts w:hint="eastAsia"/>
          <w:sz w:val="18"/>
          <w:szCs w:val="18"/>
        </w:rPr>
      </w:pPr>
    </w:p>
    <w:p w14:paraId="24848BA5" w14:textId="77777777" w:rsidR="006856A0" w:rsidRDefault="003342E9">
      <w:pPr>
        <w:rPr>
          <w:rFonts w:hint="eastAsia"/>
          <w:sz w:val="18"/>
          <w:szCs w:val="18"/>
        </w:rPr>
      </w:pPr>
      <w:r>
        <w:rPr>
          <w:rStyle w:val="normaltextrun"/>
          <w:rFonts w:ascii="Calibri" w:hAnsi="Calibri" w:cs="Calibri"/>
          <w:b/>
          <w:bCs/>
          <w:color w:val="000000" w:themeColor="text1"/>
          <w:lang w:eastAsia="en-GB"/>
        </w:rPr>
        <w:t xml:space="preserve">Figure taken from: </w:t>
      </w:r>
      <w:r>
        <w:rPr>
          <w:rStyle w:val="normaltextrun"/>
          <w:rFonts w:ascii="Calibri" w:hAnsi="Calibri" w:cs="Calibri"/>
          <w:color w:val="000000" w:themeColor="text1"/>
          <w:lang w:eastAsia="en-GB"/>
        </w:rPr>
        <w:t>The Distributed and Networked University pivots to onli</w:t>
      </w:r>
      <w:r>
        <w:rPr>
          <w:rStyle w:val="normaltextrun"/>
          <w:rFonts w:ascii="Calibri" w:hAnsi="Calibri" w:cs="Calibri"/>
          <w:color w:val="000000" w:themeColor="text1"/>
          <w:lang w:eastAsia="en-GB"/>
        </w:rPr>
        <w:t>ne delivery and is based in physical or virtual hubs that have strong community and industry links. The items above the horizontal line, in the top half of the figure, can address both geographical and socio-economic disadvan</w:t>
      </w:r>
      <w:r>
        <w:rPr>
          <w:noProof/>
        </w:rPr>
        <w:drawing>
          <wp:anchor distT="0" distB="0" distL="0" distR="0" simplePos="0" relativeHeight="2" behindDoc="0" locked="0" layoutInCell="0" allowOverlap="1" wp14:anchorId="5C9A770B" wp14:editId="2CD5C673">
            <wp:simplePos x="0" y="0"/>
            <wp:positionH relativeFrom="column">
              <wp:posOffset>527050</wp:posOffset>
            </wp:positionH>
            <wp:positionV relativeFrom="paragraph">
              <wp:posOffset>869315</wp:posOffset>
            </wp:positionV>
            <wp:extent cx="5066665" cy="340106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tretch>
                      <a:fillRect/>
                    </a:stretch>
                  </pic:blipFill>
                  <pic:spPr bwMode="auto">
                    <a:xfrm>
                      <a:off x="0" y="0"/>
                      <a:ext cx="5066665" cy="3401060"/>
                    </a:xfrm>
                    <a:prstGeom prst="rect">
                      <a:avLst/>
                    </a:prstGeom>
                  </pic:spPr>
                </pic:pic>
              </a:graphicData>
            </a:graphic>
          </wp:anchor>
        </w:drawing>
      </w:r>
      <w:r>
        <w:rPr>
          <w:rStyle w:val="normaltextrun"/>
          <w:rFonts w:ascii="Calibri" w:hAnsi="Calibri" w:cs="Calibri"/>
          <w:color w:val="000000" w:themeColor="text1"/>
          <w:lang w:eastAsia="en-GB"/>
        </w:rPr>
        <w:t xml:space="preserve">tage. </w:t>
      </w:r>
    </w:p>
    <w:p w14:paraId="0BEDFCAE" w14:textId="77777777" w:rsidR="006856A0" w:rsidRDefault="006856A0">
      <w:pPr>
        <w:contextualSpacing/>
        <w:rPr>
          <w:rFonts w:hint="eastAsia"/>
          <w:sz w:val="18"/>
          <w:szCs w:val="18"/>
        </w:rPr>
      </w:pPr>
    </w:p>
    <w:p w14:paraId="44035A7B" w14:textId="77777777" w:rsidR="006856A0" w:rsidRDefault="006856A0">
      <w:pPr>
        <w:contextualSpacing/>
        <w:rPr>
          <w:rFonts w:hint="eastAsia"/>
          <w:sz w:val="18"/>
          <w:szCs w:val="18"/>
        </w:rPr>
      </w:pPr>
    </w:p>
    <w:p w14:paraId="4FB2EE29" w14:textId="77777777" w:rsidR="006856A0" w:rsidRDefault="006856A0">
      <w:pPr>
        <w:contextualSpacing/>
        <w:rPr>
          <w:rFonts w:hint="eastAsia"/>
          <w:sz w:val="18"/>
          <w:szCs w:val="18"/>
        </w:rPr>
      </w:pPr>
    </w:p>
    <w:p w14:paraId="1E676DB1" w14:textId="77777777" w:rsidR="006856A0" w:rsidRDefault="006856A0">
      <w:pPr>
        <w:contextualSpacing/>
        <w:rPr>
          <w:rFonts w:hint="eastAsia"/>
          <w:sz w:val="18"/>
          <w:szCs w:val="18"/>
        </w:rPr>
      </w:pPr>
    </w:p>
    <w:p w14:paraId="00E7EE21" w14:textId="77777777" w:rsidR="006856A0" w:rsidRDefault="006856A0">
      <w:pPr>
        <w:contextualSpacing/>
        <w:rPr>
          <w:rFonts w:hint="eastAsia"/>
          <w:sz w:val="18"/>
          <w:szCs w:val="18"/>
        </w:rPr>
      </w:pPr>
    </w:p>
    <w:p w14:paraId="5CA71EC2" w14:textId="77777777" w:rsidR="006856A0" w:rsidRDefault="006856A0">
      <w:pPr>
        <w:contextualSpacing/>
        <w:rPr>
          <w:rFonts w:hint="eastAsia"/>
          <w:sz w:val="18"/>
          <w:szCs w:val="18"/>
        </w:rPr>
      </w:pPr>
    </w:p>
    <w:p w14:paraId="1253F037" w14:textId="77777777" w:rsidR="006856A0" w:rsidRDefault="006856A0">
      <w:pPr>
        <w:contextualSpacing/>
        <w:rPr>
          <w:rFonts w:hint="eastAsia"/>
          <w:sz w:val="18"/>
          <w:szCs w:val="18"/>
        </w:rPr>
      </w:pPr>
    </w:p>
    <w:p w14:paraId="393336F6" w14:textId="77777777" w:rsidR="006856A0" w:rsidRDefault="006856A0">
      <w:pPr>
        <w:contextualSpacing/>
        <w:rPr>
          <w:rFonts w:hint="eastAsia"/>
          <w:sz w:val="18"/>
          <w:szCs w:val="18"/>
        </w:rPr>
      </w:pPr>
    </w:p>
    <w:p w14:paraId="7CD0520E" w14:textId="77777777" w:rsidR="006856A0" w:rsidRDefault="006856A0">
      <w:pPr>
        <w:contextualSpacing/>
        <w:rPr>
          <w:rFonts w:hint="eastAsia"/>
          <w:sz w:val="18"/>
          <w:szCs w:val="18"/>
        </w:rPr>
      </w:pPr>
    </w:p>
    <w:p w14:paraId="5EE8E95B" w14:textId="77777777" w:rsidR="006856A0" w:rsidRDefault="006856A0">
      <w:pPr>
        <w:contextualSpacing/>
        <w:rPr>
          <w:rFonts w:hint="eastAsia"/>
          <w:sz w:val="18"/>
          <w:szCs w:val="18"/>
        </w:rPr>
      </w:pPr>
    </w:p>
    <w:p w14:paraId="284D3515" w14:textId="77777777" w:rsidR="006856A0" w:rsidRDefault="006856A0">
      <w:pPr>
        <w:contextualSpacing/>
        <w:rPr>
          <w:rFonts w:hint="eastAsia"/>
          <w:sz w:val="18"/>
          <w:szCs w:val="18"/>
        </w:rPr>
      </w:pPr>
    </w:p>
    <w:p w14:paraId="34FA251F" w14:textId="77777777" w:rsidR="006856A0" w:rsidRDefault="006856A0">
      <w:pPr>
        <w:contextualSpacing/>
        <w:rPr>
          <w:rFonts w:hint="eastAsia"/>
          <w:sz w:val="18"/>
          <w:szCs w:val="18"/>
        </w:rPr>
      </w:pPr>
    </w:p>
    <w:p w14:paraId="7B6EDC77" w14:textId="77777777" w:rsidR="006856A0" w:rsidRDefault="006856A0">
      <w:pPr>
        <w:contextualSpacing/>
        <w:rPr>
          <w:rFonts w:hint="eastAsia"/>
          <w:sz w:val="18"/>
          <w:szCs w:val="18"/>
        </w:rPr>
      </w:pPr>
    </w:p>
    <w:p w14:paraId="670CC900" w14:textId="77777777" w:rsidR="006856A0" w:rsidRDefault="006856A0">
      <w:pPr>
        <w:contextualSpacing/>
        <w:rPr>
          <w:rFonts w:hint="eastAsia"/>
          <w:sz w:val="18"/>
          <w:szCs w:val="18"/>
        </w:rPr>
      </w:pPr>
    </w:p>
    <w:p w14:paraId="7087E3EE" w14:textId="77777777" w:rsidR="006856A0" w:rsidRDefault="006856A0">
      <w:pPr>
        <w:contextualSpacing/>
        <w:rPr>
          <w:rFonts w:hint="eastAsia"/>
          <w:sz w:val="18"/>
          <w:szCs w:val="18"/>
        </w:rPr>
      </w:pPr>
    </w:p>
    <w:p w14:paraId="284026FC" w14:textId="77777777" w:rsidR="006856A0" w:rsidRDefault="006856A0">
      <w:pPr>
        <w:contextualSpacing/>
        <w:rPr>
          <w:rFonts w:hint="eastAsia"/>
          <w:sz w:val="18"/>
          <w:szCs w:val="18"/>
        </w:rPr>
      </w:pPr>
    </w:p>
    <w:p w14:paraId="40245F66" w14:textId="77777777" w:rsidR="006856A0" w:rsidRDefault="006856A0">
      <w:pPr>
        <w:contextualSpacing/>
        <w:rPr>
          <w:rFonts w:hint="eastAsia"/>
          <w:sz w:val="18"/>
          <w:szCs w:val="18"/>
        </w:rPr>
      </w:pPr>
    </w:p>
    <w:p w14:paraId="4E6C9B54" w14:textId="77777777" w:rsidR="006856A0" w:rsidRDefault="006856A0">
      <w:pPr>
        <w:contextualSpacing/>
        <w:rPr>
          <w:rFonts w:hint="eastAsia"/>
          <w:sz w:val="18"/>
          <w:szCs w:val="18"/>
        </w:rPr>
      </w:pPr>
    </w:p>
    <w:p w14:paraId="378FC619" w14:textId="77777777" w:rsidR="006856A0" w:rsidRDefault="006856A0">
      <w:pPr>
        <w:contextualSpacing/>
        <w:rPr>
          <w:rFonts w:hint="eastAsia"/>
          <w:sz w:val="18"/>
          <w:szCs w:val="18"/>
        </w:rPr>
      </w:pPr>
    </w:p>
    <w:p w14:paraId="21AF8C18" w14:textId="77777777" w:rsidR="006856A0" w:rsidRDefault="006856A0">
      <w:pPr>
        <w:contextualSpacing/>
        <w:rPr>
          <w:rFonts w:hint="eastAsia"/>
          <w:sz w:val="18"/>
          <w:szCs w:val="18"/>
        </w:rPr>
      </w:pPr>
    </w:p>
    <w:p w14:paraId="669E347B" w14:textId="77777777" w:rsidR="006856A0" w:rsidRDefault="006856A0">
      <w:pPr>
        <w:contextualSpacing/>
        <w:rPr>
          <w:rFonts w:hint="eastAsia"/>
          <w:sz w:val="18"/>
          <w:szCs w:val="18"/>
        </w:rPr>
      </w:pPr>
    </w:p>
    <w:p w14:paraId="5E5042A0" w14:textId="77777777" w:rsidR="006856A0" w:rsidRDefault="003342E9">
      <w:pPr>
        <w:contextualSpacing/>
        <w:rPr>
          <w:rFonts w:hint="eastAsia"/>
          <w:sz w:val="18"/>
          <w:szCs w:val="18"/>
        </w:rPr>
      </w:pPr>
      <w:r>
        <w:rPr>
          <w:rStyle w:val="normaltextrun"/>
          <w:rFonts w:ascii="Calibri" w:hAnsi="Calibri" w:cs="Calibri"/>
          <w:b/>
          <w:bCs/>
          <w:color w:val="000000" w:themeColor="text1"/>
          <w:lang w:eastAsia="en-GB"/>
        </w:rPr>
        <w:t>Missing from the Interim Report: Action on climate change</w:t>
      </w:r>
    </w:p>
    <w:p w14:paraId="4818DC33" w14:textId="77777777" w:rsidR="006856A0" w:rsidRDefault="006856A0">
      <w:pPr>
        <w:ind w:left="284" w:hanging="284"/>
        <w:contextualSpacing/>
        <w:rPr>
          <w:rStyle w:val="normaltextrun"/>
          <w:rFonts w:ascii="Calibri" w:hAnsi="Calibri" w:cs="Calibri"/>
          <w:color w:val="000000" w:themeColor="text1"/>
          <w:lang w:eastAsia="en-GB"/>
        </w:rPr>
      </w:pPr>
    </w:p>
    <w:p w14:paraId="7CC475D4" w14:textId="77777777" w:rsidR="006856A0" w:rsidRDefault="003342E9">
      <w:pPr>
        <w:ind w:left="284" w:hanging="284"/>
        <w:contextualSpacing/>
        <w:rPr>
          <w:rStyle w:val="normaltextrun"/>
          <w:rFonts w:ascii="Calibri" w:hAnsi="Calibri" w:cs="Calibri"/>
          <w:color w:val="000000" w:themeColor="text1"/>
          <w:lang w:eastAsia="en-GB"/>
        </w:rPr>
      </w:pPr>
      <w:r>
        <w:rPr>
          <w:rStyle w:val="normaltextrun"/>
          <w:rFonts w:ascii="Calibri" w:hAnsi="Calibri" w:cs="Calibri"/>
          <w:i/>
          <w:iCs/>
          <w:color w:val="000000" w:themeColor="text1"/>
          <w:lang w:eastAsia="en-GB"/>
        </w:rPr>
        <w:t>Institutional and collaborative governance</w:t>
      </w:r>
      <w:r>
        <w:rPr>
          <w:rStyle w:val="normaltextrun"/>
          <w:rFonts w:ascii="Calibri" w:hAnsi="Calibri" w:cs="Calibri"/>
          <w:color w:val="000000" w:themeColor="text1"/>
          <w:lang w:eastAsia="en-GB"/>
        </w:rPr>
        <w:t>:</w:t>
      </w:r>
    </w:p>
    <w:p w14:paraId="17E93609" w14:textId="77777777" w:rsidR="006856A0" w:rsidRDefault="003342E9">
      <w:pPr>
        <w:numPr>
          <w:ilvl w:val="0"/>
          <w:numId w:val="7"/>
        </w:numPr>
        <w:rPr>
          <w:rStyle w:val="normaltextrun"/>
          <w:rFonts w:ascii="Calibri" w:hAnsi="Calibri" w:cs="Calibri"/>
          <w:color w:val="000000" w:themeColor="text1"/>
          <w:lang w:eastAsia="en-GB"/>
        </w:rPr>
      </w:pPr>
      <w:r>
        <w:rPr>
          <w:rStyle w:val="normaltextrun"/>
          <w:rFonts w:ascii="Calibri" w:hAnsi="Calibri" w:cs="Calibri"/>
          <w:color w:val="000000" w:themeColor="text1"/>
          <w:lang w:eastAsia="en-GB"/>
        </w:rPr>
        <w:t xml:space="preserve">Despite the mention of climate change in the IR, it contains no proposal that university reform should focus on reducing the sector’s carbon footprint. However, the proposed </w:t>
      </w:r>
      <w:proofErr w:type="gramStart"/>
      <w:r>
        <w:rPr>
          <w:rStyle w:val="normaltextrun"/>
          <w:rFonts w:ascii="Calibri" w:hAnsi="Calibri" w:cs="Calibri"/>
          <w:color w:val="000000" w:themeColor="text1"/>
          <w:lang w:eastAsia="en-GB"/>
        </w:rPr>
        <w:t>DNUC  through</w:t>
      </w:r>
      <w:proofErr w:type="gramEnd"/>
      <w:r>
        <w:rPr>
          <w:rStyle w:val="normaltextrun"/>
          <w:rFonts w:ascii="Calibri" w:hAnsi="Calibri" w:cs="Calibri"/>
          <w:color w:val="000000" w:themeColor="text1"/>
          <w:lang w:eastAsia="en-GB"/>
        </w:rPr>
        <w:t xml:space="preserve"> its extensive use of online learning and community and industry faci</w:t>
      </w:r>
      <w:r>
        <w:rPr>
          <w:rStyle w:val="normaltextrun"/>
          <w:rFonts w:ascii="Calibri" w:hAnsi="Calibri" w:cs="Calibri"/>
          <w:color w:val="000000" w:themeColor="text1"/>
          <w:lang w:eastAsia="en-GB"/>
        </w:rPr>
        <w:t xml:space="preserve">lities, would have a lower carbon footprint than that produced by the creation of more physical plant.  </w:t>
      </w:r>
      <w:r>
        <w:rPr>
          <w:rStyle w:val="normaltextrun"/>
          <w:rFonts w:ascii="Calibri" w:hAnsi="Calibri" w:cs="Calibri"/>
          <w:color w:val="000000" w:themeColor="text1"/>
          <w:lang w:eastAsia="en-GB"/>
        </w:rPr>
        <w:t>We further propose that the Final Report should require universities to establish a sector-wide standardised and comprehensive system to measure, public</w:t>
      </w:r>
      <w:r>
        <w:rPr>
          <w:rStyle w:val="normaltextrun"/>
          <w:rFonts w:ascii="Calibri" w:hAnsi="Calibri" w:cs="Calibri"/>
          <w:color w:val="000000" w:themeColor="text1"/>
          <w:lang w:eastAsia="en-GB"/>
        </w:rPr>
        <w:t>ly report and act on greenhouse gas emissions from their activities. (Please see a separate submission on this topic, to which we have contributed.)</w:t>
      </w:r>
    </w:p>
    <w:p w14:paraId="68CAC006" w14:textId="77777777" w:rsidR="006856A0" w:rsidRDefault="006856A0">
      <w:pPr>
        <w:ind w:left="284" w:hanging="284"/>
        <w:contextualSpacing/>
        <w:rPr>
          <w:rFonts w:hint="eastAsia"/>
          <w:sz w:val="18"/>
          <w:szCs w:val="18"/>
        </w:rPr>
      </w:pPr>
    </w:p>
    <w:p w14:paraId="45358E54" w14:textId="77777777" w:rsidR="006856A0" w:rsidRDefault="006856A0">
      <w:pPr>
        <w:ind w:left="284" w:hanging="284"/>
        <w:contextualSpacing/>
        <w:rPr>
          <w:rFonts w:hint="eastAsia"/>
          <w:sz w:val="18"/>
          <w:szCs w:val="18"/>
        </w:rPr>
      </w:pPr>
    </w:p>
    <w:p w14:paraId="32A218CA" w14:textId="77777777" w:rsidR="006856A0" w:rsidRDefault="003342E9">
      <w:pPr>
        <w:ind w:left="284" w:hanging="284"/>
        <w:contextualSpacing/>
        <w:rPr>
          <w:rFonts w:hint="eastAsia"/>
          <w:sz w:val="18"/>
          <w:szCs w:val="18"/>
        </w:rPr>
      </w:pPr>
      <w:r>
        <w:rPr>
          <w:rStyle w:val="normaltextrun"/>
          <w:rFonts w:ascii="Calibri" w:hAnsi="Calibri" w:cs="Calibri"/>
          <w:b/>
          <w:bCs/>
          <w:color w:val="000000" w:themeColor="text1"/>
          <w:lang w:eastAsia="en-GB"/>
        </w:rPr>
        <w:t xml:space="preserve">Note 1: Distributed </w:t>
      </w:r>
      <w:r>
        <w:rPr>
          <w:rStyle w:val="normaltextrun"/>
          <w:rFonts w:ascii="Calibri" w:hAnsi="Calibri" w:cs="Calibri"/>
          <w:b/>
          <w:bCs/>
          <w:i/>
          <w:iCs/>
          <w:color w:val="000000" w:themeColor="text1"/>
          <w:lang w:eastAsia="en-GB"/>
        </w:rPr>
        <w:t>and</w:t>
      </w:r>
      <w:r>
        <w:rPr>
          <w:rStyle w:val="normaltextrun"/>
          <w:rFonts w:ascii="Calibri" w:hAnsi="Calibri" w:cs="Calibri"/>
          <w:color w:val="000000" w:themeColor="text1"/>
          <w:lang w:eastAsia="en-GB"/>
        </w:rPr>
        <w:t xml:space="preserve"> </w:t>
      </w:r>
      <w:r>
        <w:rPr>
          <w:rStyle w:val="normaltextrun"/>
          <w:rFonts w:ascii="Calibri" w:hAnsi="Calibri" w:cs="Calibri"/>
          <w:b/>
          <w:bCs/>
          <w:color w:val="000000" w:themeColor="text1"/>
          <w:lang w:eastAsia="en-GB"/>
        </w:rPr>
        <w:t>Networked</w:t>
      </w:r>
    </w:p>
    <w:p w14:paraId="0F9DC2EB" w14:textId="77777777" w:rsidR="006856A0" w:rsidRDefault="003342E9">
      <w:pPr>
        <w:rPr>
          <w:rFonts w:hint="eastAsia"/>
          <w:sz w:val="18"/>
          <w:szCs w:val="18"/>
        </w:rPr>
      </w:pPr>
      <w:r>
        <w:rPr>
          <w:rStyle w:val="normaltextrun"/>
          <w:rFonts w:ascii="Calibri" w:hAnsi="Calibri" w:cs="Calibri"/>
          <w:color w:val="000000" w:themeColor="text1"/>
          <w:lang w:eastAsia="en-GB"/>
        </w:rPr>
        <w:lastRenderedPageBreak/>
        <w:t>We have included both terms in the title as they have distinct meanings</w:t>
      </w:r>
      <w:r>
        <w:rPr>
          <w:rStyle w:val="normaltextrun"/>
          <w:rFonts w:ascii="Calibri" w:hAnsi="Calibri" w:cs="Calibri"/>
          <w:color w:val="000000" w:themeColor="text1"/>
          <w:lang w:eastAsia="en-GB"/>
        </w:rPr>
        <w:t xml:space="preserve"> although they have features in common and are each appropriate for the digital age. </w:t>
      </w:r>
    </w:p>
    <w:p w14:paraId="324B7A6D" w14:textId="77777777" w:rsidR="006856A0" w:rsidRDefault="006856A0">
      <w:pPr>
        <w:rPr>
          <w:rFonts w:hint="eastAsia"/>
          <w:sz w:val="18"/>
          <w:szCs w:val="18"/>
        </w:rPr>
      </w:pPr>
    </w:p>
    <w:p w14:paraId="14A48543" w14:textId="77777777" w:rsidR="006856A0" w:rsidRDefault="003342E9">
      <w:pPr>
        <w:rPr>
          <w:rFonts w:hint="eastAsia"/>
          <w:sz w:val="18"/>
          <w:szCs w:val="18"/>
        </w:rPr>
      </w:pPr>
      <w:r>
        <w:rPr>
          <w:rStyle w:val="normaltextrun"/>
          <w:rFonts w:ascii="Calibri" w:hAnsi="Calibri" w:cs="Calibri"/>
          <w:color w:val="000000" w:themeColor="text1"/>
          <w:lang w:eastAsia="en-GB"/>
        </w:rPr>
        <w:t>Distributed education offers education where it is needed, over time and place to reduce local and global inequalities in access. It has been defined to occur “...when t</w:t>
      </w:r>
      <w:r>
        <w:rPr>
          <w:rStyle w:val="normaltextrun"/>
          <w:rFonts w:ascii="Calibri" w:hAnsi="Calibri" w:cs="Calibri"/>
          <w:color w:val="000000" w:themeColor="text1"/>
          <w:lang w:eastAsia="en-GB"/>
        </w:rPr>
        <w:t>he teacher and student are situated in separate locations and learning occurs through the use of technologies (such as video and internet), which may be part of a wholly distance education programme or supplementary to traditional instruction.</w:t>
      </w:r>
      <w:r>
        <w:rPr>
          <w:rStyle w:val="FootnoteAnchor"/>
          <w:rFonts w:ascii="Calibri" w:hAnsi="Calibri" w:cs="Calibri"/>
          <w:color w:val="000000" w:themeColor="text1"/>
          <w:lang w:eastAsia="en-GB"/>
        </w:rPr>
        <w:footnoteReference w:id="2"/>
      </w:r>
      <w:r>
        <w:rPr>
          <w:rStyle w:val="normaltextrun"/>
          <w:rFonts w:ascii="Calibri" w:hAnsi="Calibri" w:cs="Calibri"/>
          <w:color w:val="000000" w:themeColor="text1"/>
          <w:lang w:eastAsia="en-GB"/>
        </w:rPr>
        <w:t xml:space="preserve">”  </w:t>
      </w:r>
    </w:p>
    <w:p w14:paraId="069910C4" w14:textId="77777777" w:rsidR="006856A0" w:rsidRDefault="006856A0">
      <w:pPr>
        <w:ind w:left="284" w:hanging="284"/>
        <w:contextualSpacing/>
        <w:rPr>
          <w:rFonts w:hint="eastAsia"/>
          <w:sz w:val="18"/>
          <w:szCs w:val="18"/>
        </w:rPr>
      </w:pPr>
    </w:p>
    <w:p w14:paraId="3924F63C" w14:textId="77777777" w:rsidR="006856A0" w:rsidRDefault="003342E9">
      <w:pPr>
        <w:rPr>
          <w:rFonts w:hint="eastAsia"/>
          <w:sz w:val="18"/>
          <w:szCs w:val="18"/>
        </w:rPr>
      </w:pPr>
      <w:r>
        <w:rPr>
          <w:rStyle w:val="normaltextrun"/>
          <w:rFonts w:ascii="Calibri" w:hAnsi="Calibri" w:cs="Calibri"/>
          <w:color w:val="000000" w:themeColor="text1"/>
          <w:lang w:eastAsia="en-GB"/>
        </w:rPr>
        <w:t>Networ</w:t>
      </w:r>
      <w:r>
        <w:rPr>
          <w:rStyle w:val="normaltextrun"/>
          <w:rFonts w:ascii="Calibri" w:hAnsi="Calibri" w:cs="Calibri"/>
          <w:color w:val="000000" w:themeColor="text1"/>
          <w:lang w:eastAsia="en-GB"/>
        </w:rPr>
        <w:t>king requires collaboration between institutions, as in this definition of networked learning: “Networked learning involves processes of collaborative, co-operative and collective inquiry, knowledge-</w:t>
      </w:r>
      <w:proofErr w:type="gramStart"/>
      <w:r>
        <w:rPr>
          <w:rStyle w:val="normaltextrun"/>
          <w:rFonts w:ascii="Calibri" w:hAnsi="Calibri" w:cs="Calibri"/>
          <w:color w:val="000000" w:themeColor="text1"/>
          <w:lang w:eastAsia="en-GB"/>
        </w:rPr>
        <w:t>creation</w:t>
      </w:r>
      <w:proofErr w:type="gramEnd"/>
      <w:r>
        <w:rPr>
          <w:rStyle w:val="normaltextrun"/>
          <w:rFonts w:ascii="Calibri" w:hAnsi="Calibri" w:cs="Calibri"/>
          <w:color w:val="000000" w:themeColor="text1"/>
          <w:lang w:eastAsia="en-GB"/>
        </w:rPr>
        <w:t xml:space="preserve"> and knowledgeable action, underpinned by trustin</w:t>
      </w:r>
      <w:r>
        <w:rPr>
          <w:rStyle w:val="normaltextrun"/>
          <w:rFonts w:ascii="Calibri" w:hAnsi="Calibri" w:cs="Calibri"/>
          <w:color w:val="000000" w:themeColor="text1"/>
          <w:lang w:eastAsia="en-GB"/>
        </w:rPr>
        <w:t xml:space="preserve">g relationships, motivated by a sense of shared challenge and enabled by convivial technologies. Networked learning promotes connections: between people, between sites of learning and action, between ideas, </w:t>
      </w:r>
      <w:proofErr w:type="gramStart"/>
      <w:r>
        <w:rPr>
          <w:rStyle w:val="normaltextrun"/>
          <w:rFonts w:ascii="Calibri" w:hAnsi="Calibri" w:cs="Calibri"/>
          <w:color w:val="000000" w:themeColor="text1"/>
          <w:lang w:eastAsia="en-GB"/>
        </w:rPr>
        <w:t>resources</w:t>
      </w:r>
      <w:proofErr w:type="gramEnd"/>
      <w:r>
        <w:rPr>
          <w:rStyle w:val="normaltextrun"/>
          <w:rFonts w:ascii="Calibri" w:hAnsi="Calibri" w:cs="Calibri"/>
          <w:color w:val="000000" w:themeColor="text1"/>
          <w:lang w:eastAsia="en-GB"/>
        </w:rPr>
        <w:t xml:space="preserve"> and solutions, across time, space and m</w:t>
      </w:r>
      <w:r>
        <w:rPr>
          <w:rStyle w:val="normaltextrun"/>
          <w:rFonts w:ascii="Calibri" w:hAnsi="Calibri" w:cs="Calibri"/>
          <w:color w:val="000000" w:themeColor="text1"/>
          <w:lang w:eastAsia="en-GB"/>
        </w:rPr>
        <w:t>edia.</w:t>
      </w:r>
      <w:r>
        <w:rPr>
          <w:rStyle w:val="FootnoteAnchor"/>
          <w:rFonts w:ascii="Calibri" w:hAnsi="Calibri" w:cs="Calibri"/>
          <w:color w:val="000000" w:themeColor="text1"/>
          <w:lang w:eastAsia="en-GB"/>
        </w:rPr>
        <w:footnoteReference w:id="3"/>
      </w:r>
      <w:r>
        <w:rPr>
          <w:rStyle w:val="normaltextrun"/>
          <w:rFonts w:ascii="Calibri" w:hAnsi="Calibri" w:cs="Calibri"/>
          <w:color w:val="000000" w:themeColor="text1"/>
          <w:lang w:eastAsia="en-GB"/>
        </w:rPr>
        <w:t>”</w:t>
      </w:r>
    </w:p>
    <w:p w14:paraId="5A073D21" w14:textId="77777777" w:rsidR="006856A0" w:rsidRDefault="006856A0">
      <w:pPr>
        <w:contextualSpacing/>
        <w:rPr>
          <w:rFonts w:hint="eastAsia"/>
          <w:sz w:val="18"/>
          <w:szCs w:val="18"/>
        </w:rPr>
      </w:pPr>
    </w:p>
    <w:p w14:paraId="62C0F2F4" w14:textId="77777777" w:rsidR="006856A0" w:rsidRDefault="003342E9">
      <w:pPr>
        <w:contextualSpacing/>
        <w:rPr>
          <w:rFonts w:hint="eastAsia"/>
          <w:sz w:val="18"/>
          <w:szCs w:val="18"/>
        </w:rPr>
      </w:pPr>
      <w:r>
        <w:rPr>
          <w:rFonts w:ascii="Calibri" w:hAnsi="Calibri"/>
          <w:b/>
          <w:bCs/>
        </w:rPr>
        <w:t xml:space="preserve">Note 2: Online or </w:t>
      </w:r>
      <w:proofErr w:type="gramStart"/>
      <w:r>
        <w:rPr>
          <w:rFonts w:ascii="Calibri" w:hAnsi="Calibri"/>
          <w:b/>
          <w:bCs/>
        </w:rPr>
        <w:t>face-to-face</w:t>
      </w:r>
      <w:proofErr w:type="gramEnd"/>
      <w:r>
        <w:rPr>
          <w:rFonts w:ascii="Calibri" w:hAnsi="Calibri"/>
        </w:rPr>
        <w:t xml:space="preserve"> </w:t>
      </w:r>
    </w:p>
    <w:p w14:paraId="1F355DEC" w14:textId="77777777" w:rsidR="006856A0" w:rsidRDefault="003342E9">
      <w:pPr>
        <w:contextualSpacing/>
        <w:rPr>
          <w:rFonts w:hint="eastAsia"/>
          <w:sz w:val="18"/>
          <w:szCs w:val="18"/>
        </w:rPr>
      </w:pPr>
      <w:r>
        <w:rPr>
          <w:rStyle w:val="normaltextrun"/>
          <w:rFonts w:ascii="Calibri" w:hAnsi="Calibri" w:cs="Calibri"/>
          <w:color w:val="000000" w:themeColor="text1"/>
          <w:lang w:eastAsia="en-GB"/>
        </w:rPr>
        <w:t>There is a large literature which concludes that online does not result in worse educational outcomes than face-to-face learning. Despite this, students are reported to be keen to return to their traditional campus</w:t>
      </w:r>
      <w:r>
        <w:rPr>
          <w:rStyle w:val="normaltextrun"/>
          <w:rFonts w:ascii="Calibri" w:hAnsi="Calibri" w:cs="Calibri"/>
          <w:color w:val="000000" w:themeColor="text1"/>
          <w:lang w:eastAsia="en-GB"/>
        </w:rPr>
        <w:t>es after experiencing online education during the COVID-19 epidemic</w:t>
      </w:r>
      <w:r>
        <w:rPr>
          <w:rStyle w:val="FootnoteAnchor"/>
          <w:rFonts w:ascii="Calibri" w:hAnsi="Calibri" w:cs="Calibri"/>
          <w:color w:val="000000" w:themeColor="text1"/>
          <w:lang w:eastAsia="en-GB"/>
        </w:rPr>
        <w:footnoteReference w:id="4"/>
      </w:r>
      <w:r>
        <w:rPr>
          <w:rStyle w:val="normaltextrun"/>
          <w:rFonts w:ascii="Calibri" w:hAnsi="Calibri" w:cs="Calibri"/>
          <w:color w:val="000000" w:themeColor="text1"/>
          <w:lang w:eastAsia="en-GB"/>
        </w:rPr>
        <w:t>. Reported reasons include a desire to resume in-person learning and socialisation. Countering this are the pictures of empty lecture theatres that populate social media, the context of u</w:t>
      </w:r>
      <w:r>
        <w:rPr>
          <w:rStyle w:val="normaltextrun"/>
          <w:rFonts w:ascii="Calibri" w:hAnsi="Calibri" w:cs="Calibri"/>
          <w:color w:val="000000" w:themeColor="text1"/>
          <w:lang w:eastAsia="en-GB"/>
        </w:rPr>
        <w:t xml:space="preserve">rgent transit to the online mode at the start of the epidemic which limited the adoption of best practice methods, and the availability of modern communication and collaboration technology to facilitate socialisation. Given the other benefits as presented </w:t>
      </w:r>
      <w:r>
        <w:rPr>
          <w:rStyle w:val="normaltextrun"/>
          <w:rFonts w:ascii="Calibri" w:hAnsi="Calibri" w:cs="Calibri"/>
          <w:color w:val="000000" w:themeColor="text1"/>
          <w:lang w:eastAsia="en-GB"/>
        </w:rPr>
        <w:t xml:space="preserve">here, we suggest that a pivot to online learning should be pursued. </w:t>
      </w:r>
    </w:p>
    <w:p w14:paraId="5D60F40F" w14:textId="77777777" w:rsidR="006856A0" w:rsidRDefault="006856A0">
      <w:pPr>
        <w:contextualSpacing/>
        <w:rPr>
          <w:rFonts w:hint="eastAsia"/>
          <w:sz w:val="18"/>
          <w:szCs w:val="18"/>
        </w:rPr>
      </w:pPr>
    </w:p>
    <w:p w14:paraId="6B7FCEAB" w14:textId="77777777" w:rsidR="006856A0" w:rsidRDefault="003342E9">
      <w:pPr>
        <w:ind w:left="284" w:hanging="284"/>
        <w:contextualSpacing/>
        <w:rPr>
          <w:rFonts w:hint="eastAsia"/>
          <w:sz w:val="18"/>
          <w:szCs w:val="18"/>
        </w:rPr>
      </w:pPr>
      <w:r>
        <w:rPr>
          <w:rStyle w:val="normaltextrun"/>
          <w:rFonts w:ascii="Calibri" w:hAnsi="Calibri" w:cs="Calibri"/>
          <w:b/>
          <w:bCs/>
          <w:color w:val="000000" w:themeColor="text1"/>
          <w:lang w:eastAsia="en-GB"/>
        </w:rPr>
        <w:t>In conclusion</w:t>
      </w:r>
    </w:p>
    <w:p w14:paraId="2128738E" w14:textId="77777777" w:rsidR="006856A0" w:rsidRDefault="003342E9">
      <w:pPr>
        <w:rPr>
          <w:rFonts w:hint="eastAsia"/>
          <w:sz w:val="18"/>
          <w:szCs w:val="18"/>
        </w:rPr>
      </w:pPr>
      <w:r>
        <w:rPr>
          <w:rStyle w:val="normaltextrun"/>
          <w:rFonts w:ascii="Calibri" w:hAnsi="Calibri" w:cs="Calibri"/>
          <w:color w:val="000000" w:themeColor="text1"/>
          <w:lang w:eastAsia="en-GB"/>
        </w:rPr>
        <w:t xml:space="preserve">We find many of the proposals in the IR to which we refer to be exciting and innovative and agree that they could lead to important reform of the sector. Our </w:t>
      </w:r>
      <w:r>
        <w:rPr>
          <w:rStyle w:val="normaltextrun"/>
          <w:rFonts w:ascii="Calibri" w:hAnsi="Calibri" w:cs="Calibri"/>
          <w:color w:val="000000" w:themeColor="text1"/>
          <w:lang w:eastAsia="en-GB"/>
        </w:rPr>
        <w:t>overarching proposal for the establishment of the Distributed and Networked University Collaboration (DNUC) would support many of these proposals and provide a framework to put them into practice. We would be very happy to provide more detail and discuss f</w:t>
      </w:r>
      <w:r>
        <w:rPr>
          <w:rStyle w:val="normaltextrun"/>
          <w:rFonts w:ascii="Calibri" w:hAnsi="Calibri" w:cs="Calibri"/>
          <w:color w:val="000000" w:themeColor="text1"/>
          <w:lang w:eastAsia="en-GB"/>
        </w:rPr>
        <w:t>urther.</w:t>
      </w:r>
    </w:p>
    <w:p w14:paraId="27E5C4C3" w14:textId="77777777" w:rsidR="006856A0" w:rsidRDefault="006856A0">
      <w:pPr>
        <w:contextualSpacing/>
        <w:rPr>
          <w:rFonts w:hint="eastAsia"/>
          <w:i/>
          <w:iCs/>
        </w:rPr>
      </w:pPr>
    </w:p>
    <w:p w14:paraId="34BA2CD4" w14:textId="77777777" w:rsidR="006856A0" w:rsidRDefault="003342E9">
      <w:pPr>
        <w:contextualSpacing/>
        <w:rPr>
          <w:rFonts w:hint="eastAsia"/>
          <w:i/>
          <w:iCs/>
        </w:rPr>
      </w:pPr>
      <w:r>
        <w:rPr>
          <w:rStyle w:val="normaltextrun"/>
          <w:rFonts w:ascii="Calibri" w:hAnsi="Calibri" w:cs="Calibri"/>
          <w:b/>
          <w:bCs/>
          <w:color w:val="000000" w:themeColor="text1"/>
          <w:lang w:eastAsia="en-GB"/>
        </w:rPr>
        <w:t>This submission is from</w:t>
      </w:r>
      <w:r>
        <w:rPr>
          <w:rStyle w:val="normaltextrun"/>
          <w:rFonts w:ascii="Calibri" w:hAnsi="Calibri" w:cs="Calibri"/>
          <w:color w:val="000000" w:themeColor="text1"/>
          <w:lang w:eastAsia="en-GB"/>
        </w:rPr>
        <w:t xml:space="preserve">: </w:t>
      </w:r>
      <w:r>
        <w:rPr>
          <w:rStyle w:val="normaltextrun"/>
          <w:rFonts w:ascii="Calibri" w:hAnsi="Calibri" w:cs="Calibri"/>
          <w:color w:val="000000"/>
          <w:lang w:eastAsia="en-GB"/>
        </w:rPr>
        <w:t xml:space="preserve">Richard Heller, Emeritus Professor of Medicine, University of Newcastle, NSW and of Public Health, University of Manchester, UK, and Stephen Leeder AO, </w:t>
      </w:r>
      <w:bookmarkStart w:id="12" w:name="m_3107259640947762130__Hlk98319182"/>
      <w:bookmarkEnd w:id="12"/>
      <w:r>
        <w:rPr>
          <w:rStyle w:val="normaltextrun"/>
          <w:rFonts w:ascii="Calibri" w:hAnsi="Calibri" w:cs="Calibri"/>
          <w:color w:val="000000"/>
          <w:lang w:eastAsia="en-GB"/>
        </w:rPr>
        <w:t>Emeritus Professor of Public Health and Community Medicine, University</w:t>
      </w:r>
      <w:r>
        <w:rPr>
          <w:rStyle w:val="normaltextrun"/>
          <w:rFonts w:ascii="Calibri" w:hAnsi="Calibri" w:cs="Calibri"/>
          <w:color w:val="000000"/>
          <w:lang w:eastAsia="en-GB"/>
        </w:rPr>
        <w:t xml:space="preserve"> of Sydney. </w:t>
      </w:r>
    </w:p>
    <w:p w14:paraId="65569F80" w14:textId="77777777" w:rsidR="006856A0" w:rsidRDefault="006856A0">
      <w:pPr>
        <w:contextualSpacing/>
        <w:rPr>
          <w:rFonts w:hint="eastAsia"/>
          <w:i/>
          <w:iCs/>
        </w:rPr>
      </w:pPr>
    </w:p>
    <w:p w14:paraId="4731CD36" w14:textId="77777777" w:rsidR="006856A0" w:rsidRDefault="006856A0">
      <w:pPr>
        <w:contextualSpacing/>
        <w:rPr>
          <w:rFonts w:hint="eastAsia"/>
          <w:i/>
          <w:iCs/>
        </w:rPr>
      </w:pPr>
    </w:p>
    <w:sectPr w:rsidR="006856A0">
      <w:pgSz w:w="11906" w:h="16838"/>
      <w:pgMar w:top="1134" w:right="1134" w:bottom="1134" w:left="1134"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D979E" w14:textId="77777777" w:rsidR="00000000" w:rsidRDefault="003342E9">
      <w:pPr>
        <w:rPr>
          <w:rFonts w:hint="eastAsia"/>
        </w:rPr>
      </w:pPr>
      <w:r>
        <w:separator/>
      </w:r>
    </w:p>
  </w:endnote>
  <w:endnote w:type="continuationSeparator" w:id="0">
    <w:p w14:paraId="1F9E3E0B" w14:textId="77777777" w:rsidR="00000000" w:rsidRDefault="003342E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Liberation Serif">
    <w:altName w:val="Times New Roman"/>
    <w:charset w:val="00"/>
    <w:family w:val="swiss"/>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B015F" w14:textId="77777777" w:rsidR="006856A0" w:rsidRDefault="003342E9">
      <w:pPr>
        <w:rPr>
          <w:rFonts w:hint="eastAsia"/>
          <w:sz w:val="12"/>
        </w:rPr>
      </w:pPr>
      <w:r>
        <w:separator/>
      </w:r>
    </w:p>
  </w:footnote>
  <w:footnote w:type="continuationSeparator" w:id="0">
    <w:p w14:paraId="35E7A136" w14:textId="77777777" w:rsidR="006856A0" w:rsidRDefault="003342E9">
      <w:pPr>
        <w:rPr>
          <w:rFonts w:hint="eastAsia"/>
          <w:sz w:val="12"/>
        </w:rPr>
      </w:pPr>
      <w:r>
        <w:continuationSeparator/>
      </w:r>
    </w:p>
  </w:footnote>
  <w:footnote w:id="1">
    <w:p w14:paraId="45CCF290" w14:textId="77777777" w:rsidR="006856A0" w:rsidRDefault="003342E9">
      <w:pPr>
        <w:pStyle w:val="FootnoteText"/>
        <w:rPr>
          <w:rFonts w:hint="eastAsia"/>
        </w:rPr>
      </w:pPr>
      <w:r>
        <w:rPr>
          <w:rStyle w:val="FootnoteCharacters"/>
        </w:rPr>
        <w:footnoteRef/>
      </w:r>
      <w:r>
        <w:tab/>
        <w:t xml:space="preserve">How Australian universities could stop inequality and save the planet in one easy move. </w:t>
      </w:r>
      <w:hyperlink r:id="rId1">
        <w:r>
          <w:rPr>
            <w:rStyle w:val="Hyperlink"/>
          </w:rPr>
          <w:t>https://www.aare.edu.au/blog/?p=14344</w:t>
        </w:r>
      </w:hyperlink>
      <w:r>
        <w:t xml:space="preserve"> </w:t>
      </w:r>
    </w:p>
    <w:p w14:paraId="62825275" w14:textId="77777777" w:rsidR="006856A0" w:rsidRDefault="006856A0">
      <w:pPr>
        <w:pStyle w:val="FootnoteText"/>
        <w:rPr>
          <w:rFonts w:hint="eastAsia"/>
        </w:rPr>
      </w:pPr>
    </w:p>
  </w:footnote>
  <w:footnote w:id="2">
    <w:p w14:paraId="3CA22BAB" w14:textId="77777777" w:rsidR="006856A0" w:rsidRDefault="003342E9">
      <w:pPr>
        <w:pStyle w:val="FootnoteText"/>
        <w:rPr>
          <w:rFonts w:hint="eastAsia"/>
        </w:rPr>
      </w:pPr>
      <w:r>
        <w:rPr>
          <w:rStyle w:val="FootnoteCharacters"/>
        </w:rPr>
        <w:footnoteRef/>
      </w:r>
      <w:r>
        <w:tab/>
        <w:t xml:space="preserve">Distributed learning. </w:t>
      </w:r>
      <w:hyperlink r:id="rId2">
        <w:r>
          <w:rPr>
            <w:rStyle w:val="Hyperlink"/>
          </w:rPr>
          <w:t>https://www.qualityresearchinternational.com/glossary/distributededucation.htm</w:t>
        </w:r>
      </w:hyperlink>
      <w:r>
        <w:t xml:space="preserve"> </w:t>
      </w:r>
    </w:p>
  </w:footnote>
  <w:footnote w:id="3">
    <w:p w14:paraId="34721ECE" w14:textId="77777777" w:rsidR="006856A0" w:rsidRDefault="003342E9">
      <w:pPr>
        <w:contextualSpacing/>
        <w:rPr>
          <w:rFonts w:hint="eastAsia"/>
          <w:i/>
          <w:iCs/>
        </w:rPr>
      </w:pPr>
      <w:r>
        <w:rPr>
          <w:rStyle w:val="FootnoteCharacters"/>
        </w:rPr>
        <w:footnoteRef/>
      </w:r>
      <w:r>
        <w:rPr>
          <w:rStyle w:val="normaltextrun"/>
          <w:rFonts w:cs="Calibri"/>
          <w:color w:val="000000"/>
          <w:sz w:val="20"/>
          <w:szCs w:val="20"/>
          <w:lang w:eastAsia="en-GB"/>
        </w:rPr>
        <w:t xml:space="preserve">     Networked Learning: Inviting Redefinition. </w:t>
      </w:r>
      <w:hyperlink r:id="rId3">
        <w:r>
          <w:rPr>
            <w:rStyle w:val="Hyperlink"/>
            <w:rFonts w:cs="Calibri"/>
            <w:sz w:val="20"/>
            <w:szCs w:val="20"/>
          </w:rPr>
          <w:t>https://link.springer.com/article/10.1007/s42438-020-00167-8</w:t>
        </w:r>
      </w:hyperlink>
      <w:r>
        <w:rPr>
          <w:rStyle w:val="Hyperlink"/>
          <w:rFonts w:cs="Calibri"/>
          <w:sz w:val="20"/>
          <w:szCs w:val="20"/>
        </w:rPr>
        <w:t xml:space="preserve"> </w:t>
      </w:r>
    </w:p>
  </w:footnote>
  <w:footnote w:id="4">
    <w:p w14:paraId="19149CF4" w14:textId="77777777" w:rsidR="006856A0" w:rsidRDefault="003342E9">
      <w:pPr>
        <w:pStyle w:val="FootnoteText"/>
        <w:rPr>
          <w:rFonts w:hint="eastAsia"/>
          <w:i/>
          <w:iCs/>
        </w:rPr>
      </w:pPr>
      <w:r>
        <w:rPr>
          <w:rStyle w:val="FootnoteCharacters"/>
        </w:rPr>
        <w:footnoteRef/>
      </w:r>
      <w:r>
        <w:rPr>
          <w:rStyle w:val="StrongEmphasis"/>
          <w:rFonts w:ascii="Calibri" w:hAnsi="Calibri" w:cs="Calibri"/>
          <w:b w:val="0"/>
          <w:bCs w:val="0"/>
          <w:color w:val="000000"/>
          <w:lang w:eastAsia="en-GB"/>
        </w:rPr>
        <w:tab/>
        <w:t xml:space="preserve"> Students returning to campus want the ‘university experience’ missed during COVID-19. </w:t>
      </w:r>
      <w:hyperlink r:id="rId4">
        <w:r>
          <w:rPr>
            <w:rStyle w:val="Hyperlink"/>
            <w:rFonts w:ascii="Calibri" w:hAnsi="Calibri" w:cs="Calibri"/>
            <w:color w:val="000000"/>
            <w:lang w:eastAsia="en-GB"/>
          </w:rPr>
          <w:t>https://theconversation.com</w:t>
        </w:r>
        <w:r>
          <w:rPr>
            <w:rStyle w:val="Hyperlink"/>
            <w:rFonts w:ascii="Calibri" w:hAnsi="Calibri" w:cs="Calibri"/>
            <w:color w:val="000000"/>
            <w:lang w:eastAsia="en-GB"/>
          </w:rPr>
          <w:t>/students-returning-to-campus-want-the-university-experience-missed-during-covid-19-186507</w:t>
        </w:r>
      </w:hyperlink>
      <w:r>
        <w:rPr>
          <w:rStyle w:val="StrongEmphasis"/>
          <w:rFonts w:ascii="Calibri" w:hAnsi="Calibri" w:cs="Calibri"/>
          <w:b w:val="0"/>
          <w:bCs w:val="0"/>
          <w:color w:val="000000"/>
          <w:lang w:eastAsia="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7F53"/>
    <w:multiLevelType w:val="multilevel"/>
    <w:tmpl w:val="BD7236D8"/>
    <w:lvl w:ilvl="0">
      <w:start w:val="1"/>
      <w:numFmt w:val="bullet"/>
      <w:lvlText w:val=""/>
      <w:lvlJc w:val="left"/>
      <w:pPr>
        <w:tabs>
          <w:tab w:val="num" w:pos="1429"/>
        </w:tabs>
        <w:ind w:left="1429" w:hanging="360"/>
      </w:pPr>
      <w:rPr>
        <w:rFonts w:ascii="Symbol" w:hAnsi="Symbol" w:cs="Symbol" w:hint="default"/>
      </w:rPr>
    </w:lvl>
    <w:lvl w:ilvl="1">
      <w:start w:val="1"/>
      <w:numFmt w:val="bullet"/>
      <w:lvlText w:val="◦"/>
      <w:lvlJc w:val="left"/>
      <w:pPr>
        <w:tabs>
          <w:tab w:val="num" w:pos="1789"/>
        </w:tabs>
        <w:ind w:left="1789" w:hanging="360"/>
      </w:pPr>
      <w:rPr>
        <w:rFonts w:ascii="OpenSymbol" w:hAnsi="OpenSymbol" w:cs="OpenSymbol" w:hint="default"/>
      </w:rPr>
    </w:lvl>
    <w:lvl w:ilvl="2">
      <w:start w:val="1"/>
      <w:numFmt w:val="bullet"/>
      <w:lvlText w:val="▪"/>
      <w:lvlJc w:val="left"/>
      <w:pPr>
        <w:tabs>
          <w:tab w:val="num" w:pos="2149"/>
        </w:tabs>
        <w:ind w:left="2149" w:hanging="360"/>
      </w:pPr>
      <w:rPr>
        <w:rFonts w:ascii="OpenSymbol" w:hAnsi="OpenSymbol" w:cs="OpenSymbol" w:hint="default"/>
      </w:rPr>
    </w:lvl>
    <w:lvl w:ilvl="3">
      <w:start w:val="1"/>
      <w:numFmt w:val="bullet"/>
      <w:lvlText w:val=""/>
      <w:lvlJc w:val="left"/>
      <w:pPr>
        <w:tabs>
          <w:tab w:val="num" w:pos="2509"/>
        </w:tabs>
        <w:ind w:left="2509" w:hanging="360"/>
      </w:pPr>
      <w:rPr>
        <w:rFonts w:ascii="Symbol" w:hAnsi="Symbol" w:cs="Symbol" w:hint="default"/>
      </w:rPr>
    </w:lvl>
    <w:lvl w:ilvl="4">
      <w:start w:val="1"/>
      <w:numFmt w:val="bullet"/>
      <w:lvlText w:val="◦"/>
      <w:lvlJc w:val="left"/>
      <w:pPr>
        <w:tabs>
          <w:tab w:val="num" w:pos="2869"/>
        </w:tabs>
        <w:ind w:left="2869" w:hanging="360"/>
      </w:pPr>
      <w:rPr>
        <w:rFonts w:ascii="OpenSymbol" w:hAnsi="OpenSymbol" w:cs="OpenSymbol" w:hint="default"/>
      </w:rPr>
    </w:lvl>
    <w:lvl w:ilvl="5">
      <w:start w:val="1"/>
      <w:numFmt w:val="bullet"/>
      <w:lvlText w:val="▪"/>
      <w:lvlJc w:val="left"/>
      <w:pPr>
        <w:tabs>
          <w:tab w:val="num" w:pos="3229"/>
        </w:tabs>
        <w:ind w:left="3229" w:hanging="360"/>
      </w:pPr>
      <w:rPr>
        <w:rFonts w:ascii="OpenSymbol" w:hAnsi="OpenSymbol" w:cs="OpenSymbol" w:hint="default"/>
      </w:rPr>
    </w:lvl>
    <w:lvl w:ilvl="6">
      <w:start w:val="1"/>
      <w:numFmt w:val="bullet"/>
      <w:lvlText w:val=""/>
      <w:lvlJc w:val="left"/>
      <w:pPr>
        <w:tabs>
          <w:tab w:val="num" w:pos="3589"/>
        </w:tabs>
        <w:ind w:left="3589" w:hanging="360"/>
      </w:pPr>
      <w:rPr>
        <w:rFonts w:ascii="Symbol" w:hAnsi="Symbol" w:cs="Symbol" w:hint="default"/>
      </w:rPr>
    </w:lvl>
    <w:lvl w:ilvl="7">
      <w:start w:val="1"/>
      <w:numFmt w:val="bullet"/>
      <w:lvlText w:val="◦"/>
      <w:lvlJc w:val="left"/>
      <w:pPr>
        <w:tabs>
          <w:tab w:val="num" w:pos="3949"/>
        </w:tabs>
        <w:ind w:left="3949" w:hanging="360"/>
      </w:pPr>
      <w:rPr>
        <w:rFonts w:ascii="OpenSymbol" w:hAnsi="OpenSymbol" w:cs="OpenSymbol" w:hint="default"/>
      </w:rPr>
    </w:lvl>
    <w:lvl w:ilvl="8">
      <w:start w:val="1"/>
      <w:numFmt w:val="bullet"/>
      <w:lvlText w:val="▪"/>
      <w:lvlJc w:val="left"/>
      <w:pPr>
        <w:tabs>
          <w:tab w:val="num" w:pos="4309"/>
        </w:tabs>
        <w:ind w:left="4309" w:hanging="360"/>
      </w:pPr>
      <w:rPr>
        <w:rFonts w:ascii="OpenSymbol" w:hAnsi="OpenSymbol" w:cs="OpenSymbol" w:hint="default"/>
      </w:rPr>
    </w:lvl>
  </w:abstractNum>
  <w:abstractNum w:abstractNumId="1" w15:restartNumberingAfterBreak="0">
    <w:nsid w:val="0FE16068"/>
    <w:multiLevelType w:val="multilevel"/>
    <w:tmpl w:val="A5867298"/>
    <w:lvl w:ilvl="0">
      <w:start w:val="1"/>
      <w:numFmt w:val="decimal"/>
      <w:pStyle w:val="ListNumber"/>
      <w:lvlText w:val="%1."/>
      <w:lvlJc w:val="left"/>
      <w:pPr>
        <w:tabs>
          <w:tab w:val="num" w:pos="0"/>
        </w:tabs>
        <w:ind w:left="397" w:hanging="397"/>
      </w:pPr>
    </w:lvl>
    <w:lvl w:ilvl="1">
      <w:start w:val="1"/>
      <w:numFmt w:val="decimal"/>
      <w:lvlText w:val="%1.%2"/>
      <w:lvlJc w:val="left"/>
      <w:pPr>
        <w:tabs>
          <w:tab w:val="num" w:pos="0"/>
        </w:tabs>
        <w:ind w:left="964" w:hanging="567"/>
      </w:pPr>
    </w:lvl>
    <w:lvl w:ilvl="2">
      <w:start w:val="1"/>
      <w:numFmt w:val="decimal"/>
      <w:lvlText w:val="%1.%2.%3."/>
      <w:lvlJc w:val="left"/>
      <w:pPr>
        <w:tabs>
          <w:tab w:val="num" w:pos="0"/>
        </w:tabs>
        <w:ind w:left="1814" w:hanging="850"/>
      </w:pPr>
    </w:lvl>
    <w:lvl w:ilvl="3">
      <w:start w:val="1"/>
      <w:numFmt w:val="decimal"/>
      <w:lvlText w:val="%1.%2.%3.%4."/>
      <w:lvlJc w:val="left"/>
      <w:pPr>
        <w:tabs>
          <w:tab w:val="num" w:pos="0"/>
        </w:tabs>
        <w:ind w:left="2892" w:hanging="1078"/>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 w15:restartNumberingAfterBreak="0">
    <w:nsid w:val="237871B6"/>
    <w:multiLevelType w:val="multilevel"/>
    <w:tmpl w:val="676CFFD6"/>
    <w:lvl w:ilvl="0">
      <w:start w:val="1"/>
      <w:numFmt w:val="bullet"/>
      <w:lvlText w:val=""/>
      <w:lvlJc w:val="left"/>
      <w:pPr>
        <w:tabs>
          <w:tab w:val="num" w:pos="1429"/>
        </w:tabs>
        <w:ind w:left="1429" w:hanging="360"/>
      </w:pPr>
      <w:rPr>
        <w:rFonts w:ascii="Symbol" w:hAnsi="Symbol" w:cs="Symbol" w:hint="default"/>
      </w:rPr>
    </w:lvl>
    <w:lvl w:ilvl="1">
      <w:start w:val="1"/>
      <w:numFmt w:val="bullet"/>
      <w:lvlText w:val="◦"/>
      <w:lvlJc w:val="left"/>
      <w:pPr>
        <w:tabs>
          <w:tab w:val="num" w:pos="1789"/>
        </w:tabs>
        <w:ind w:left="1789" w:hanging="360"/>
      </w:pPr>
      <w:rPr>
        <w:rFonts w:ascii="OpenSymbol" w:hAnsi="OpenSymbol" w:cs="OpenSymbol" w:hint="default"/>
      </w:rPr>
    </w:lvl>
    <w:lvl w:ilvl="2">
      <w:start w:val="1"/>
      <w:numFmt w:val="bullet"/>
      <w:lvlText w:val="▪"/>
      <w:lvlJc w:val="left"/>
      <w:pPr>
        <w:tabs>
          <w:tab w:val="num" w:pos="2149"/>
        </w:tabs>
        <w:ind w:left="2149" w:hanging="360"/>
      </w:pPr>
      <w:rPr>
        <w:rFonts w:ascii="OpenSymbol" w:hAnsi="OpenSymbol" w:cs="OpenSymbol" w:hint="default"/>
      </w:rPr>
    </w:lvl>
    <w:lvl w:ilvl="3">
      <w:start w:val="1"/>
      <w:numFmt w:val="bullet"/>
      <w:lvlText w:val=""/>
      <w:lvlJc w:val="left"/>
      <w:pPr>
        <w:tabs>
          <w:tab w:val="num" w:pos="2509"/>
        </w:tabs>
        <w:ind w:left="2509" w:hanging="360"/>
      </w:pPr>
      <w:rPr>
        <w:rFonts w:ascii="Symbol" w:hAnsi="Symbol" w:cs="Symbol" w:hint="default"/>
      </w:rPr>
    </w:lvl>
    <w:lvl w:ilvl="4">
      <w:start w:val="1"/>
      <w:numFmt w:val="bullet"/>
      <w:lvlText w:val="◦"/>
      <w:lvlJc w:val="left"/>
      <w:pPr>
        <w:tabs>
          <w:tab w:val="num" w:pos="2869"/>
        </w:tabs>
        <w:ind w:left="2869" w:hanging="360"/>
      </w:pPr>
      <w:rPr>
        <w:rFonts w:ascii="OpenSymbol" w:hAnsi="OpenSymbol" w:cs="OpenSymbol" w:hint="default"/>
      </w:rPr>
    </w:lvl>
    <w:lvl w:ilvl="5">
      <w:start w:val="1"/>
      <w:numFmt w:val="bullet"/>
      <w:lvlText w:val="▪"/>
      <w:lvlJc w:val="left"/>
      <w:pPr>
        <w:tabs>
          <w:tab w:val="num" w:pos="3229"/>
        </w:tabs>
        <w:ind w:left="3229" w:hanging="360"/>
      </w:pPr>
      <w:rPr>
        <w:rFonts w:ascii="OpenSymbol" w:hAnsi="OpenSymbol" w:cs="OpenSymbol" w:hint="default"/>
      </w:rPr>
    </w:lvl>
    <w:lvl w:ilvl="6">
      <w:start w:val="1"/>
      <w:numFmt w:val="bullet"/>
      <w:lvlText w:val=""/>
      <w:lvlJc w:val="left"/>
      <w:pPr>
        <w:tabs>
          <w:tab w:val="num" w:pos="3589"/>
        </w:tabs>
        <w:ind w:left="3589" w:hanging="360"/>
      </w:pPr>
      <w:rPr>
        <w:rFonts w:ascii="Symbol" w:hAnsi="Symbol" w:cs="Symbol" w:hint="default"/>
      </w:rPr>
    </w:lvl>
    <w:lvl w:ilvl="7">
      <w:start w:val="1"/>
      <w:numFmt w:val="bullet"/>
      <w:lvlText w:val="◦"/>
      <w:lvlJc w:val="left"/>
      <w:pPr>
        <w:tabs>
          <w:tab w:val="num" w:pos="3949"/>
        </w:tabs>
        <w:ind w:left="3949" w:hanging="360"/>
      </w:pPr>
      <w:rPr>
        <w:rFonts w:ascii="OpenSymbol" w:hAnsi="OpenSymbol" w:cs="OpenSymbol" w:hint="default"/>
      </w:rPr>
    </w:lvl>
    <w:lvl w:ilvl="8">
      <w:start w:val="1"/>
      <w:numFmt w:val="bullet"/>
      <w:lvlText w:val="▪"/>
      <w:lvlJc w:val="left"/>
      <w:pPr>
        <w:tabs>
          <w:tab w:val="num" w:pos="4309"/>
        </w:tabs>
        <w:ind w:left="4309" w:hanging="360"/>
      </w:pPr>
      <w:rPr>
        <w:rFonts w:ascii="OpenSymbol" w:hAnsi="OpenSymbol" w:cs="OpenSymbol" w:hint="default"/>
      </w:rPr>
    </w:lvl>
  </w:abstractNum>
  <w:abstractNum w:abstractNumId="3" w15:restartNumberingAfterBreak="0">
    <w:nsid w:val="43666F66"/>
    <w:multiLevelType w:val="multilevel"/>
    <w:tmpl w:val="B7801E1C"/>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6B667F21"/>
    <w:multiLevelType w:val="multilevel"/>
    <w:tmpl w:val="C0F2769E"/>
    <w:lvl w:ilvl="0">
      <w:start w:val="1"/>
      <w:numFmt w:val="bullet"/>
      <w:lvlText w:val=""/>
      <w:lvlJc w:val="left"/>
      <w:pPr>
        <w:tabs>
          <w:tab w:val="num" w:pos="1429"/>
        </w:tabs>
        <w:ind w:left="1429" w:hanging="360"/>
      </w:pPr>
      <w:rPr>
        <w:rFonts w:ascii="Symbol" w:hAnsi="Symbol" w:cs="Symbol" w:hint="default"/>
      </w:rPr>
    </w:lvl>
    <w:lvl w:ilvl="1">
      <w:start w:val="1"/>
      <w:numFmt w:val="bullet"/>
      <w:lvlText w:val="◦"/>
      <w:lvlJc w:val="left"/>
      <w:pPr>
        <w:tabs>
          <w:tab w:val="num" w:pos="1789"/>
        </w:tabs>
        <w:ind w:left="1789" w:hanging="360"/>
      </w:pPr>
      <w:rPr>
        <w:rFonts w:ascii="OpenSymbol" w:hAnsi="OpenSymbol" w:cs="OpenSymbol" w:hint="default"/>
      </w:rPr>
    </w:lvl>
    <w:lvl w:ilvl="2">
      <w:start w:val="1"/>
      <w:numFmt w:val="bullet"/>
      <w:lvlText w:val="▪"/>
      <w:lvlJc w:val="left"/>
      <w:pPr>
        <w:tabs>
          <w:tab w:val="num" w:pos="2149"/>
        </w:tabs>
        <w:ind w:left="2149" w:hanging="360"/>
      </w:pPr>
      <w:rPr>
        <w:rFonts w:ascii="OpenSymbol" w:hAnsi="OpenSymbol" w:cs="OpenSymbol" w:hint="default"/>
      </w:rPr>
    </w:lvl>
    <w:lvl w:ilvl="3">
      <w:start w:val="1"/>
      <w:numFmt w:val="bullet"/>
      <w:lvlText w:val=""/>
      <w:lvlJc w:val="left"/>
      <w:pPr>
        <w:tabs>
          <w:tab w:val="num" w:pos="2509"/>
        </w:tabs>
        <w:ind w:left="2509" w:hanging="360"/>
      </w:pPr>
      <w:rPr>
        <w:rFonts w:ascii="Symbol" w:hAnsi="Symbol" w:cs="Symbol" w:hint="default"/>
      </w:rPr>
    </w:lvl>
    <w:lvl w:ilvl="4">
      <w:start w:val="1"/>
      <w:numFmt w:val="bullet"/>
      <w:lvlText w:val="◦"/>
      <w:lvlJc w:val="left"/>
      <w:pPr>
        <w:tabs>
          <w:tab w:val="num" w:pos="2869"/>
        </w:tabs>
        <w:ind w:left="2869" w:hanging="360"/>
      </w:pPr>
      <w:rPr>
        <w:rFonts w:ascii="OpenSymbol" w:hAnsi="OpenSymbol" w:cs="OpenSymbol" w:hint="default"/>
      </w:rPr>
    </w:lvl>
    <w:lvl w:ilvl="5">
      <w:start w:val="1"/>
      <w:numFmt w:val="bullet"/>
      <w:lvlText w:val="▪"/>
      <w:lvlJc w:val="left"/>
      <w:pPr>
        <w:tabs>
          <w:tab w:val="num" w:pos="3229"/>
        </w:tabs>
        <w:ind w:left="3229" w:hanging="360"/>
      </w:pPr>
      <w:rPr>
        <w:rFonts w:ascii="OpenSymbol" w:hAnsi="OpenSymbol" w:cs="OpenSymbol" w:hint="default"/>
      </w:rPr>
    </w:lvl>
    <w:lvl w:ilvl="6">
      <w:start w:val="1"/>
      <w:numFmt w:val="bullet"/>
      <w:lvlText w:val=""/>
      <w:lvlJc w:val="left"/>
      <w:pPr>
        <w:tabs>
          <w:tab w:val="num" w:pos="3589"/>
        </w:tabs>
        <w:ind w:left="3589" w:hanging="360"/>
      </w:pPr>
      <w:rPr>
        <w:rFonts w:ascii="Symbol" w:hAnsi="Symbol" w:cs="Symbol" w:hint="default"/>
      </w:rPr>
    </w:lvl>
    <w:lvl w:ilvl="7">
      <w:start w:val="1"/>
      <w:numFmt w:val="bullet"/>
      <w:lvlText w:val="◦"/>
      <w:lvlJc w:val="left"/>
      <w:pPr>
        <w:tabs>
          <w:tab w:val="num" w:pos="3949"/>
        </w:tabs>
        <w:ind w:left="3949" w:hanging="360"/>
      </w:pPr>
      <w:rPr>
        <w:rFonts w:ascii="OpenSymbol" w:hAnsi="OpenSymbol" w:cs="OpenSymbol" w:hint="default"/>
      </w:rPr>
    </w:lvl>
    <w:lvl w:ilvl="8">
      <w:start w:val="1"/>
      <w:numFmt w:val="bullet"/>
      <w:lvlText w:val="▪"/>
      <w:lvlJc w:val="left"/>
      <w:pPr>
        <w:tabs>
          <w:tab w:val="num" w:pos="4309"/>
        </w:tabs>
        <w:ind w:left="4309" w:hanging="360"/>
      </w:pPr>
      <w:rPr>
        <w:rFonts w:ascii="OpenSymbol" w:hAnsi="OpenSymbol" w:cs="OpenSymbol" w:hint="default"/>
      </w:rPr>
    </w:lvl>
  </w:abstractNum>
  <w:abstractNum w:abstractNumId="5" w15:restartNumberingAfterBreak="0">
    <w:nsid w:val="6EB44566"/>
    <w:multiLevelType w:val="multilevel"/>
    <w:tmpl w:val="47887ACA"/>
    <w:lvl w:ilvl="0">
      <w:start w:val="1"/>
      <w:numFmt w:val="lowerLetter"/>
      <w:pStyle w:val="BlueShadedBox-ListLetterstest"/>
      <w:lvlText w:val="%1."/>
      <w:lvlJc w:val="left"/>
      <w:pPr>
        <w:tabs>
          <w:tab w:val="num" w:pos="0"/>
        </w:tabs>
        <w:ind w:left="930" w:hanging="360"/>
      </w:pPr>
    </w:lvl>
    <w:lvl w:ilvl="1">
      <w:start w:val="1"/>
      <w:numFmt w:val="lowerLetter"/>
      <w:lvlText w:val="%2."/>
      <w:lvlJc w:val="left"/>
      <w:pPr>
        <w:tabs>
          <w:tab w:val="num" w:pos="0"/>
        </w:tabs>
        <w:ind w:left="1650" w:hanging="360"/>
      </w:pPr>
    </w:lvl>
    <w:lvl w:ilvl="2">
      <w:start w:val="1"/>
      <w:numFmt w:val="lowerRoman"/>
      <w:lvlText w:val="%3."/>
      <w:lvlJc w:val="right"/>
      <w:pPr>
        <w:tabs>
          <w:tab w:val="num" w:pos="0"/>
        </w:tabs>
        <w:ind w:left="2370" w:hanging="180"/>
      </w:pPr>
    </w:lvl>
    <w:lvl w:ilvl="3">
      <w:start w:val="1"/>
      <w:numFmt w:val="decimal"/>
      <w:lvlText w:val="%4."/>
      <w:lvlJc w:val="left"/>
      <w:pPr>
        <w:tabs>
          <w:tab w:val="num" w:pos="0"/>
        </w:tabs>
        <w:ind w:left="3090" w:hanging="360"/>
      </w:pPr>
    </w:lvl>
    <w:lvl w:ilvl="4">
      <w:start w:val="1"/>
      <w:numFmt w:val="lowerLetter"/>
      <w:lvlText w:val="%5."/>
      <w:lvlJc w:val="left"/>
      <w:pPr>
        <w:tabs>
          <w:tab w:val="num" w:pos="0"/>
        </w:tabs>
        <w:ind w:left="3810" w:hanging="360"/>
      </w:pPr>
    </w:lvl>
    <w:lvl w:ilvl="5">
      <w:start w:val="1"/>
      <w:numFmt w:val="lowerRoman"/>
      <w:lvlText w:val="%6."/>
      <w:lvlJc w:val="right"/>
      <w:pPr>
        <w:tabs>
          <w:tab w:val="num" w:pos="0"/>
        </w:tabs>
        <w:ind w:left="4530" w:hanging="180"/>
      </w:pPr>
    </w:lvl>
    <w:lvl w:ilvl="6">
      <w:start w:val="1"/>
      <w:numFmt w:val="decimal"/>
      <w:lvlText w:val="%7."/>
      <w:lvlJc w:val="left"/>
      <w:pPr>
        <w:tabs>
          <w:tab w:val="num" w:pos="0"/>
        </w:tabs>
        <w:ind w:left="5250" w:hanging="360"/>
      </w:pPr>
    </w:lvl>
    <w:lvl w:ilvl="7">
      <w:start w:val="1"/>
      <w:numFmt w:val="lowerLetter"/>
      <w:lvlText w:val="%8."/>
      <w:lvlJc w:val="left"/>
      <w:pPr>
        <w:tabs>
          <w:tab w:val="num" w:pos="0"/>
        </w:tabs>
        <w:ind w:left="5970" w:hanging="360"/>
      </w:pPr>
    </w:lvl>
    <w:lvl w:ilvl="8">
      <w:start w:val="1"/>
      <w:numFmt w:val="lowerRoman"/>
      <w:lvlText w:val="%9."/>
      <w:lvlJc w:val="right"/>
      <w:pPr>
        <w:tabs>
          <w:tab w:val="num" w:pos="0"/>
        </w:tabs>
        <w:ind w:left="6690" w:hanging="180"/>
      </w:pPr>
    </w:lvl>
  </w:abstractNum>
  <w:abstractNum w:abstractNumId="6" w15:restartNumberingAfterBreak="0">
    <w:nsid w:val="6FA83EA7"/>
    <w:multiLevelType w:val="multilevel"/>
    <w:tmpl w:val="B21A23EE"/>
    <w:lvl w:ilvl="0">
      <w:start w:val="1"/>
      <w:numFmt w:val="bullet"/>
      <w:lvlText w:val=""/>
      <w:lvlJc w:val="left"/>
      <w:pPr>
        <w:tabs>
          <w:tab w:val="num" w:pos="1429"/>
        </w:tabs>
        <w:ind w:left="1429" w:hanging="360"/>
      </w:pPr>
      <w:rPr>
        <w:rFonts w:ascii="Symbol" w:hAnsi="Symbol" w:cs="Symbol" w:hint="default"/>
      </w:rPr>
    </w:lvl>
    <w:lvl w:ilvl="1">
      <w:start w:val="1"/>
      <w:numFmt w:val="bullet"/>
      <w:lvlText w:val="◦"/>
      <w:lvlJc w:val="left"/>
      <w:pPr>
        <w:tabs>
          <w:tab w:val="num" w:pos="1789"/>
        </w:tabs>
        <w:ind w:left="1789" w:hanging="360"/>
      </w:pPr>
      <w:rPr>
        <w:rFonts w:ascii="OpenSymbol" w:hAnsi="OpenSymbol" w:cs="OpenSymbol" w:hint="default"/>
      </w:rPr>
    </w:lvl>
    <w:lvl w:ilvl="2">
      <w:start w:val="1"/>
      <w:numFmt w:val="bullet"/>
      <w:lvlText w:val="▪"/>
      <w:lvlJc w:val="left"/>
      <w:pPr>
        <w:tabs>
          <w:tab w:val="num" w:pos="2149"/>
        </w:tabs>
        <w:ind w:left="2149" w:hanging="360"/>
      </w:pPr>
      <w:rPr>
        <w:rFonts w:ascii="OpenSymbol" w:hAnsi="OpenSymbol" w:cs="OpenSymbol" w:hint="default"/>
      </w:rPr>
    </w:lvl>
    <w:lvl w:ilvl="3">
      <w:start w:val="1"/>
      <w:numFmt w:val="bullet"/>
      <w:lvlText w:val=""/>
      <w:lvlJc w:val="left"/>
      <w:pPr>
        <w:tabs>
          <w:tab w:val="num" w:pos="2509"/>
        </w:tabs>
        <w:ind w:left="2509" w:hanging="360"/>
      </w:pPr>
      <w:rPr>
        <w:rFonts w:ascii="Symbol" w:hAnsi="Symbol" w:cs="Symbol" w:hint="default"/>
      </w:rPr>
    </w:lvl>
    <w:lvl w:ilvl="4">
      <w:start w:val="1"/>
      <w:numFmt w:val="bullet"/>
      <w:lvlText w:val="◦"/>
      <w:lvlJc w:val="left"/>
      <w:pPr>
        <w:tabs>
          <w:tab w:val="num" w:pos="2869"/>
        </w:tabs>
        <w:ind w:left="2869" w:hanging="360"/>
      </w:pPr>
      <w:rPr>
        <w:rFonts w:ascii="OpenSymbol" w:hAnsi="OpenSymbol" w:cs="OpenSymbol" w:hint="default"/>
      </w:rPr>
    </w:lvl>
    <w:lvl w:ilvl="5">
      <w:start w:val="1"/>
      <w:numFmt w:val="bullet"/>
      <w:lvlText w:val="▪"/>
      <w:lvlJc w:val="left"/>
      <w:pPr>
        <w:tabs>
          <w:tab w:val="num" w:pos="3229"/>
        </w:tabs>
        <w:ind w:left="3229" w:hanging="360"/>
      </w:pPr>
      <w:rPr>
        <w:rFonts w:ascii="OpenSymbol" w:hAnsi="OpenSymbol" w:cs="OpenSymbol" w:hint="default"/>
      </w:rPr>
    </w:lvl>
    <w:lvl w:ilvl="6">
      <w:start w:val="1"/>
      <w:numFmt w:val="bullet"/>
      <w:lvlText w:val=""/>
      <w:lvlJc w:val="left"/>
      <w:pPr>
        <w:tabs>
          <w:tab w:val="num" w:pos="3589"/>
        </w:tabs>
        <w:ind w:left="3589" w:hanging="360"/>
      </w:pPr>
      <w:rPr>
        <w:rFonts w:ascii="Symbol" w:hAnsi="Symbol" w:cs="Symbol" w:hint="default"/>
      </w:rPr>
    </w:lvl>
    <w:lvl w:ilvl="7">
      <w:start w:val="1"/>
      <w:numFmt w:val="bullet"/>
      <w:lvlText w:val="◦"/>
      <w:lvlJc w:val="left"/>
      <w:pPr>
        <w:tabs>
          <w:tab w:val="num" w:pos="3949"/>
        </w:tabs>
        <w:ind w:left="3949" w:hanging="360"/>
      </w:pPr>
      <w:rPr>
        <w:rFonts w:ascii="OpenSymbol" w:hAnsi="OpenSymbol" w:cs="OpenSymbol" w:hint="default"/>
      </w:rPr>
    </w:lvl>
    <w:lvl w:ilvl="8">
      <w:start w:val="1"/>
      <w:numFmt w:val="bullet"/>
      <w:lvlText w:val="▪"/>
      <w:lvlJc w:val="left"/>
      <w:pPr>
        <w:tabs>
          <w:tab w:val="num" w:pos="4309"/>
        </w:tabs>
        <w:ind w:left="4309" w:hanging="360"/>
      </w:pPr>
      <w:rPr>
        <w:rFonts w:ascii="OpenSymbol" w:hAnsi="OpenSymbol" w:cs="OpenSymbol" w:hint="default"/>
      </w:rPr>
    </w:lvl>
  </w:abstractNum>
  <w:num w:numId="1" w16cid:durableId="1276906973">
    <w:abstractNumId w:val="3"/>
  </w:num>
  <w:num w:numId="2" w16cid:durableId="1790050707">
    <w:abstractNumId w:val="1"/>
  </w:num>
  <w:num w:numId="3" w16cid:durableId="1510752251">
    <w:abstractNumId w:val="5"/>
  </w:num>
  <w:num w:numId="4" w16cid:durableId="1032152883">
    <w:abstractNumId w:val="0"/>
  </w:num>
  <w:num w:numId="5" w16cid:durableId="1529827565">
    <w:abstractNumId w:val="6"/>
  </w:num>
  <w:num w:numId="6" w16cid:durableId="1360858695">
    <w:abstractNumId w:val="2"/>
  </w:num>
  <w:num w:numId="7" w16cid:durableId="18534481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6A0"/>
    <w:rsid w:val="003342E9"/>
    <w:rsid w:val="006856A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74852"/>
  <w15:docId w15:val="{66B3094A-10E6-4D1C-BE02-E8252BA0B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 w:val="24"/>
        <w:szCs w:val="24"/>
        <w:lang w:val="en-AU"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
    <w:next w:val="BodyText"/>
    <w:uiPriority w:val="9"/>
    <w:qFormat/>
    <w:pPr>
      <w:numPr>
        <w:numId w:val="1"/>
      </w:numPr>
      <w:outlineLvl w:val="0"/>
    </w:pPr>
    <w:rPr>
      <w:rFonts w:ascii="Liberation Serif" w:eastAsia="NSimSun" w:hAnsi="Liberation Serif"/>
      <w:b/>
      <w:bCs/>
      <w:sz w:val="48"/>
      <w:szCs w:val="48"/>
    </w:rPr>
  </w:style>
  <w:style w:type="paragraph" w:styleId="Heading4">
    <w:name w:val="heading 4"/>
    <w:basedOn w:val="Normal"/>
    <w:next w:val="Normal"/>
    <w:uiPriority w:val="9"/>
    <w:semiHidden/>
    <w:unhideWhenUsed/>
    <w:qFormat/>
    <w:pPr>
      <w:keepNext/>
      <w:keepLines/>
      <w:spacing w:before="320" w:after="60"/>
      <w:outlineLvl w:val="3"/>
    </w:pPr>
    <w:rPr>
      <w:rFonts w:ascii="Calibri" w:eastAsiaTheme="majorEastAsia" w:hAnsi="Calibri" w:cstheme="majorBidi"/>
      <w:b/>
      <w:iCs/>
      <w:color w:val="44546A"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ntentpasted0">
    <w:name w:val="contentpasted0"/>
    <w:basedOn w:val="DefaultParagraphFont"/>
    <w:qFormat/>
  </w:style>
  <w:style w:type="character" w:customStyle="1" w:styleId="eop">
    <w:name w:val="eop"/>
    <w:basedOn w:val="DefaultParagraphFont"/>
    <w:qFormat/>
  </w:style>
  <w:style w:type="character" w:customStyle="1" w:styleId="normaltextrun">
    <w:name w:val="normaltextrun"/>
    <w:basedOn w:val="DefaultParagraphFont"/>
    <w:qFormat/>
  </w:style>
  <w:style w:type="character" w:customStyle="1" w:styleId="LineNumbering">
    <w:name w:val="Line Numbering"/>
  </w:style>
  <w:style w:type="character" w:customStyle="1" w:styleId="FootnoteCharacters">
    <w:name w:val="Footnote Characters"/>
    <w:qFormat/>
  </w:style>
  <w:style w:type="character" w:customStyle="1" w:styleId="FootnoteAnchor">
    <w:name w:val="Footnote Anchor"/>
    <w:rPr>
      <w:vertAlign w:val="superscript"/>
    </w:rPr>
  </w:style>
  <w:style w:type="character" w:styleId="Hyperlink">
    <w:name w:val="Hyperlink"/>
    <w:rPr>
      <w:color w:val="000080"/>
      <w:u w:val="single"/>
      <w:lang/>
    </w:rPr>
  </w:style>
  <w:style w:type="character" w:customStyle="1" w:styleId="EndnoteAnchor">
    <w:name w:val="Endnote Anchor"/>
    <w:rPr>
      <w:vertAlign w:val="superscript"/>
    </w:rPr>
  </w:style>
  <w:style w:type="character" w:customStyle="1" w:styleId="EndnoteCharacters">
    <w:name w:val="Endnote Characters"/>
    <w:qFormat/>
  </w:style>
  <w:style w:type="character" w:styleId="FollowedHyperlink">
    <w:name w:val="FollowedHyperlink"/>
    <w:rPr>
      <w:color w:val="800000"/>
      <w:u w:val="single"/>
      <w:lang/>
    </w:rPr>
  </w:style>
  <w:style w:type="character" w:customStyle="1" w:styleId="StrongEmphasis">
    <w:name w:val="Strong Emphasis"/>
    <w:qFormat/>
    <w:rPr>
      <w:b/>
      <w:bCs/>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rPr>
      <w:lang/>
    </w:rPr>
  </w:style>
  <w:style w:type="paragraph" w:styleId="ListParagraph">
    <w:name w:val="List Paragraph"/>
    <w:basedOn w:val="Normal"/>
    <w:qFormat/>
    <w:pPr>
      <w:spacing w:after="200" w:line="360" w:lineRule="auto"/>
      <w:ind w:left="720"/>
      <w:contextualSpacing/>
    </w:pPr>
  </w:style>
  <w:style w:type="paragraph" w:customStyle="1" w:styleId="Normal-AfterTable">
    <w:name w:val="Normal - After Table"/>
    <w:basedOn w:val="Normal"/>
    <w:qFormat/>
    <w:pPr>
      <w:spacing w:before="240" w:after="240"/>
    </w:pPr>
  </w:style>
  <w:style w:type="paragraph" w:styleId="ListNumber">
    <w:name w:val="List Number"/>
    <w:basedOn w:val="Normal"/>
    <w:qFormat/>
    <w:pPr>
      <w:numPr>
        <w:numId w:val="2"/>
      </w:numPr>
      <w:spacing w:after="200"/>
      <w:ind w:left="360" w:hanging="360"/>
      <w:contextualSpacing/>
    </w:pPr>
  </w:style>
  <w:style w:type="paragraph" w:customStyle="1" w:styleId="BlueShadedBox-ListLetterstest">
    <w:name w:val="Blue Shaded Box - List Letters test"/>
    <w:basedOn w:val="ListNumber"/>
    <w:qFormat/>
    <w:pPr>
      <w:numPr>
        <w:numId w:val="3"/>
      </w:numPr>
      <w:pBdr>
        <w:top w:val="single" w:sz="48" w:space="1" w:color="E5EAF2"/>
        <w:left w:val="single" w:sz="48" w:space="4" w:color="E5EAF2"/>
        <w:bottom w:val="single" w:sz="48" w:space="1" w:color="E5EAF2"/>
        <w:right w:val="single" w:sz="48" w:space="4" w:color="E5EAF2"/>
      </w:pBdr>
      <w:shd w:val="clear" w:color="auto" w:fill="E5EAF2"/>
      <w:ind w:left="567" w:right="210" w:hanging="357"/>
    </w:pPr>
  </w:style>
  <w:style w:type="paragraph" w:styleId="FootnoteText">
    <w:name w:val="footnote text"/>
    <w:basedOn w:val="Normal"/>
    <w:pPr>
      <w:suppressLineNumbers/>
      <w:ind w:left="340" w:hanging="3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link.springer.com/article/10.1007/s42438-020-00167-8" TargetMode="External"/><Relationship Id="rId2" Type="http://schemas.openxmlformats.org/officeDocument/2006/relationships/hyperlink" Target="https://www.qualityresearchinternational.com/glossary/distributededucation.htm" TargetMode="External"/><Relationship Id="rId1" Type="http://schemas.openxmlformats.org/officeDocument/2006/relationships/hyperlink" Target="https://www.aare.edu.au/blog/?p=14344" TargetMode="External"/><Relationship Id="rId4" Type="http://schemas.openxmlformats.org/officeDocument/2006/relationships/hyperlink" Target="https://theconversation.com/students-returning-to-campus-want-the-university-experience-missed-during-covid-19-1865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1527</Words>
  <Characters>8704</Characters>
  <Application>Microsoft Office Word</Application>
  <DocSecurity>0</DocSecurity>
  <Lines>72</Lines>
  <Paragraphs>20</Paragraphs>
  <ScaleCrop>false</ScaleCrop>
  <Company/>
  <LinksUpToDate>false</LinksUpToDate>
  <CharactersWithSpaces>10211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Heller</dc:creator>
  <dc:description/>
  <cp:lastModifiedBy>HOBBS,Catherine</cp:lastModifiedBy>
  <cp:revision>2</cp:revision>
  <dcterms:created xsi:type="dcterms:W3CDTF">2023-08-03T23:34:00Z</dcterms:created>
  <dcterms:modified xsi:type="dcterms:W3CDTF">2023-08-03T23:34:00Z</dcterms:modified>
  <dc:language>en-AU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2023-08-03T23:33:50Z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dd021e72-e526-4123-ab29-364c4b23ce6f</vt:lpwstr>
  </property>
  <property fmtid="{D5CDD505-2E9C-101B-9397-08002B2CF9AE}" pid="8" name="MSIP_Label_79d889eb-932f-4752-8739-64d25806ef64_ContentBits">
    <vt:lpwstr>0</vt:lpwstr>
  </property>
</Properties>
</file>