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01508" w14:textId="77777777" w:rsidR="001D38C6" w:rsidRPr="001D38C6" w:rsidRDefault="001D38C6" w:rsidP="001D38C6">
      <w:pPr>
        <w:jc w:val="both"/>
        <w:rPr>
          <w:rFonts w:ascii="Calibri" w:hAnsi="Calibri" w:cs="Calibri"/>
          <w:color w:val="4472C4" w:themeColor="accent1"/>
        </w:rPr>
      </w:pPr>
      <w:r w:rsidRPr="001D38C6">
        <w:rPr>
          <w:rFonts w:ascii="Calibri" w:hAnsi="Calibri" w:cs="Calibri"/>
          <w:b/>
          <w:bCs/>
          <w:color w:val="4472C4" w:themeColor="accent1"/>
        </w:rPr>
        <w:t>This submission addresses Q 38 in the Accord Discussion Paper - How can the Accord support higher education providers to adopt sector-leading employment practices?</w:t>
      </w:r>
    </w:p>
    <w:p w14:paraId="6C94CDF1" w14:textId="09E05BAA" w:rsidR="00F02F21" w:rsidRPr="00F02F21" w:rsidRDefault="00F02F21" w:rsidP="00A72601">
      <w:pPr>
        <w:rPr>
          <w:b/>
          <w:bCs/>
          <w:color w:val="4472C4" w:themeColor="accent1"/>
        </w:rPr>
      </w:pPr>
      <w:r w:rsidRPr="00F02F21">
        <w:rPr>
          <w:b/>
          <w:bCs/>
          <w:color w:val="4472C4" w:themeColor="accent1"/>
        </w:rPr>
        <w:t>Introduction.</w:t>
      </w:r>
    </w:p>
    <w:p w14:paraId="60FB7944" w14:textId="73543357" w:rsidR="003F3906" w:rsidRDefault="00F02F21" w:rsidP="00A72601">
      <w:r>
        <w:t>The initial</w:t>
      </w:r>
      <w:r w:rsidR="000F3020">
        <w:t xml:space="preserve"> </w:t>
      </w:r>
      <w:r w:rsidR="00A72601">
        <w:t xml:space="preserve">submissions </w:t>
      </w:r>
      <w:r w:rsidR="000F3020">
        <w:t>to the Australian Universities Accord</w:t>
      </w:r>
      <w:r>
        <w:t xml:space="preserve"> (AUA)</w:t>
      </w:r>
      <w:r w:rsidR="00A72601">
        <w:t xml:space="preserve"> covered a broad but</w:t>
      </w:r>
      <w:r w:rsidR="00247C3D">
        <w:t xml:space="preserve"> </w:t>
      </w:r>
      <w:r w:rsidR="00A72601">
        <w:t xml:space="preserve">consistent range of recommendations </w:t>
      </w:r>
      <w:r w:rsidR="00962678">
        <w:t xml:space="preserve">designed </w:t>
      </w:r>
      <w:r w:rsidR="00A72601">
        <w:t xml:space="preserve">to ensure that Australia’s higher education system meets future workforce </w:t>
      </w:r>
      <w:r>
        <w:t>requirements</w:t>
      </w:r>
      <w:r w:rsidR="00A72601">
        <w:t>, is equitable and</w:t>
      </w:r>
      <w:r>
        <w:t xml:space="preserve"> is</w:t>
      </w:r>
      <w:r w:rsidR="00A72601">
        <w:t xml:space="preserve"> properly funded for education and research.   </w:t>
      </w:r>
      <w:r w:rsidR="00962678">
        <w:t xml:space="preserve">Some </w:t>
      </w:r>
      <w:r w:rsidR="007A4E25">
        <w:t>submissions expressed</w:t>
      </w:r>
      <w:r>
        <w:t xml:space="preserve"> </w:t>
      </w:r>
      <w:r w:rsidR="00A72601">
        <w:t>concern</w:t>
      </w:r>
      <w:r>
        <w:t>s</w:t>
      </w:r>
      <w:r w:rsidR="00A72601">
        <w:t xml:space="preserve"> </w:t>
      </w:r>
      <w:r>
        <w:t xml:space="preserve">over </w:t>
      </w:r>
      <w:r w:rsidR="00A72601">
        <w:t>the casualisation of the academic teaching workforce</w:t>
      </w:r>
      <w:r w:rsidR="007A4E25">
        <w:t xml:space="preserve">, identifying a range of </w:t>
      </w:r>
      <w:r w:rsidR="008049CA">
        <w:t>reasons for</w:t>
      </w:r>
      <w:r w:rsidR="007A4E25">
        <w:t xml:space="preserve"> the current situation or consequences for </w:t>
      </w:r>
      <w:r w:rsidR="00962678">
        <w:t xml:space="preserve">the individual casual or </w:t>
      </w:r>
      <w:r w:rsidR="007A4E25">
        <w:t>the quality of higher education</w:t>
      </w:r>
      <w:r w:rsidR="00962678">
        <w:t>.</w:t>
      </w:r>
      <w:r>
        <w:t xml:space="preserve"> Whatever its causes, </w:t>
      </w:r>
      <w:r w:rsidR="007A4E25">
        <w:t>the</w:t>
      </w:r>
      <w:r w:rsidR="00A72601">
        <w:t xml:space="preserve"> implicit assumption</w:t>
      </w:r>
      <w:r w:rsidR="001D38C6">
        <w:t xml:space="preserve"> of many submissions</w:t>
      </w:r>
      <w:r w:rsidR="007A4E25">
        <w:t xml:space="preserve"> is</w:t>
      </w:r>
      <w:r w:rsidR="00A72601">
        <w:t xml:space="preserve"> that</w:t>
      </w:r>
      <w:r w:rsidR="00BB2526">
        <w:t xml:space="preserve"> </w:t>
      </w:r>
      <w:r w:rsidR="007A4E25">
        <w:t>amendment to the current</w:t>
      </w:r>
      <w:r w:rsidR="00A72601">
        <w:t xml:space="preserve"> </w:t>
      </w:r>
      <w:r w:rsidR="007A4E25">
        <w:t>funding or structural</w:t>
      </w:r>
      <w:r w:rsidR="00A72601">
        <w:t xml:space="preserve"> drivers </w:t>
      </w:r>
      <w:r w:rsidR="007A4E25">
        <w:t>will</w:t>
      </w:r>
      <w:r>
        <w:t xml:space="preserve"> ultimately</w:t>
      </w:r>
      <w:r w:rsidR="007A4E25">
        <w:t xml:space="preserve"> </w:t>
      </w:r>
      <w:r w:rsidR="00962678">
        <w:t>reduce the level of casualisation</w:t>
      </w:r>
      <w:r w:rsidR="00247C3D">
        <w:t>.</w:t>
      </w:r>
      <w:r w:rsidR="00962678">
        <w:t xml:space="preserve"> </w:t>
      </w:r>
      <w:r w:rsidR="007A4E25">
        <w:t xml:space="preserve">  It is suggested that the incentives </w:t>
      </w:r>
      <w:r w:rsidR="00962678">
        <w:t>for the use of academic</w:t>
      </w:r>
      <w:r w:rsidR="007A4E25">
        <w:t xml:space="preserve"> casual</w:t>
      </w:r>
      <w:r w:rsidR="00962678">
        <w:t>s</w:t>
      </w:r>
      <w:r w:rsidR="007732A1">
        <w:t xml:space="preserve"> in Australian higher education</w:t>
      </w:r>
      <w:r w:rsidR="007A4E25">
        <w:t xml:space="preserve"> are such tha</w:t>
      </w:r>
      <w:r>
        <w:t xml:space="preserve">t any change in funding </w:t>
      </w:r>
      <w:r w:rsidR="008C66A4">
        <w:t xml:space="preserve">or structures </w:t>
      </w:r>
      <w:r>
        <w:t xml:space="preserve">may </w:t>
      </w:r>
      <w:r w:rsidR="00247C3D">
        <w:t>be insufficient</w:t>
      </w:r>
      <w:r>
        <w:t xml:space="preserve"> and that without a more radical approach to the use of academic casuals for teaching, the current situation will continue.</w:t>
      </w:r>
      <w:r w:rsidR="001D38C6">
        <w:t xml:space="preserve">  This submission is an attempt to </w:t>
      </w:r>
      <w:r w:rsidR="00247C3D">
        <w:t xml:space="preserve">suggest </w:t>
      </w:r>
      <w:r w:rsidR="001D38C6">
        <w:t>consideration of alternative approaches</w:t>
      </w:r>
      <w:r w:rsidR="00247C3D">
        <w:t xml:space="preserve"> to the management of the academic casual workforce.</w:t>
      </w:r>
    </w:p>
    <w:p w14:paraId="1BEA190C" w14:textId="7559F1F5" w:rsidR="00962678" w:rsidRPr="008049CA" w:rsidRDefault="00962678" w:rsidP="00A72601">
      <w:pPr>
        <w:rPr>
          <w:b/>
          <w:bCs/>
          <w:color w:val="4472C4" w:themeColor="accent1"/>
        </w:rPr>
      </w:pPr>
      <w:r w:rsidRPr="008049CA">
        <w:rPr>
          <w:b/>
          <w:bCs/>
          <w:color w:val="4472C4" w:themeColor="accent1"/>
        </w:rPr>
        <w:t>Incentives for the use of casuals</w:t>
      </w:r>
      <w:r w:rsidR="00F02F21">
        <w:rPr>
          <w:b/>
          <w:bCs/>
          <w:color w:val="4472C4" w:themeColor="accent1"/>
        </w:rPr>
        <w:t xml:space="preserve"> may continue.</w:t>
      </w:r>
    </w:p>
    <w:p w14:paraId="7D8227E8" w14:textId="14C39EAA" w:rsidR="007A4E25" w:rsidRPr="008049CA" w:rsidRDefault="008049CA" w:rsidP="00A72601">
      <w:pPr>
        <w:rPr>
          <w:i/>
          <w:iCs/>
          <w:color w:val="4472C4" w:themeColor="accent1"/>
        </w:rPr>
      </w:pPr>
      <w:r>
        <w:rPr>
          <w:i/>
          <w:iCs/>
          <w:color w:val="4472C4" w:themeColor="accent1"/>
        </w:rPr>
        <w:t>Role of research and reward for research</w:t>
      </w:r>
    </w:p>
    <w:p w14:paraId="1CD133A6" w14:textId="76FCAEA1" w:rsidR="001914D9" w:rsidRDefault="00C10D87" w:rsidP="00487ADD">
      <w:pPr>
        <w:spacing w:after="120" w:line="240" w:lineRule="auto"/>
      </w:pPr>
      <w:r>
        <w:t xml:space="preserve">In </w:t>
      </w:r>
      <w:r w:rsidR="008049CA">
        <w:t>an</w:t>
      </w:r>
      <w:r>
        <w:t xml:space="preserve"> analysis based on publicly available data,</w:t>
      </w:r>
      <w:r w:rsidR="003E7743">
        <w:t xml:space="preserve"> Bar</w:t>
      </w:r>
      <w:r w:rsidR="007E2784">
        <w:rPr>
          <w:rFonts w:cstheme="minorHAnsi"/>
        </w:rPr>
        <w:t>é</w:t>
      </w:r>
      <w:r w:rsidR="003E7743">
        <w:t>, Beard and</w:t>
      </w:r>
      <w:r w:rsidR="00487ADD">
        <w:t xml:space="preserve"> </w:t>
      </w:r>
      <w:r w:rsidR="003E7743">
        <w:t>Tjia</w:t>
      </w:r>
      <w:r w:rsidR="003E7743">
        <w:rPr>
          <w:rStyle w:val="FootnoteReference"/>
        </w:rPr>
        <w:footnoteReference w:id="1"/>
      </w:r>
      <w:r w:rsidR="003E7743">
        <w:t xml:space="preserve"> </w:t>
      </w:r>
      <w:r>
        <w:t xml:space="preserve"> conclude that the </w:t>
      </w:r>
      <w:r w:rsidR="007E2784">
        <w:t>there appeared to be little consistency in universities’ management</w:t>
      </w:r>
      <w:r>
        <w:t xml:space="preserve"> of casuals during the first year of the pandemic (2020</w:t>
      </w:r>
      <w:r w:rsidR="007E2784">
        <w:t xml:space="preserve">). </w:t>
      </w:r>
      <w:r>
        <w:t xml:space="preserve">They </w:t>
      </w:r>
      <w:r w:rsidR="007E2784">
        <w:t>suggest that this highlights</w:t>
      </w:r>
      <w:r>
        <w:t xml:space="preserve"> the complexity of academic workforce planning in universities, </w:t>
      </w:r>
      <w:proofErr w:type="gramStart"/>
      <w:r>
        <w:t>in particular for</w:t>
      </w:r>
      <w:proofErr w:type="gramEnd"/>
      <w:r>
        <w:t xml:space="preserve"> Teaching and Research</w:t>
      </w:r>
      <w:r w:rsidR="007E2784">
        <w:t xml:space="preserve"> (T and R)</w:t>
      </w:r>
      <w:r>
        <w:t xml:space="preserve"> Academic </w:t>
      </w:r>
      <w:r w:rsidR="00AE7E74">
        <w:t>staff</w:t>
      </w:r>
      <w:r w:rsidR="007732A1">
        <w:t xml:space="preserve"> (45%</w:t>
      </w:r>
      <w:r>
        <w:t>of the</w:t>
      </w:r>
      <w:r w:rsidR="000F3020">
        <w:t xml:space="preserve"> </w:t>
      </w:r>
      <w:r w:rsidR="00247C3D">
        <w:t>total FTE</w:t>
      </w:r>
      <w:r w:rsidR="000F3020">
        <w:t xml:space="preserve"> academic</w:t>
      </w:r>
      <w:r w:rsidR="007732A1">
        <w:t xml:space="preserve"> </w:t>
      </w:r>
      <w:r>
        <w:t>cohort</w:t>
      </w:r>
      <w:r w:rsidR="001D38C6">
        <w:t xml:space="preserve"> in 2020</w:t>
      </w:r>
      <w:r>
        <w:t>)</w:t>
      </w:r>
      <w:r w:rsidR="007732A1">
        <w:rPr>
          <w:rStyle w:val="FootnoteReference"/>
        </w:rPr>
        <w:footnoteReference w:id="2"/>
      </w:r>
      <w:r w:rsidR="007E2784">
        <w:t xml:space="preserve">. </w:t>
      </w:r>
      <w:r>
        <w:t xml:space="preserve"> </w:t>
      </w:r>
      <w:r w:rsidR="001D38C6">
        <w:t xml:space="preserve">T and R academic </w:t>
      </w:r>
      <w:r w:rsidR="008049CA">
        <w:t>staff</w:t>
      </w:r>
      <w:r w:rsidR="007E2784">
        <w:t xml:space="preserve"> </w:t>
      </w:r>
      <w:r w:rsidR="000F3020">
        <w:t xml:space="preserve">are </w:t>
      </w:r>
      <w:r>
        <w:t>generally required to achieve levels of excellence in research</w:t>
      </w:r>
      <w:r w:rsidR="007E2784">
        <w:t xml:space="preserve"> as one</w:t>
      </w:r>
      <w:r w:rsidR="007732A1">
        <w:t xml:space="preserve"> of several grounds</w:t>
      </w:r>
      <w:r w:rsidR="007E2784">
        <w:t xml:space="preserve"> for promotion.</w:t>
      </w:r>
      <w:r>
        <w:t xml:space="preserve"> </w:t>
      </w:r>
      <w:r w:rsidR="00247C3D">
        <w:t>Institutions have</w:t>
      </w:r>
      <w:r w:rsidR="00487ADD">
        <w:t xml:space="preserve"> explicit targets for </w:t>
      </w:r>
      <w:r w:rsidR="00962678">
        <w:t>institutional</w:t>
      </w:r>
      <w:r w:rsidR="00487ADD">
        <w:t xml:space="preserve"> and individual</w:t>
      </w:r>
      <w:r w:rsidR="000F3020">
        <w:t xml:space="preserve"> research outcomes</w:t>
      </w:r>
      <w:r w:rsidR="00487ADD">
        <w:t>, in part to improve rankings and i</w:t>
      </w:r>
      <w:r w:rsidR="00304C2E">
        <w:t xml:space="preserve">nternational </w:t>
      </w:r>
      <w:r w:rsidR="00487ADD">
        <w:t>student recruitment.</w:t>
      </w:r>
      <w:r w:rsidR="000F3020">
        <w:t xml:space="preserve"> Academic</w:t>
      </w:r>
      <w:r>
        <w:t xml:space="preserve"> workload models</w:t>
      </w:r>
      <w:r w:rsidR="00AE7E74">
        <w:t xml:space="preserve"> </w:t>
      </w:r>
      <w:r w:rsidR="008049CA">
        <w:t>agreed by universities in</w:t>
      </w:r>
      <w:r w:rsidR="00AE7E74">
        <w:t xml:space="preserve"> enterprise agreements</w:t>
      </w:r>
      <w:r w:rsidR="000F3020">
        <w:t xml:space="preserve"> often </w:t>
      </w:r>
      <w:r>
        <w:t>reward excellence in research by reallocation of teaching time (largely to casual academic staff).</w:t>
      </w:r>
      <w:r w:rsidR="001D38C6">
        <w:t xml:space="preserve">  Workload models have been hotly contested industrially and are likely to remain a feature of academic employment.</w:t>
      </w:r>
    </w:p>
    <w:p w14:paraId="30222A4C" w14:textId="79AB6604" w:rsidR="007A4E25" w:rsidRPr="008049CA" w:rsidRDefault="008049CA" w:rsidP="00487ADD">
      <w:pPr>
        <w:spacing w:after="120" w:line="240" w:lineRule="auto"/>
        <w:rPr>
          <w:i/>
          <w:iCs/>
          <w:color w:val="4472C4" w:themeColor="accent1"/>
        </w:rPr>
      </w:pPr>
      <w:r w:rsidRPr="008049CA">
        <w:rPr>
          <w:i/>
          <w:iCs/>
          <w:color w:val="4472C4" w:themeColor="accent1"/>
        </w:rPr>
        <w:t>Impact of workloads</w:t>
      </w:r>
    </w:p>
    <w:p w14:paraId="6D14B142" w14:textId="4D46A517" w:rsidR="00304C2E" w:rsidRPr="008049CA" w:rsidRDefault="00304C2E" w:rsidP="00487ADD">
      <w:pPr>
        <w:spacing w:after="120" w:line="240" w:lineRule="auto"/>
        <w:rPr>
          <w:i/>
          <w:iCs/>
          <w:color w:val="4472C4" w:themeColor="accent1"/>
        </w:rPr>
      </w:pPr>
      <w:r>
        <w:t>Some universities have actively sought to create structures</w:t>
      </w:r>
      <w:r w:rsidR="00653994">
        <w:t xml:space="preserve"> and a culture</w:t>
      </w:r>
      <w:r>
        <w:t xml:space="preserve"> which explicitly value</w:t>
      </w:r>
      <w:r w:rsidR="008C66A4">
        <w:t>s</w:t>
      </w:r>
      <w:r>
        <w:t xml:space="preserve"> the contribution of casual academics</w:t>
      </w:r>
      <w:r w:rsidR="007E2784">
        <w:t>.  Despite this,</w:t>
      </w:r>
      <w:r w:rsidR="00653994">
        <w:t xml:space="preserve"> </w:t>
      </w:r>
      <w:r w:rsidR="008049CA">
        <w:t>some research</w:t>
      </w:r>
      <w:r w:rsidR="006C7E72">
        <w:t xml:space="preserve"> suggest</w:t>
      </w:r>
      <w:r w:rsidR="008049CA">
        <w:t>s</w:t>
      </w:r>
      <w:r w:rsidR="006C7E72">
        <w:t xml:space="preserve"> that casuals are treated as a subordinate or</w:t>
      </w:r>
      <w:r w:rsidR="00653994">
        <w:t xml:space="preserve"> worker</w:t>
      </w:r>
      <w:r w:rsidR="006C7E72">
        <w:t xml:space="preserve"> subclass</w:t>
      </w:r>
      <w:r>
        <w:t xml:space="preserve"> within institutions</w:t>
      </w:r>
      <w:r w:rsidR="007732A1">
        <w:t>,</w:t>
      </w:r>
      <w:r w:rsidR="007E2784">
        <w:t xml:space="preserve"> a common thread expressed in press articles on casualisation</w:t>
      </w:r>
      <w:r w:rsidR="00653994">
        <w:t xml:space="preserve">.  Given workload pressures on </w:t>
      </w:r>
      <w:r w:rsidR="00DE3053">
        <w:t>continuing and fixed term academic staff</w:t>
      </w:r>
      <w:r w:rsidR="00653994">
        <w:t xml:space="preserve">, continued </w:t>
      </w:r>
      <w:r w:rsidR="00653994" w:rsidRPr="008049CA">
        <w:t>access to casuals to undertake</w:t>
      </w:r>
      <w:r w:rsidR="008049CA" w:rsidRPr="008049CA">
        <w:t xml:space="preserve"> what might be regarded as</w:t>
      </w:r>
      <w:r w:rsidR="00653994" w:rsidRPr="008049CA">
        <w:t xml:space="preserve"> high volume</w:t>
      </w:r>
      <w:r w:rsidR="008049CA" w:rsidRPr="008049CA">
        <w:t xml:space="preserve"> and</w:t>
      </w:r>
      <w:r w:rsidR="001D38C6">
        <w:t xml:space="preserve"> routine</w:t>
      </w:r>
      <w:r w:rsidR="00653994" w:rsidRPr="008049CA">
        <w:t xml:space="preserve"> tasks may </w:t>
      </w:r>
      <w:r w:rsidR="008049CA" w:rsidRPr="008049CA">
        <w:t xml:space="preserve">remain </w:t>
      </w:r>
      <w:r w:rsidR="00F02F21">
        <w:t xml:space="preserve">important </w:t>
      </w:r>
      <w:r w:rsidR="00A87597">
        <w:t>in many academic disciplines.</w:t>
      </w:r>
    </w:p>
    <w:p w14:paraId="547E1610" w14:textId="748917BC" w:rsidR="00FE2EB8" w:rsidRPr="008049CA" w:rsidRDefault="007A4E25">
      <w:pPr>
        <w:rPr>
          <w:i/>
          <w:iCs/>
          <w:color w:val="4472C4" w:themeColor="accent1"/>
        </w:rPr>
      </w:pPr>
      <w:r w:rsidRPr="008049CA">
        <w:rPr>
          <w:i/>
          <w:iCs/>
          <w:color w:val="4472C4" w:themeColor="accent1"/>
        </w:rPr>
        <w:t>Institutional budgeting practices</w:t>
      </w:r>
    </w:p>
    <w:p w14:paraId="4A23F7F6" w14:textId="73605882" w:rsidR="00FE2EB8" w:rsidRDefault="00FE2EB8">
      <w:r>
        <w:t xml:space="preserve">Financial accounting practices coupled with devolution of budgets to small discipline groups </w:t>
      </w:r>
      <w:r w:rsidR="00DE3053">
        <w:t xml:space="preserve">within </w:t>
      </w:r>
      <w:r>
        <w:t xml:space="preserve">academic organisational units may result in </w:t>
      </w:r>
      <w:r w:rsidR="00247C3D">
        <w:t>suboptimal staffing</w:t>
      </w:r>
      <w:r w:rsidR="008049CA">
        <w:t xml:space="preserve"> decisions driven by budgets. Other factors, such as the importance of running a balanced budget to </w:t>
      </w:r>
      <w:r>
        <w:t xml:space="preserve">ensure the continued viability of the </w:t>
      </w:r>
      <w:r>
        <w:lastRenderedPageBreak/>
        <w:t>discipline in the university</w:t>
      </w:r>
      <w:r w:rsidR="008049CA">
        <w:t xml:space="preserve"> may </w:t>
      </w:r>
      <w:r w:rsidR="008E064E">
        <w:t>result in extensive use of casual staff, generally perceived as being less costly.</w:t>
      </w:r>
      <w:r w:rsidR="008049CA">
        <w:t xml:space="preserve"> </w:t>
      </w:r>
      <w:r w:rsidR="00304C2E">
        <w:t xml:space="preserve"> </w:t>
      </w:r>
    </w:p>
    <w:p w14:paraId="72BF9C51" w14:textId="7F490CC1" w:rsidR="007A4E25" w:rsidRPr="008049CA" w:rsidRDefault="007A4E25">
      <w:pPr>
        <w:rPr>
          <w:i/>
          <w:iCs/>
          <w:color w:val="4472C4" w:themeColor="accent1"/>
        </w:rPr>
      </w:pPr>
      <w:r w:rsidRPr="008049CA">
        <w:rPr>
          <w:i/>
          <w:iCs/>
          <w:color w:val="4472C4" w:themeColor="accent1"/>
        </w:rPr>
        <w:t>Institutional HR practices.</w:t>
      </w:r>
    </w:p>
    <w:p w14:paraId="0D400E1A" w14:textId="1171AE3F" w:rsidR="001914D9" w:rsidRDefault="000F3020">
      <w:r>
        <w:t xml:space="preserve">Universities correctly </w:t>
      </w:r>
      <w:r w:rsidR="00FE2EB8">
        <w:t>establish</w:t>
      </w:r>
      <w:r>
        <w:t xml:space="preserve"> a high bar </w:t>
      </w:r>
      <w:r w:rsidR="00FE2EB8">
        <w:t>for</w:t>
      </w:r>
      <w:r>
        <w:t xml:space="preserve"> recruitment and selection </w:t>
      </w:r>
      <w:r w:rsidR="00A87597">
        <w:t>to</w:t>
      </w:r>
      <w:r>
        <w:t xml:space="preserve"> continuing academic and professional staff roles, with lower bars (or no bars) for entry to short term fixed term and casual roles</w:t>
      </w:r>
      <w:r w:rsidR="008E064E">
        <w:t xml:space="preserve"> </w:t>
      </w:r>
      <w:proofErr w:type="gramStart"/>
      <w:r w:rsidR="00DE3053">
        <w:t xml:space="preserve">where </w:t>
      </w:r>
      <w:r w:rsidR="008E064E">
        <w:t xml:space="preserve"> decisions</w:t>
      </w:r>
      <w:proofErr w:type="gramEnd"/>
      <w:r w:rsidR="00DE3053">
        <w:t xml:space="preserve"> are</w:t>
      </w:r>
      <w:r w:rsidR="00FE2EB8">
        <w:t xml:space="preserve"> usually undertaken at a local level.  This facilitates flexibility but </w:t>
      </w:r>
      <w:r w:rsidR="008E064E">
        <w:t>will continue to be</w:t>
      </w:r>
      <w:r w:rsidR="00FE2EB8">
        <w:t xml:space="preserve"> used to avoid the perceived bureaucracy and</w:t>
      </w:r>
      <w:r w:rsidR="008E064E">
        <w:t xml:space="preserve"> inevitable</w:t>
      </w:r>
      <w:r w:rsidR="00FE2EB8">
        <w:t xml:space="preserve"> time delays of more formal </w:t>
      </w:r>
      <w:r w:rsidR="00DE3053">
        <w:t xml:space="preserve">recruitment </w:t>
      </w:r>
      <w:r w:rsidR="00FE2EB8">
        <w:t>processes.</w:t>
      </w:r>
    </w:p>
    <w:p w14:paraId="2046B0F6" w14:textId="3D28291B" w:rsidR="000F3020" w:rsidRPr="008049CA" w:rsidRDefault="000F3020">
      <w:pPr>
        <w:rPr>
          <w:b/>
          <w:bCs/>
          <w:color w:val="4472C4" w:themeColor="accent1"/>
        </w:rPr>
      </w:pPr>
      <w:r w:rsidRPr="008049CA">
        <w:rPr>
          <w:b/>
          <w:bCs/>
          <w:color w:val="4472C4" w:themeColor="accent1"/>
        </w:rPr>
        <w:t>Attempts to limit the extent of the casual academic workforce.</w:t>
      </w:r>
    </w:p>
    <w:p w14:paraId="0E2E1BDD" w14:textId="1935D131" w:rsidR="00304C2E" w:rsidRDefault="007A4E25">
      <w:r>
        <w:t>Since</w:t>
      </w:r>
      <w:r w:rsidR="00AE7E74">
        <w:t xml:space="preserve"> the</w:t>
      </w:r>
      <w:r>
        <w:t xml:space="preserve"> early</w:t>
      </w:r>
      <w:r w:rsidR="00AE7E74">
        <w:t xml:space="preserve"> 1990s</w:t>
      </w:r>
      <w:r w:rsidR="00A87597">
        <w:t xml:space="preserve"> i</w:t>
      </w:r>
      <w:r w:rsidR="00AE7E74">
        <w:t>n a range of enterprise</w:t>
      </w:r>
      <w:r w:rsidR="008C66A4">
        <w:t xml:space="preserve"> </w:t>
      </w:r>
      <w:proofErr w:type="gramStart"/>
      <w:r w:rsidR="008C66A4">
        <w:t xml:space="preserve">bargaining </w:t>
      </w:r>
      <w:r w:rsidR="00AE7E74">
        <w:t xml:space="preserve"> agreements</w:t>
      </w:r>
      <w:proofErr w:type="gramEnd"/>
      <w:r w:rsidR="008C66A4">
        <w:t xml:space="preserve"> (EBA)</w:t>
      </w:r>
      <w:r w:rsidR="00AE7E74">
        <w:t xml:space="preserve">, universities and the NTEU have agreed on measures designed to curb the </w:t>
      </w:r>
      <w:r>
        <w:t>extent</w:t>
      </w:r>
      <w:r w:rsidR="00AE7E74">
        <w:t xml:space="preserve"> of casualisation. These include </w:t>
      </w:r>
      <w:r w:rsidR="008C66A4">
        <w:t>agreements to abide by ratios</w:t>
      </w:r>
      <w:r w:rsidR="00AE7E74">
        <w:t xml:space="preserve"> of casuals to continuing and fixed term </w:t>
      </w:r>
      <w:r w:rsidR="00247C3D">
        <w:t>staff, casual</w:t>
      </w:r>
      <w:r w:rsidR="00AE7E74">
        <w:t xml:space="preserve"> conversion clauses, creation of a limited number of fixed term or ongoing roles open only to existing casual staff and creation of a range of continuing roles on small time fractions. Nearly 30 </w:t>
      </w:r>
      <w:r w:rsidR="00247C3D">
        <w:t>years’ experience</w:t>
      </w:r>
      <w:r w:rsidR="00AE7E74">
        <w:t xml:space="preserve"> attest to the failure of a regulatory approach.</w:t>
      </w:r>
    </w:p>
    <w:p w14:paraId="10E2B22E" w14:textId="1D19D3C3" w:rsidR="00AE7E74" w:rsidRPr="00A87597" w:rsidRDefault="00A87597">
      <w:pPr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>Should alternative approaches to academic employment be considered within the Accord?</w:t>
      </w:r>
    </w:p>
    <w:p w14:paraId="3E14857B" w14:textId="41A504E8" w:rsidR="00A87597" w:rsidRDefault="00D212F4">
      <w:r>
        <w:t xml:space="preserve">While there is a general concern over the extent and implications of academic casualisation, there have been few suggestions, </w:t>
      </w:r>
      <w:r w:rsidR="008E064E">
        <w:t>other than</w:t>
      </w:r>
      <w:r>
        <w:t xml:space="preserve"> </w:t>
      </w:r>
      <w:r w:rsidR="00304C2E">
        <w:t>initiatives to increase</w:t>
      </w:r>
      <w:r w:rsidR="00487ADD">
        <w:t xml:space="preserve"> </w:t>
      </w:r>
      <w:r w:rsidR="00247C3D">
        <w:t>regulation either</w:t>
      </w:r>
      <w:r>
        <w:t xml:space="preserve"> though EBAs or by individual employers. </w:t>
      </w:r>
      <w:r w:rsidR="008C66A4">
        <w:t>Many</w:t>
      </w:r>
      <w:r w:rsidR="008E064E">
        <w:t xml:space="preserve"> institutions</w:t>
      </w:r>
      <w:r w:rsidR="00962678">
        <w:t xml:space="preserve"> have actively sought to improve administrative and </w:t>
      </w:r>
      <w:r w:rsidR="00247C3D">
        <w:t>decision-making</w:t>
      </w:r>
      <w:r w:rsidR="00962678">
        <w:t xml:space="preserve"> processes</w:t>
      </w:r>
      <w:r w:rsidR="008C66A4">
        <w:t xml:space="preserve">, </w:t>
      </w:r>
      <w:proofErr w:type="gramStart"/>
      <w:r w:rsidR="008C66A4">
        <w:t>and,</w:t>
      </w:r>
      <w:proofErr w:type="gramEnd"/>
      <w:r w:rsidR="008C66A4">
        <w:t xml:space="preserve"> a</w:t>
      </w:r>
      <w:r w:rsidR="00A87597">
        <w:t xml:space="preserve">s mentioned above, others have attempted through creation of structures such as the Newcastle Academy to provide career and other support.  </w:t>
      </w:r>
    </w:p>
    <w:p w14:paraId="487B6C3A" w14:textId="572B793E" w:rsidR="00304C2E" w:rsidRDefault="00304C2E">
      <w:r>
        <w:t>The difficult but unanswered question is whether there are better ways to manage the nations’ academic teaching needs</w:t>
      </w:r>
      <w:r w:rsidR="008C66A4">
        <w:t xml:space="preserve"> in a flexible manner</w:t>
      </w:r>
      <w:r>
        <w:t xml:space="preserve"> and at the same time to be fairer to</w:t>
      </w:r>
      <w:r w:rsidR="00DE3053">
        <w:t xml:space="preserve"> the</w:t>
      </w:r>
      <w:r>
        <w:t xml:space="preserve"> individuals concerned</w:t>
      </w:r>
      <w:r w:rsidR="00A87597">
        <w:t xml:space="preserve">? There are no simple </w:t>
      </w:r>
      <w:r w:rsidR="008E064E">
        <w:t>solutions</w:t>
      </w:r>
      <w:r w:rsidR="00247C3D">
        <w:t xml:space="preserve">, but </w:t>
      </w:r>
      <w:r w:rsidR="008C66A4">
        <w:t>it is suggested that the AUA is one of the few venues where a discussion might occur.</w:t>
      </w:r>
    </w:p>
    <w:p w14:paraId="25764AC3" w14:textId="02D33E2E" w:rsidR="00AE7E74" w:rsidRDefault="00962678">
      <w:r>
        <w:t xml:space="preserve"> With </w:t>
      </w:r>
      <w:r w:rsidR="00D212F4">
        <w:t xml:space="preserve">the caveat that the detailed composition of the casual academic workforce needs to be better understood before any significant change could be </w:t>
      </w:r>
      <w:r w:rsidR="00DE3053">
        <w:t>contemplated</w:t>
      </w:r>
      <w:r w:rsidR="00247C3D">
        <w:t xml:space="preserve">, the following are </w:t>
      </w:r>
      <w:r w:rsidR="008C66A4">
        <w:t xml:space="preserve">possible approaches which might be considered. </w:t>
      </w:r>
    </w:p>
    <w:p w14:paraId="016B0CD2" w14:textId="6BB77B47" w:rsidR="00D212F4" w:rsidRDefault="00D212F4">
      <w:r w:rsidRPr="001D38C6">
        <w:rPr>
          <w:i/>
          <w:iCs/>
          <w:color w:val="4472C4" w:themeColor="accent1"/>
        </w:rPr>
        <w:t xml:space="preserve">Develop </w:t>
      </w:r>
      <w:r w:rsidR="00247C3D">
        <w:rPr>
          <w:i/>
          <w:iCs/>
          <w:color w:val="4472C4" w:themeColor="accent1"/>
        </w:rPr>
        <w:t>an alternate</w:t>
      </w:r>
      <w:r w:rsidRPr="001D38C6">
        <w:rPr>
          <w:i/>
          <w:iCs/>
          <w:color w:val="4472C4" w:themeColor="accent1"/>
        </w:rPr>
        <w:t xml:space="preserve"> approach to engagement/ employment of</w:t>
      </w:r>
      <w:r w:rsidR="00247C3D">
        <w:rPr>
          <w:i/>
          <w:iCs/>
          <w:color w:val="4472C4" w:themeColor="accent1"/>
        </w:rPr>
        <w:t xml:space="preserve"> research higher degree</w:t>
      </w:r>
      <w:r w:rsidRPr="001D38C6">
        <w:rPr>
          <w:color w:val="4472C4" w:themeColor="accent1"/>
        </w:rPr>
        <w:t xml:space="preserve"> </w:t>
      </w:r>
      <w:r>
        <w:t xml:space="preserve">students which incorporates their </w:t>
      </w:r>
      <w:r w:rsidRPr="001D38C6">
        <w:t xml:space="preserve">current </w:t>
      </w:r>
      <w:r w:rsidR="00BB2526" w:rsidRPr="001D38C6">
        <w:t>stipend</w:t>
      </w:r>
      <w:r w:rsidRPr="001D38C6">
        <w:t xml:space="preserve"> </w:t>
      </w:r>
      <w:r w:rsidR="007B46CF">
        <w:t xml:space="preserve">scholarship </w:t>
      </w:r>
      <w:r w:rsidRPr="001D38C6">
        <w:t>with</w:t>
      </w:r>
      <w:r w:rsidR="00BB2526" w:rsidRPr="001D38C6">
        <w:t xml:space="preserve"> an</w:t>
      </w:r>
      <w:r w:rsidRPr="001D38C6">
        <w:t xml:space="preserve"> employment</w:t>
      </w:r>
      <w:r w:rsidR="00BB2526" w:rsidRPr="001D38C6">
        <w:t xml:space="preserve"> relationship with the university</w:t>
      </w:r>
      <w:r w:rsidR="00247C3D">
        <w:t xml:space="preserve"> which entitles them to regular work </w:t>
      </w:r>
      <w:proofErr w:type="gramStart"/>
      <w:r w:rsidR="00247C3D">
        <w:t>( within</w:t>
      </w:r>
      <w:proofErr w:type="gramEnd"/>
      <w:r w:rsidR="00247C3D">
        <w:t xml:space="preserve"> stipulated limits). </w:t>
      </w:r>
    </w:p>
    <w:p w14:paraId="723EAA8C" w14:textId="0BD5D694" w:rsidR="00247C3D" w:rsidRDefault="00247C3D">
      <w:r>
        <w:t xml:space="preserve">Change the current industrial settings by </w:t>
      </w:r>
      <w:r w:rsidRPr="001D38C6">
        <w:rPr>
          <w:i/>
          <w:iCs/>
          <w:color w:val="4472C4" w:themeColor="accent1"/>
        </w:rPr>
        <w:t>eliminating the limitation on fixed term appointments</w:t>
      </w:r>
      <w:r w:rsidRPr="001D38C6">
        <w:rPr>
          <w:color w:val="4472C4" w:themeColor="accent1"/>
        </w:rPr>
        <w:t xml:space="preserve"> </w:t>
      </w:r>
      <w:r>
        <w:t xml:space="preserve">for teaching and reinstate the former Tutor range, allowing for </w:t>
      </w:r>
      <w:proofErr w:type="gramStart"/>
      <w:r>
        <w:t>3 year</w:t>
      </w:r>
      <w:proofErr w:type="gramEnd"/>
      <w:r>
        <w:t xml:space="preserve"> appointments for early career academics.</w:t>
      </w:r>
    </w:p>
    <w:p w14:paraId="46205500" w14:textId="01E0D10A" w:rsidR="008E064E" w:rsidRPr="001D38C6" w:rsidRDefault="008E064E">
      <w:pPr>
        <w:rPr>
          <w:color w:val="4472C4" w:themeColor="accent1"/>
        </w:rPr>
      </w:pPr>
      <w:r w:rsidRPr="007B46CF">
        <w:rPr>
          <w:i/>
          <w:iCs/>
          <w:color w:val="4472C4" w:themeColor="accent1"/>
        </w:rPr>
        <w:t>Determine the true cost of academic casual employment</w:t>
      </w:r>
      <w:r w:rsidRPr="008E064E">
        <w:rPr>
          <w:color w:val="4472C4" w:themeColor="accent1"/>
        </w:rPr>
        <w:t xml:space="preserve"> </w:t>
      </w:r>
      <w:r>
        <w:t>in particular looking at the</w:t>
      </w:r>
      <w:r w:rsidR="00247C3D">
        <w:t xml:space="preserve"> overall</w:t>
      </w:r>
      <w:r>
        <w:t xml:space="preserve"> cost of supervision, administration and </w:t>
      </w:r>
      <w:proofErr w:type="gramStart"/>
      <w:r>
        <w:t>management</w:t>
      </w:r>
      <w:r w:rsidR="00247C3D">
        <w:t xml:space="preserve"> </w:t>
      </w:r>
      <w:r>
        <w:t xml:space="preserve"> of</w:t>
      </w:r>
      <w:proofErr w:type="gramEnd"/>
      <w:r>
        <w:t xml:space="preserve"> large cohorts of </w:t>
      </w:r>
      <w:r w:rsidR="00247C3D">
        <w:t xml:space="preserve">casual </w:t>
      </w:r>
      <w:r>
        <w:t>staff.</w:t>
      </w:r>
    </w:p>
    <w:p w14:paraId="0926D10A" w14:textId="3D7B0F36" w:rsidR="003E7743" w:rsidRDefault="00BB2526">
      <w:r w:rsidRPr="001D38C6">
        <w:rPr>
          <w:color w:val="4472C4" w:themeColor="accent1"/>
        </w:rPr>
        <w:t xml:space="preserve">Attempt to reduce </w:t>
      </w:r>
      <w:r w:rsidR="001D38C6">
        <w:rPr>
          <w:color w:val="4472C4" w:themeColor="accent1"/>
        </w:rPr>
        <w:t xml:space="preserve">job </w:t>
      </w:r>
      <w:r w:rsidRPr="001D38C6">
        <w:rPr>
          <w:color w:val="4472C4" w:themeColor="accent1"/>
        </w:rPr>
        <w:t xml:space="preserve">insecurity.  </w:t>
      </w:r>
      <w:r w:rsidR="003E7743">
        <w:t xml:space="preserve">Climate </w:t>
      </w:r>
      <w:r w:rsidR="001D38C6">
        <w:t>surveys</w:t>
      </w:r>
      <w:r w:rsidR="003E7743">
        <w:t xml:space="preserve"> suggest that casual academics like the work that they do however are concerned over insecurity and pay. </w:t>
      </w:r>
      <w:r w:rsidR="001D38C6">
        <w:t>Many casuals</w:t>
      </w:r>
      <w:r>
        <w:t xml:space="preserve"> </w:t>
      </w:r>
      <w:r w:rsidR="001D38C6">
        <w:t xml:space="preserve">work </w:t>
      </w:r>
      <w:r w:rsidR="00247C3D">
        <w:t xml:space="preserve">across </w:t>
      </w:r>
      <w:r w:rsidR="00DE3053">
        <w:t xml:space="preserve">several </w:t>
      </w:r>
      <w:r w:rsidR="00247C3D">
        <w:t>institutions</w:t>
      </w:r>
      <w:r>
        <w:t xml:space="preserve">. </w:t>
      </w:r>
      <w:r w:rsidR="003E7743">
        <w:t xml:space="preserve">  One option is for institutions to share risk </w:t>
      </w:r>
      <w:r w:rsidR="00247C3D">
        <w:t xml:space="preserve">and ensure quality </w:t>
      </w:r>
      <w:r w:rsidR="003E7743">
        <w:t>by establishing</w:t>
      </w:r>
      <w:r w:rsidR="00D212F4">
        <w:t xml:space="preserve"> a </w:t>
      </w:r>
      <w:r w:rsidR="003E7743">
        <w:t>national university owned organisation (</w:t>
      </w:r>
      <w:proofErr w:type="gramStart"/>
      <w:r w:rsidR="003E7743">
        <w:t>similar to</w:t>
      </w:r>
      <w:proofErr w:type="gramEnd"/>
      <w:r w:rsidR="003E7743">
        <w:t xml:space="preserve"> </w:t>
      </w:r>
      <w:r w:rsidR="00962678">
        <w:t>UniSuper</w:t>
      </w:r>
      <w:r w:rsidR="003E7743">
        <w:t xml:space="preserve">) </w:t>
      </w:r>
      <w:r w:rsidR="00D212F4">
        <w:t xml:space="preserve">which </w:t>
      </w:r>
      <w:r w:rsidR="003E7743">
        <w:t>recruits, employs and develops</w:t>
      </w:r>
      <w:r w:rsidR="00247C3D">
        <w:t xml:space="preserve"> academic staff</w:t>
      </w:r>
      <w:r w:rsidR="003E7743">
        <w:t xml:space="preserve"> on a continuing or fixe</w:t>
      </w:r>
      <w:r w:rsidR="003F3906">
        <w:t>d</w:t>
      </w:r>
      <w:r w:rsidR="003E7743">
        <w:t xml:space="preserve"> term </w:t>
      </w:r>
      <w:r w:rsidR="00247C3D">
        <w:t xml:space="preserve">basis. </w:t>
      </w:r>
      <w:r>
        <w:t xml:space="preserve">  </w:t>
      </w:r>
      <w:proofErr w:type="gramStart"/>
      <w:r>
        <w:t xml:space="preserve">As </w:t>
      </w:r>
      <w:r w:rsidR="001D38C6">
        <w:t>a mandated</w:t>
      </w:r>
      <w:r>
        <w:t xml:space="preserve"> labour hire company, the staff</w:t>
      </w:r>
      <w:proofErr w:type="gramEnd"/>
      <w:r>
        <w:t xml:space="preserve"> employed by </w:t>
      </w:r>
      <w:r>
        <w:lastRenderedPageBreak/>
        <w:t xml:space="preserve">the entity </w:t>
      </w:r>
      <w:r w:rsidR="00247C3D">
        <w:t>would be</w:t>
      </w:r>
      <w:r>
        <w:t xml:space="preserve"> </w:t>
      </w:r>
      <w:r w:rsidR="00962678">
        <w:t xml:space="preserve">contracted </w:t>
      </w:r>
      <w:r w:rsidR="00247C3D">
        <w:t>to universities</w:t>
      </w:r>
      <w:r w:rsidR="00962678">
        <w:t xml:space="preserve"> as a service</w:t>
      </w:r>
      <w:r>
        <w:t xml:space="preserve"> to undertake academic duties</w:t>
      </w:r>
      <w:r w:rsidR="00247C3D">
        <w:t xml:space="preserve"> for specific periods. </w:t>
      </w:r>
      <w:r w:rsidR="00962678">
        <w:t xml:space="preserve">  </w:t>
      </w:r>
    </w:p>
    <w:p w14:paraId="4C5106E2" w14:textId="2C0AD446" w:rsidR="003F3906" w:rsidRDefault="003F3906">
      <w:r w:rsidRPr="001D38C6">
        <w:rPr>
          <w:i/>
          <w:iCs/>
          <w:color w:val="4472C4" w:themeColor="accent1"/>
        </w:rPr>
        <w:t xml:space="preserve">Create a new form of engagement for staff allowing regular payments across a year, </w:t>
      </w:r>
      <w:r>
        <w:t xml:space="preserve">but requiring a work pattern which allows for </w:t>
      </w:r>
      <w:r w:rsidR="00962678">
        <w:t>periods of high activity at key times of a year, eg. Marking at the end of semesters.</w:t>
      </w:r>
    </w:p>
    <w:p w14:paraId="7F7FEC55" w14:textId="7F21A93D" w:rsidR="001D38C6" w:rsidRDefault="001D38C6"/>
    <w:p w14:paraId="3D5DF88F" w14:textId="77777777" w:rsidR="003F3906" w:rsidRDefault="003F3906"/>
    <w:p w14:paraId="7187DFAB" w14:textId="4536C33B" w:rsidR="00D212F4" w:rsidRDefault="00D212F4"/>
    <w:sectPr w:rsidR="00D212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8A988" w14:textId="77777777" w:rsidR="007C7EDD" w:rsidRDefault="007C7EDD" w:rsidP="003E7743">
      <w:pPr>
        <w:spacing w:after="0" w:line="240" w:lineRule="auto"/>
      </w:pPr>
      <w:r>
        <w:separator/>
      </w:r>
    </w:p>
  </w:endnote>
  <w:endnote w:type="continuationSeparator" w:id="0">
    <w:p w14:paraId="55552174" w14:textId="77777777" w:rsidR="007C7EDD" w:rsidRDefault="007C7EDD" w:rsidP="003E7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EBE87" w14:textId="77777777" w:rsidR="007C7EDD" w:rsidRDefault="007C7EDD" w:rsidP="003E7743">
      <w:pPr>
        <w:spacing w:after="0" w:line="240" w:lineRule="auto"/>
      </w:pPr>
      <w:r>
        <w:separator/>
      </w:r>
    </w:p>
  </w:footnote>
  <w:footnote w:type="continuationSeparator" w:id="0">
    <w:p w14:paraId="679192C5" w14:textId="77777777" w:rsidR="007C7EDD" w:rsidRDefault="007C7EDD" w:rsidP="003E7743">
      <w:pPr>
        <w:spacing w:after="0" w:line="240" w:lineRule="auto"/>
      </w:pPr>
      <w:r>
        <w:continuationSeparator/>
      </w:r>
    </w:p>
  </w:footnote>
  <w:footnote w:id="1">
    <w:p w14:paraId="3F5931A2" w14:textId="5B8DC4E3" w:rsidR="003E7743" w:rsidRPr="00A00E12" w:rsidRDefault="003E7743" w:rsidP="00A00E12">
      <w:pPr>
        <w:spacing w:after="120"/>
        <w:jc w:val="center"/>
        <w:rPr>
          <w:rFonts w:ascii="Calibri" w:hAnsi="Calibri" w:cs="Calibri"/>
          <w:sz w:val="28"/>
          <w:szCs w:val="28"/>
        </w:rPr>
      </w:pPr>
      <w:r>
        <w:rPr>
          <w:rStyle w:val="FootnoteReference"/>
        </w:rPr>
        <w:footnoteRef/>
      </w:r>
      <w:r>
        <w:t xml:space="preserve"> </w:t>
      </w:r>
      <w:r w:rsidRPr="003E7743">
        <w:rPr>
          <w:rFonts w:ascii="Calibri" w:hAnsi="Calibri" w:cs="Calibri"/>
          <w:sz w:val="20"/>
          <w:szCs w:val="20"/>
        </w:rPr>
        <w:t>Elizabeth Baré, Janet Beard and Teresa Tjia</w:t>
      </w:r>
      <w:r w:rsidR="00487ADD">
        <w:rPr>
          <w:rStyle w:val="FootnoteReference"/>
          <w:rFonts w:ascii="Calibri" w:hAnsi="Calibri" w:cs="Calibri"/>
          <w:sz w:val="20"/>
          <w:szCs w:val="20"/>
        </w:rPr>
        <w:t xml:space="preserve"> </w:t>
      </w:r>
      <w:r w:rsidRPr="003E7743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lang w:eastAsia="en-GB"/>
        </w:rPr>
        <w:t xml:space="preserve">What happened to casual academic staff in Australian </w:t>
      </w:r>
      <w:r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lang w:eastAsia="en-GB"/>
        </w:rPr>
        <w:t xml:space="preserve">public </w:t>
      </w:r>
      <w:r w:rsidRPr="003E7743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lang w:eastAsia="en-GB"/>
        </w:rPr>
        <w:t xml:space="preserve">universities in </w:t>
      </w:r>
      <w:proofErr w:type="gramStart"/>
      <w:r w:rsidRPr="003E7743">
        <w:rPr>
          <w:rFonts w:ascii="Calibri" w:hAnsi="Calibri" w:cs="Calibri"/>
          <w:b/>
          <w:bCs/>
          <w:sz w:val="20"/>
          <w:szCs w:val="20"/>
        </w:rPr>
        <w:t>2020</w:t>
      </w:r>
      <w:r w:rsidRPr="003E7743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lang w:eastAsia="en-GB"/>
        </w:rPr>
        <w:t>?</w:t>
      </w:r>
      <w:r w:rsidR="00487ADD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lang w:eastAsia="en-GB"/>
        </w:rPr>
        <w:t>.</w:t>
      </w:r>
      <w:proofErr w:type="gramEnd"/>
      <w:r w:rsidR="00487ADD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lang w:eastAsia="en-GB"/>
        </w:rPr>
        <w:t xml:space="preserve"> </w:t>
      </w:r>
      <w:r w:rsidR="00487ADD" w:rsidRPr="00487ADD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lang w:eastAsia="en-GB"/>
        </w:rPr>
        <w:t>https://melbourne-cshe.unimelb.edu.au/publications/occasional-paper-series</w:t>
      </w:r>
    </w:p>
  </w:footnote>
  <w:footnote w:id="2">
    <w:p w14:paraId="19BFEC17" w14:textId="12DE4C23" w:rsidR="007732A1" w:rsidRDefault="007732A1">
      <w:pPr>
        <w:pStyle w:val="FootnoteText"/>
      </w:pPr>
      <w:r>
        <w:rPr>
          <w:rStyle w:val="FootnoteReference"/>
        </w:rPr>
        <w:footnoteRef/>
      </w:r>
      <w:r>
        <w:t xml:space="preserve"> Teaching Only academic staff consisted of 26% of the total FTE academic staff, but 69% of Teaching Only staff were casual.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01"/>
    <w:rsid w:val="000F3020"/>
    <w:rsid w:val="001914D9"/>
    <w:rsid w:val="001D38C6"/>
    <w:rsid w:val="00247C3D"/>
    <w:rsid w:val="00304C2E"/>
    <w:rsid w:val="003E7743"/>
    <w:rsid w:val="003F3906"/>
    <w:rsid w:val="00487ADD"/>
    <w:rsid w:val="00653994"/>
    <w:rsid w:val="006C7E72"/>
    <w:rsid w:val="007732A1"/>
    <w:rsid w:val="007A4E25"/>
    <w:rsid w:val="007B46CF"/>
    <w:rsid w:val="007C7EDD"/>
    <w:rsid w:val="007E2784"/>
    <w:rsid w:val="008049CA"/>
    <w:rsid w:val="008C66A4"/>
    <w:rsid w:val="008E064E"/>
    <w:rsid w:val="00962678"/>
    <w:rsid w:val="00A00E12"/>
    <w:rsid w:val="00A72601"/>
    <w:rsid w:val="00A87597"/>
    <w:rsid w:val="00AE7E74"/>
    <w:rsid w:val="00B45ECE"/>
    <w:rsid w:val="00BB2526"/>
    <w:rsid w:val="00C10D87"/>
    <w:rsid w:val="00D212F4"/>
    <w:rsid w:val="00DE3053"/>
    <w:rsid w:val="00F02F21"/>
    <w:rsid w:val="00F2542A"/>
    <w:rsid w:val="00FE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B770B"/>
  <w15:chartTrackingRefBased/>
  <w15:docId w15:val="{B61ACA48-78B0-472E-9E20-B3B7A5C8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14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E7743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743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E7743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914D9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  <w14:ligatures w14:val="none"/>
    </w:rPr>
  </w:style>
  <w:style w:type="character" w:customStyle="1" w:styleId="authors">
    <w:name w:val="authors"/>
    <w:basedOn w:val="DefaultParagraphFont"/>
    <w:rsid w:val="001914D9"/>
  </w:style>
  <w:style w:type="character" w:styleId="Hyperlink">
    <w:name w:val="Hyperlink"/>
    <w:basedOn w:val="DefaultParagraphFont"/>
    <w:uiPriority w:val="99"/>
    <w:semiHidden/>
    <w:unhideWhenUsed/>
    <w:rsid w:val="001914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91C7B-107B-4FD6-9214-EBBA2BC61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Bare</dc:creator>
  <cp:keywords/>
  <dc:description/>
  <cp:lastModifiedBy>MACKEY,Drew</cp:lastModifiedBy>
  <cp:revision>2</cp:revision>
  <dcterms:created xsi:type="dcterms:W3CDTF">2023-04-11T22:49:00Z</dcterms:created>
  <dcterms:modified xsi:type="dcterms:W3CDTF">2023-04-11T22:49:00Z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2023-04-11T22:49:29Z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100941d2-f4b1-4752-a1a9-4d851a7ef6a1</vt:lpwstr>
  </property>
  <property fmtid="{D5CDD505-2E9C-101B-9397-08002B2CF9AE}" pid="8" name="MSIP_Label_79d889eb-932f-4752-8739-64d25806ef64_ContentBits">
    <vt:lpwstr>0</vt:lpwstr>
  </property>
</Properties>
</file>