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0FEA" w14:textId="609D8E94" w:rsidR="00693DDE" w:rsidRDefault="00747FE2">
      <w:r>
        <w:t>Australian Universities Accord</w:t>
      </w:r>
    </w:p>
    <w:p w14:paraId="1773B5A9" w14:textId="58240917" w:rsidR="00F63113" w:rsidRDefault="00F63113"/>
    <w:p w14:paraId="797D89EC" w14:textId="112ED2BB" w:rsidR="00E36830" w:rsidRPr="00FF0C2F" w:rsidRDefault="00FF0C2F">
      <w:pPr>
        <w:rPr>
          <w:b/>
          <w:bCs/>
        </w:rPr>
      </w:pPr>
      <w:r w:rsidRPr="00FF0C2F">
        <w:rPr>
          <w:b/>
          <w:bCs/>
        </w:rPr>
        <w:t>Increasing participation of working age adults in higher education</w:t>
      </w:r>
    </w:p>
    <w:p w14:paraId="733D57CF" w14:textId="77777777" w:rsidR="00E36830" w:rsidRDefault="00E36830"/>
    <w:p w14:paraId="7EE68179" w14:textId="24444F65" w:rsidR="00F63113" w:rsidRDefault="00C96107">
      <w:r>
        <w:t>This response to the discussion paper</w:t>
      </w:r>
      <w:r w:rsidR="00947E36">
        <w:t xml:space="preserve"> focuses on the skill formation and future education/development of working age Australians. As the discussion paper indicates</w:t>
      </w:r>
      <w:r w:rsidR="004A7627">
        <w:t xml:space="preserve"> more needs to be done to include a greater percentage of these Australian adults in</w:t>
      </w:r>
      <w:r w:rsidR="00304840">
        <w:t xml:space="preserve"> higher education. It is clear from data such as that provided through the Program of International Assessment for Adult Competence</w:t>
      </w:r>
      <w:r w:rsidR="00EC1768">
        <w:t xml:space="preserve"> (PIAAC) that all kinds and classifications of Australian workers need to engage in nonroutine problem-solving as part of their</w:t>
      </w:r>
      <w:r w:rsidR="00E8219E">
        <w:t xml:space="preserve"> regular work</w:t>
      </w:r>
      <w:r w:rsidR="006058CF">
        <w:t xml:space="preserve"> (Billett 2015)</w:t>
      </w:r>
      <w:r w:rsidR="00E8219E">
        <w:t>. This kind of problem-solving is that often associated with the outcomes of higher education programs and</w:t>
      </w:r>
      <w:r w:rsidR="00E538C0">
        <w:t xml:space="preserve"> the highest level of that requirement is reported by workers classified as technicians, not the professions.</w:t>
      </w:r>
      <w:r w:rsidR="007E2A9A">
        <w:t xml:space="preserve"> Whether </w:t>
      </w:r>
      <w:proofErr w:type="gramStart"/>
      <w:r w:rsidR="007E2A9A">
        <w:t>all of</w:t>
      </w:r>
      <w:proofErr w:type="gramEnd"/>
      <w:r w:rsidR="007E2A9A">
        <w:t xml:space="preserve"> these kinds and classifications of Australian workers need to participate in higher education is an open question, but</w:t>
      </w:r>
      <w:r w:rsidR="006A11D0">
        <w:t xml:space="preserve"> it indicates the degree by which work requirements (reported in </w:t>
      </w:r>
      <w:r w:rsidR="00F11C76">
        <w:t xml:space="preserve">discussion paper (3.2.1) and ABS </w:t>
      </w:r>
      <w:r w:rsidR="006A11D0">
        <w:t>2011 and 12) indicate</w:t>
      </w:r>
      <w:r w:rsidR="00CD1E68">
        <w:t xml:space="preserve"> that </w:t>
      </w:r>
      <w:r w:rsidR="000978BD">
        <w:t xml:space="preserve">the majority of </w:t>
      </w:r>
      <w:r w:rsidR="00CD1E68">
        <w:t>these workers require the kinds of learning that have been associated with higher education.</w:t>
      </w:r>
    </w:p>
    <w:p w14:paraId="78795847" w14:textId="277D652F" w:rsidR="00C26AFB" w:rsidRDefault="00CD1E68" w:rsidP="001A1C04">
      <w:pPr>
        <w:ind w:firstLine="720"/>
      </w:pPr>
      <w:r>
        <w:t>But, more broadly</w:t>
      </w:r>
      <w:r w:rsidR="00911EE8">
        <w:t>,</w:t>
      </w:r>
      <w:r>
        <w:t xml:space="preserve"> there are good reasons to be more inclusive of working age Australians</w:t>
      </w:r>
      <w:r w:rsidR="00586EA6">
        <w:t xml:space="preserve"> for reasons of:</w:t>
      </w:r>
    </w:p>
    <w:p w14:paraId="1E31EE42" w14:textId="613DD6A6" w:rsidR="00CD1E68" w:rsidRDefault="00C94973" w:rsidP="00F02140">
      <w:pPr>
        <w:ind w:left="720" w:hanging="720"/>
      </w:pPr>
      <w:r>
        <w:rPr>
          <w:u w:val="single"/>
        </w:rPr>
        <w:t xml:space="preserve">access and </w:t>
      </w:r>
      <w:r w:rsidR="00586EA6" w:rsidRPr="00C26AFB">
        <w:rPr>
          <w:u w:val="single"/>
        </w:rPr>
        <w:t>equity</w:t>
      </w:r>
      <w:r w:rsidR="00586EA6">
        <w:t xml:space="preserve"> – making </w:t>
      </w:r>
      <w:r w:rsidR="009E0D52">
        <w:t xml:space="preserve">more </w:t>
      </w:r>
      <w:r w:rsidR="00586EA6">
        <w:t>accessible and relevant</w:t>
      </w:r>
      <w:r w:rsidR="00B67B61">
        <w:t xml:space="preserve"> higher education experiences for these </w:t>
      </w:r>
      <w:proofErr w:type="gramStart"/>
      <w:r w:rsidR="00911EE8">
        <w:t>Australians</w:t>
      </w:r>
      <w:r w:rsidR="00DA73F4">
        <w:t>;</w:t>
      </w:r>
      <w:proofErr w:type="gramEnd"/>
    </w:p>
    <w:p w14:paraId="5DB0EBE8" w14:textId="448BCCC9" w:rsidR="00586EA6" w:rsidRDefault="009E0D52" w:rsidP="00F02140">
      <w:pPr>
        <w:ind w:left="720" w:hanging="720"/>
      </w:pPr>
      <w:r w:rsidRPr="00C26AFB">
        <w:rPr>
          <w:u w:val="single"/>
        </w:rPr>
        <w:t>need</w:t>
      </w:r>
      <w:r w:rsidR="00C26AFB">
        <w:rPr>
          <w:u w:val="single"/>
        </w:rPr>
        <w:t xml:space="preserve"> for employability</w:t>
      </w:r>
      <w:r>
        <w:t xml:space="preserve"> – as the report indicates</w:t>
      </w:r>
      <w:r w:rsidR="00DA73F4">
        <w:t>, those in the contemporary workforce require levels of occupational knowledge commensurate with higher education outcomes</w:t>
      </w:r>
      <w:r w:rsidR="002F2BA7">
        <w:t xml:space="preserve"> to maintain their employability</w:t>
      </w:r>
      <w:r w:rsidR="00CD2BA3">
        <w:t xml:space="preserve">, including their </w:t>
      </w:r>
      <w:proofErr w:type="gramStart"/>
      <w:r w:rsidR="00CD2BA3">
        <w:t>advancement</w:t>
      </w:r>
      <w:r w:rsidR="00DA73F4">
        <w:t>;</w:t>
      </w:r>
      <w:proofErr w:type="gramEnd"/>
    </w:p>
    <w:p w14:paraId="192718DF" w14:textId="2A8E1D61" w:rsidR="00C54116" w:rsidRDefault="00C54116" w:rsidP="00F02140">
      <w:pPr>
        <w:ind w:left="720" w:hanging="720"/>
      </w:pPr>
      <w:r w:rsidRPr="00C26AFB">
        <w:rPr>
          <w:u w:val="single"/>
        </w:rPr>
        <w:t>sovereign capacity</w:t>
      </w:r>
      <w:r>
        <w:t xml:space="preserve"> – given the challenges Australia faces in being more self-reliant</w:t>
      </w:r>
      <w:r w:rsidR="007142E0">
        <w:t xml:space="preserve"> is provisions of goods and services, developing further the </w:t>
      </w:r>
      <w:proofErr w:type="gramStart"/>
      <w:r w:rsidR="007142E0">
        <w:t>capacities</w:t>
      </w:r>
      <w:proofErr w:type="gramEnd"/>
      <w:r w:rsidR="007142E0">
        <w:t xml:space="preserve"> of working age is essential to </w:t>
      </w:r>
      <w:r w:rsidR="00295E7F">
        <w:t xml:space="preserve">address </w:t>
      </w:r>
      <w:r w:rsidR="002733AF">
        <w:t>national sovereign</w:t>
      </w:r>
      <w:r w:rsidR="00D07781">
        <w:t xml:space="preserve"> risk</w:t>
      </w:r>
      <w:r w:rsidR="002733AF">
        <w:t>;</w:t>
      </w:r>
      <w:r w:rsidR="002F2BA7">
        <w:t xml:space="preserve"> and</w:t>
      </w:r>
    </w:p>
    <w:p w14:paraId="23429CB2" w14:textId="4C6B650F" w:rsidR="002F2BA7" w:rsidRDefault="002F2BA7" w:rsidP="00F02140">
      <w:pPr>
        <w:ind w:left="720" w:hanging="720"/>
      </w:pPr>
      <w:r w:rsidRPr="00C26AFB">
        <w:rPr>
          <w:u w:val="single"/>
        </w:rPr>
        <w:t xml:space="preserve">employers </w:t>
      </w:r>
      <w:r>
        <w:t xml:space="preserve">– those will employ </w:t>
      </w:r>
      <w:r w:rsidR="00F02140">
        <w:t xml:space="preserve">increasingly want workers of that kind as indicated in the discussion </w:t>
      </w:r>
      <w:proofErr w:type="gramStart"/>
      <w:r w:rsidR="00F02140">
        <w:t>paper</w:t>
      </w:r>
      <w:proofErr w:type="gramEnd"/>
    </w:p>
    <w:p w14:paraId="008B5528" w14:textId="77777777" w:rsidR="002733AF" w:rsidRDefault="002733AF"/>
    <w:p w14:paraId="22AF64C4" w14:textId="64631B58" w:rsidR="00F63113" w:rsidRDefault="0006530E">
      <w:r>
        <w:t>Yet, as the discussion paper and current ABS data indicates,</w:t>
      </w:r>
      <w:r w:rsidR="002B71A8">
        <w:t xml:space="preserve"> adult </w:t>
      </w:r>
      <w:r w:rsidR="00962699">
        <w:t>Australians</w:t>
      </w:r>
      <w:r w:rsidR="002B71A8">
        <w:t xml:space="preserve"> as they age are </w:t>
      </w:r>
      <w:r w:rsidR="007D63DD">
        <w:t>increasingly less likely to engage in formalised educational provisions such as those provided through universities</w:t>
      </w:r>
      <w:r w:rsidR="002B71A8">
        <w:t>, preferring</w:t>
      </w:r>
      <w:r w:rsidR="008D2EEB">
        <w:t xml:space="preserve"> </w:t>
      </w:r>
      <w:r w:rsidR="00604E90">
        <w:t>non-</w:t>
      </w:r>
      <w:r w:rsidR="008D2EEB">
        <w:t>accredited educational provisions</w:t>
      </w:r>
      <w:r w:rsidR="004C32AC">
        <w:t xml:space="preserve"> </w:t>
      </w:r>
      <w:r w:rsidR="00CD6EB9">
        <w:t>–</w:t>
      </w:r>
      <w:r w:rsidR="004C32AC">
        <w:t xml:space="preserve"> </w:t>
      </w:r>
      <w:r w:rsidR="00CD6EB9">
        <w:t xml:space="preserve">5 million compared to 21.1 participating in programs covered by the AQF </w:t>
      </w:r>
      <w:r w:rsidR="00604E90">
        <w:t>(ABS 2021)</w:t>
      </w:r>
      <w:r w:rsidR="008D2EEB">
        <w:t>.</w:t>
      </w:r>
      <w:r w:rsidR="00B64E92">
        <w:t xml:space="preserve"> Of those, 91% report engaging in these studies </w:t>
      </w:r>
      <w:r w:rsidR="001A1C04">
        <w:t xml:space="preserve">for </w:t>
      </w:r>
      <w:r w:rsidR="00957D69">
        <w:t>improving the skills they need for their job</w:t>
      </w:r>
      <w:r w:rsidR="0059659B">
        <w:t xml:space="preserve">, as opposed to 5% who nominated undertaking that education </w:t>
      </w:r>
      <w:r w:rsidR="000B1BA6">
        <w:t xml:space="preserve">to secure </w:t>
      </w:r>
      <w:r w:rsidR="001A1C04">
        <w:t xml:space="preserve">employment. </w:t>
      </w:r>
      <w:r w:rsidR="008D2EEB">
        <w:t>Noteworthy is that</w:t>
      </w:r>
      <w:r w:rsidR="0017718B">
        <w:t xml:space="preserve"> the</w:t>
      </w:r>
      <w:r w:rsidR="001A1C04">
        <w:t>se adults’</w:t>
      </w:r>
      <w:r w:rsidR="0017718B">
        <w:t xml:space="preserve"> participation in </w:t>
      </w:r>
      <w:r w:rsidR="001A1C04">
        <w:t>university</w:t>
      </w:r>
      <w:r w:rsidR="0059659B">
        <w:t xml:space="preserve"> </w:t>
      </w:r>
      <w:r w:rsidR="0017718B">
        <w:t xml:space="preserve">programs has declined and </w:t>
      </w:r>
      <w:r w:rsidR="00F10BB1">
        <w:t xml:space="preserve">at 60% </w:t>
      </w:r>
      <w:r w:rsidR="00617B62">
        <w:t xml:space="preserve">(this discussion paper) </w:t>
      </w:r>
      <w:r w:rsidR="0017718B">
        <w:t>those in coursework masters represent the lowest</w:t>
      </w:r>
      <w:r w:rsidR="00986D05">
        <w:t xml:space="preserve"> level of participation </w:t>
      </w:r>
      <w:r w:rsidR="00F10BB1">
        <w:t xml:space="preserve">against overseas students </w:t>
      </w:r>
      <w:r w:rsidR="00B64E92">
        <w:t xml:space="preserve">of </w:t>
      </w:r>
      <w:r w:rsidR="00986D05">
        <w:t xml:space="preserve">the three categories of degrees discussed in this </w:t>
      </w:r>
      <w:r w:rsidR="00B64E92">
        <w:t>paper</w:t>
      </w:r>
      <w:r w:rsidR="00604E90">
        <w:t>. Coursework masters could be seen as the most likely professional development degree.</w:t>
      </w:r>
      <w:r w:rsidR="000F4972">
        <w:t xml:space="preserve"> The concerns here are that:</w:t>
      </w:r>
    </w:p>
    <w:p w14:paraId="10692473" w14:textId="07B25501" w:rsidR="000F4972" w:rsidRDefault="00052F81" w:rsidP="00D72EB0">
      <w:pPr>
        <w:pStyle w:val="ListParagraph"/>
        <w:numPr>
          <w:ilvl w:val="0"/>
          <w:numId w:val="1"/>
        </w:numPr>
      </w:pPr>
      <w:r>
        <w:t>t</w:t>
      </w:r>
      <w:r w:rsidR="00D72EB0">
        <w:t xml:space="preserve">hese </w:t>
      </w:r>
      <w:r w:rsidR="00D32966">
        <w:t xml:space="preserve">adults are </w:t>
      </w:r>
      <w:r w:rsidR="00F0524D">
        <w:t xml:space="preserve">not engaging with the expertise and resources </w:t>
      </w:r>
      <w:r w:rsidR="00F31B25">
        <w:t>available in and through</w:t>
      </w:r>
      <w:r w:rsidR="00F0524D">
        <w:t xml:space="preserve"> Australian</w:t>
      </w:r>
      <w:r w:rsidR="00D32966">
        <w:t xml:space="preserve"> </w:t>
      </w:r>
      <w:proofErr w:type="gramStart"/>
      <w:r w:rsidR="00D32966">
        <w:t>universities</w:t>
      </w:r>
      <w:r w:rsidR="00F0524D">
        <w:t>;</w:t>
      </w:r>
      <w:proofErr w:type="gramEnd"/>
    </w:p>
    <w:p w14:paraId="449A8951" w14:textId="0E5DCD32" w:rsidR="00F0524D" w:rsidRDefault="00D4059B" w:rsidP="00D72EB0">
      <w:pPr>
        <w:pStyle w:val="ListParagraph"/>
        <w:numPr>
          <w:ilvl w:val="0"/>
          <w:numId w:val="1"/>
        </w:numPr>
      </w:pPr>
      <w:r>
        <w:t>the cost and duration of these courses may inhibit</w:t>
      </w:r>
      <w:r w:rsidR="00052F81">
        <w:t xml:space="preserve"> participation</w:t>
      </w:r>
      <w:r w:rsidR="00617B62">
        <w:t xml:space="preserve"> in university </w:t>
      </w:r>
      <w:r w:rsidR="00B64E92">
        <w:t>programs</w:t>
      </w:r>
      <w:r w:rsidR="00BC2965">
        <w:t>, particular for part-time</w:t>
      </w:r>
      <w:r w:rsidR="00D32966">
        <w:t xml:space="preserve"> </w:t>
      </w:r>
      <w:proofErr w:type="gramStart"/>
      <w:r w:rsidR="00D32966">
        <w:t>students</w:t>
      </w:r>
      <w:r>
        <w:t>;</w:t>
      </w:r>
      <w:proofErr w:type="gramEnd"/>
    </w:p>
    <w:p w14:paraId="0A83DEBF" w14:textId="36F63908" w:rsidR="0038640F" w:rsidRDefault="00D32966" w:rsidP="00D72EB0">
      <w:pPr>
        <w:pStyle w:val="ListParagraph"/>
        <w:numPr>
          <w:ilvl w:val="0"/>
          <w:numId w:val="1"/>
        </w:numPr>
      </w:pPr>
      <w:r>
        <w:t xml:space="preserve">tertiary education institutions may not be offering the kinds of courses that these adults want to support their </w:t>
      </w:r>
      <w:proofErr w:type="gramStart"/>
      <w:r>
        <w:t>employability;</w:t>
      </w:r>
      <w:proofErr w:type="gramEnd"/>
      <w:r w:rsidR="00565956">
        <w:t xml:space="preserve"> </w:t>
      </w:r>
    </w:p>
    <w:p w14:paraId="0D5923B0" w14:textId="77777777" w:rsidR="00FB0B37" w:rsidRDefault="00D32966" w:rsidP="00D72EB0">
      <w:pPr>
        <w:pStyle w:val="ListParagraph"/>
        <w:numPr>
          <w:ilvl w:val="0"/>
          <w:numId w:val="1"/>
        </w:numPr>
      </w:pPr>
      <w:r>
        <w:t>higher education</w:t>
      </w:r>
      <w:r w:rsidR="00B23A4C">
        <w:t xml:space="preserve"> provisions may not be well aligned with the demands of these adults who balance work, family, community and education </w:t>
      </w:r>
      <w:proofErr w:type="gramStart"/>
      <w:r w:rsidR="00B23A4C">
        <w:t>commitments</w:t>
      </w:r>
      <w:r w:rsidR="0038640F">
        <w:t>;</w:t>
      </w:r>
      <w:proofErr w:type="gramEnd"/>
      <w:r w:rsidR="0038640F">
        <w:t xml:space="preserve"> </w:t>
      </w:r>
    </w:p>
    <w:p w14:paraId="5B08A1E4" w14:textId="07A0DEB7" w:rsidR="00D32966" w:rsidRDefault="00FB0B37" w:rsidP="00D72EB0">
      <w:pPr>
        <w:pStyle w:val="ListParagraph"/>
        <w:numPr>
          <w:ilvl w:val="0"/>
          <w:numId w:val="1"/>
        </w:numPr>
      </w:pPr>
      <w:r>
        <w:t>key reasons for not participating are lack of time and cost</w:t>
      </w:r>
      <w:r w:rsidR="00C76F8C">
        <w:t xml:space="preserve"> (ABS 2021)</w:t>
      </w:r>
      <w:r>
        <w:t xml:space="preserve"> </w:t>
      </w:r>
      <w:r w:rsidR="0038640F">
        <w:t>and</w:t>
      </w:r>
    </w:p>
    <w:p w14:paraId="7C650331" w14:textId="11529AD1" w:rsidR="0038640F" w:rsidRDefault="008600BB" w:rsidP="00D72EB0">
      <w:pPr>
        <w:pStyle w:val="ListParagraph"/>
        <w:numPr>
          <w:ilvl w:val="0"/>
          <w:numId w:val="1"/>
        </w:numPr>
      </w:pPr>
      <w:r>
        <w:t xml:space="preserve">higher </w:t>
      </w:r>
      <w:r w:rsidR="0038640F">
        <w:t xml:space="preserve">education provisions do not </w:t>
      </w:r>
      <w:r>
        <w:t xml:space="preserve">optimally </w:t>
      </w:r>
      <w:r w:rsidR="0038640F">
        <w:t>acknowledge</w:t>
      </w:r>
      <w:r>
        <w:t xml:space="preserve"> or accommodate</w:t>
      </w:r>
      <w:r w:rsidR="00D72EB0">
        <w:t xml:space="preserve"> the occupational learning that occurs in and across these adults working lives.</w:t>
      </w:r>
    </w:p>
    <w:p w14:paraId="2909F8AD" w14:textId="164C4457" w:rsidR="00052F81" w:rsidRDefault="00052F81" w:rsidP="00052F81"/>
    <w:p w14:paraId="06E66C4A" w14:textId="5D6D0032" w:rsidR="00052F81" w:rsidRDefault="00052F81" w:rsidP="00052F81">
      <w:r>
        <w:t>Some suggestions here are as follows:</w:t>
      </w:r>
    </w:p>
    <w:p w14:paraId="39AD69E9" w14:textId="47681BE4" w:rsidR="00052F81" w:rsidRDefault="00FE626E" w:rsidP="00DE0364">
      <w:pPr>
        <w:pStyle w:val="ListParagraph"/>
        <w:numPr>
          <w:ilvl w:val="0"/>
          <w:numId w:val="2"/>
        </w:numPr>
      </w:pPr>
      <w:r>
        <w:t>C</w:t>
      </w:r>
      <w:r w:rsidR="009D1225">
        <w:t xml:space="preserve">onsider the reintroduction of </w:t>
      </w:r>
      <w:proofErr w:type="gramStart"/>
      <w:r w:rsidR="009D1225">
        <w:t>one year</w:t>
      </w:r>
      <w:proofErr w:type="gramEnd"/>
      <w:r w:rsidR="009D1225">
        <w:t xml:space="preserve"> full-time masters (i.e. two years part-time) that were previously popular and redress the</w:t>
      </w:r>
      <w:r w:rsidR="00C444CF">
        <w:t xml:space="preserve"> calamity caused by changing these degrees to 2 years thereby making them twice as expensive and longer thereby</w:t>
      </w:r>
      <w:r w:rsidR="00175BDA">
        <w:t xml:space="preserve"> reducing participation;</w:t>
      </w:r>
    </w:p>
    <w:p w14:paraId="51EA4803" w14:textId="493FB37D" w:rsidR="00DE0364" w:rsidRDefault="00CD2BF1" w:rsidP="00DE0364">
      <w:r>
        <w:lastRenderedPageBreak/>
        <w:t xml:space="preserve">Case study – Griffith used to have a </w:t>
      </w:r>
      <w:proofErr w:type="gramStart"/>
      <w:r w:rsidR="00091C2B">
        <w:t>1</w:t>
      </w:r>
      <w:r>
        <w:t xml:space="preserve"> year</w:t>
      </w:r>
      <w:proofErr w:type="gramEnd"/>
      <w:r>
        <w:t xml:space="preserve"> Master of Training and Development</w:t>
      </w:r>
      <w:r w:rsidR="00091C2B">
        <w:t xml:space="preserve"> degree, which was popular in Australia and Singapore as a 2 year part-time degree for working age adults</w:t>
      </w:r>
      <w:r w:rsidR="00037105">
        <w:t xml:space="preserve"> in that sector</w:t>
      </w:r>
      <w:r w:rsidR="00091C2B">
        <w:t xml:space="preserve">. However, when changes to the </w:t>
      </w:r>
      <w:r w:rsidR="00375A2F">
        <w:t xml:space="preserve">AQF occurred it was required to be </w:t>
      </w:r>
      <w:proofErr w:type="gramStart"/>
      <w:r w:rsidR="00375A2F">
        <w:t>2 year</w:t>
      </w:r>
      <w:proofErr w:type="gramEnd"/>
      <w:r w:rsidR="00375A2F">
        <w:t xml:space="preserve"> ful</w:t>
      </w:r>
      <w:r w:rsidR="000513FE">
        <w:t>l-tim</w:t>
      </w:r>
      <w:r w:rsidR="0057017F">
        <w:t>e</w:t>
      </w:r>
      <w:r w:rsidR="000513FE">
        <w:t xml:space="preserve"> equivalent, which doubled the cost and duration and led to it </w:t>
      </w:r>
      <w:r w:rsidR="0057017F">
        <w:t>being withdrawn because of decline in enrolments.</w:t>
      </w:r>
      <w:r w:rsidR="00091C2B">
        <w:t xml:space="preserve"> </w:t>
      </w:r>
    </w:p>
    <w:p w14:paraId="7986A266" w14:textId="418CD4F1" w:rsidR="00175BDA" w:rsidRDefault="00534605" w:rsidP="00C04DFE">
      <w:pPr>
        <w:pStyle w:val="ListParagraph"/>
        <w:numPr>
          <w:ilvl w:val="0"/>
          <w:numId w:val="2"/>
        </w:numPr>
      </w:pPr>
      <w:r>
        <w:t>C</w:t>
      </w:r>
      <w:r w:rsidR="00D73099">
        <w:t xml:space="preserve">onsider </w:t>
      </w:r>
      <w:r w:rsidR="000D2A28">
        <w:t xml:space="preserve">reducing the cost of </w:t>
      </w:r>
      <w:r>
        <w:t>d</w:t>
      </w:r>
      <w:r w:rsidR="000D2A28">
        <w:t>egrees</w:t>
      </w:r>
      <w:r>
        <w:t xml:space="preserve"> associated with professional development/advancement</w:t>
      </w:r>
      <w:r w:rsidR="000D2A28">
        <w:t xml:space="preserve">, particularly </w:t>
      </w:r>
      <w:r w:rsidR="00D73099">
        <w:t>th</w:t>
      </w:r>
      <w:r w:rsidR="00037105">
        <w:t xml:space="preserve">ose not </w:t>
      </w:r>
      <w:r w:rsidR="000D2A28">
        <w:t>lead</w:t>
      </w:r>
      <w:r w:rsidR="00037105">
        <w:t>ing</w:t>
      </w:r>
      <w:r w:rsidR="000D2A28">
        <w:t xml:space="preserve"> to professional registration</w:t>
      </w:r>
      <w:r w:rsidR="00046C34">
        <w:t xml:space="preserve">, </w:t>
      </w:r>
      <w:r w:rsidR="00D73099">
        <w:t>as there is limited financial incentive to engage in these degree</w:t>
      </w:r>
      <w:r w:rsidR="00C76F8C">
        <w:t>s</w:t>
      </w:r>
      <w:r w:rsidR="005D5AD8">
        <w:t xml:space="preserve">, and </w:t>
      </w:r>
      <w:r w:rsidR="008E49B0">
        <w:t xml:space="preserve">individuals </w:t>
      </w:r>
      <w:r w:rsidR="005D5AD8">
        <w:t>will only do so out o</w:t>
      </w:r>
      <w:r w:rsidR="00C04DFE">
        <w:t>f</w:t>
      </w:r>
      <w:r w:rsidR="005D5AD8">
        <w:t xml:space="preserve"> personal commitment</w:t>
      </w:r>
      <w:r w:rsidR="00037105">
        <w:t>.</w:t>
      </w:r>
    </w:p>
    <w:p w14:paraId="19EBD116" w14:textId="5D4F955E" w:rsidR="00037105" w:rsidRDefault="00037105" w:rsidP="00C04DFE">
      <w:pPr>
        <w:pStyle w:val="ListParagraph"/>
        <w:numPr>
          <w:ilvl w:val="0"/>
          <w:numId w:val="2"/>
        </w:numPr>
      </w:pPr>
      <w:r>
        <w:t xml:space="preserve">Take a critical perspective on micro-credentialling, most working age adults </w:t>
      </w:r>
      <w:r w:rsidR="00427B56">
        <w:t xml:space="preserve">I have </w:t>
      </w:r>
      <w:r w:rsidR="00BD18B5">
        <w:t>surveys</w:t>
      </w:r>
      <w:r w:rsidR="00427B56">
        <w:t xml:space="preserve"> want a qualification of some kind and so nested approaches – </w:t>
      </w:r>
      <w:r w:rsidR="00C76F8C">
        <w:t>g</w:t>
      </w:r>
      <w:r w:rsidR="00427B56">
        <w:t xml:space="preserve">rad cert to </w:t>
      </w:r>
      <w:r w:rsidR="00BD18B5">
        <w:t xml:space="preserve">(shorter) </w:t>
      </w:r>
      <w:proofErr w:type="gramStart"/>
      <w:r w:rsidR="00BD18B5">
        <w:t>masters</w:t>
      </w:r>
      <w:proofErr w:type="gramEnd"/>
      <w:r w:rsidR="00BD18B5">
        <w:t xml:space="preserve"> programs might be worth considering.</w:t>
      </w:r>
    </w:p>
    <w:p w14:paraId="43380B98" w14:textId="199A1B7A" w:rsidR="00BD18B5" w:rsidRDefault="007146C2" w:rsidP="00C04DFE">
      <w:pPr>
        <w:pStyle w:val="ListParagraph"/>
        <w:numPr>
          <w:ilvl w:val="0"/>
          <w:numId w:val="2"/>
        </w:numPr>
      </w:pPr>
      <w:r>
        <w:t>Hybrid provisions of adults’ professional development programs (</w:t>
      </w:r>
      <w:r w:rsidR="0052749C">
        <w:t>i.e.,</w:t>
      </w:r>
      <w:r>
        <w:t xml:space="preserve"> mixture of f2f and online increasing be i</w:t>
      </w:r>
      <w:r w:rsidR="0052749C">
        <w:t>s</w:t>
      </w:r>
      <w:r>
        <w:t xml:space="preserve"> preferred</w:t>
      </w:r>
      <w:r w:rsidR="0052749C">
        <w:t xml:space="preserve"> in terms of accessibility and effectiveness) as </w:t>
      </w:r>
      <w:r w:rsidR="00F44BB4">
        <w:t xml:space="preserve">the evidence indicates that </w:t>
      </w:r>
      <w:r w:rsidR="0052749C">
        <w:t>adults have beco</w:t>
      </w:r>
      <w:r w:rsidR="00534605">
        <w:t>m</w:t>
      </w:r>
      <w:r w:rsidR="0052749C">
        <w:t xml:space="preserve">e familiar with </w:t>
      </w:r>
      <w:r w:rsidR="00534605">
        <w:t xml:space="preserve">electronically mediated educational provisions </w:t>
      </w:r>
      <w:r w:rsidR="0052749C">
        <w:t>(Billett et al 2021)</w:t>
      </w:r>
      <w:r w:rsidR="00534605">
        <w:t>.</w:t>
      </w:r>
    </w:p>
    <w:p w14:paraId="6509B7EA" w14:textId="152BDAA0" w:rsidR="000B1BA6" w:rsidRDefault="0051653D" w:rsidP="00C04DFE">
      <w:pPr>
        <w:pStyle w:val="ListParagraph"/>
        <w:numPr>
          <w:ilvl w:val="0"/>
          <w:numId w:val="2"/>
        </w:numPr>
      </w:pPr>
      <w:r>
        <w:t>University provisions (i.e., modes, timetabling, activities and</w:t>
      </w:r>
      <w:r w:rsidR="003519B1">
        <w:t xml:space="preserve"> </w:t>
      </w:r>
      <w:r>
        <w:t>interactions) might be more aligned to the needs of working adults (</w:t>
      </w:r>
      <w:proofErr w:type="gramStart"/>
      <w:r>
        <w:t>e.g.</w:t>
      </w:r>
      <w:proofErr w:type="gramEnd"/>
      <w:r>
        <w:t xml:space="preserve"> weekend intensives, </w:t>
      </w:r>
      <w:r w:rsidR="003519B1">
        <w:t>on-line engagements during courses</w:t>
      </w:r>
      <w:r w:rsidR="00FB0B37">
        <w:t>.</w:t>
      </w:r>
    </w:p>
    <w:p w14:paraId="4E6EF93A" w14:textId="61353DBC" w:rsidR="00FB0B37" w:rsidRDefault="00DD6E9D" w:rsidP="00C04DFE">
      <w:pPr>
        <w:pStyle w:val="ListParagraph"/>
        <w:numPr>
          <w:ilvl w:val="0"/>
          <w:numId w:val="2"/>
        </w:numPr>
      </w:pPr>
      <w:r>
        <w:t xml:space="preserve">Those provisions shaped by concept of </w:t>
      </w:r>
      <w:r w:rsidR="00F46A8E">
        <w:t>‘</w:t>
      </w:r>
      <w:r>
        <w:t>time jealous</w:t>
      </w:r>
      <w:r w:rsidR="00F46A8E">
        <w:t>’</w:t>
      </w:r>
      <w:r>
        <w:t xml:space="preserve"> students who want relevant pr</w:t>
      </w:r>
      <w:r w:rsidR="00F46A8E">
        <w:t xml:space="preserve">ograms, so optimising </w:t>
      </w:r>
      <w:r w:rsidR="00FE626E">
        <w:t>time and having assessments related to their work practices are options.</w:t>
      </w:r>
    </w:p>
    <w:p w14:paraId="528E3CEC" w14:textId="2B79213A" w:rsidR="00EA4D29" w:rsidRPr="00A9199F" w:rsidRDefault="00A9199F" w:rsidP="00A9199F">
      <w:pPr>
        <w:spacing w:before="120"/>
        <w:rPr>
          <w:b/>
          <w:bCs/>
        </w:rPr>
      </w:pPr>
      <w:r w:rsidRPr="00A9199F">
        <w:rPr>
          <w:b/>
          <w:bCs/>
        </w:rPr>
        <w:t>References</w:t>
      </w:r>
    </w:p>
    <w:p w14:paraId="0A021999" w14:textId="77777777" w:rsidR="00A9199F" w:rsidRPr="007A28EE" w:rsidRDefault="00A9199F" w:rsidP="00A9199F">
      <w:pPr>
        <w:ind w:left="567" w:hanging="567"/>
        <w:rPr>
          <w:rFonts w:cstheme="minorHAnsi"/>
          <w:noProof/>
        </w:rPr>
      </w:pPr>
      <w:bookmarkStart w:id="0" w:name="_Hlk24813831"/>
      <w:r w:rsidRPr="007A28EE">
        <w:rPr>
          <w:rFonts w:cstheme="minorHAnsi"/>
          <w:noProof/>
        </w:rPr>
        <w:t xml:space="preserve">Billett, S (2015) Work, discretion and learning: Processes of learning and development at work, International Journal of Training Research 13 (3): 214-230 </w:t>
      </w:r>
    </w:p>
    <w:bookmarkEnd w:id="0"/>
    <w:p w14:paraId="1FEA2221" w14:textId="486CEECB" w:rsidR="00EA4D29" w:rsidRDefault="00F44BB4" w:rsidP="00EA4D29">
      <w:r w:rsidRPr="00F52388">
        <w:rPr>
          <w:rFonts w:ascii="Calibri" w:hAnsi="Calibri" w:cs="Calibri"/>
          <w:shd w:val="clear" w:color="auto" w:fill="FFFFFF"/>
        </w:rPr>
        <w:t>Billett, S., Leow, A., Chua, S &amp; Le, H A (2022) Changing attitudes about online continuing education and training</w:t>
      </w:r>
      <w:r w:rsidRPr="005A7100">
        <w:rPr>
          <w:rFonts w:cstheme="minorHAnsi"/>
          <w:shd w:val="clear" w:color="auto" w:fill="FFFFFF"/>
        </w:rPr>
        <w:t xml:space="preserve">: A Singapore case study, </w:t>
      </w:r>
      <w:r w:rsidRPr="005A7100">
        <w:rPr>
          <w:rFonts w:cstheme="minorHAnsi"/>
          <w:i/>
          <w:shd w:val="clear" w:color="auto" w:fill="FFFFFF"/>
        </w:rPr>
        <w:t>Journal of Adult and Continuing Education</w:t>
      </w:r>
      <w:r w:rsidRPr="005A7100">
        <w:rPr>
          <w:rFonts w:cstheme="minorHAnsi"/>
          <w:shd w:val="clear" w:color="auto" w:fill="FFFFFF"/>
        </w:rPr>
        <w:t>.</w:t>
      </w:r>
    </w:p>
    <w:sectPr w:rsidR="00EA4D29" w:rsidSect="001C083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7494D" w14:textId="77777777" w:rsidR="0035641B" w:rsidRDefault="0035641B" w:rsidP="0035641B">
      <w:pPr>
        <w:spacing w:line="240" w:lineRule="auto"/>
      </w:pPr>
      <w:r>
        <w:separator/>
      </w:r>
    </w:p>
  </w:endnote>
  <w:endnote w:type="continuationSeparator" w:id="0">
    <w:p w14:paraId="5F2471D6" w14:textId="77777777" w:rsidR="0035641B" w:rsidRDefault="0035641B" w:rsidP="003564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EF0E1" w14:textId="77777777" w:rsidR="0035641B" w:rsidRDefault="0035641B" w:rsidP="0035641B">
      <w:pPr>
        <w:spacing w:line="240" w:lineRule="auto"/>
      </w:pPr>
      <w:r>
        <w:separator/>
      </w:r>
    </w:p>
  </w:footnote>
  <w:footnote w:type="continuationSeparator" w:id="0">
    <w:p w14:paraId="4261BD4C" w14:textId="77777777" w:rsidR="0035641B" w:rsidRDefault="0035641B" w:rsidP="003564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739D"/>
    <w:multiLevelType w:val="hybridMultilevel"/>
    <w:tmpl w:val="E56C20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84618D"/>
    <w:multiLevelType w:val="hybridMultilevel"/>
    <w:tmpl w:val="7248C8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7773540">
    <w:abstractNumId w:val="1"/>
  </w:num>
  <w:num w:numId="2" w16cid:durableId="181294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F39C65E-F7E6-483A-A559-F4B605930DF7}"/>
    <w:docVar w:name="dgnword-eventsink" w:val="604943864"/>
  </w:docVars>
  <w:rsids>
    <w:rsidRoot w:val="00F92B16"/>
    <w:rsid w:val="00037105"/>
    <w:rsid w:val="00046C34"/>
    <w:rsid w:val="000513FE"/>
    <w:rsid w:val="00052F81"/>
    <w:rsid w:val="0006530E"/>
    <w:rsid w:val="00091C2B"/>
    <w:rsid w:val="000978BD"/>
    <w:rsid w:val="000B1BA6"/>
    <w:rsid w:val="000D2A28"/>
    <w:rsid w:val="000F4972"/>
    <w:rsid w:val="00175BDA"/>
    <w:rsid w:val="0017718B"/>
    <w:rsid w:val="001A1C04"/>
    <w:rsid w:val="001C083F"/>
    <w:rsid w:val="002433B8"/>
    <w:rsid w:val="002733AF"/>
    <w:rsid w:val="00295E7F"/>
    <w:rsid w:val="002B71A8"/>
    <w:rsid w:val="002F2BA7"/>
    <w:rsid w:val="00304840"/>
    <w:rsid w:val="003519B1"/>
    <w:rsid w:val="0035641B"/>
    <w:rsid w:val="00375A2F"/>
    <w:rsid w:val="0038640F"/>
    <w:rsid w:val="00427B56"/>
    <w:rsid w:val="004A7627"/>
    <w:rsid w:val="004C32AC"/>
    <w:rsid w:val="0051653D"/>
    <w:rsid w:val="0052749C"/>
    <w:rsid w:val="00534605"/>
    <w:rsid w:val="00565956"/>
    <w:rsid w:val="0057017F"/>
    <w:rsid w:val="00586EA6"/>
    <w:rsid w:val="0059659B"/>
    <w:rsid w:val="005D5AD8"/>
    <w:rsid w:val="00604E90"/>
    <w:rsid w:val="006058CF"/>
    <w:rsid w:val="00617B62"/>
    <w:rsid w:val="00693DDE"/>
    <w:rsid w:val="006A11D0"/>
    <w:rsid w:val="007142E0"/>
    <w:rsid w:val="007146C2"/>
    <w:rsid w:val="00747FE2"/>
    <w:rsid w:val="007D63DD"/>
    <w:rsid w:val="007E2A9A"/>
    <w:rsid w:val="008600BB"/>
    <w:rsid w:val="008D2EEB"/>
    <w:rsid w:val="008E49B0"/>
    <w:rsid w:val="00911EE8"/>
    <w:rsid w:val="00947E36"/>
    <w:rsid w:val="00957D69"/>
    <w:rsid w:val="00962699"/>
    <w:rsid w:val="00986D05"/>
    <w:rsid w:val="009D1225"/>
    <w:rsid w:val="009E0D52"/>
    <w:rsid w:val="00A9199F"/>
    <w:rsid w:val="00B23A4C"/>
    <w:rsid w:val="00B64E92"/>
    <w:rsid w:val="00B67B61"/>
    <w:rsid w:val="00BC2965"/>
    <w:rsid w:val="00BD18B5"/>
    <w:rsid w:val="00C04DFE"/>
    <w:rsid w:val="00C26AFB"/>
    <w:rsid w:val="00C444CF"/>
    <w:rsid w:val="00C54116"/>
    <w:rsid w:val="00C76F8C"/>
    <w:rsid w:val="00C94973"/>
    <w:rsid w:val="00C96107"/>
    <w:rsid w:val="00CD1E68"/>
    <w:rsid w:val="00CD2BA3"/>
    <w:rsid w:val="00CD2BF1"/>
    <w:rsid w:val="00CD6EB9"/>
    <w:rsid w:val="00D07781"/>
    <w:rsid w:val="00D32966"/>
    <w:rsid w:val="00D4059B"/>
    <w:rsid w:val="00D72EB0"/>
    <w:rsid w:val="00D73099"/>
    <w:rsid w:val="00D7397B"/>
    <w:rsid w:val="00DA73F4"/>
    <w:rsid w:val="00DD6E9D"/>
    <w:rsid w:val="00DE0364"/>
    <w:rsid w:val="00E36830"/>
    <w:rsid w:val="00E538C0"/>
    <w:rsid w:val="00E8219E"/>
    <w:rsid w:val="00EA4D29"/>
    <w:rsid w:val="00EC1768"/>
    <w:rsid w:val="00EC3870"/>
    <w:rsid w:val="00F02140"/>
    <w:rsid w:val="00F0524D"/>
    <w:rsid w:val="00F10BB1"/>
    <w:rsid w:val="00F11C76"/>
    <w:rsid w:val="00F31B25"/>
    <w:rsid w:val="00F44BB4"/>
    <w:rsid w:val="00F46A8E"/>
    <w:rsid w:val="00F63113"/>
    <w:rsid w:val="00F92B16"/>
    <w:rsid w:val="00FB0B37"/>
    <w:rsid w:val="00FE626E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A0155"/>
  <w15:chartTrackingRefBased/>
  <w15:docId w15:val="{591B285F-3E79-4260-8619-17CCC7AD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daa4be3-f650-4692-881a-64ae220cbceb}" enabled="1" method="Standard" siteId="{5a7cc8ab-a4dc-4f9b-bf60-66714049ad6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Billett</dc:creator>
  <cp:keywords/>
  <dc:description/>
  <cp:lastModifiedBy>MACKEY,Drew</cp:lastModifiedBy>
  <cp:revision>2</cp:revision>
  <dcterms:created xsi:type="dcterms:W3CDTF">2023-04-11T00:26:00Z</dcterms:created>
  <dcterms:modified xsi:type="dcterms:W3CDTF">2023-04-11T00:26:00Z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2023-04-11T00:26:00Z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5611ab85-a211-4692-b3f1-52cf63741c01</vt:lpwstr>
  </property>
  <property fmtid="{D5CDD505-2E9C-101B-9397-08002B2CF9AE}" pid="8" name="MSIP_Label_79d889eb-932f-4752-8739-64d25806ef64_ContentBits">
    <vt:lpwstr>0</vt:lpwstr>
  </property>
</Properties>
</file>