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C8A3" w14:textId="14B7F01D" w:rsidR="00491B64" w:rsidRPr="00C826F7" w:rsidRDefault="00131918" w:rsidP="000D0A1E">
      <w:pPr>
        <w:spacing w:after="120" w:line="360" w:lineRule="auto"/>
        <w:jc w:val="both"/>
        <w:rPr>
          <w:rFonts w:cstheme="minorHAnsi"/>
          <w:kern w:val="0"/>
          <w14:ligatures w14:val="none"/>
        </w:rPr>
      </w:pPr>
      <w:r w:rsidRPr="00C826F7">
        <w:rPr>
          <w:rFonts w:cstheme="minorHAnsi"/>
          <w:kern w:val="0"/>
          <w14:ligatures w14:val="none"/>
        </w:rPr>
        <w:t>It has been six years now that I have been in Australia and have identified few barriers that I would like to bring notice to. Few common issues faced by international students are cultural difference, language barrier, financial difficulties, social isolation and adjusting to new</w:t>
      </w:r>
      <w:r w:rsidR="00540D37" w:rsidRPr="00C826F7">
        <w:rPr>
          <w:rFonts w:cstheme="minorHAnsi"/>
          <w:kern w:val="0"/>
          <w14:ligatures w14:val="none"/>
        </w:rPr>
        <w:t xml:space="preserve"> social, academic </w:t>
      </w:r>
      <w:r w:rsidRPr="00C826F7">
        <w:rPr>
          <w:rFonts w:cstheme="minorHAnsi"/>
          <w:kern w:val="0"/>
          <w14:ligatures w14:val="none"/>
        </w:rPr>
        <w:t xml:space="preserve"> </w:t>
      </w:r>
      <w:r w:rsidR="00540D37" w:rsidRPr="00C826F7">
        <w:rPr>
          <w:rFonts w:cstheme="minorHAnsi"/>
          <w:kern w:val="0"/>
          <w14:ligatures w14:val="none"/>
        </w:rPr>
        <w:t xml:space="preserve">and </w:t>
      </w:r>
      <w:r w:rsidRPr="00C826F7">
        <w:rPr>
          <w:rFonts w:cstheme="minorHAnsi"/>
          <w:kern w:val="0"/>
          <w14:ligatures w14:val="none"/>
        </w:rPr>
        <w:t xml:space="preserve">environment. Although there are current support services available for international students at respective universities, international students still face similar barriers during and after their educational journey. </w:t>
      </w:r>
      <w:proofErr w:type="gramStart"/>
      <w:r w:rsidR="005E030E" w:rsidRPr="00C826F7">
        <w:rPr>
          <w:rFonts w:cstheme="minorHAnsi"/>
          <w:kern w:val="0"/>
          <w14:ligatures w14:val="none"/>
        </w:rPr>
        <w:t xml:space="preserve">Being </w:t>
      </w:r>
      <w:r w:rsidRPr="00C826F7">
        <w:rPr>
          <w:rFonts w:cstheme="minorHAnsi"/>
          <w:kern w:val="0"/>
          <w14:ligatures w14:val="none"/>
        </w:rPr>
        <w:t xml:space="preserve">a </w:t>
      </w:r>
      <w:r w:rsidR="005E030E" w:rsidRPr="00C826F7">
        <w:rPr>
          <w:rFonts w:cstheme="minorHAnsi"/>
          <w:kern w:val="0"/>
          <w14:ligatures w14:val="none"/>
        </w:rPr>
        <w:t>woman</w:t>
      </w:r>
      <w:r w:rsidR="00540D37" w:rsidRPr="00C826F7">
        <w:rPr>
          <w:rFonts w:cstheme="minorHAnsi"/>
          <w:kern w:val="0"/>
          <w14:ligatures w14:val="none"/>
        </w:rPr>
        <w:t>,</w:t>
      </w:r>
      <w:r w:rsidRPr="00C826F7">
        <w:rPr>
          <w:rFonts w:cstheme="minorHAnsi"/>
          <w:kern w:val="0"/>
          <w14:ligatures w14:val="none"/>
        </w:rPr>
        <w:t xml:space="preserve"> literature</w:t>
      </w:r>
      <w:proofErr w:type="gramEnd"/>
      <w:r w:rsidR="005E030E" w:rsidRPr="00C826F7">
        <w:rPr>
          <w:rFonts w:cstheme="minorHAnsi"/>
          <w:kern w:val="0"/>
          <w14:ligatures w14:val="none"/>
        </w:rPr>
        <w:t xml:space="preserve"> have</w:t>
      </w:r>
      <w:r w:rsidRPr="00C826F7">
        <w:rPr>
          <w:rFonts w:cstheme="minorHAnsi"/>
          <w:kern w:val="0"/>
          <w14:ligatures w14:val="none"/>
        </w:rPr>
        <w:t xml:space="preserve"> </w:t>
      </w:r>
      <w:r w:rsidR="005E030E" w:rsidRPr="00C826F7">
        <w:rPr>
          <w:rFonts w:cstheme="minorHAnsi"/>
          <w:kern w:val="0"/>
          <w14:ligatures w14:val="none"/>
        </w:rPr>
        <w:t xml:space="preserve">referred </w:t>
      </w:r>
      <w:r w:rsidRPr="00C826F7">
        <w:rPr>
          <w:rFonts w:cstheme="minorHAnsi"/>
          <w:kern w:val="0"/>
          <w14:ligatures w14:val="none"/>
        </w:rPr>
        <w:t xml:space="preserve">migrant women </w:t>
      </w:r>
      <w:r w:rsidR="005E030E" w:rsidRPr="00C826F7">
        <w:rPr>
          <w:rFonts w:cstheme="minorHAnsi"/>
          <w:kern w:val="0"/>
          <w14:ligatures w14:val="none"/>
        </w:rPr>
        <w:t xml:space="preserve">to the notion of </w:t>
      </w:r>
      <w:r w:rsidRPr="00C826F7">
        <w:rPr>
          <w:rFonts w:cstheme="minorHAnsi"/>
          <w:kern w:val="0"/>
          <w14:ligatures w14:val="none"/>
        </w:rPr>
        <w:t xml:space="preserve">as </w:t>
      </w:r>
      <w:r w:rsidR="00F46B40" w:rsidRPr="00C826F7">
        <w:rPr>
          <w:rFonts w:cstheme="minorHAnsi"/>
          <w:kern w:val="0"/>
          <w14:ligatures w14:val="none"/>
        </w:rPr>
        <w:t>double disadvantage and triple disadvantage. This is true even from my personal experience. Having international experience, academic achievements</w:t>
      </w:r>
      <w:r w:rsidR="005E030E" w:rsidRPr="00C826F7">
        <w:rPr>
          <w:rFonts w:cstheme="minorHAnsi"/>
          <w:kern w:val="0"/>
          <w14:ligatures w14:val="none"/>
        </w:rPr>
        <w:t xml:space="preserve"> in Australia, </w:t>
      </w:r>
      <w:r w:rsidR="00F46B40" w:rsidRPr="00C826F7">
        <w:rPr>
          <w:rFonts w:cstheme="minorHAnsi"/>
          <w:kern w:val="0"/>
          <w14:ligatures w14:val="none"/>
        </w:rPr>
        <w:t>awards</w:t>
      </w:r>
      <w:r w:rsidR="005E030E" w:rsidRPr="00C826F7">
        <w:rPr>
          <w:rFonts w:cstheme="minorHAnsi"/>
          <w:kern w:val="0"/>
          <w14:ligatures w14:val="none"/>
        </w:rPr>
        <w:t xml:space="preserve"> in Australia</w:t>
      </w:r>
      <w:r w:rsidR="00F46B40" w:rsidRPr="00C826F7">
        <w:rPr>
          <w:rFonts w:cstheme="minorHAnsi"/>
          <w:kern w:val="0"/>
          <w14:ligatures w14:val="none"/>
        </w:rPr>
        <w:t xml:space="preserve"> and other extracurricular achievements, it is still difficult to find jobs in Australia. </w:t>
      </w:r>
      <w:r w:rsidR="00E22FB2">
        <w:rPr>
          <w:rFonts w:cstheme="minorHAnsi"/>
          <w:kern w:val="0"/>
          <w14:ligatures w14:val="none"/>
        </w:rPr>
        <w:t>Thus,</w:t>
      </w:r>
      <w:r w:rsidR="00D718E2">
        <w:rPr>
          <w:rFonts w:cstheme="minorHAnsi"/>
          <w:kern w:val="0"/>
          <w14:ligatures w14:val="none"/>
        </w:rPr>
        <w:t xml:space="preserve"> to enhance the experience of an international student</w:t>
      </w:r>
      <w:r w:rsidR="0049348F">
        <w:rPr>
          <w:rFonts w:cstheme="minorHAnsi"/>
          <w:kern w:val="0"/>
          <w14:ligatures w14:val="none"/>
        </w:rPr>
        <w:t xml:space="preserve">, I would like to recommend the following: </w:t>
      </w:r>
    </w:p>
    <w:p w14:paraId="1B84B253" w14:textId="793E19D2" w:rsidR="00F46B40" w:rsidRPr="00C826F7" w:rsidRDefault="00F46B40" w:rsidP="000D0A1E">
      <w:pPr>
        <w:spacing w:after="120" w:line="360" w:lineRule="auto"/>
        <w:jc w:val="both"/>
        <w:rPr>
          <w:rFonts w:cstheme="minorHAnsi"/>
          <w:kern w:val="0"/>
          <w14:ligatures w14:val="none"/>
        </w:rPr>
      </w:pPr>
      <w:r w:rsidRPr="00C826F7">
        <w:rPr>
          <w:rFonts w:cstheme="minorHAnsi"/>
          <w:kern w:val="0"/>
          <w14:ligatures w14:val="none"/>
        </w:rPr>
        <w:t>Recommendation</w:t>
      </w:r>
      <w:r w:rsidR="00895D9F">
        <w:rPr>
          <w:rFonts w:cstheme="minorHAnsi"/>
          <w:kern w:val="0"/>
          <w14:ligatures w14:val="none"/>
        </w:rPr>
        <w:t>s</w:t>
      </w:r>
      <w:r w:rsidRPr="00C826F7">
        <w:rPr>
          <w:rFonts w:cstheme="minorHAnsi"/>
          <w:kern w:val="0"/>
          <w14:ligatures w14:val="none"/>
        </w:rPr>
        <w:t xml:space="preserve">: </w:t>
      </w:r>
    </w:p>
    <w:p w14:paraId="053293A4" w14:textId="3EC908BD" w:rsidR="0049348F" w:rsidRDefault="0049348F" w:rsidP="000D0A1E">
      <w:pPr>
        <w:pStyle w:val="ListParagraph"/>
        <w:numPr>
          <w:ilvl w:val="0"/>
          <w:numId w:val="5"/>
        </w:numPr>
        <w:spacing w:after="120" w:line="360" w:lineRule="auto"/>
        <w:jc w:val="both"/>
        <w:rPr>
          <w:rFonts w:cstheme="minorHAnsi"/>
          <w:kern w:val="0"/>
          <w14:ligatures w14:val="none"/>
        </w:rPr>
      </w:pPr>
      <w:r w:rsidRPr="00853DF5">
        <w:rPr>
          <w:rFonts w:cstheme="minorHAnsi"/>
          <w:kern w:val="0"/>
          <w14:ligatures w14:val="none"/>
        </w:rPr>
        <w:t xml:space="preserve">To build an inclusive </w:t>
      </w:r>
      <w:r w:rsidR="00853DF5" w:rsidRPr="00853DF5">
        <w:rPr>
          <w:rFonts w:cstheme="minorHAnsi"/>
          <w:kern w:val="0"/>
          <w14:ligatures w14:val="none"/>
        </w:rPr>
        <w:t xml:space="preserve">education, </w:t>
      </w:r>
      <w:r w:rsidRPr="00853DF5">
        <w:rPr>
          <w:rFonts w:cstheme="minorHAnsi"/>
          <w:kern w:val="0"/>
          <w14:ligatures w14:val="none"/>
        </w:rPr>
        <w:t>Accord should consider the Intersectionality theory. This theory will allow Accord to make informed policy through identifying multiple factors that affects the international student experiences, factors that affects private and public sectors</w:t>
      </w:r>
      <w:r w:rsidR="00853DF5" w:rsidRPr="00853DF5">
        <w:rPr>
          <w:rFonts w:cstheme="minorHAnsi"/>
          <w:kern w:val="0"/>
          <w14:ligatures w14:val="none"/>
        </w:rPr>
        <w:t>,</w:t>
      </w:r>
      <w:r w:rsidRPr="00853DF5">
        <w:rPr>
          <w:rFonts w:cstheme="minorHAnsi"/>
          <w:kern w:val="0"/>
          <w14:ligatures w14:val="none"/>
        </w:rPr>
        <w:t xml:space="preserve"> etc</w:t>
      </w:r>
      <w:r w:rsidR="00853DF5" w:rsidRPr="00853DF5">
        <w:rPr>
          <w:rFonts w:cstheme="minorHAnsi"/>
          <w:kern w:val="0"/>
          <w14:ligatures w14:val="none"/>
        </w:rPr>
        <w:t>.</w:t>
      </w:r>
      <w:r w:rsidRPr="00853DF5">
        <w:rPr>
          <w:rFonts w:cstheme="minorHAnsi"/>
          <w:kern w:val="0"/>
          <w14:ligatures w14:val="none"/>
        </w:rPr>
        <w:t xml:space="preserve"> to name a few.</w:t>
      </w:r>
      <w:r w:rsidR="00853DF5" w:rsidRPr="00853DF5">
        <w:rPr>
          <w:rFonts w:cstheme="minorHAnsi"/>
          <w:kern w:val="0"/>
          <w14:ligatures w14:val="none"/>
        </w:rPr>
        <w:t xml:space="preserve"> </w:t>
      </w:r>
      <w:r w:rsidRPr="00853DF5">
        <w:rPr>
          <w:rFonts w:cstheme="minorHAnsi"/>
          <w:kern w:val="0"/>
          <w14:ligatures w14:val="none"/>
        </w:rPr>
        <w:t xml:space="preserve"> </w:t>
      </w:r>
    </w:p>
    <w:p w14:paraId="576121D8" w14:textId="77777777" w:rsidR="00E22FB2" w:rsidRPr="00853DF5" w:rsidRDefault="00E22FB2" w:rsidP="000D0A1E">
      <w:pPr>
        <w:pStyle w:val="ListParagraph"/>
        <w:spacing w:after="120" w:line="360" w:lineRule="auto"/>
        <w:jc w:val="both"/>
        <w:rPr>
          <w:rFonts w:cstheme="minorHAnsi"/>
          <w:kern w:val="0"/>
          <w14:ligatures w14:val="none"/>
        </w:rPr>
      </w:pPr>
    </w:p>
    <w:p w14:paraId="16CCB6B4" w14:textId="35382406" w:rsidR="00F46B40" w:rsidRPr="00853DF5" w:rsidRDefault="00F46B40" w:rsidP="000D0A1E">
      <w:pPr>
        <w:pStyle w:val="ListParagraph"/>
        <w:numPr>
          <w:ilvl w:val="0"/>
          <w:numId w:val="5"/>
        </w:numPr>
        <w:spacing w:after="120" w:line="360" w:lineRule="auto"/>
        <w:jc w:val="both"/>
        <w:rPr>
          <w:rFonts w:cstheme="minorHAnsi"/>
          <w:kern w:val="0"/>
          <w14:ligatures w14:val="none"/>
        </w:rPr>
      </w:pPr>
      <w:r w:rsidRPr="00853DF5">
        <w:rPr>
          <w:rFonts w:cstheme="minorHAnsi"/>
          <w:kern w:val="0"/>
          <w14:ligatures w14:val="none"/>
        </w:rPr>
        <w:t xml:space="preserve">To enhance the experience of international students </w:t>
      </w:r>
      <w:r w:rsidR="00F62659">
        <w:rPr>
          <w:rFonts w:cstheme="minorHAnsi"/>
          <w:kern w:val="0"/>
          <w14:ligatures w14:val="none"/>
        </w:rPr>
        <w:t xml:space="preserve">including </w:t>
      </w:r>
      <w:r w:rsidRPr="00853DF5">
        <w:rPr>
          <w:rFonts w:cstheme="minorHAnsi"/>
          <w:kern w:val="0"/>
          <w14:ligatures w14:val="none"/>
        </w:rPr>
        <w:t xml:space="preserve">female, I would like to recommend certain policies that could be implemented as follows: </w:t>
      </w:r>
    </w:p>
    <w:p w14:paraId="21B83000" w14:textId="7D8E4CCB" w:rsidR="00F46B40" w:rsidRPr="00786568" w:rsidRDefault="00F46B40" w:rsidP="00786568">
      <w:pPr>
        <w:spacing w:after="120" w:line="360" w:lineRule="auto"/>
        <w:ind w:left="360"/>
        <w:jc w:val="both"/>
        <w:rPr>
          <w:rFonts w:cstheme="minorHAnsi"/>
          <w:kern w:val="0"/>
          <w14:ligatures w14:val="none"/>
        </w:rPr>
      </w:pPr>
      <w:r w:rsidRPr="00786568">
        <w:rPr>
          <w:rFonts w:cstheme="minorHAnsi"/>
          <w:kern w:val="0"/>
          <w14:ligatures w14:val="none"/>
        </w:rPr>
        <w:t xml:space="preserve">Although there are student services in respective universities that assist international students, these services are only accessible after they reach Australia. I would like to suggest that Accord could establish a centre for Multicultural </w:t>
      </w:r>
      <w:r w:rsidR="005E030E" w:rsidRPr="00786568">
        <w:rPr>
          <w:rFonts w:cstheme="minorHAnsi"/>
          <w:kern w:val="0"/>
          <w14:ligatures w14:val="none"/>
        </w:rPr>
        <w:t>S</w:t>
      </w:r>
      <w:r w:rsidRPr="00786568">
        <w:rPr>
          <w:rFonts w:cstheme="minorHAnsi"/>
          <w:kern w:val="0"/>
          <w14:ligatures w14:val="none"/>
        </w:rPr>
        <w:t xml:space="preserve">tudent </w:t>
      </w:r>
      <w:r w:rsidR="005E030E" w:rsidRPr="00786568">
        <w:rPr>
          <w:rFonts w:cstheme="minorHAnsi"/>
          <w:kern w:val="0"/>
          <w14:ligatures w14:val="none"/>
        </w:rPr>
        <w:t>S</w:t>
      </w:r>
      <w:r w:rsidRPr="00786568">
        <w:rPr>
          <w:rFonts w:cstheme="minorHAnsi"/>
          <w:kern w:val="0"/>
          <w14:ligatures w14:val="none"/>
        </w:rPr>
        <w:t>uccess</w:t>
      </w:r>
      <w:r w:rsidR="005E030E" w:rsidRPr="00786568">
        <w:rPr>
          <w:rFonts w:cstheme="minorHAnsi"/>
          <w:kern w:val="0"/>
          <w14:ligatures w14:val="none"/>
        </w:rPr>
        <w:t xml:space="preserve"> Arts Hub</w:t>
      </w:r>
      <w:r w:rsidR="00A27993" w:rsidRPr="00786568">
        <w:rPr>
          <w:rFonts w:cstheme="minorHAnsi"/>
          <w:kern w:val="0"/>
          <w14:ligatures w14:val="none"/>
        </w:rPr>
        <w:t xml:space="preserve"> (MSS</w:t>
      </w:r>
      <w:r w:rsidR="005E030E" w:rsidRPr="00786568">
        <w:rPr>
          <w:rFonts w:cstheme="minorHAnsi"/>
          <w:kern w:val="0"/>
          <w14:ligatures w14:val="none"/>
        </w:rPr>
        <w:t>AH</w:t>
      </w:r>
      <w:r w:rsidR="00A27993" w:rsidRPr="00786568">
        <w:rPr>
          <w:rFonts w:cstheme="minorHAnsi"/>
          <w:kern w:val="0"/>
          <w14:ligatures w14:val="none"/>
        </w:rPr>
        <w:t>)</w:t>
      </w:r>
      <w:r w:rsidRPr="00786568">
        <w:rPr>
          <w:rFonts w:cstheme="minorHAnsi"/>
          <w:kern w:val="0"/>
          <w14:ligatures w14:val="none"/>
        </w:rPr>
        <w:t xml:space="preserve">. This centre should consider that </w:t>
      </w:r>
      <w:r w:rsidR="00A27993" w:rsidRPr="00786568">
        <w:rPr>
          <w:rFonts w:cstheme="minorHAnsi"/>
          <w:kern w:val="0"/>
          <w14:ligatures w14:val="none"/>
        </w:rPr>
        <w:t xml:space="preserve">dimensions of arrival, learning, living and support services. This centre </w:t>
      </w:r>
      <w:r w:rsidR="00D07F30" w:rsidRPr="00786568">
        <w:rPr>
          <w:rFonts w:cstheme="minorHAnsi"/>
          <w:kern w:val="0"/>
          <w14:ligatures w14:val="none"/>
        </w:rPr>
        <w:t xml:space="preserve">could be </w:t>
      </w:r>
      <w:r w:rsidR="00A27993" w:rsidRPr="00786568">
        <w:rPr>
          <w:rFonts w:cstheme="minorHAnsi"/>
          <w:kern w:val="0"/>
          <w14:ligatures w14:val="none"/>
        </w:rPr>
        <w:t>run by the students, for the students and of the students.</w:t>
      </w:r>
      <w:r w:rsidR="00A571FB" w:rsidRPr="00786568">
        <w:rPr>
          <w:rFonts w:cstheme="minorHAnsi"/>
          <w:kern w:val="0"/>
          <w14:ligatures w14:val="none"/>
        </w:rPr>
        <w:t xml:space="preserve"> The information could be shared by current student living in Australia coming from respective countries</w:t>
      </w:r>
      <w:r w:rsidR="00A27993" w:rsidRPr="00786568">
        <w:rPr>
          <w:rFonts w:cstheme="minorHAnsi"/>
          <w:kern w:val="0"/>
          <w14:ligatures w14:val="none"/>
        </w:rPr>
        <w:t xml:space="preserve"> This centre could provide a predeparture session through IDP by providing information on: </w:t>
      </w:r>
    </w:p>
    <w:p w14:paraId="10555142" w14:textId="1CF2AAB4" w:rsidR="00A27993" w:rsidRPr="00C826F7" w:rsidRDefault="00E12416" w:rsidP="000D0A1E">
      <w:pPr>
        <w:pStyle w:val="ListParagraph"/>
        <w:numPr>
          <w:ilvl w:val="1"/>
          <w:numId w:val="2"/>
        </w:numPr>
        <w:spacing w:after="120" w:line="360" w:lineRule="auto"/>
        <w:jc w:val="both"/>
        <w:rPr>
          <w:rFonts w:cstheme="minorHAnsi"/>
          <w:kern w:val="0"/>
          <w14:ligatures w14:val="none"/>
        </w:rPr>
      </w:pPr>
      <w:r>
        <w:rPr>
          <w:rFonts w:cstheme="minorHAnsi"/>
          <w:kern w:val="0"/>
          <w14:ligatures w14:val="none"/>
        </w:rPr>
        <w:t>Information on public transport</w:t>
      </w:r>
      <w:r w:rsidR="00231F35">
        <w:rPr>
          <w:rFonts w:cstheme="minorHAnsi"/>
          <w:kern w:val="0"/>
          <w14:ligatures w14:val="none"/>
        </w:rPr>
        <w:t xml:space="preserve"> usage</w:t>
      </w:r>
      <w:r w:rsidR="00A27993" w:rsidRPr="00C826F7">
        <w:rPr>
          <w:rFonts w:cstheme="minorHAnsi"/>
          <w:kern w:val="0"/>
          <w14:ligatures w14:val="none"/>
        </w:rPr>
        <w:t xml:space="preserve"> </w:t>
      </w:r>
    </w:p>
    <w:p w14:paraId="386B4ECD" w14:textId="021969DE" w:rsidR="00A27993" w:rsidRPr="00C826F7" w:rsidRDefault="00231F35" w:rsidP="000D0A1E">
      <w:pPr>
        <w:pStyle w:val="ListParagraph"/>
        <w:numPr>
          <w:ilvl w:val="1"/>
          <w:numId w:val="2"/>
        </w:numPr>
        <w:spacing w:after="120" w:line="360" w:lineRule="auto"/>
        <w:jc w:val="both"/>
        <w:rPr>
          <w:rFonts w:cstheme="minorHAnsi"/>
          <w:kern w:val="0"/>
          <w14:ligatures w14:val="none"/>
        </w:rPr>
      </w:pPr>
      <w:r>
        <w:rPr>
          <w:rFonts w:cstheme="minorHAnsi"/>
          <w:kern w:val="0"/>
          <w14:ligatures w14:val="none"/>
        </w:rPr>
        <w:t>Information on v</w:t>
      </w:r>
      <w:r w:rsidR="00D07F30" w:rsidRPr="00C826F7">
        <w:rPr>
          <w:rFonts w:cstheme="minorHAnsi"/>
          <w:kern w:val="0"/>
          <w14:ligatures w14:val="none"/>
        </w:rPr>
        <w:t xml:space="preserve">arious </w:t>
      </w:r>
      <w:r>
        <w:rPr>
          <w:rFonts w:cstheme="minorHAnsi"/>
          <w:kern w:val="0"/>
          <w14:ligatures w14:val="none"/>
        </w:rPr>
        <w:t>b</w:t>
      </w:r>
      <w:r w:rsidR="00A27993" w:rsidRPr="00C826F7">
        <w:rPr>
          <w:rFonts w:cstheme="minorHAnsi"/>
          <w:kern w:val="0"/>
          <w14:ligatures w14:val="none"/>
        </w:rPr>
        <w:t xml:space="preserve">ank </w:t>
      </w:r>
    </w:p>
    <w:p w14:paraId="15B41792" w14:textId="505B4073" w:rsidR="00491B64" w:rsidRPr="00C826F7" w:rsidRDefault="00A27993"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 xml:space="preserve">Community resources such as Facebook groups that provides free food such as </w:t>
      </w:r>
      <w:r w:rsidR="00D07F30" w:rsidRPr="00C826F7">
        <w:rPr>
          <w:rFonts w:cstheme="minorHAnsi"/>
          <w:kern w:val="0"/>
          <w14:ligatures w14:val="none"/>
        </w:rPr>
        <w:t>The Gift of Giving etc.</w:t>
      </w:r>
    </w:p>
    <w:p w14:paraId="57C4577D" w14:textId="1FA152F7" w:rsidR="00D07F30" w:rsidRPr="00C826F7" w:rsidRDefault="00D07F30"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Support services provided by respective university.</w:t>
      </w:r>
    </w:p>
    <w:p w14:paraId="189B8D1F" w14:textId="284F4ABE" w:rsidR="00D07F30" w:rsidRPr="00C826F7" w:rsidRDefault="00D07F30"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 xml:space="preserve">Food banks availability </w:t>
      </w:r>
    </w:p>
    <w:p w14:paraId="04F326C8" w14:textId="12DBD059" w:rsidR="00D07F30" w:rsidRPr="00C826F7" w:rsidRDefault="00D07F30"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 xml:space="preserve">IT Tools used in academic setting. </w:t>
      </w:r>
    </w:p>
    <w:p w14:paraId="253A017D" w14:textId="3560A0D5" w:rsidR="00D07F30" w:rsidRPr="00C826F7" w:rsidRDefault="00D07F30"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 xml:space="preserve">Academic Cheating </w:t>
      </w:r>
    </w:p>
    <w:p w14:paraId="348E0D47" w14:textId="531D2341" w:rsidR="00D07F30" w:rsidRPr="00C826F7" w:rsidRDefault="00D07F30"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lastRenderedPageBreak/>
        <w:t xml:space="preserve">Rules and Etiquettes of Australia </w:t>
      </w:r>
    </w:p>
    <w:p w14:paraId="60CC9172" w14:textId="2060812E" w:rsidR="00D07F30" w:rsidRPr="00C826F7" w:rsidRDefault="00D07F30"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 xml:space="preserve">Information of available grants for international students including female, job search strategy. </w:t>
      </w:r>
    </w:p>
    <w:p w14:paraId="31488599" w14:textId="18053DD5" w:rsidR="00A052D6" w:rsidRDefault="00A052D6" w:rsidP="000D0A1E">
      <w:pPr>
        <w:pStyle w:val="ListParagraph"/>
        <w:numPr>
          <w:ilvl w:val="1"/>
          <w:numId w:val="2"/>
        </w:numPr>
        <w:spacing w:after="120" w:line="360" w:lineRule="auto"/>
        <w:jc w:val="both"/>
        <w:rPr>
          <w:rFonts w:cstheme="minorHAnsi"/>
          <w:kern w:val="0"/>
          <w14:ligatures w14:val="none"/>
        </w:rPr>
      </w:pPr>
      <w:r w:rsidRPr="00C826F7">
        <w:rPr>
          <w:rFonts w:cstheme="minorHAnsi"/>
          <w:kern w:val="0"/>
          <w14:ligatures w14:val="none"/>
        </w:rPr>
        <w:t xml:space="preserve">Information on support provided to migrant pregnant women in </w:t>
      </w:r>
      <w:r w:rsidR="005E030E" w:rsidRPr="00C826F7">
        <w:rPr>
          <w:rFonts w:cstheme="minorHAnsi"/>
          <w:kern w:val="0"/>
          <w14:ligatures w14:val="none"/>
        </w:rPr>
        <w:t>Australia.</w:t>
      </w:r>
    </w:p>
    <w:p w14:paraId="15D2F26C" w14:textId="46F97EAE" w:rsidR="00876CCD" w:rsidRDefault="00876CCD" w:rsidP="000D0A1E">
      <w:pPr>
        <w:pStyle w:val="ListParagraph"/>
        <w:numPr>
          <w:ilvl w:val="1"/>
          <w:numId w:val="2"/>
        </w:numPr>
        <w:spacing w:after="120" w:line="360" w:lineRule="auto"/>
        <w:jc w:val="both"/>
        <w:rPr>
          <w:rFonts w:cstheme="minorHAnsi"/>
          <w:kern w:val="0"/>
          <w14:ligatures w14:val="none"/>
        </w:rPr>
      </w:pPr>
      <w:r>
        <w:rPr>
          <w:rFonts w:cstheme="minorHAnsi"/>
          <w:kern w:val="0"/>
          <w14:ligatures w14:val="none"/>
        </w:rPr>
        <w:t>Basic legal information regarding starting a business,</w:t>
      </w:r>
      <w:r w:rsidR="008C5E5A">
        <w:rPr>
          <w:rFonts w:cstheme="minorHAnsi"/>
          <w:kern w:val="0"/>
          <w14:ligatures w14:val="none"/>
        </w:rPr>
        <w:t xml:space="preserve"> rental rights, Fair Work Ombudsman, Students Right etc.</w:t>
      </w:r>
    </w:p>
    <w:p w14:paraId="2B4282CE" w14:textId="1BA0C44D" w:rsidR="008C5E5A" w:rsidRDefault="008C5E5A" w:rsidP="000D0A1E">
      <w:pPr>
        <w:pStyle w:val="ListParagraph"/>
        <w:numPr>
          <w:ilvl w:val="1"/>
          <w:numId w:val="2"/>
        </w:numPr>
        <w:spacing w:after="120" w:line="360" w:lineRule="auto"/>
        <w:jc w:val="both"/>
        <w:rPr>
          <w:rFonts w:cstheme="minorHAnsi"/>
          <w:kern w:val="0"/>
          <w14:ligatures w14:val="none"/>
        </w:rPr>
      </w:pPr>
      <w:r>
        <w:rPr>
          <w:rFonts w:cstheme="minorHAnsi"/>
          <w:kern w:val="0"/>
          <w14:ligatures w14:val="none"/>
        </w:rPr>
        <w:t>Information on traffic rules</w:t>
      </w:r>
    </w:p>
    <w:p w14:paraId="2BB405C2" w14:textId="7E9479DB" w:rsidR="008C5E5A" w:rsidRDefault="008C5E5A" w:rsidP="000D0A1E">
      <w:pPr>
        <w:pStyle w:val="ListParagraph"/>
        <w:numPr>
          <w:ilvl w:val="1"/>
          <w:numId w:val="2"/>
        </w:numPr>
        <w:spacing w:after="120" w:line="360" w:lineRule="auto"/>
        <w:jc w:val="both"/>
        <w:rPr>
          <w:rFonts w:cstheme="minorHAnsi"/>
          <w:kern w:val="0"/>
          <w14:ligatures w14:val="none"/>
        </w:rPr>
      </w:pPr>
      <w:r>
        <w:rPr>
          <w:rFonts w:cstheme="minorHAnsi"/>
          <w:kern w:val="0"/>
          <w14:ligatures w14:val="none"/>
        </w:rPr>
        <w:t xml:space="preserve">Information on </w:t>
      </w:r>
      <w:r w:rsidR="000E47F5">
        <w:rPr>
          <w:rFonts w:cstheme="minorHAnsi"/>
          <w:kern w:val="0"/>
          <w14:ligatures w14:val="none"/>
        </w:rPr>
        <w:t xml:space="preserve">emergency and security contact and assistant provided by them. </w:t>
      </w:r>
    </w:p>
    <w:p w14:paraId="0FC56CB1" w14:textId="2D85DA03" w:rsidR="000E47F5" w:rsidRPr="00C826F7" w:rsidRDefault="000E47F5" w:rsidP="000D0A1E">
      <w:pPr>
        <w:pStyle w:val="ListParagraph"/>
        <w:spacing w:after="120" w:line="360" w:lineRule="auto"/>
        <w:ind w:left="1440"/>
        <w:jc w:val="both"/>
        <w:rPr>
          <w:rFonts w:cstheme="minorHAnsi"/>
          <w:kern w:val="0"/>
          <w14:ligatures w14:val="none"/>
        </w:rPr>
      </w:pPr>
    </w:p>
    <w:p w14:paraId="548C1A89" w14:textId="7C712089" w:rsidR="000D0A1E" w:rsidRDefault="005E030E" w:rsidP="000D0A1E">
      <w:pPr>
        <w:pStyle w:val="ListParagraph"/>
        <w:numPr>
          <w:ilvl w:val="0"/>
          <w:numId w:val="5"/>
        </w:numPr>
        <w:spacing w:after="120" w:line="360" w:lineRule="auto"/>
        <w:jc w:val="both"/>
        <w:rPr>
          <w:rFonts w:cstheme="minorHAnsi"/>
          <w:kern w:val="0"/>
          <w14:ligatures w14:val="none"/>
        </w:rPr>
      </w:pPr>
      <w:r w:rsidRPr="00F62659">
        <w:rPr>
          <w:rFonts w:cstheme="minorHAnsi"/>
          <w:kern w:val="0"/>
          <w14:ligatures w14:val="none"/>
        </w:rPr>
        <w:t xml:space="preserve">Australia has a long history of migrants and lacks in arts and culture </w:t>
      </w:r>
      <w:r w:rsidRPr="00F62659">
        <w:rPr>
          <w:rFonts w:cstheme="minorHAnsi"/>
          <w:kern w:val="0"/>
          <w14:ligatures w14:val="none"/>
        </w:rPr>
        <w:fldChar w:fldCharType="begin"/>
      </w:r>
      <w:r w:rsidRPr="00F62659">
        <w:rPr>
          <w:rFonts w:cstheme="minorHAnsi"/>
          <w:kern w:val="0"/>
          <w14:ligatures w14:val="none"/>
        </w:rPr>
        <w:instrText xml:space="preserve"> ADDIN EN.CITE &lt;EndNote&gt;&lt;Cite&gt;&lt;Author&gt;Howard&lt;/Author&gt;&lt;Year&gt;2021&lt;/Year&gt;&lt;RecNum&gt;142&lt;/RecNum&gt;&lt;DisplayText&gt;(Howard, 2021)&lt;/DisplayText&gt;&lt;record&gt;&lt;rec-number&gt;142&lt;/rec-number&gt;&lt;foreign-keys&gt;&lt;key app="EN" db-id="fv0fw2svo5r555e9tt2p2ft5tdt9dr2rt0fe" timestamp="1681098204"&gt;142&lt;/key&gt;&lt;/foreign-keys&gt;&lt;ref-type name="Book"&gt;6&lt;/ref-type&gt;&lt;contributors&gt;&lt;authors&gt;&lt;author&gt;Howard, John H&lt;/author&gt;&lt;/authors&gt;&lt;/contributors&gt;&lt;titles&gt;&lt;title&gt;Rethinking Australian higher education&lt;/title&gt;&lt;/titles&gt;&lt;dates&gt;&lt;year&gt;2021&lt;/year&gt;&lt;/dates&gt;&lt;publisher&gt;Howard Partners Canberra&lt;/publisher&gt;&lt;isbn&gt;0645077615&lt;/isbn&gt;&lt;urls&gt;&lt;/urls&gt;&lt;/record&gt;&lt;/Cite&gt;&lt;/EndNote&gt;</w:instrText>
      </w:r>
      <w:r w:rsidRPr="00F62659">
        <w:rPr>
          <w:rFonts w:cstheme="minorHAnsi"/>
          <w:kern w:val="0"/>
          <w14:ligatures w14:val="none"/>
        </w:rPr>
        <w:fldChar w:fldCharType="separate"/>
      </w:r>
      <w:r w:rsidRPr="00F62659">
        <w:rPr>
          <w:rFonts w:cstheme="minorHAnsi"/>
          <w:noProof/>
          <w:kern w:val="0"/>
          <w14:ligatures w14:val="none"/>
        </w:rPr>
        <w:t>(Howard, 2021)</w:t>
      </w:r>
      <w:r w:rsidRPr="00F62659">
        <w:rPr>
          <w:rFonts w:cstheme="minorHAnsi"/>
          <w:kern w:val="0"/>
          <w14:ligatures w14:val="none"/>
        </w:rPr>
        <w:fldChar w:fldCharType="end"/>
      </w:r>
      <w:r w:rsidRPr="00F62659">
        <w:rPr>
          <w:rFonts w:cstheme="minorHAnsi"/>
          <w:kern w:val="0"/>
          <w14:ligatures w14:val="none"/>
        </w:rPr>
        <w:t xml:space="preserve">. This centre could provide grants and opportunities to migrant students including female to showcase their experience in artistic ways. This could be through publishing articles, acting, screen plays etc., to name a few. Basically, a platform that promotes arts but also provides above-mentioned information. Further, it could also provide grants for students to promote </w:t>
      </w:r>
      <w:r w:rsidR="00E138F1" w:rsidRPr="00F62659">
        <w:rPr>
          <w:rFonts w:cstheme="minorHAnsi"/>
          <w:kern w:val="0"/>
          <w14:ligatures w14:val="none"/>
        </w:rPr>
        <w:t>their</w:t>
      </w:r>
      <w:r w:rsidRPr="00F62659">
        <w:rPr>
          <w:rFonts w:cstheme="minorHAnsi"/>
          <w:kern w:val="0"/>
          <w14:ligatures w14:val="none"/>
        </w:rPr>
        <w:t xml:space="preserve"> respective arts and culture. </w:t>
      </w:r>
      <w:r w:rsidR="00E138F1" w:rsidRPr="00F62659">
        <w:rPr>
          <w:rFonts w:cstheme="minorHAnsi"/>
          <w:kern w:val="0"/>
          <w14:ligatures w14:val="none"/>
        </w:rPr>
        <w:t>Of course</w:t>
      </w:r>
      <w:r w:rsidRPr="00F62659">
        <w:rPr>
          <w:rFonts w:cstheme="minorHAnsi"/>
          <w:kern w:val="0"/>
          <w14:ligatures w14:val="none"/>
        </w:rPr>
        <w:t xml:space="preserve">, there are </w:t>
      </w:r>
      <w:r w:rsidR="00E138F1" w:rsidRPr="00F62659">
        <w:rPr>
          <w:rFonts w:cstheme="minorHAnsi"/>
          <w:kern w:val="0"/>
          <w14:ligatures w14:val="none"/>
        </w:rPr>
        <w:t>festivals and cultures celebrated at university level but</w:t>
      </w:r>
      <w:r w:rsidR="0030110B">
        <w:rPr>
          <w:rFonts w:cstheme="minorHAnsi"/>
          <w:kern w:val="0"/>
          <w14:ligatures w14:val="none"/>
        </w:rPr>
        <w:t xml:space="preserve"> one of</w:t>
      </w:r>
      <w:r w:rsidR="00E138F1" w:rsidRPr="00F62659">
        <w:rPr>
          <w:rFonts w:cstheme="minorHAnsi"/>
          <w:kern w:val="0"/>
          <w14:ligatures w14:val="none"/>
        </w:rPr>
        <w:t xml:space="preserve"> the </w:t>
      </w:r>
      <w:r w:rsidR="00E22FB2" w:rsidRPr="00F62659">
        <w:rPr>
          <w:rFonts w:cstheme="minorHAnsi"/>
          <w:kern w:val="0"/>
          <w14:ligatures w14:val="none"/>
        </w:rPr>
        <w:t>aims</w:t>
      </w:r>
      <w:r w:rsidR="00E138F1" w:rsidRPr="00F62659">
        <w:rPr>
          <w:rFonts w:cstheme="minorHAnsi"/>
          <w:kern w:val="0"/>
          <w14:ligatures w14:val="none"/>
        </w:rPr>
        <w:t xml:space="preserve"> of Accord with this centre </w:t>
      </w:r>
      <w:r w:rsidR="00A571FB">
        <w:rPr>
          <w:rFonts w:cstheme="minorHAnsi"/>
          <w:kern w:val="0"/>
          <w14:ligatures w14:val="none"/>
        </w:rPr>
        <w:t>c</w:t>
      </w:r>
      <w:r w:rsidR="00E138F1" w:rsidRPr="00F62659">
        <w:rPr>
          <w:rFonts w:cstheme="minorHAnsi"/>
          <w:kern w:val="0"/>
          <w14:ligatures w14:val="none"/>
        </w:rPr>
        <w:t xml:space="preserve">ould be to </w:t>
      </w:r>
      <w:r w:rsidR="0030110B">
        <w:rPr>
          <w:rFonts w:cstheme="minorHAnsi"/>
          <w:kern w:val="0"/>
          <w14:ligatures w14:val="none"/>
        </w:rPr>
        <w:t>promote arts and culture</w:t>
      </w:r>
      <w:r w:rsidR="00E22FB2">
        <w:rPr>
          <w:rFonts w:cstheme="minorHAnsi"/>
          <w:kern w:val="0"/>
          <w14:ligatures w14:val="none"/>
        </w:rPr>
        <w:t xml:space="preserve"> and thereby</w:t>
      </w:r>
      <w:r w:rsidR="0030110B">
        <w:rPr>
          <w:rFonts w:cstheme="minorHAnsi"/>
          <w:kern w:val="0"/>
          <w14:ligatures w14:val="none"/>
        </w:rPr>
        <w:t xml:space="preserve"> </w:t>
      </w:r>
      <w:r w:rsidR="00E138F1" w:rsidRPr="00F62659">
        <w:rPr>
          <w:rFonts w:cstheme="minorHAnsi"/>
          <w:kern w:val="0"/>
          <w14:ligatures w14:val="none"/>
        </w:rPr>
        <w:t xml:space="preserve">enhance the international students experience through social and cultural experiences. </w:t>
      </w:r>
      <w:r w:rsidRPr="00F62659">
        <w:rPr>
          <w:rFonts w:cstheme="minorHAnsi"/>
          <w:kern w:val="0"/>
          <w14:ligatures w14:val="none"/>
        </w:rPr>
        <w:t xml:space="preserve"> </w:t>
      </w:r>
      <w:r w:rsidR="0047375E" w:rsidRPr="00F62659">
        <w:rPr>
          <w:rFonts w:cstheme="minorHAnsi"/>
          <w:kern w:val="0"/>
          <w14:ligatures w14:val="none"/>
        </w:rPr>
        <w:t xml:space="preserve">Moreover, research suggest that </w:t>
      </w:r>
      <w:r w:rsidR="00E138F1" w:rsidRPr="00F62659">
        <w:rPr>
          <w:rFonts w:cstheme="minorHAnsi"/>
          <w:kern w:val="0"/>
          <w14:ligatures w14:val="none"/>
        </w:rPr>
        <w:t xml:space="preserve">the relationship of Australian </w:t>
      </w:r>
      <w:r w:rsidR="0047375E" w:rsidRPr="00F62659">
        <w:rPr>
          <w:rFonts w:cstheme="minorHAnsi"/>
          <w:kern w:val="0"/>
          <w14:ligatures w14:val="none"/>
        </w:rPr>
        <w:t>education sector community</w:t>
      </w:r>
      <w:r w:rsidR="00E138F1" w:rsidRPr="00F62659">
        <w:rPr>
          <w:rFonts w:cstheme="minorHAnsi"/>
          <w:kern w:val="0"/>
          <w14:ligatures w14:val="none"/>
        </w:rPr>
        <w:t xml:space="preserve"> is complex</w:t>
      </w:r>
      <w:r w:rsidR="0047375E" w:rsidRPr="00F62659">
        <w:rPr>
          <w:rFonts w:cstheme="minorHAnsi"/>
          <w:kern w:val="0"/>
          <w14:ligatures w14:val="none"/>
        </w:rPr>
        <w:t xml:space="preserve">. This centre could provide opportunities to international student to share their </w:t>
      </w:r>
      <w:r w:rsidR="00E138F1" w:rsidRPr="00F62659">
        <w:rPr>
          <w:rFonts w:cstheme="minorHAnsi"/>
          <w:kern w:val="0"/>
          <w14:ligatures w14:val="none"/>
        </w:rPr>
        <w:t xml:space="preserve">positive </w:t>
      </w:r>
      <w:r w:rsidR="0047375E" w:rsidRPr="00F62659">
        <w:rPr>
          <w:rFonts w:cstheme="minorHAnsi"/>
          <w:kern w:val="0"/>
          <w14:ligatures w14:val="none"/>
        </w:rPr>
        <w:t xml:space="preserve">stories that have contributed to Australian economy. </w:t>
      </w:r>
      <w:r w:rsidR="00E138F1" w:rsidRPr="00F62659">
        <w:rPr>
          <w:rFonts w:cstheme="minorHAnsi"/>
          <w:kern w:val="0"/>
          <w14:ligatures w14:val="none"/>
        </w:rPr>
        <w:t>This platform could serve not only international students but also help Australian community to understand importance of international students through sharing of positive and emotional stories.</w:t>
      </w:r>
    </w:p>
    <w:p w14:paraId="0B29BE35" w14:textId="77777777" w:rsidR="000D0A1E" w:rsidRPr="000D0A1E" w:rsidRDefault="000D0A1E" w:rsidP="000D0A1E">
      <w:pPr>
        <w:pStyle w:val="ListParagraph"/>
        <w:spacing w:after="120" w:line="360" w:lineRule="auto"/>
        <w:jc w:val="both"/>
        <w:rPr>
          <w:rFonts w:cstheme="minorHAnsi"/>
          <w:kern w:val="0"/>
          <w14:ligatures w14:val="none"/>
        </w:rPr>
      </w:pPr>
    </w:p>
    <w:p w14:paraId="64CA5C3D" w14:textId="5F25D02F" w:rsidR="000D0A1E" w:rsidRPr="000D0A1E" w:rsidRDefault="00BD7B28" w:rsidP="000D0A1E">
      <w:pPr>
        <w:pStyle w:val="ListParagraph"/>
        <w:numPr>
          <w:ilvl w:val="0"/>
          <w:numId w:val="5"/>
        </w:numPr>
        <w:spacing w:after="120" w:line="360" w:lineRule="auto"/>
        <w:ind w:left="714" w:hanging="357"/>
        <w:jc w:val="both"/>
        <w:rPr>
          <w:rFonts w:cstheme="minorHAnsi"/>
          <w:kern w:val="0"/>
          <w14:ligatures w14:val="none"/>
        </w:rPr>
      </w:pPr>
      <w:r w:rsidRPr="00E22FB2">
        <w:rPr>
          <w:rFonts w:cstheme="minorHAnsi"/>
          <w:kern w:val="0"/>
          <w14:ligatures w14:val="none"/>
        </w:rPr>
        <w:t xml:space="preserve">While </w:t>
      </w:r>
      <w:r w:rsidR="00895D9F" w:rsidRPr="00E22FB2">
        <w:rPr>
          <w:rFonts w:cstheme="minorHAnsi"/>
          <w:kern w:val="0"/>
          <w14:ligatures w14:val="none"/>
        </w:rPr>
        <w:t>master’s</w:t>
      </w:r>
      <w:r w:rsidRPr="00E22FB2">
        <w:rPr>
          <w:rFonts w:cstheme="minorHAnsi"/>
          <w:kern w:val="0"/>
          <w14:ligatures w14:val="none"/>
        </w:rPr>
        <w:t xml:space="preserve"> students have capabilities and academic knowledge in their respective, finding a job has been </w:t>
      </w:r>
      <w:r w:rsidR="008C5E5A" w:rsidRPr="00E22FB2">
        <w:rPr>
          <w:rFonts w:cstheme="minorHAnsi"/>
          <w:kern w:val="0"/>
          <w14:ligatures w14:val="none"/>
        </w:rPr>
        <w:t>difficult</w:t>
      </w:r>
      <w:r w:rsidRPr="00E22FB2">
        <w:rPr>
          <w:rFonts w:cstheme="minorHAnsi"/>
          <w:kern w:val="0"/>
          <w14:ligatures w14:val="none"/>
        </w:rPr>
        <w:t xml:space="preserve">. Research indicates private universities faces challenges regarding staff due to strict regulations and eligibility criteria. Providing flexibility to private education providers and opportunities to researcher to teach in private universities could be a win-win strategy. </w:t>
      </w:r>
    </w:p>
    <w:p w14:paraId="3E1B5964" w14:textId="77777777" w:rsidR="00786568" w:rsidRDefault="00786568" w:rsidP="00786568">
      <w:pPr>
        <w:pStyle w:val="ListParagraph"/>
        <w:spacing w:after="120" w:line="360" w:lineRule="auto"/>
        <w:jc w:val="both"/>
        <w:rPr>
          <w:rFonts w:cstheme="minorHAnsi"/>
          <w:kern w:val="0"/>
          <w14:ligatures w14:val="none"/>
        </w:rPr>
      </w:pPr>
    </w:p>
    <w:p w14:paraId="7EDB9EEE" w14:textId="4F1D9CF6" w:rsidR="00E22FB2" w:rsidRDefault="00BD7B28" w:rsidP="00786568">
      <w:pPr>
        <w:pStyle w:val="ListParagraph"/>
        <w:numPr>
          <w:ilvl w:val="0"/>
          <w:numId w:val="5"/>
        </w:numPr>
        <w:spacing w:after="120" w:line="360" w:lineRule="auto"/>
        <w:jc w:val="both"/>
        <w:rPr>
          <w:rFonts w:cstheme="minorHAnsi"/>
          <w:kern w:val="0"/>
          <w14:ligatures w14:val="none"/>
        </w:rPr>
      </w:pPr>
      <w:r w:rsidRPr="00786568">
        <w:rPr>
          <w:rFonts w:cstheme="minorHAnsi"/>
          <w:kern w:val="0"/>
          <w14:ligatures w14:val="none"/>
        </w:rPr>
        <w:t xml:space="preserve">Looking towards the experiences of international or migrant women, literature refers these women with the notion of double and triple disadvantage </w:t>
      </w:r>
      <w:r w:rsidRPr="00786568">
        <w:rPr>
          <w:rFonts w:cstheme="minorHAnsi"/>
          <w:kern w:val="0"/>
          <w14:ligatures w14:val="none"/>
        </w:rPr>
        <w:fldChar w:fldCharType="begin"/>
      </w:r>
      <w:r w:rsidRPr="00786568">
        <w:rPr>
          <w:rFonts w:cstheme="minorHAnsi"/>
          <w:kern w:val="0"/>
          <w14:ligatures w14:val="none"/>
        </w:rPr>
        <w:instrText xml:space="preserve"> ADDIN EN.CITE &lt;EndNote&gt;&lt;Cite&gt;&lt;Author&gt;Stevens&lt;/Author&gt;&lt;Year&gt;2021&lt;/Year&gt;&lt;RecNum&gt;16&lt;/RecNum&gt;&lt;DisplayText&gt;(Stevens, 2021)&lt;/DisplayText&gt;&lt;record&gt;&lt;rec-number&gt;16&lt;/rec-number&gt;&lt;foreign-keys&gt;&lt;key app="EN" db-id="fv0fw2svo5r555e9tt2p2ft5tdt9dr2rt0fe" timestamp="1679286709"&gt;16&lt;/key&gt;&lt;/foreign-keys&gt;&lt;ref-type name="Newspaper Article"&gt;23&lt;/ref-type&gt;&lt;contributors&gt;&lt;authors&gt;&lt;author&gt;Rhiannon Stevens&lt;/author&gt;&lt;/authors&gt;&lt;/contributors&gt;&lt;titles&gt;&lt;title&gt;Migrant women build own businesses after years of unsuccessful job applications&lt;/title&gt;&lt;secondary-title&gt;ABC NEWS,&lt;/secondary-title&gt;&lt;/titles&gt;&lt;dates&gt;&lt;year&gt;2021&lt;/year&gt;&lt;/dates&gt;&lt;publisher&gt;ABC Ballarat&lt;/publisher&gt;&lt;urls&gt;&lt;related-urls&gt;&lt;url&gt;https://www.abc.net.au/news/2021-01-07/migrant-women-build-own-business-and-self-confidence/13033906?utm_campaign=abc_news_web&amp;amp;utm_content=link&amp;amp;utm_medium=content_shared&amp;amp;utm_source=abc_news_web&lt;/url&gt;&lt;/related-urls&gt;&lt;/urls&gt;&lt;/record&gt;&lt;/Cite&gt;&lt;/EndNote&gt;</w:instrText>
      </w:r>
      <w:r w:rsidRPr="00786568">
        <w:rPr>
          <w:rFonts w:cstheme="minorHAnsi"/>
          <w:kern w:val="0"/>
          <w14:ligatures w14:val="none"/>
        </w:rPr>
        <w:fldChar w:fldCharType="separate"/>
      </w:r>
      <w:r w:rsidRPr="00786568">
        <w:rPr>
          <w:rFonts w:cstheme="minorHAnsi"/>
          <w:noProof/>
          <w:kern w:val="0"/>
          <w14:ligatures w14:val="none"/>
        </w:rPr>
        <w:t>(Stevens, 2021)</w:t>
      </w:r>
      <w:r w:rsidRPr="00786568">
        <w:rPr>
          <w:rFonts w:cstheme="minorHAnsi"/>
          <w:kern w:val="0"/>
          <w14:ligatures w14:val="none"/>
        </w:rPr>
        <w:fldChar w:fldCharType="end"/>
      </w:r>
      <w:r w:rsidRPr="00786568">
        <w:rPr>
          <w:rFonts w:cstheme="minorHAnsi"/>
          <w:kern w:val="0"/>
          <w14:ligatures w14:val="none"/>
        </w:rPr>
        <w:t xml:space="preserve">. This leads them to push them in entrepreneurship. Research in Australia have paid very little attention to the gender aspect when it comes to migrant experiences, entrepreneurship experiences etc to name a few. </w:t>
      </w:r>
    </w:p>
    <w:p w14:paraId="711662CF" w14:textId="6E6C6AB4" w:rsidR="00786568" w:rsidRPr="00786568" w:rsidRDefault="00786568" w:rsidP="00786568">
      <w:pPr>
        <w:pStyle w:val="ListParagraph"/>
        <w:spacing w:after="120" w:line="360" w:lineRule="auto"/>
        <w:jc w:val="both"/>
        <w:rPr>
          <w:rFonts w:cstheme="minorHAnsi"/>
          <w:kern w:val="0"/>
          <w14:ligatures w14:val="none"/>
        </w:rPr>
      </w:pPr>
    </w:p>
    <w:p w14:paraId="42B274EC" w14:textId="74BDA61A" w:rsidR="00491B64" w:rsidRPr="00E22FB2" w:rsidRDefault="00FD13D9" w:rsidP="000D0A1E">
      <w:pPr>
        <w:pStyle w:val="ListParagraph"/>
        <w:numPr>
          <w:ilvl w:val="0"/>
          <w:numId w:val="5"/>
        </w:numPr>
        <w:spacing w:after="120" w:line="360" w:lineRule="auto"/>
        <w:ind w:left="714" w:hanging="357"/>
        <w:jc w:val="both"/>
        <w:rPr>
          <w:rFonts w:cstheme="minorHAnsi"/>
          <w:kern w:val="0"/>
          <w14:ligatures w14:val="none"/>
        </w:rPr>
      </w:pPr>
      <w:r w:rsidRPr="00E22FB2">
        <w:rPr>
          <w:rFonts w:cstheme="minorHAnsi"/>
          <w:kern w:val="0"/>
          <w14:ligatures w14:val="none"/>
        </w:rPr>
        <w:t>Although Australia has been ranked second in terms of women entrepreneurship</w:t>
      </w:r>
      <w:r w:rsidR="00C826F7" w:rsidRPr="00E22FB2">
        <w:rPr>
          <w:rFonts w:cstheme="minorHAnsi"/>
          <w:kern w:val="0"/>
          <w14:ligatures w14:val="none"/>
        </w:rPr>
        <w:t xml:space="preserve"> </w:t>
      </w:r>
      <w:r w:rsidR="00C826F7" w:rsidRPr="00E22FB2">
        <w:rPr>
          <w:rFonts w:cstheme="minorHAnsi"/>
          <w:kern w:val="0"/>
          <w14:ligatures w14:val="none"/>
        </w:rPr>
        <w:fldChar w:fldCharType="begin"/>
      </w:r>
      <w:r w:rsidR="00C826F7" w:rsidRPr="00E22FB2">
        <w:rPr>
          <w:rFonts w:cstheme="minorHAnsi"/>
          <w:kern w:val="0"/>
          <w14:ligatures w14:val="none"/>
        </w:rPr>
        <w:instrText xml:space="preserve"> ADDIN EN.CITE &lt;EndNote&gt;&lt;Cite&gt;&lt;Author&gt;Terjesen&lt;/Author&gt;&lt;Year&gt;2015&lt;/Year&gt;&lt;RecNum&gt;147&lt;/RecNum&gt;&lt;DisplayText&gt;(Terjesen &amp;amp; Lloyd, 2015)&lt;/DisplayText&gt;&lt;record&gt;&lt;rec-number&gt;147&lt;/rec-number&gt;&lt;foreign-keys&gt;&lt;key app="EN" db-id="fv0fw2svo5r555e9tt2p2ft5tdt9dr2rt0fe" timestamp="1681181625"&gt;147&lt;/key&gt;&lt;/foreign-keys&gt;&lt;ref-type name="Journal Article"&gt;17&lt;/ref-type&gt;&lt;contributors&gt;&lt;authors&gt;&lt;author&gt;Terjesen, Siri A&lt;/author&gt;&lt;author&gt;Lloyd, Ainsley&lt;/author&gt;&lt;/authors&gt;&lt;/contributors&gt;&lt;titles&gt;&lt;title&gt;The 2015 female entrepreneurship index&lt;/title&gt;&lt;secondary-title&gt;Kelley School of Business Research Paper&lt;/secondary-title&gt;&lt;/titles&gt;&lt;periodical&gt;&lt;full-title&gt;Kelley School of Business Research Paper&lt;/full-title&gt;&lt;/periodical&gt;&lt;number&gt;15-51&lt;/number&gt;&lt;dates&gt;&lt;year&gt;2015&lt;/year&gt;&lt;/dates&gt;&lt;urls&gt;&lt;/urls&gt;&lt;/record&gt;&lt;/Cite&gt;&lt;/EndNote&gt;</w:instrText>
      </w:r>
      <w:r w:rsidR="00C826F7" w:rsidRPr="00E22FB2">
        <w:rPr>
          <w:rFonts w:cstheme="minorHAnsi"/>
          <w:kern w:val="0"/>
          <w14:ligatures w14:val="none"/>
        </w:rPr>
        <w:fldChar w:fldCharType="separate"/>
      </w:r>
      <w:r w:rsidR="00C826F7" w:rsidRPr="00E22FB2">
        <w:rPr>
          <w:rFonts w:cstheme="minorHAnsi"/>
          <w:noProof/>
          <w:kern w:val="0"/>
          <w14:ligatures w14:val="none"/>
        </w:rPr>
        <w:t>(Terjesen &amp; Lloyd, 2015)</w:t>
      </w:r>
      <w:r w:rsidR="00C826F7" w:rsidRPr="00E22FB2">
        <w:rPr>
          <w:rFonts w:cstheme="minorHAnsi"/>
          <w:kern w:val="0"/>
          <w14:ligatures w14:val="none"/>
        </w:rPr>
        <w:fldChar w:fldCharType="end"/>
      </w:r>
      <w:r w:rsidRPr="00E22FB2">
        <w:rPr>
          <w:rFonts w:cstheme="minorHAnsi"/>
          <w:kern w:val="0"/>
          <w14:ligatures w14:val="none"/>
        </w:rPr>
        <w:t xml:space="preserve">, current policy, programs and research have yet not paid significant attention to the aspect of migrant women entrepreneurship.  Migrant women entrepreneurship has been an under-studied area of research in Australia </w:t>
      </w:r>
      <w:r w:rsidRPr="00E22FB2">
        <w:rPr>
          <w:rFonts w:cstheme="minorHAnsi"/>
          <w:kern w:val="0"/>
          <w14:ligatures w14:val="none"/>
        </w:rPr>
        <w:fldChar w:fldCharType="begin"/>
      </w:r>
      <w:r w:rsidRPr="00E22FB2">
        <w:rPr>
          <w:rFonts w:cstheme="minorHAnsi"/>
          <w:kern w:val="0"/>
          <w14:ligatures w14:val="none"/>
        </w:rPr>
        <w:instrText xml:space="preserve"> ADDIN EN.CITE &lt;EndNote&gt;&lt;Cite&gt;&lt;Author&gt;Azmat&lt;/Author&gt;&lt;Year&gt;2013&lt;/Year&gt;&lt;RecNum&gt;1&lt;/RecNum&gt;&lt;DisplayText&gt;(Azmat, 2013)&lt;/DisplayText&gt;&lt;record&gt;&lt;rec-number&gt;1&lt;/rec-number&gt;&lt;foreign-keys&gt;&lt;key app="EN" db-id="fv0fw2svo5r555e9tt2p2ft5tdt9dr2rt0fe" timestamp="1678767727"&gt;1&lt;/key&gt;&lt;/foreign-keys&gt;&lt;ref-type name="Journal Article"&gt;17&lt;/ref-type&gt;&lt;contributors&gt;&lt;authors&gt;&lt;author&gt;Azmat, Fara&lt;/author&gt;&lt;/authors&gt;&lt;/contributors&gt;&lt;titles&gt;&lt;title&gt;Opportunities or obstacles? Understanding the challenges faced by migrant women entrepreneurs&lt;/title&gt;&lt;secondary-title&gt;International journal of gender and entrepreneurship&lt;/secondary-title&gt;&lt;/titles&gt;&lt;periodical&gt;&lt;full-title&gt;International journal of gender and entrepreneurship&lt;/full-title&gt;&lt;/periodical&gt;&lt;dates&gt;&lt;year&gt;2013&lt;/year&gt;&lt;/dates&gt;&lt;isbn&gt;1756-6266&lt;/isbn&gt;&lt;urls&gt;&lt;/urls&gt;&lt;/record&gt;&lt;/Cite&gt;&lt;/EndNote&gt;</w:instrText>
      </w:r>
      <w:r w:rsidRPr="00E22FB2">
        <w:rPr>
          <w:rFonts w:cstheme="minorHAnsi"/>
          <w:kern w:val="0"/>
          <w14:ligatures w14:val="none"/>
        </w:rPr>
        <w:fldChar w:fldCharType="separate"/>
      </w:r>
      <w:r w:rsidRPr="00E22FB2">
        <w:rPr>
          <w:rFonts w:cstheme="minorHAnsi"/>
          <w:noProof/>
          <w:kern w:val="0"/>
          <w14:ligatures w14:val="none"/>
        </w:rPr>
        <w:t>(Azmat, 2013)</w:t>
      </w:r>
      <w:r w:rsidRPr="00E22FB2">
        <w:rPr>
          <w:rFonts w:cstheme="minorHAnsi"/>
          <w:kern w:val="0"/>
          <w14:ligatures w14:val="none"/>
        </w:rPr>
        <w:fldChar w:fldCharType="end"/>
      </w:r>
      <w:r w:rsidRPr="00E22FB2">
        <w:rPr>
          <w:rFonts w:cstheme="minorHAnsi"/>
          <w:kern w:val="0"/>
          <w14:ligatures w14:val="none"/>
        </w:rPr>
        <w:t xml:space="preserve">.  </w:t>
      </w:r>
      <w:r w:rsidR="00BD7B28" w:rsidRPr="00E22FB2">
        <w:rPr>
          <w:rFonts w:cstheme="minorHAnsi"/>
          <w:kern w:val="0"/>
          <w14:ligatures w14:val="none"/>
        </w:rPr>
        <w:t xml:space="preserve">Thus, Accord could establish a centre for Migrant women studies (MWS). </w:t>
      </w:r>
      <w:r w:rsidRPr="00E22FB2">
        <w:rPr>
          <w:rFonts w:cstheme="minorHAnsi"/>
          <w:kern w:val="0"/>
          <w14:ligatures w14:val="none"/>
        </w:rPr>
        <w:t xml:space="preserve">This should provide opportunities to migrant women to conduct research and develop programs that assist by migrant women, for migrant women and of migrant women. </w:t>
      </w:r>
    </w:p>
    <w:p w14:paraId="4B0B252C" w14:textId="7DA5D353" w:rsidR="00491B64" w:rsidRPr="00C826F7" w:rsidRDefault="00491B64" w:rsidP="000D0A1E">
      <w:pPr>
        <w:spacing w:after="120" w:line="360" w:lineRule="auto"/>
        <w:jc w:val="both"/>
        <w:rPr>
          <w:rFonts w:cstheme="minorHAnsi"/>
          <w:kern w:val="0"/>
          <w14:ligatures w14:val="none"/>
        </w:rPr>
      </w:pPr>
    </w:p>
    <w:p w14:paraId="15FC5FDA" w14:textId="595A2613" w:rsidR="00491B64" w:rsidRPr="00C826F7" w:rsidRDefault="00491B64" w:rsidP="00C826F7">
      <w:pPr>
        <w:jc w:val="both"/>
        <w:rPr>
          <w:rFonts w:cstheme="minorHAnsi"/>
          <w:kern w:val="0"/>
          <w14:ligatures w14:val="none"/>
        </w:rPr>
      </w:pPr>
    </w:p>
    <w:p w14:paraId="2E85E226" w14:textId="01AB431C" w:rsidR="00491B64" w:rsidRPr="00C826F7" w:rsidRDefault="00491B64" w:rsidP="00C826F7">
      <w:pPr>
        <w:jc w:val="both"/>
        <w:rPr>
          <w:rFonts w:cstheme="minorHAnsi"/>
          <w:kern w:val="0"/>
          <w14:ligatures w14:val="none"/>
        </w:rPr>
      </w:pPr>
    </w:p>
    <w:p w14:paraId="29DF11C5" w14:textId="0963564A" w:rsidR="00491B64" w:rsidRPr="00C826F7" w:rsidRDefault="00491B64" w:rsidP="00C826F7">
      <w:pPr>
        <w:jc w:val="both"/>
        <w:rPr>
          <w:rFonts w:cstheme="minorHAnsi"/>
          <w:kern w:val="0"/>
          <w14:ligatures w14:val="none"/>
        </w:rPr>
      </w:pPr>
    </w:p>
    <w:p w14:paraId="6EA099AE" w14:textId="432ED1E9" w:rsidR="00491B64" w:rsidRPr="00C826F7" w:rsidRDefault="00491B64" w:rsidP="00C826F7">
      <w:pPr>
        <w:jc w:val="both"/>
        <w:rPr>
          <w:rFonts w:cstheme="minorHAnsi"/>
          <w:kern w:val="0"/>
          <w14:ligatures w14:val="none"/>
        </w:rPr>
      </w:pPr>
    </w:p>
    <w:p w14:paraId="2D6CA904" w14:textId="4D4D1A0C" w:rsidR="00491B64" w:rsidRPr="00C826F7" w:rsidRDefault="00491B64" w:rsidP="00C826F7">
      <w:pPr>
        <w:jc w:val="both"/>
        <w:rPr>
          <w:rFonts w:cstheme="minorHAnsi"/>
          <w:kern w:val="0"/>
          <w14:ligatures w14:val="none"/>
        </w:rPr>
      </w:pPr>
    </w:p>
    <w:p w14:paraId="7C4A4119" w14:textId="1043A8D8" w:rsidR="00C826F7" w:rsidRDefault="00C826F7">
      <w:r>
        <w:br w:type="page"/>
      </w:r>
    </w:p>
    <w:p w14:paraId="0EB1276F" w14:textId="214988AE" w:rsidR="005E030E" w:rsidRPr="00C826F7" w:rsidRDefault="00C826F7" w:rsidP="00C826F7">
      <w:pPr>
        <w:jc w:val="both"/>
      </w:pPr>
      <w:r>
        <w:lastRenderedPageBreak/>
        <w:t>References:</w:t>
      </w:r>
    </w:p>
    <w:p w14:paraId="510E0E14" w14:textId="77777777" w:rsidR="005E030E" w:rsidRPr="00C826F7" w:rsidRDefault="005E030E" w:rsidP="00C826F7">
      <w:pPr>
        <w:jc w:val="both"/>
      </w:pPr>
    </w:p>
    <w:p w14:paraId="1D83A729" w14:textId="77777777" w:rsidR="00C826F7" w:rsidRPr="00C826F7" w:rsidRDefault="005E030E" w:rsidP="00C826F7">
      <w:pPr>
        <w:pStyle w:val="EndNoteBibliography"/>
        <w:spacing w:after="0"/>
        <w:ind w:left="720" w:hanging="720"/>
      </w:pPr>
      <w:r w:rsidRPr="00C826F7">
        <w:fldChar w:fldCharType="begin"/>
      </w:r>
      <w:r w:rsidRPr="00C826F7">
        <w:instrText xml:space="preserve"> ADDIN EN.REFLIST </w:instrText>
      </w:r>
      <w:r w:rsidRPr="00C826F7">
        <w:fldChar w:fldCharType="separate"/>
      </w:r>
      <w:r w:rsidR="00C826F7" w:rsidRPr="00C826F7">
        <w:t xml:space="preserve">Azmat, F. (2013). Opportunities or obstacles? Understanding the challenges faced by migrant women entrepreneurs. </w:t>
      </w:r>
      <w:r w:rsidR="00C826F7" w:rsidRPr="00C826F7">
        <w:rPr>
          <w:i/>
        </w:rPr>
        <w:t>International journal of gender and entrepreneurship</w:t>
      </w:r>
      <w:r w:rsidR="00C826F7" w:rsidRPr="00C826F7">
        <w:t xml:space="preserve">. </w:t>
      </w:r>
    </w:p>
    <w:p w14:paraId="02E9371C" w14:textId="77777777" w:rsidR="00C826F7" w:rsidRPr="00C826F7" w:rsidRDefault="00C826F7" w:rsidP="00C826F7">
      <w:pPr>
        <w:pStyle w:val="EndNoteBibliography"/>
        <w:spacing w:after="0"/>
        <w:ind w:left="720" w:hanging="720"/>
      </w:pPr>
      <w:r w:rsidRPr="00C826F7">
        <w:t xml:space="preserve">Howard, J. H. (2021). </w:t>
      </w:r>
      <w:r w:rsidRPr="00C826F7">
        <w:rPr>
          <w:i/>
        </w:rPr>
        <w:t>Rethinking Australian higher education</w:t>
      </w:r>
      <w:r w:rsidRPr="00C826F7">
        <w:t xml:space="preserve">. Howard Partners Canberra. </w:t>
      </w:r>
    </w:p>
    <w:p w14:paraId="7A303F49" w14:textId="7806646C" w:rsidR="00C826F7" w:rsidRPr="00C826F7" w:rsidRDefault="00C826F7" w:rsidP="00C826F7">
      <w:pPr>
        <w:pStyle w:val="EndNoteBibliography"/>
        <w:spacing w:after="0"/>
        <w:ind w:left="720" w:hanging="720"/>
      </w:pPr>
      <w:r w:rsidRPr="00C826F7">
        <w:t>Stevens, R. (2021). Migrant women build own businesses after years of unsuccessful job applications.</w:t>
      </w:r>
      <w:r w:rsidRPr="00C826F7">
        <w:rPr>
          <w:i/>
        </w:rPr>
        <w:t xml:space="preserve"> ABC NEWS,</w:t>
      </w:r>
      <w:r w:rsidRPr="00C826F7">
        <w:t xml:space="preserve">. </w:t>
      </w:r>
      <w:r w:rsidRPr="00895D9F">
        <w:t>https://www.abc.net.au/news/2021-01-07/migrant-women-build-own-business-and-self-confidence/13033906?utm_campaign=abc_news_web&amp;utm_content=link&amp;utm_medium=content_shared&amp;utm_source=abc_news_web</w:t>
      </w:r>
    </w:p>
    <w:p w14:paraId="0DDF88FA" w14:textId="77777777" w:rsidR="00C826F7" w:rsidRPr="00C826F7" w:rsidRDefault="00C826F7" w:rsidP="00C826F7">
      <w:pPr>
        <w:pStyle w:val="EndNoteBibliography"/>
        <w:ind w:left="720" w:hanging="720"/>
      </w:pPr>
      <w:r w:rsidRPr="00C826F7">
        <w:t xml:space="preserve">Terjesen, S. A., &amp; Lloyd, A. (2015). The 2015 female entrepreneurship index. </w:t>
      </w:r>
      <w:r w:rsidRPr="00C826F7">
        <w:rPr>
          <w:i/>
        </w:rPr>
        <w:t>Kelley School of Business Research Paper</w:t>
      </w:r>
      <w:r w:rsidRPr="00C826F7">
        <w:t xml:space="preserve">(15-51). </w:t>
      </w:r>
    </w:p>
    <w:p w14:paraId="56AD2746" w14:textId="27F8C663" w:rsidR="000E5A75" w:rsidRPr="00C826F7" w:rsidRDefault="005E030E" w:rsidP="00C826F7">
      <w:pPr>
        <w:jc w:val="both"/>
      </w:pPr>
      <w:r w:rsidRPr="00C826F7">
        <w:fldChar w:fldCharType="end"/>
      </w:r>
    </w:p>
    <w:sectPr w:rsidR="000E5A75" w:rsidRPr="00C826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E421" w14:textId="77777777" w:rsidR="0036564B" w:rsidRDefault="0036564B" w:rsidP="00786568">
      <w:pPr>
        <w:spacing w:after="0" w:line="240" w:lineRule="auto"/>
      </w:pPr>
      <w:r>
        <w:separator/>
      </w:r>
    </w:p>
  </w:endnote>
  <w:endnote w:type="continuationSeparator" w:id="0">
    <w:p w14:paraId="10E55DF1" w14:textId="77777777" w:rsidR="0036564B" w:rsidRDefault="0036564B" w:rsidP="0078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30648"/>
      <w:docPartObj>
        <w:docPartGallery w:val="Page Numbers (Bottom of Page)"/>
        <w:docPartUnique/>
      </w:docPartObj>
    </w:sdtPr>
    <w:sdtEndPr>
      <w:rPr>
        <w:noProof/>
      </w:rPr>
    </w:sdtEndPr>
    <w:sdtContent>
      <w:p w14:paraId="7854A6F1" w14:textId="27FE4E3D" w:rsidR="00786568" w:rsidRDefault="00786568" w:rsidP="003F013D">
        <w:pPr>
          <w:pStyle w:val="Footer"/>
        </w:pPr>
        <w:r>
          <w:t xml:space="preserve">Runali </w:t>
        </w:r>
        <w:r w:rsidR="003F013D">
          <w:t xml:space="preserve">Alpesh </w:t>
        </w:r>
        <w:r>
          <w:t xml:space="preserve">Maniya </w:t>
        </w:r>
        <w:r w:rsidR="003F013D">
          <w:t xml:space="preserve">                                                                                                                                           </w:t>
        </w:r>
        <w:r>
          <w:fldChar w:fldCharType="begin"/>
        </w:r>
        <w:r>
          <w:instrText xml:space="preserve"> PAGE   \* MERGEFORMAT </w:instrText>
        </w:r>
        <w:r>
          <w:fldChar w:fldCharType="separate"/>
        </w:r>
        <w:r>
          <w:rPr>
            <w:noProof/>
          </w:rPr>
          <w:t>2</w:t>
        </w:r>
        <w:r>
          <w:rPr>
            <w:noProof/>
          </w:rPr>
          <w:fldChar w:fldCharType="end"/>
        </w:r>
      </w:p>
    </w:sdtContent>
  </w:sdt>
  <w:p w14:paraId="549F16B5" w14:textId="77777777" w:rsidR="00786568" w:rsidRDefault="0078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1927" w14:textId="77777777" w:rsidR="0036564B" w:rsidRDefault="0036564B" w:rsidP="00786568">
      <w:pPr>
        <w:spacing w:after="0" w:line="240" w:lineRule="auto"/>
      </w:pPr>
      <w:r>
        <w:separator/>
      </w:r>
    </w:p>
  </w:footnote>
  <w:footnote w:type="continuationSeparator" w:id="0">
    <w:p w14:paraId="41881BB1" w14:textId="77777777" w:rsidR="0036564B" w:rsidRDefault="0036564B" w:rsidP="0078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2C96"/>
    <w:multiLevelType w:val="hybridMultilevel"/>
    <w:tmpl w:val="B01CB2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C8780B"/>
    <w:multiLevelType w:val="hybridMultilevel"/>
    <w:tmpl w:val="F3104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773C03"/>
    <w:multiLevelType w:val="hybridMultilevel"/>
    <w:tmpl w:val="EC503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800D3"/>
    <w:multiLevelType w:val="hybridMultilevel"/>
    <w:tmpl w:val="B62AF1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AED495C"/>
    <w:multiLevelType w:val="hybridMultilevel"/>
    <w:tmpl w:val="815E667C"/>
    <w:lvl w:ilvl="0" w:tplc="6D5E08B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51796988">
    <w:abstractNumId w:val="2"/>
  </w:num>
  <w:num w:numId="2" w16cid:durableId="631640520">
    <w:abstractNumId w:val="0"/>
  </w:num>
  <w:num w:numId="3" w16cid:durableId="1173109297">
    <w:abstractNumId w:val="4"/>
  </w:num>
  <w:num w:numId="4" w16cid:durableId="1030573065">
    <w:abstractNumId w:val="3"/>
  </w:num>
  <w:num w:numId="5" w16cid:durableId="79830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0fw2svo5r555e9tt2p2ft5tdt9dr2rt0fe&quot;&gt;Runali MPhil&lt;record-ids&gt;&lt;item&gt;1&lt;/item&gt;&lt;item&gt;16&lt;/item&gt;&lt;item&gt;142&lt;/item&gt;&lt;item&gt;147&lt;/item&gt;&lt;/record-ids&gt;&lt;/item&gt;&lt;/Libraries&gt;"/>
  </w:docVars>
  <w:rsids>
    <w:rsidRoot w:val="0091009A"/>
    <w:rsid w:val="000D0551"/>
    <w:rsid w:val="000D0A1E"/>
    <w:rsid w:val="000E47F5"/>
    <w:rsid w:val="000E5A75"/>
    <w:rsid w:val="00131918"/>
    <w:rsid w:val="00204139"/>
    <w:rsid w:val="00231F35"/>
    <w:rsid w:val="0030110B"/>
    <w:rsid w:val="0036564B"/>
    <w:rsid w:val="003F013D"/>
    <w:rsid w:val="004054F9"/>
    <w:rsid w:val="0047375E"/>
    <w:rsid w:val="004765D4"/>
    <w:rsid w:val="00491B64"/>
    <w:rsid w:val="0049348F"/>
    <w:rsid w:val="00540D37"/>
    <w:rsid w:val="00540DCC"/>
    <w:rsid w:val="005C7F55"/>
    <w:rsid w:val="005E030E"/>
    <w:rsid w:val="006404C0"/>
    <w:rsid w:val="006746F9"/>
    <w:rsid w:val="00710940"/>
    <w:rsid w:val="00786568"/>
    <w:rsid w:val="00853DF5"/>
    <w:rsid w:val="00876CCD"/>
    <w:rsid w:val="00895D9F"/>
    <w:rsid w:val="008A6E46"/>
    <w:rsid w:val="008C5E5A"/>
    <w:rsid w:val="0091009A"/>
    <w:rsid w:val="00A052D6"/>
    <w:rsid w:val="00A27993"/>
    <w:rsid w:val="00A571FB"/>
    <w:rsid w:val="00BD7B28"/>
    <w:rsid w:val="00C826F7"/>
    <w:rsid w:val="00D07F30"/>
    <w:rsid w:val="00D718E2"/>
    <w:rsid w:val="00DE39AB"/>
    <w:rsid w:val="00E12416"/>
    <w:rsid w:val="00E138F1"/>
    <w:rsid w:val="00E22FB2"/>
    <w:rsid w:val="00F46B40"/>
    <w:rsid w:val="00F62659"/>
    <w:rsid w:val="00F97043"/>
    <w:rsid w:val="00FD1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0B001"/>
  <w15:chartTrackingRefBased/>
  <w15:docId w15:val="{732D0D15-AC21-40C9-8F30-3D74AA33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64"/>
    <w:pPr>
      <w:ind w:left="720"/>
      <w:contextualSpacing/>
    </w:pPr>
  </w:style>
  <w:style w:type="paragraph" w:customStyle="1" w:styleId="EndNoteBibliographyTitle">
    <w:name w:val="EndNote Bibliography Title"/>
    <w:basedOn w:val="Normal"/>
    <w:link w:val="EndNoteBibliographyTitleChar"/>
    <w:rsid w:val="005E030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E030E"/>
    <w:rPr>
      <w:rFonts w:ascii="Calibri" w:hAnsi="Calibri" w:cs="Calibri"/>
      <w:noProof/>
      <w:lang w:val="en-US"/>
    </w:rPr>
  </w:style>
  <w:style w:type="paragraph" w:customStyle="1" w:styleId="EndNoteBibliography">
    <w:name w:val="EndNote Bibliography"/>
    <w:basedOn w:val="Normal"/>
    <w:link w:val="EndNoteBibliographyChar"/>
    <w:rsid w:val="005E030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E030E"/>
    <w:rPr>
      <w:rFonts w:ascii="Calibri" w:hAnsi="Calibri" w:cs="Calibri"/>
      <w:noProof/>
      <w:lang w:val="en-US"/>
    </w:rPr>
  </w:style>
  <w:style w:type="character" w:styleId="Hyperlink">
    <w:name w:val="Hyperlink"/>
    <w:basedOn w:val="DefaultParagraphFont"/>
    <w:uiPriority w:val="99"/>
    <w:unhideWhenUsed/>
    <w:rsid w:val="00BD7B28"/>
    <w:rPr>
      <w:color w:val="0563C1" w:themeColor="hyperlink"/>
      <w:u w:val="single"/>
    </w:rPr>
  </w:style>
  <w:style w:type="character" w:styleId="UnresolvedMention">
    <w:name w:val="Unresolved Mention"/>
    <w:basedOn w:val="DefaultParagraphFont"/>
    <w:uiPriority w:val="99"/>
    <w:semiHidden/>
    <w:unhideWhenUsed/>
    <w:rsid w:val="00BD7B28"/>
    <w:rPr>
      <w:color w:val="605E5C"/>
      <w:shd w:val="clear" w:color="auto" w:fill="E1DFDD"/>
    </w:rPr>
  </w:style>
  <w:style w:type="paragraph" w:styleId="Header">
    <w:name w:val="header"/>
    <w:basedOn w:val="Normal"/>
    <w:link w:val="HeaderChar"/>
    <w:uiPriority w:val="99"/>
    <w:unhideWhenUsed/>
    <w:rsid w:val="0078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568"/>
  </w:style>
  <w:style w:type="paragraph" w:styleId="Footer">
    <w:name w:val="footer"/>
    <w:basedOn w:val="Normal"/>
    <w:link w:val="FooterChar"/>
    <w:uiPriority w:val="99"/>
    <w:unhideWhenUsed/>
    <w:rsid w:val="00786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12E2-49E6-45C4-8B96-B04B1B01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Runali Alpesh Maniya</dc:creator>
  <cp:keywords/>
  <dc:description/>
  <cp:lastModifiedBy>MACKEY,Drew</cp:lastModifiedBy>
  <cp:revision>2</cp:revision>
  <dcterms:created xsi:type="dcterms:W3CDTF">2023-04-11T04:23:00Z</dcterms:created>
  <dcterms:modified xsi:type="dcterms:W3CDTF">2023-04-11T04:23:00Z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2023-04-11T04:22:51Z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41575267-323f-43d9-9c1e-d913da69a85c</vt:lpwstr>
  </property>
  <property fmtid="{D5CDD505-2E9C-101B-9397-08002B2CF9AE}" pid="8" name="MSIP_Label_79d889eb-932f-4752-8739-64d25806ef64_ContentBits">
    <vt:lpwstr>0</vt:lpwstr>
  </property>
</Properties>
</file>