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1564" w14:textId="2E1280B9" w:rsidR="00176174" w:rsidRPr="00E42450" w:rsidRDefault="00176174" w:rsidP="00EB2812">
      <w:pPr>
        <w:rPr>
          <w:b/>
          <w:bCs/>
        </w:rPr>
      </w:pPr>
      <w:r w:rsidRPr="00E42450">
        <w:rPr>
          <w:b/>
          <w:bCs/>
        </w:rPr>
        <w:t>Dr Matt Brett</w:t>
      </w:r>
    </w:p>
    <w:p w14:paraId="51FDF80B" w14:textId="3E2360C0" w:rsidR="00176174" w:rsidRPr="00E42450" w:rsidRDefault="00990747" w:rsidP="00EB2812">
      <w:pPr>
        <w:rPr>
          <w:b/>
          <w:bCs/>
        </w:rPr>
      </w:pPr>
      <w:r w:rsidRPr="00E42450">
        <w:rPr>
          <w:b/>
          <w:bCs/>
        </w:rPr>
        <w:t>Melbourne, Victoria</w:t>
      </w:r>
    </w:p>
    <w:p w14:paraId="2E2F3947" w14:textId="77777777" w:rsidR="00990747" w:rsidRDefault="00990747" w:rsidP="00EB2812"/>
    <w:p w14:paraId="16FF7B8B" w14:textId="7FD58286" w:rsidR="00990747" w:rsidRPr="00E42450" w:rsidRDefault="001605FD" w:rsidP="00EB2812">
      <w:pPr>
        <w:rPr>
          <w:b/>
          <w:bCs/>
        </w:rPr>
      </w:pPr>
      <w:r w:rsidRPr="00E42450">
        <w:rPr>
          <w:b/>
          <w:bCs/>
        </w:rPr>
        <w:t>Universities Accord Submission</w:t>
      </w:r>
    </w:p>
    <w:p w14:paraId="5CC2461B" w14:textId="77777777" w:rsidR="001605FD" w:rsidRDefault="001605FD" w:rsidP="00EB2812"/>
    <w:p w14:paraId="27BC55A1" w14:textId="54D59526" w:rsidR="00E42450" w:rsidRDefault="000022DA" w:rsidP="00EB2812">
      <w:r>
        <w:t>1</w:t>
      </w:r>
      <w:r w:rsidR="00E42450">
        <w:t xml:space="preserve"> April 2023</w:t>
      </w:r>
    </w:p>
    <w:p w14:paraId="1D49B6EE" w14:textId="77777777" w:rsidR="00E42450" w:rsidRDefault="00E42450" w:rsidP="00EB2812"/>
    <w:p w14:paraId="70B41F7F" w14:textId="7F2DDB79" w:rsidR="001605FD" w:rsidRDefault="001605FD" w:rsidP="00EB2812">
      <w:r>
        <w:t xml:space="preserve">Dear </w:t>
      </w:r>
      <w:r w:rsidR="009C2B3C">
        <w:t>Universities Accord Panel,</w:t>
      </w:r>
    </w:p>
    <w:p w14:paraId="3F16A6EE" w14:textId="77777777" w:rsidR="009C2B3C" w:rsidRDefault="009C2B3C" w:rsidP="00EB2812"/>
    <w:p w14:paraId="1F1F7F7E" w14:textId="4AEAC4B5" w:rsidR="00970EBF" w:rsidRDefault="009C2B3C" w:rsidP="00EB2812">
      <w:r>
        <w:t xml:space="preserve">Thank you for the opportunity to </w:t>
      </w:r>
      <w:r w:rsidR="00970EBF">
        <w:t xml:space="preserve">provide feedback to the discussion paper. My submission is </w:t>
      </w:r>
      <w:r w:rsidR="009C5BBB">
        <w:t>made in a personal capacity</w:t>
      </w:r>
      <w:r w:rsidR="00970EBF">
        <w:t xml:space="preserve"> and </w:t>
      </w:r>
      <w:r w:rsidR="009C5BBB">
        <w:t>is</w:t>
      </w:r>
      <w:r w:rsidR="00970EBF">
        <w:t xml:space="preserve"> not affiliated </w:t>
      </w:r>
      <w:r w:rsidR="009C5BBB">
        <w:t>nor represent</w:t>
      </w:r>
      <w:r w:rsidR="008B5519">
        <w:t>ative of</w:t>
      </w:r>
      <w:r w:rsidR="009C5BBB">
        <w:t xml:space="preserve"> </w:t>
      </w:r>
      <w:r w:rsidR="00970EBF">
        <w:t xml:space="preserve">any </w:t>
      </w:r>
      <w:r w:rsidR="00C3214A">
        <w:t>organisation</w:t>
      </w:r>
      <w:r w:rsidR="0062235E">
        <w:t>.</w:t>
      </w:r>
    </w:p>
    <w:p w14:paraId="15C522F6" w14:textId="77777777" w:rsidR="0062235E" w:rsidRDefault="0062235E" w:rsidP="00EB2812"/>
    <w:p w14:paraId="28BEFC84" w14:textId="59A09994" w:rsidR="00344053" w:rsidRDefault="001E1E64" w:rsidP="00EB2812">
      <w:r>
        <w:t>My response to</w:t>
      </w:r>
      <w:r w:rsidR="00F82A59">
        <w:t xml:space="preserve"> consultation questions</w:t>
      </w:r>
      <w:r>
        <w:t xml:space="preserve"> is grounded in </w:t>
      </w:r>
      <w:r w:rsidR="00164194">
        <w:t xml:space="preserve">three observations </w:t>
      </w:r>
      <w:r w:rsidR="003B00C8">
        <w:t xml:space="preserve">that emerged from doctoral study </w:t>
      </w:r>
      <w:r w:rsidR="003A2AF0">
        <w:t>into</w:t>
      </w:r>
      <w:r w:rsidR="00164194">
        <w:t xml:space="preserve"> </w:t>
      </w:r>
      <w:r w:rsidR="00F82A59">
        <w:t xml:space="preserve">Australian </w:t>
      </w:r>
      <w:r w:rsidR="00164194">
        <w:t xml:space="preserve">higher education </w:t>
      </w:r>
      <w:proofErr w:type="gramStart"/>
      <w:r w:rsidR="00F82A59">
        <w:t>policy</w:t>
      </w:r>
      <w:r w:rsidR="003B00C8">
        <w:t>-making</w:t>
      </w:r>
      <w:proofErr w:type="gramEnd"/>
      <w:r w:rsidR="00014401">
        <w:t xml:space="preserve"> </w:t>
      </w:r>
      <w:r w:rsidR="009C5BBB">
        <w:rPr>
          <w:rStyle w:val="FootnoteReference"/>
        </w:rPr>
        <w:footnoteReference w:id="2"/>
      </w:r>
      <w:r w:rsidR="009C5BBB">
        <w:t xml:space="preserve">. </w:t>
      </w:r>
    </w:p>
    <w:p w14:paraId="6BDE6D22" w14:textId="77777777" w:rsidR="00827DBA" w:rsidRDefault="00827DBA" w:rsidP="00EB2812"/>
    <w:p w14:paraId="410F1B29" w14:textId="77777777" w:rsidR="00124FF9" w:rsidRPr="00124FF9" w:rsidRDefault="00827DBA" w:rsidP="004E5430">
      <w:pPr>
        <w:pStyle w:val="ListParagraph"/>
        <w:numPr>
          <w:ilvl w:val="0"/>
          <w:numId w:val="4"/>
        </w:numPr>
        <w:rPr>
          <w:b/>
          <w:bCs/>
          <w:i/>
          <w:iCs/>
        </w:rPr>
      </w:pPr>
      <w:r w:rsidRPr="005465AB">
        <w:rPr>
          <w:b/>
          <w:bCs/>
        </w:rPr>
        <w:t xml:space="preserve">Australia is internationally distinctive for the </w:t>
      </w:r>
      <w:r w:rsidR="00A90B2D" w:rsidRPr="005465AB">
        <w:rPr>
          <w:b/>
          <w:bCs/>
        </w:rPr>
        <w:t>frequency with which</w:t>
      </w:r>
      <w:r w:rsidRPr="005465AB">
        <w:rPr>
          <w:b/>
          <w:bCs/>
        </w:rPr>
        <w:t xml:space="preserve"> </w:t>
      </w:r>
      <w:r w:rsidR="002D6241" w:rsidRPr="005465AB">
        <w:rPr>
          <w:b/>
          <w:bCs/>
        </w:rPr>
        <w:t xml:space="preserve">it amends </w:t>
      </w:r>
      <w:r w:rsidR="00A90B2D" w:rsidRPr="005465AB">
        <w:rPr>
          <w:b/>
          <w:bCs/>
        </w:rPr>
        <w:t>higher education</w:t>
      </w:r>
      <w:r w:rsidRPr="005465AB">
        <w:rPr>
          <w:b/>
          <w:bCs/>
        </w:rPr>
        <w:t xml:space="preserve"> </w:t>
      </w:r>
      <w:r w:rsidR="0030043B" w:rsidRPr="005465AB">
        <w:rPr>
          <w:b/>
          <w:bCs/>
        </w:rPr>
        <w:t>financing and regulation</w:t>
      </w:r>
      <w:r w:rsidR="00A90B2D" w:rsidRPr="005465AB">
        <w:rPr>
          <w:b/>
          <w:bCs/>
        </w:rPr>
        <w:t>.</w:t>
      </w:r>
    </w:p>
    <w:p w14:paraId="24DEC7D7" w14:textId="77777777" w:rsidR="00124FF9" w:rsidRPr="00124FF9" w:rsidRDefault="00124FF9" w:rsidP="00124FF9">
      <w:pPr>
        <w:pStyle w:val="ListParagraph"/>
        <w:ind w:left="360"/>
        <w:rPr>
          <w:b/>
          <w:bCs/>
          <w:i/>
          <w:iCs/>
        </w:rPr>
      </w:pPr>
    </w:p>
    <w:p w14:paraId="023E6050" w14:textId="77621CCD" w:rsidR="00124FF9" w:rsidRDefault="00EE6703" w:rsidP="00BD460A">
      <w:pPr>
        <w:pStyle w:val="ListParagraph"/>
        <w:ind w:left="0"/>
      </w:pPr>
      <w:r>
        <w:t>Between the date of as</w:t>
      </w:r>
      <w:r w:rsidR="004979A6">
        <w:t>s</w:t>
      </w:r>
      <w:r>
        <w:t xml:space="preserve">ent and </w:t>
      </w:r>
      <w:r w:rsidR="00AC3044">
        <w:t xml:space="preserve">the </w:t>
      </w:r>
      <w:r>
        <w:t>1st</w:t>
      </w:r>
      <w:r w:rsidR="00AC3044">
        <w:t xml:space="preserve"> </w:t>
      </w:r>
      <w:r>
        <w:t xml:space="preserve">of </w:t>
      </w:r>
      <w:r w:rsidR="00AC3044">
        <w:t xml:space="preserve">April </w:t>
      </w:r>
      <w:r>
        <w:t xml:space="preserve">2023, the Higher Education Support Act </w:t>
      </w:r>
      <w:r w:rsidR="004979A6">
        <w:t xml:space="preserve">2003 </w:t>
      </w:r>
      <w:r w:rsidR="00217D8D">
        <w:t xml:space="preserve">(HESA) </w:t>
      </w:r>
      <w:r>
        <w:t>has been ame</w:t>
      </w:r>
      <w:r w:rsidR="002723DC">
        <w:t>n</w:t>
      </w:r>
      <w:r>
        <w:t xml:space="preserve">ded </w:t>
      </w:r>
      <w:r w:rsidR="00AC3044">
        <w:t>8</w:t>
      </w:r>
      <w:r w:rsidR="00A2452E">
        <w:t>3</w:t>
      </w:r>
      <w:r w:rsidR="002723DC">
        <w:t xml:space="preserve"> times</w:t>
      </w:r>
      <w:r w:rsidR="003B4B01">
        <w:rPr>
          <w:rStyle w:val="FootnoteReference"/>
        </w:rPr>
        <w:footnoteReference w:id="3"/>
      </w:r>
      <w:r w:rsidR="003B4B01">
        <w:t>.</w:t>
      </w:r>
      <w:r w:rsidR="002723DC">
        <w:t xml:space="preserve"> </w:t>
      </w:r>
      <w:r w:rsidR="00AC3044">
        <w:t xml:space="preserve"> </w:t>
      </w:r>
      <w:r w:rsidR="005E3072">
        <w:t>This represents an amendment being made</w:t>
      </w:r>
      <w:r w:rsidR="004979A6">
        <w:t xml:space="preserve"> to HESA</w:t>
      </w:r>
      <w:r w:rsidR="005E3072">
        <w:t xml:space="preserve">, on average, </w:t>
      </w:r>
      <w:r w:rsidR="005E3072" w:rsidRPr="00D5443D">
        <w:rPr>
          <w:b/>
          <w:bCs/>
        </w:rPr>
        <w:t xml:space="preserve">every </w:t>
      </w:r>
      <w:r w:rsidR="008A1916" w:rsidRPr="00D5443D">
        <w:rPr>
          <w:b/>
          <w:bCs/>
        </w:rPr>
        <w:t>85 days</w:t>
      </w:r>
      <w:r w:rsidR="008A1916">
        <w:t xml:space="preserve">. </w:t>
      </w:r>
      <w:r w:rsidR="009E59F7">
        <w:t>In addition,</w:t>
      </w:r>
      <w:r w:rsidR="00F436B3">
        <w:t xml:space="preserve"> the</w:t>
      </w:r>
      <w:r w:rsidR="007B57A4">
        <w:t xml:space="preserve"> </w:t>
      </w:r>
      <w:r w:rsidR="008705AE">
        <w:t>742 policy instruments enabled by HESA</w:t>
      </w:r>
      <w:r w:rsidR="009148A5">
        <w:t xml:space="preserve"> </w:t>
      </w:r>
      <w:r w:rsidR="009E59F7">
        <w:t>and produced, on average</w:t>
      </w:r>
      <w:r w:rsidR="009148A5">
        <w:t xml:space="preserve"> </w:t>
      </w:r>
      <w:r w:rsidR="009148A5" w:rsidRPr="00D5443D">
        <w:rPr>
          <w:b/>
          <w:bCs/>
        </w:rPr>
        <w:t>every nine days</w:t>
      </w:r>
      <w:r w:rsidR="009148A5">
        <w:t>.</w:t>
      </w:r>
      <w:r w:rsidR="007B57A4">
        <w:rPr>
          <w:rStyle w:val="FootnoteReference"/>
        </w:rPr>
        <w:footnoteReference w:id="4"/>
      </w:r>
      <w:r w:rsidR="009148A5">
        <w:t xml:space="preserve"> </w:t>
      </w:r>
      <w:r w:rsidR="00956AC4">
        <w:t xml:space="preserve"> </w:t>
      </w:r>
    </w:p>
    <w:p w14:paraId="0BF35CBE" w14:textId="77777777" w:rsidR="00124FF9" w:rsidRDefault="00124FF9" w:rsidP="00BD460A">
      <w:pPr>
        <w:pStyle w:val="ListParagraph"/>
        <w:ind w:left="0"/>
      </w:pPr>
    </w:p>
    <w:p w14:paraId="7B2E4EB1" w14:textId="54C6C433" w:rsidR="00124FF9" w:rsidRDefault="009D626A" w:rsidP="00BD460A">
      <w:pPr>
        <w:pStyle w:val="ListParagraph"/>
        <w:ind w:left="0"/>
      </w:pPr>
      <w:r>
        <w:t>These</w:t>
      </w:r>
      <w:r w:rsidR="007B57A4">
        <w:t xml:space="preserve"> </w:t>
      </w:r>
      <w:r w:rsidR="0071731A">
        <w:t xml:space="preserve">are </w:t>
      </w:r>
      <w:r w:rsidR="007B57A4">
        <w:t>imperfect indicator</w:t>
      </w:r>
      <w:r>
        <w:t>s</w:t>
      </w:r>
      <w:r w:rsidR="00AE0260">
        <w:t xml:space="preserve"> </w:t>
      </w:r>
      <w:r w:rsidR="00E52EB2">
        <w:t>that</w:t>
      </w:r>
      <w:r w:rsidR="00AE0260">
        <w:t xml:space="preserve"> attempt to </w:t>
      </w:r>
      <w:r w:rsidR="0071731A">
        <w:t xml:space="preserve">quantify the </w:t>
      </w:r>
      <w:r w:rsidR="007B57A4">
        <w:t xml:space="preserve">level of policy activity associated with Australian higher education. </w:t>
      </w:r>
      <w:r w:rsidR="00A45759">
        <w:t xml:space="preserve">The </w:t>
      </w:r>
      <w:r w:rsidR="004E5430">
        <w:t xml:space="preserve">utility or otherwise of this </w:t>
      </w:r>
      <w:r w:rsidR="00A45759">
        <w:t xml:space="preserve">frequency of amendment </w:t>
      </w:r>
      <w:r w:rsidR="004E5430">
        <w:t>will depend on one’s values</w:t>
      </w:r>
      <w:r w:rsidR="00A45759">
        <w:t>. T</w:t>
      </w:r>
      <w:r w:rsidR="00B606EC">
        <w:t xml:space="preserve">he success of Australian higher education </w:t>
      </w:r>
      <w:r w:rsidR="00A45759">
        <w:t>might be attributed to</w:t>
      </w:r>
      <w:r w:rsidR="00B606EC">
        <w:t xml:space="preserve"> </w:t>
      </w:r>
      <w:r w:rsidR="007445FA">
        <w:t>this</w:t>
      </w:r>
      <w:r w:rsidR="00564827">
        <w:t xml:space="preserve"> </w:t>
      </w:r>
      <w:r w:rsidR="00B606EC">
        <w:t xml:space="preserve">high </w:t>
      </w:r>
      <w:r w:rsidR="00564827">
        <w:t xml:space="preserve">frequency of </w:t>
      </w:r>
      <w:r w:rsidR="00080FCB">
        <w:t>well</w:t>
      </w:r>
      <w:r w:rsidR="007445FA">
        <w:t>-</w:t>
      </w:r>
      <w:r w:rsidR="00325453">
        <w:t xml:space="preserve">targeted </w:t>
      </w:r>
      <w:r w:rsidR="00564827">
        <w:t xml:space="preserve">reform. </w:t>
      </w:r>
      <w:r w:rsidR="008D715F">
        <w:t>C</w:t>
      </w:r>
      <w:r w:rsidR="00620139">
        <w:t>onversely</w:t>
      </w:r>
      <w:r w:rsidR="008D715F">
        <w:t xml:space="preserve">, </w:t>
      </w:r>
      <w:r w:rsidR="004E5430">
        <w:t xml:space="preserve">and in my opinion, </w:t>
      </w:r>
      <w:r w:rsidR="008D715F">
        <w:t xml:space="preserve">there are </w:t>
      </w:r>
      <w:r w:rsidR="002C3D74">
        <w:t>at a minimum</w:t>
      </w:r>
      <w:r w:rsidR="00772151">
        <w:t>,</w:t>
      </w:r>
      <w:r w:rsidR="002C3D74">
        <w:t xml:space="preserve"> substantial </w:t>
      </w:r>
      <w:r w:rsidR="004E5430">
        <w:t xml:space="preserve">opportunity </w:t>
      </w:r>
      <w:r w:rsidR="002368CA">
        <w:t xml:space="preserve">costs associated </w:t>
      </w:r>
      <w:r w:rsidR="00620139">
        <w:t xml:space="preserve">with </w:t>
      </w:r>
      <w:r w:rsidR="007445FA">
        <w:t>consuming</w:t>
      </w:r>
      <w:r w:rsidR="00620139">
        <w:t xml:space="preserve"> </w:t>
      </w:r>
      <w:r w:rsidR="002368CA">
        <w:t xml:space="preserve">finite parliamentary and </w:t>
      </w:r>
      <w:r w:rsidR="00477C27">
        <w:t xml:space="preserve">sector </w:t>
      </w:r>
      <w:r w:rsidR="002368CA">
        <w:t xml:space="preserve">time </w:t>
      </w:r>
      <w:r w:rsidR="00124FF9">
        <w:t xml:space="preserve">on this </w:t>
      </w:r>
      <w:r w:rsidR="002E6EA2">
        <w:t>level</w:t>
      </w:r>
      <w:r w:rsidR="004E5430">
        <w:t xml:space="preserve"> </w:t>
      </w:r>
      <w:r w:rsidR="00D71AAF">
        <w:t xml:space="preserve">of </w:t>
      </w:r>
      <w:r w:rsidR="004E5430">
        <w:t xml:space="preserve">policy </w:t>
      </w:r>
      <w:r w:rsidR="002E6EA2">
        <w:t>reform</w:t>
      </w:r>
      <w:r w:rsidR="00A46B6C">
        <w:t>.</w:t>
      </w:r>
    </w:p>
    <w:p w14:paraId="6C12580F" w14:textId="77777777" w:rsidR="00124FF9" w:rsidRDefault="00124FF9" w:rsidP="00BD460A">
      <w:pPr>
        <w:pStyle w:val="ListParagraph"/>
        <w:ind w:left="0"/>
      </w:pPr>
    </w:p>
    <w:p w14:paraId="1A42702C" w14:textId="4F8857A5" w:rsidR="00124FF9" w:rsidRPr="00124FF9" w:rsidRDefault="00220038" w:rsidP="00BD460A">
      <w:pPr>
        <w:pStyle w:val="ListParagraph"/>
        <w:ind w:left="0"/>
        <w:rPr>
          <w:b/>
          <w:bCs/>
          <w:i/>
          <w:iCs/>
        </w:rPr>
      </w:pPr>
      <w:r>
        <w:t xml:space="preserve">Not all higher education legislation </w:t>
      </w:r>
      <w:r w:rsidR="001C0F92">
        <w:t xml:space="preserve">demonstrates </w:t>
      </w:r>
      <w:r w:rsidR="00C5259F">
        <w:t xml:space="preserve">HESA </w:t>
      </w:r>
      <w:r w:rsidR="0049602C">
        <w:t>rates</w:t>
      </w:r>
      <w:r w:rsidR="00C5259F">
        <w:t xml:space="preserve"> </w:t>
      </w:r>
      <w:r w:rsidR="001C0F92">
        <w:t xml:space="preserve">of policy </w:t>
      </w:r>
      <w:r w:rsidR="00C5259F">
        <w:t>amendment</w:t>
      </w:r>
      <w:r w:rsidR="001C0F92">
        <w:t xml:space="preserve">. </w:t>
      </w:r>
      <w:r w:rsidR="004C4102">
        <w:t>E</w:t>
      </w:r>
      <w:r w:rsidR="009C09F1">
        <w:t>nabling legislation for the University</w:t>
      </w:r>
      <w:r w:rsidR="002E6EA2">
        <w:t xml:space="preserve"> of Melbourne</w:t>
      </w:r>
      <w:r w:rsidR="006353FB">
        <w:rPr>
          <w:rStyle w:val="FootnoteReference"/>
        </w:rPr>
        <w:footnoteReference w:id="5"/>
      </w:r>
      <w:r w:rsidR="001C0F92">
        <w:t xml:space="preserve">, </w:t>
      </w:r>
      <w:r w:rsidR="004C4102">
        <w:t>has</w:t>
      </w:r>
      <w:r w:rsidR="001C0F92">
        <w:t xml:space="preserve"> been amended </w:t>
      </w:r>
      <w:r w:rsidR="008E0121">
        <w:t xml:space="preserve">11 </w:t>
      </w:r>
      <w:r w:rsidR="00965739">
        <w:t xml:space="preserve">times over the life of HESA, </w:t>
      </w:r>
      <w:r w:rsidR="00B13EF9">
        <w:t>every 640 days</w:t>
      </w:r>
      <w:r w:rsidR="00965739">
        <w:t xml:space="preserve"> on average</w:t>
      </w:r>
      <w:r w:rsidR="00B13EF9">
        <w:t>.</w:t>
      </w:r>
      <w:r w:rsidR="00C5259F">
        <w:t xml:space="preserve"> </w:t>
      </w:r>
    </w:p>
    <w:p w14:paraId="0BAC120E" w14:textId="77777777" w:rsidR="00124FF9" w:rsidRPr="00124FF9" w:rsidRDefault="00124FF9" w:rsidP="00BD460A">
      <w:pPr>
        <w:pStyle w:val="ListParagraph"/>
        <w:ind w:left="0"/>
        <w:rPr>
          <w:b/>
          <w:bCs/>
          <w:i/>
          <w:iCs/>
        </w:rPr>
      </w:pPr>
    </w:p>
    <w:p w14:paraId="2F07B8B5" w14:textId="772A2C56" w:rsidR="00AA3891" w:rsidRPr="004E5430" w:rsidRDefault="006331BF" w:rsidP="00BD460A">
      <w:pPr>
        <w:pStyle w:val="ListParagraph"/>
        <w:ind w:left="0"/>
        <w:rPr>
          <w:b/>
          <w:bCs/>
          <w:i/>
          <w:iCs/>
        </w:rPr>
      </w:pPr>
      <w:r>
        <w:t>P</w:t>
      </w:r>
      <w:r w:rsidR="00033128">
        <w:t xml:space="preserve">olicy </w:t>
      </w:r>
      <w:r>
        <w:t>can be made that is more stable</w:t>
      </w:r>
      <w:r w:rsidR="00124FF9">
        <w:t xml:space="preserve"> </w:t>
      </w:r>
      <w:r w:rsidR="00D71AAF">
        <w:t xml:space="preserve">and </w:t>
      </w:r>
      <w:r w:rsidR="00124FF9">
        <w:t xml:space="preserve">which </w:t>
      </w:r>
      <w:r w:rsidR="00A67228">
        <w:t>allow</w:t>
      </w:r>
      <w:r w:rsidR="00124FF9">
        <w:t>s for</w:t>
      </w:r>
      <w:r w:rsidR="00A67228">
        <w:t xml:space="preserve"> resources to be more effectively focused on the core purposes of higher education.</w:t>
      </w:r>
      <w:r w:rsidR="00124FF9">
        <w:t xml:space="preserve"> This core purpose is not to employ </w:t>
      </w:r>
      <w:r w:rsidR="00DE3C38">
        <w:t xml:space="preserve">a surfeit of </w:t>
      </w:r>
      <w:r w:rsidR="008717EE">
        <w:t xml:space="preserve">staff in </w:t>
      </w:r>
      <w:proofErr w:type="gramStart"/>
      <w:r w:rsidR="00124FF9">
        <w:t>policy</w:t>
      </w:r>
      <w:r w:rsidR="00DE3C38">
        <w:t>-</w:t>
      </w:r>
      <w:r w:rsidR="00124FF9">
        <w:t>mak</w:t>
      </w:r>
      <w:r w:rsidR="008717EE">
        <w:t>ing</w:t>
      </w:r>
      <w:proofErr w:type="gramEnd"/>
      <w:r w:rsidR="008717EE">
        <w:t>, policy</w:t>
      </w:r>
      <w:r w:rsidR="00DE3C38">
        <w:t>-</w:t>
      </w:r>
      <w:r w:rsidR="008717EE">
        <w:t>advice, policy</w:t>
      </w:r>
      <w:r w:rsidR="00DE3C38">
        <w:t>-</w:t>
      </w:r>
      <w:r w:rsidR="008717EE">
        <w:t xml:space="preserve">advocacy or </w:t>
      </w:r>
      <w:r w:rsidR="00D71C43">
        <w:t>policy-</w:t>
      </w:r>
      <w:r w:rsidR="008717EE">
        <w:t xml:space="preserve">implementation. </w:t>
      </w:r>
      <w:r w:rsidR="00A67228">
        <w:t xml:space="preserve">The Accord provides an opportunity </w:t>
      </w:r>
      <w:r w:rsidR="00D71C43">
        <w:t>for better</w:t>
      </w:r>
      <w:r w:rsidR="00140587">
        <w:t xml:space="preserve"> higher education </w:t>
      </w:r>
      <w:r w:rsidR="00124FF9">
        <w:t xml:space="preserve">policy </w:t>
      </w:r>
      <w:r w:rsidR="00D71C43">
        <w:t>making</w:t>
      </w:r>
      <w:r w:rsidR="00140587">
        <w:t>.</w:t>
      </w:r>
    </w:p>
    <w:p w14:paraId="4D02A2DC" w14:textId="77777777" w:rsidR="00AA3891" w:rsidRDefault="00AA3891" w:rsidP="00BD460A">
      <w:pPr>
        <w:pStyle w:val="ListParagraph"/>
        <w:ind w:left="0"/>
        <w:rPr>
          <w:b/>
          <w:bCs/>
          <w:i/>
          <w:iCs/>
        </w:rPr>
      </w:pPr>
    </w:p>
    <w:p w14:paraId="05083658" w14:textId="458584D6" w:rsidR="00124FF9" w:rsidRPr="009E6F32" w:rsidRDefault="006541D4" w:rsidP="00BD460A">
      <w:pPr>
        <w:pStyle w:val="ListParagraph"/>
        <w:ind w:left="0"/>
        <w:rPr>
          <w:b/>
          <w:bCs/>
          <w:i/>
          <w:iCs/>
          <w:color w:val="000000" w:themeColor="text1"/>
        </w:rPr>
      </w:pPr>
      <w:r w:rsidRPr="00AA3891">
        <w:rPr>
          <w:b/>
          <w:bCs/>
          <w:i/>
          <w:iCs/>
        </w:rPr>
        <w:t xml:space="preserve">In keeping with the spirit of asking for ‘big ideas’, the Accord Panel is encouraged to </w:t>
      </w:r>
      <w:r w:rsidR="00D71C43">
        <w:rPr>
          <w:b/>
          <w:bCs/>
          <w:i/>
          <w:iCs/>
        </w:rPr>
        <w:t xml:space="preserve">move away from a pattern of near constant </w:t>
      </w:r>
      <w:r w:rsidR="00E7777E">
        <w:rPr>
          <w:b/>
          <w:bCs/>
          <w:i/>
          <w:iCs/>
        </w:rPr>
        <w:t>policy reform</w:t>
      </w:r>
      <w:r w:rsidR="00D71C43">
        <w:rPr>
          <w:b/>
          <w:bCs/>
          <w:i/>
          <w:iCs/>
        </w:rPr>
        <w:t xml:space="preserve"> to more stable and effective </w:t>
      </w:r>
      <w:r w:rsidR="0013337A">
        <w:rPr>
          <w:b/>
          <w:bCs/>
          <w:i/>
          <w:iCs/>
        </w:rPr>
        <w:t>framework for</w:t>
      </w:r>
      <w:r w:rsidR="00073F39" w:rsidRPr="00AA3891">
        <w:rPr>
          <w:b/>
          <w:bCs/>
          <w:i/>
          <w:iCs/>
        </w:rPr>
        <w:t xml:space="preserve"> higher education </w:t>
      </w:r>
      <w:r w:rsidR="00073F39" w:rsidRPr="00AA3891">
        <w:rPr>
          <w:b/>
          <w:bCs/>
          <w:i/>
          <w:iCs/>
          <w:color w:val="000000" w:themeColor="text1"/>
        </w:rPr>
        <w:t>financing and regulation</w:t>
      </w:r>
      <w:r w:rsidR="00071015">
        <w:rPr>
          <w:b/>
          <w:bCs/>
          <w:i/>
          <w:iCs/>
          <w:color w:val="000000" w:themeColor="text1"/>
        </w:rPr>
        <w:t>.</w:t>
      </w:r>
      <w:r w:rsidR="00072376" w:rsidRPr="00AA3891">
        <w:rPr>
          <w:b/>
          <w:bCs/>
          <w:i/>
          <w:iCs/>
          <w:color w:val="000000" w:themeColor="text1"/>
        </w:rPr>
        <w:t xml:space="preserve"> </w:t>
      </w:r>
    </w:p>
    <w:p w14:paraId="3C2A0FE2" w14:textId="614892CC" w:rsidR="00A90B2D" w:rsidRPr="005465AB" w:rsidRDefault="000E144F" w:rsidP="005465AB">
      <w:pPr>
        <w:pStyle w:val="ListParagraph"/>
        <w:numPr>
          <w:ilvl w:val="0"/>
          <w:numId w:val="4"/>
        </w:numPr>
        <w:rPr>
          <w:b/>
          <w:bCs/>
        </w:rPr>
      </w:pPr>
      <w:r w:rsidRPr="005465AB">
        <w:rPr>
          <w:b/>
          <w:bCs/>
        </w:rPr>
        <w:lastRenderedPageBreak/>
        <w:t>A</w:t>
      </w:r>
      <w:r w:rsidR="00DE6A35">
        <w:rPr>
          <w:b/>
          <w:bCs/>
        </w:rPr>
        <w:t xml:space="preserve">ustralian higher education policy operates in a </w:t>
      </w:r>
      <w:proofErr w:type="gramStart"/>
      <w:r w:rsidR="00DE6A35">
        <w:rPr>
          <w:b/>
          <w:bCs/>
        </w:rPr>
        <w:t>long term</w:t>
      </w:r>
      <w:proofErr w:type="gramEnd"/>
      <w:r w:rsidR="00DE6A35">
        <w:rPr>
          <w:b/>
          <w:bCs/>
        </w:rPr>
        <w:t xml:space="preserve"> cycle where new activities are legislated, </w:t>
      </w:r>
      <w:r w:rsidR="00931888">
        <w:rPr>
          <w:b/>
          <w:bCs/>
        </w:rPr>
        <w:t xml:space="preserve">that contribute to </w:t>
      </w:r>
      <w:r w:rsidR="006C2CB6">
        <w:rPr>
          <w:b/>
          <w:bCs/>
        </w:rPr>
        <w:t xml:space="preserve">unmanageable </w:t>
      </w:r>
      <w:r w:rsidR="00931888">
        <w:rPr>
          <w:b/>
          <w:bCs/>
        </w:rPr>
        <w:t xml:space="preserve">policy </w:t>
      </w:r>
      <w:r w:rsidR="00392411" w:rsidRPr="005465AB">
        <w:rPr>
          <w:b/>
          <w:bCs/>
        </w:rPr>
        <w:t>complex</w:t>
      </w:r>
      <w:r w:rsidR="00D6448C" w:rsidRPr="005465AB">
        <w:rPr>
          <w:b/>
          <w:bCs/>
        </w:rPr>
        <w:t>ity</w:t>
      </w:r>
      <w:r w:rsidR="00931888">
        <w:rPr>
          <w:b/>
          <w:bCs/>
        </w:rPr>
        <w:t>,</w:t>
      </w:r>
      <w:r w:rsidR="006C2CB6">
        <w:rPr>
          <w:b/>
          <w:bCs/>
        </w:rPr>
        <w:t xml:space="preserve"> </w:t>
      </w:r>
      <w:r w:rsidR="00931888">
        <w:rPr>
          <w:b/>
          <w:bCs/>
        </w:rPr>
        <w:t>and which is</w:t>
      </w:r>
      <w:r w:rsidR="006C2CB6">
        <w:rPr>
          <w:b/>
          <w:bCs/>
        </w:rPr>
        <w:t xml:space="preserve"> </w:t>
      </w:r>
      <w:r w:rsidR="001A2DFB" w:rsidRPr="005465AB">
        <w:rPr>
          <w:b/>
          <w:bCs/>
        </w:rPr>
        <w:t xml:space="preserve">intermittently </w:t>
      </w:r>
      <w:r w:rsidR="00347825" w:rsidRPr="005465AB">
        <w:rPr>
          <w:b/>
          <w:bCs/>
        </w:rPr>
        <w:t xml:space="preserve">consolidated </w:t>
      </w:r>
      <w:r w:rsidR="00410E43">
        <w:rPr>
          <w:b/>
          <w:bCs/>
        </w:rPr>
        <w:t>into</w:t>
      </w:r>
      <w:r w:rsidR="00347825" w:rsidRPr="005465AB">
        <w:rPr>
          <w:b/>
          <w:bCs/>
        </w:rPr>
        <w:t xml:space="preserve"> </w:t>
      </w:r>
      <w:r w:rsidR="00410E43">
        <w:rPr>
          <w:b/>
          <w:bCs/>
        </w:rPr>
        <w:t>new</w:t>
      </w:r>
      <w:r w:rsidR="002275B6" w:rsidRPr="005465AB">
        <w:rPr>
          <w:b/>
          <w:bCs/>
        </w:rPr>
        <w:t xml:space="preserve"> </w:t>
      </w:r>
      <w:r w:rsidR="006C2CB6">
        <w:rPr>
          <w:b/>
          <w:bCs/>
        </w:rPr>
        <w:t xml:space="preserve">policy </w:t>
      </w:r>
      <w:r w:rsidR="009026AA" w:rsidRPr="005465AB">
        <w:rPr>
          <w:b/>
          <w:bCs/>
        </w:rPr>
        <w:t>framework</w:t>
      </w:r>
      <w:r w:rsidR="006C2CB6">
        <w:rPr>
          <w:b/>
          <w:bCs/>
        </w:rPr>
        <w:t>s</w:t>
      </w:r>
      <w:r w:rsidR="001A2DFB" w:rsidRPr="005465AB">
        <w:rPr>
          <w:b/>
          <w:bCs/>
        </w:rPr>
        <w:t>.</w:t>
      </w:r>
    </w:p>
    <w:p w14:paraId="30243C24" w14:textId="77777777" w:rsidR="00C71103" w:rsidRDefault="00C71103" w:rsidP="00C71103">
      <w:pPr>
        <w:pStyle w:val="ListParagraph"/>
      </w:pPr>
    </w:p>
    <w:p w14:paraId="5312658E" w14:textId="1BD9A60F" w:rsidR="00C5259F" w:rsidRDefault="00C5259F" w:rsidP="00BD460A">
      <w:pPr>
        <w:pStyle w:val="ListParagraph"/>
        <w:ind w:left="0"/>
      </w:pPr>
      <w:r>
        <w:t>Th</w:t>
      </w:r>
      <w:r w:rsidR="009037B6">
        <w:t xml:space="preserve">e high </w:t>
      </w:r>
      <w:r>
        <w:t xml:space="preserve">frequency of policy amendment is not restricted to HESA nor the Commonwealth’s approach to policy making. There is a tradition of higher education policy tinkering </w:t>
      </w:r>
      <w:r w:rsidR="008C132D">
        <w:t xml:space="preserve">in Australia </w:t>
      </w:r>
      <w:r>
        <w:t>that emerge</w:t>
      </w:r>
      <w:r w:rsidR="00CC180E">
        <w:t>d</w:t>
      </w:r>
      <w:r>
        <w:t xml:space="preserve"> in the nineteenth century. </w:t>
      </w:r>
      <w:r w:rsidR="00CC180E">
        <w:t xml:space="preserve">As higher education expands its reach and demonstrates ever more ‘positional centrality’ in </w:t>
      </w:r>
      <w:r w:rsidR="002D17D9">
        <w:t>social and economic affairs</w:t>
      </w:r>
      <w:r w:rsidR="002D17D9">
        <w:rPr>
          <w:rStyle w:val="FootnoteReference"/>
        </w:rPr>
        <w:footnoteReference w:id="6"/>
      </w:r>
      <w:r w:rsidR="002D17D9">
        <w:t xml:space="preserve">, there is continued pressure to </w:t>
      </w:r>
      <w:r w:rsidR="0010225B">
        <w:t xml:space="preserve">fund and regulate new activities. </w:t>
      </w:r>
      <w:r w:rsidR="006C2CB6">
        <w:t>I</w:t>
      </w:r>
      <w:r w:rsidR="008E439A">
        <w:t>n the Australian context</w:t>
      </w:r>
      <w:r w:rsidR="006C2CB6">
        <w:t xml:space="preserve"> this sees</w:t>
      </w:r>
      <w:r w:rsidR="008E439A">
        <w:t xml:space="preserve"> </w:t>
      </w:r>
      <w:r w:rsidR="00B5379A">
        <w:t>higher education financing legislation become more complex across time</w:t>
      </w:r>
      <w:r w:rsidR="00573B2A">
        <w:t>, subject</w:t>
      </w:r>
      <w:r w:rsidR="001C139D">
        <w:t xml:space="preserve"> to</w:t>
      </w:r>
      <w:r w:rsidR="00573B2A">
        <w:t xml:space="preserve"> intermittent </w:t>
      </w:r>
      <w:r w:rsidR="00327061">
        <w:t>consolidat</w:t>
      </w:r>
      <w:r w:rsidR="00573B2A">
        <w:t>ion</w:t>
      </w:r>
      <w:r w:rsidR="00327061">
        <w:t xml:space="preserve"> </w:t>
      </w:r>
      <w:r w:rsidR="001C139D">
        <w:t>with</w:t>
      </w:r>
      <w:r w:rsidR="00327061">
        <w:t xml:space="preserve">in </w:t>
      </w:r>
      <w:r w:rsidR="00573B2A">
        <w:t>streamlined</w:t>
      </w:r>
      <w:r w:rsidR="00327061">
        <w:t xml:space="preserve"> policy frameworks</w:t>
      </w:r>
      <w:r w:rsidR="001C139D">
        <w:t>,</w:t>
      </w:r>
      <w:r w:rsidR="00573B2A">
        <w:t xml:space="preserve"> combined with </w:t>
      </w:r>
      <w:r w:rsidR="00AC06E0">
        <w:t>more stringent governance and accountability provisions.</w:t>
      </w:r>
    </w:p>
    <w:p w14:paraId="366E64C4" w14:textId="77777777" w:rsidR="009037B6" w:rsidRDefault="009037B6" w:rsidP="00BD460A">
      <w:pPr>
        <w:pStyle w:val="ListParagraph"/>
        <w:ind w:left="0"/>
      </w:pPr>
    </w:p>
    <w:p w14:paraId="757DB21B" w14:textId="432E31ED" w:rsidR="001C3EC4" w:rsidRDefault="00664D46" w:rsidP="00BD460A">
      <w:pPr>
        <w:pStyle w:val="ListParagraph"/>
        <w:ind w:left="0"/>
      </w:pPr>
      <w:r>
        <w:t>Th</w:t>
      </w:r>
      <w:r w:rsidR="00AC06E0">
        <w:t>e</w:t>
      </w:r>
      <w:r>
        <w:t xml:space="preserve"> trend towards complexity </w:t>
      </w:r>
      <w:r w:rsidR="001C139D">
        <w:t>clear</w:t>
      </w:r>
      <w:r w:rsidR="00190EB2">
        <w:t xml:space="preserve"> within HESA</w:t>
      </w:r>
      <w:r w:rsidR="004568AB">
        <w:t xml:space="preserve">. </w:t>
      </w:r>
      <w:r w:rsidR="00C64003">
        <w:t>When first introduced</w:t>
      </w:r>
      <w:r w:rsidR="00A0090D">
        <w:t>,</w:t>
      </w:r>
      <w:r w:rsidR="00C64003">
        <w:t xml:space="preserve"> </w:t>
      </w:r>
      <w:r w:rsidR="00190EB2">
        <w:t>HESA</w:t>
      </w:r>
      <w:r w:rsidR="00C64003">
        <w:t xml:space="preserve"> </w:t>
      </w:r>
      <w:r w:rsidR="004544FF">
        <w:t>filled 220 pages</w:t>
      </w:r>
      <w:r w:rsidR="00327061">
        <w:t xml:space="preserve"> and</w:t>
      </w:r>
      <w:r w:rsidR="00EB3BDE">
        <w:t xml:space="preserve"> now span</w:t>
      </w:r>
      <w:r w:rsidR="00A0090D">
        <w:t>s</w:t>
      </w:r>
      <w:r w:rsidR="004544FF">
        <w:t xml:space="preserve"> 624</w:t>
      </w:r>
      <w:r w:rsidR="006C7ED2">
        <w:rPr>
          <w:rStyle w:val="FootnoteReference"/>
        </w:rPr>
        <w:footnoteReference w:id="7"/>
      </w:r>
      <w:r w:rsidR="004544FF">
        <w:t xml:space="preserve">. </w:t>
      </w:r>
      <w:r w:rsidR="00293437">
        <w:t xml:space="preserve">The growth in policy </w:t>
      </w:r>
      <w:r w:rsidR="008C132D">
        <w:t>text</w:t>
      </w:r>
      <w:r w:rsidR="004544FF">
        <w:t xml:space="preserve"> is linked to the proliferation of loan programs</w:t>
      </w:r>
      <w:r w:rsidR="003640A8">
        <w:t>.</w:t>
      </w:r>
      <w:r w:rsidR="005D24BD">
        <w:t xml:space="preserve"> </w:t>
      </w:r>
      <w:r w:rsidR="00744ED4">
        <w:t xml:space="preserve">Australia led the world with the introduction of the Higher Education Contribution Scheme </w:t>
      </w:r>
      <w:r w:rsidR="00C60681">
        <w:t xml:space="preserve">(HECS). </w:t>
      </w:r>
      <w:r w:rsidR="004A0D85">
        <w:t xml:space="preserve">The singular HECS established under the Higher Education Funding Act </w:t>
      </w:r>
      <w:r w:rsidR="008779B4">
        <w:t xml:space="preserve">1988 </w:t>
      </w:r>
      <w:r w:rsidR="004A0D85">
        <w:t>ha</w:t>
      </w:r>
      <w:r w:rsidR="00293437">
        <w:t>s</w:t>
      </w:r>
      <w:r w:rsidR="004A0D85">
        <w:t xml:space="preserve"> </w:t>
      </w:r>
      <w:r w:rsidR="00EB161D">
        <w:t xml:space="preserve">evolved to encompass </w:t>
      </w:r>
      <w:r w:rsidR="009F4E58">
        <w:t>reference to</w:t>
      </w:r>
      <w:r w:rsidR="00D5560B">
        <w:t xml:space="preserve"> HECS-HELP, FEE-HELP, OS-HELP, SA FEE-HELP and VET-FEE</w:t>
      </w:r>
      <w:r w:rsidR="009F4E58">
        <w:t xml:space="preserve"> </w:t>
      </w:r>
      <w:r w:rsidR="00D5560B">
        <w:t>HELP</w:t>
      </w:r>
      <w:r w:rsidR="00E17D13">
        <w:rPr>
          <w:rStyle w:val="FootnoteReference"/>
        </w:rPr>
        <w:footnoteReference w:id="8"/>
      </w:r>
      <w:r w:rsidR="00355231">
        <w:t xml:space="preserve">. </w:t>
      </w:r>
      <w:r w:rsidR="001C139D">
        <w:t>L</w:t>
      </w:r>
      <w:r w:rsidR="001767BB">
        <w:t>egislation to establish STARTUP-HELP</w:t>
      </w:r>
      <w:r w:rsidR="001C139D">
        <w:t xml:space="preserve"> was recently passed</w:t>
      </w:r>
      <w:r w:rsidR="001767BB">
        <w:rPr>
          <w:rStyle w:val="FootnoteReference"/>
        </w:rPr>
        <w:footnoteReference w:id="9"/>
      </w:r>
      <w:r w:rsidR="00293437">
        <w:t xml:space="preserve"> (</w:t>
      </w:r>
      <w:r w:rsidR="001767BB">
        <w:t xml:space="preserve">a development </w:t>
      </w:r>
      <w:r w:rsidR="008E49E8">
        <w:t>specifically predicted</w:t>
      </w:r>
      <w:r w:rsidR="001767BB">
        <w:t xml:space="preserve"> </w:t>
      </w:r>
      <w:r w:rsidR="00F321E6">
        <w:t>in my doctorate</w:t>
      </w:r>
      <w:r w:rsidR="00AB7118">
        <w:rPr>
          <w:rStyle w:val="FootnoteReference"/>
        </w:rPr>
        <w:footnoteReference w:id="10"/>
      </w:r>
      <w:r w:rsidR="00293437">
        <w:t>)</w:t>
      </w:r>
      <w:r w:rsidR="003B5064">
        <w:t>.</w:t>
      </w:r>
      <w:r w:rsidR="00017671">
        <w:t xml:space="preserve"> </w:t>
      </w:r>
      <w:r w:rsidR="00CD5BB3">
        <w:t xml:space="preserve">One might ask, as Andrew Norton has, </w:t>
      </w:r>
      <w:r w:rsidR="00C13EE7">
        <w:t>if</w:t>
      </w:r>
      <w:r w:rsidR="00393837">
        <w:t xml:space="preserve"> </w:t>
      </w:r>
      <w:r w:rsidR="00273F4B">
        <w:t>proliferation in HELP programs is good policy</w:t>
      </w:r>
      <w:r w:rsidR="008779B4">
        <w:rPr>
          <w:rStyle w:val="FootnoteReference"/>
        </w:rPr>
        <w:footnoteReference w:id="11"/>
      </w:r>
      <w:r w:rsidR="00D75554">
        <w:t>. In my opinion</w:t>
      </w:r>
      <w:r w:rsidR="009E6F32">
        <w:t>,</w:t>
      </w:r>
      <w:r w:rsidR="00D75554">
        <w:t xml:space="preserve"> it is not</w:t>
      </w:r>
      <w:r w:rsidR="001C139D">
        <w:t>.</w:t>
      </w:r>
      <w:r w:rsidR="004F7722">
        <w:t xml:space="preserve"> </w:t>
      </w:r>
      <w:r w:rsidR="001C139D">
        <w:t>I</w:t>
      </w:r>
      <w:r w:rsidR="004F7722">
        <w:t xml:space="preserve">t ties up an already complicated sector with </w:t>
      </w:r>
      <w:r w:rsidR="00B811B4">
        <w:t>more complicated red tape.</w:t>
      </w:r>
    </w:p>
    <w:p w14:paraId="4EF4FEC0" w14:textId="77777777" w:rsidR="006C0731" w:rsidRDefault="006C0731" w:rsidP="00BD460A">
      <w:pPr>
        <w:pStyle w:val="ListParagraph"/>
        <w:ind w:left="0"/>
      </w:pPr>
    </w:p>
    <w:p w14:paraId="3BE76C6B" w14:textId="58D5B89D" w:rsidR="002473E2" w:rsidRDefault="006C0731" w:rsidP="00BD460A">
      <w:pPr>
        <w:pStyle w:val="ListParagraph"/>
        <w:ind w:left="0"/>
      </w:pPr>
      <w:r>
        <w:t>Th</w:t>
      </w:r>
      <w:r w:rsidR="008B5418">
        <w:t>e</w:t>
      </w:r>
      <w:r>
        <w:t xml:space="preserve"> proliferation </w:t>
      </w:r>
      <w:r w:rsidR="004E28A3">
        <w:t>of HEL</w:t>
      </w:r>
      <w:r w:rsidR="0042328A">
        <w:t>P</w:t>
      </w:r>
      <w:r w:rsidR="004E28A3">
        <w:t xml:space="preserve"> </w:t>
      </w:r>
      <w:r w:rsidR="00B811B4">
        <w:t xml:space="preserve">repeats </w:t>
      </w:r>
      <w:r w:rsidR="00A821D6">
        <w:t xml:space="preserve">historic policy </w:t>
      </w:r>
      <w:r w:rsidR="00B811B4">
        <w:t>cycles</w:t>
      </w:r>
      <w:r w:rsidR="0042328A">
        <w:t xml:space="preserve">. </w:t>
      </w:r>
      <w:r w:rsidR="00B811B4">
        <w:t xml:space="preserve">For example, </w:t>
      </w:r>
      <w:r w:rsidR="00DC5890">
        <w:t xml:space="preserve">the </w:t>
      </w:r>
      <w:r w:rsidR="00A821D6">
        <w:t xml:space="preserve">first </w:t>
      </w:r>
      <w:r w:rsidR="00DC5890">
        <w:t>State Grants (Universities) Act 1951</w:t>
      </w:r>
      <w:r w:rsidR="00855127">
        <w:rPr>
          <w:rStyle w:val="FootnoteReference"/>
        </w:rPr>
        <w:footnoteReference w:id="12"/>
      </w:r>
      <w:r w:rsidR="00DC5890">
        <w:t xml:space="preserve"> </w:t>
      </w:r>
      <w:r w:rsidR="00A821D6">
        <w:t>comprised</w:t>
      </w:r>
      <w:r w:rsidR="00D75554">
        <w:t xml:space="preserve"> </w:t>
      </w:r>
      <w:r w:rsidR="00DC2E76">
        <w:t xml:space="preserve">one funding schedule and five pages of text. </w:t>
      </w:r>
      <w:r w:rsidR="00F63728">
        <w:t>The</w:t>
      </w:r>
      <w:r w:rsidR="00DC2E76">
        <w:t xml:space="preserve"> 1984</w:t>
      </w:r>
      <w:r w:rsidR="00F63728">
        <w:t xml:space="preserve"> States Grants Act included </w:t>
      </w:r>
      <w:r w:rsidR="00D75554">
        <w:t xml:space="preserve">28 funding schedules and </w:t>
      </w:r>
      <w:r w:rsidR="008E7C9F">
        <w:t>162 pages of text</w:t>
      </w:r>
      <w:r w:rsidR="00C438CA">
        <w:rPr>
          <w:rStyle w:val="FootnoteReference"/>
        </w:rPr>
        <w:footnoteReference w:id="13"/>
      </w:r>
      <w:r w:rsidR="00855127">
        <w:t>.</w:t>
      </w:r>
      <w:r w:rsidR="00D31A8C">
        <w:t xml:space="preserve"> </w:t>
      </w:r>
      <w:r w:rsidR="00A821D6">
        <w:t xml:space="preserve">The complexity of </w:t>
      </w:r>
      <w:r w:rsidR="008B5418">
        <w:t>States Grants</w:t>
      </w:r>
      <w:r w:rsidR="00A84EB6">
        <w:t xml:space="preserve"> was</w:t>
      </w:r>
      <w:r w:rsidR="00F63728">
        <w:t xml:space="preserve"> consolidated through the</w:t>
      </w:r>
      <w:r w:rsidR="00D31A8C">
        <w:t xml:space="preserve"> Higher Education Funding Act 1988</w:t>
      </w:r>
      <w:r w:rsidR="00300CBF">
        <w:rPr>
          <w:rStyle w:val="FootnoteReference"/>
        </w:rPr>
        <w:footnoteReference w:id="14"/>
      </w:r>
      <w:r w:rsidR="00A821D6">
        <w:t xml:space="preserve">, which repealed funding schedules and established HECS as a new </w:t>
      </w:r>
      <w:r w:rsidR="001E25C5">
        <w:t>funding model</w:t>
      </w:r>
      <w:r w:rsidR="002940A7">
        <w:t>.</w:t>
      </w:r>
    </w:p>
    <w:p w14:paraId="37A4921B" w14:textId="77777777" w:rsidR="002473E2" w:rsidRDefault="002473E2" w:rsidP="00BD460A">
      <w:pPr>
        <w:pStyle w:val="ListParagraph"/>
        <w:ind w:left="0"/>
      </w:pPr>
    </w:p>
    <w:p w14:paraId="2864B9D8" w14:textId="1859F967" w:rsidR="005465AB" w:rsidRDefault="001F4920" w:rsidP="00BD460A">
      <w:pPr>
        <w:pStyle w:val="ListParagraph"/>
        <w:ind w:left="0"/>
      </w:pPr>
      <w:r>
        <w:t xml:space="preserve">HESA has accumulated unhelpful </w:t>
      </w:r>
      <w:r w:rsidR="00B307C9">
        <w:t xml:space="preserve">and </w:t>
      </w:r>
      <w:r w:rsidR="00F510CA">
        <w:t xml:space="preserve">unmanageable </w:t>
      </w:r>
      <w:r>
        <w:t>complexity</w:t>
      </w:r>
      <w:r w:rsidR="00411289">
        <w:t xml:space="preserve"> that devotes time from the core purposes of higher education</w:t>
      </w:r>
      <w:r w:rsidR="005E4913">
        <w:t xml:space="preserve">. </w:t>
      </w:r>
      <w:r w:rsidR="00B340FB">
        <w:t xml:space="preserve">It is </w:t>
      </w:r>
      <w:r w:rsidR="00411289">
        <w:t>time for this</w:t>
      </w:r>
      <w:r w:rsidR="00B340FB">
        <w:t xml:space="preserve"> complexity be consolidated in a </w:t>
      </w:r>
      <w:r w:rsidR="00BF18B5">
        <w:t>new</w:t>
      </w:r>
      <w:r w:rsidR="00B340FB">
        <w:t xml:space="preserve"> funding mechanism</w:t>
      </w:r>
      <w:r w:rsidR="00F510CA">
        <w:t xml:space="preserve"> </w:t>
      </w:r>
      <w:r w:rsidR="00411289">
        <w:t xml:space="preserve">that </w:t>
      </w:r>
      <w:r w:rsidR="00F510CA">
        <w:t>accommodate</w:t>
      </w:r>
      <w:r w:rsidR="00BF18B5">
        <w:t>s</w:t>
      </w:r>
      <w:r w:rsidR="00F510CA">
        <w:t xml:space="preserve"> </w:t>
      </w:r>
      <w:r w:rsidR="00411289">
        <w:t>system growth wit</w:t>
      </w:r>
      <w:r w:rsidR="00BF18B5">
        <w:t xml:space="preserve">hout </w:t>
      </w:r>
      <w:r w:rsidR="00610F01">
        <w:t>necessitating the fortnightly production of new policy documents or amendments</w:t>
      </w:r>
      <w:r w:rsidR="00E86853">
        <w:t>.</w:t>
      </w:r>
    </w:p>
    <w:p w14:paraId="74D0229C" w14:textId="77777777" w:rsidR="00D362CE" w:rsidRDefault="00D362CE" w:rsidP="00BD460A">
      <w:pPr>
        <w:pStyle w:val="ListParagraph"/>
        <w:ind w:left="0"/>
      </w:pPr>
    </w:p>
    <w:p w14:paraId="516307BD" w14:textId="4F4ABAA0" w:rsidR="000022DA" w:rsidRPr="00E86853" w:rsidRDefault="00B405A9" w:rsidP="00BD460A">
      <w:pPr>
        <w:pStyle w:val="ListParagraph"/>
        <w:ind w:left="0"/>
        <w:rPr>
          <w:b/>
          <w:bCs/>
          <w:i/>
          <w:iCs/>
        </w:rPr>
      </w:pPr>
      <w:r w:rsidRPr="00E86853">
        <w:rPr>
          <w:b/>
          <w:bCs/>
          <w:i/>
          <w:iCs/>
        </w:rPr>
        <w:t xml:space="preserve">The Accord Panel is encouraged to </w:t>
      </w:r>
      <w:r w:rsidR="00410E43" w:rsidRPr="00E86853">
        <w:rPr>
          <w:b/>
          <w:bCs/>
          <w:i/>
          <w:iCs/>
        </w:rPr>
        <w:t>c</w:t>
      </w:r>
      <w:r w:rsidR="00B340FB" w:rsidRPr="00E86853">
        <w:rPr>
          <w:b/>
          <w:bCs/>
          <w:i/>
          <w:iCs/>
        </w:rPr>
        <w:t>onsolidat</w:t>
      </w:r>
      <w:r w:rsidR="00410E43" w:rsidRPr="00E86853">
        <w:rPr>
          <w:b/>
          <w:bCs/>
          <w:i/>
          <w:iCs/>
        </w:rPr>
        <w:t>e</w:t>
      </w:r>
      <w:r w:rsidR="00EA329B" w:rsidRPr="00E86853">
        <w:rPr>
          <w:b/>
          <w:bCs/>
          <w:i/>
          <w:iCs/>
        </w:rPr>
        <w:t xml:space="preserve"> </w:t>
      </w:r>
      <w:r w:rsidR="00E86853" w:rsidRPr="00E86853">
        <w:rPr>
          <w:b/>
          <w:bCs/>
          <w:i/>
          <w:iCs/>
        </w:rPr>
        <w:t xml:space="preserve">higher education </w:t>
      </w:r>
      <w:r w:rsidR="00EA329B" w:rsidRPr="00E86853">
        <w:rPr>
          <w:b/>
          <w:bCs/>
          <w:i/>
          <w:iCs/>
        </w:rPr>
        <w:t>financing legislation</w:t>
      </w:r>
      <w:r w:rsidR="009B33A6" w:rsidRPr="00E86853">
        <w:rPr>
          <w:b/>
          <w:bCs/>
          <w:i/>
          <w:iCs/>
        </w:rPr>
        <w:t xml:space="preserve"> </w:t>
      </w:r>
      <w:r w:rsidR="00EA329B" w:rsidRPr="00E86853">
        <w:rPr>
          <w:b/>
          <w:bCs/>
          <w:i/>
          <w:iCs/>
        </w:rPr>
        <w:t>into</w:t>
      </w:r>
      <w:r w:rsidRPr="00E86853">
        <w:rPr>
          <w:b/>
          <w:bCs/>
          <w:i/>
          <w:iCs/>
        </w:rPr>
        <w:t xml:space="preserve"> a new funding model</w:t>
      </w:r>
      <w:r w:rsidR="000022DA" w:rsidRPr="00E86853">
        <w:rPr>
          <w:b/>
          <w:bCs/>
          <w:i/>
          <w:iCs/>
        </w:rPr>
        <w:t xml:space="preserve"> </w:t>
      </w:r>
      <w:r w:rsidR="00410E43" w:rsidRPr="00E86853">
        <w:rPr>
          <w:b/>
          <w:bCs/>
          <w:i/>
          <w:iCs/>
        </w:rPr>
        <w:t>that</w:t>
      </w:r>
      <w:r w:rsidR="00B340FB" w:rsidRPr="00E86853">
        <w:rPr>
          <w:b/>
          <w:bCs/>
          <w:i/>
          <w:iCs/>
        </w:rPr>
        <w:t xml:space="preserve"> </w:t>
      </w:r>
      <w:r w:rsidR="00E86853" w:rsidRPr="00E86853">
        <w:rPr>
          <w:b/>
          <w:bCs/>
          <w:i/>
          <w:iCs/>
        </w:rPr>
        <w:t>can</w:t>
      </w:r>
      <w:r w:rsidR="009438A4" w:rsidRPr="00E86853">
        <w:rPr>
          <w:b/>
          <w:bCs/>
          <w:i/>
          <w:iCs/>
        </w:rPr>
        <w:t xml:space="preserve"> </w:t>
      </w:r>
      <w:r w:rsidR="00610F01">
        <w:rPr>
          <w:b/>
          <w:bCs/>
          <w:i/>
          <w:iCs/>
        </w:rPr>
        <w:t>accommodate anticipated future system</w:t>
      </w:r>
      <w:r w:rsidR="000022DA" w:rsidRPr="00E86853">
        <w:rPr>
          <w:b/>
          <w:bCs/>
          <w:i/>
          <w:iCs/>
        </w:rPr>
        <w:t xml:space="preserve"> growth.</w:t>
      </w:r>
    </w:p>
    <w:p w14:paraId="47DD5535" w14:textId="77777777" w:rsidR="00B307C9" w:rsidRPr="00D362CE" w:rsidRDefault="00B307C9" w:rsidP="00BD460A">
      <w:pPr>
        <w:pStyle w:val="ListParagraph"/>
        <w:ind w:left="0"/>
        <w:rPr>
          <w:b/>
          <w:bCs/>
        </w:rPr>
      </w:pPr>
    </w:p>
    <w:p w14:paraId="5887DA7C" w14:textId="7DAC2C1A" w:rsidR="004568AB" w:rsidRDefault="00383B74" w:rsidP="005465AB">
      <w:pPr>
        <w:pStyle w:val="ListParagraph"/>
        <w:numPr>
          <w:ilvl w:val="0"/>
          <w:numId w:val="4"/>
        </w:numPr>
        <w:rPr>
          <w:b/>
          <w:bCs/>
        </w:rPr>
      </w:pPr>
      <w:r>
        <w:rPr>
          <w:b/>
          <w:bCs/>
        </w:rPr>
        <w:lastRenderedPageBreak/>
        <w:t>As the Australian higher education continues its long</w:t>
      </w:r>
      <w:r w:rsidR="00EF0650">
        <w:rPr>
          <w:b/>
          <w:bCs/>
        </w:rPr>
        <w:t>-</w:t>
      </w:r>
      <w:r>
        <w:rPr>
          <w:b/>
          <w:bCs/>
        </w:rPr>
        <w:t xml:space="preserve">term expansion, problems </w:t>
      </w:r>
      <w:r w:rsidR="003E6934">
        <w:rPr>
          <w:b/>
          <w:bCs/>
        </w:rPr>
        <w:t>associated with</w:t>
      </w:r>
      <w:r>
        <w:rPr>
          <w:b/>
          <w:bCs/>
        </w:rPr>
        <w:t xml:space="preserve"> </w:t>
      </w:r>
      <w:r w:rsidR="00EF0650">
        <w:rPr>
          <w:b/>
          <w:bCs/>
        </w:rPr>
        <w:t xml:space="preserve">tight </w:t>
      </w:r>
      <w:r w:rsidR="00B92B15">
        <w:rPr>
          <w:b/>
          <w:bCs/>
        </w:rPr>
        <w:t xml:space="preserve">Commonwealth </w:t>
      </w:r>
      <w:r>
        <w:rPr>
          <w:b/>
          <w:bCs/>
        </w:rPr>
        <w:t xml:space="preserve">control </w:t>
      </w:r>
      <w:r w:rsidR="00B92B15">
        <w:rPr>
          <w:b/>
          <w:bCs/>
        </w:rPr>
        <w:t>incentivising large</w:t>
      </w:r>
      <w:r w:rsidR="00153C38">
        <w:rPr>
          <w:b/>
          <w:bCs/>
        </w:rPr>
        <w:t>r</w:t>
      </w:r>
      <w:r w:rsidR="00B92B15">
        <w:rPr>
          <w:b/>
          <w:bCs/>
        </w:rPr>
        <w:t xml:space="preserve"> </w:t>
      </w:r>
      <w:r w:rsidR="00EF0650">
        <w:rPr>
          <w:b/>
          <w:bCs/>
        </w:rPr>
        <w:t xml:space="preserve">institutions will become more acute. </w:t>
      </w:r>
      <w:r w:rsidR="007D0F1D">
        <w:rPr>
          <w:b/>
          <w:bCs/>
        </w:rPr>
        <w:t xml:space="preserve">Diversity in institutional form and financing </w:t>
      </w:r>
      <w:r w:rsidR="00B752EF">
        <w:rPr>
          <w:b/>
          <w:bCs/>
        </w:rPr>
        <w:t>should be pursued</w:t>
      </w:r>
      <w:r w:rsidR="00094446">
        <w:rPr>
          <w:b/>
          <w:bCs/>
        </w:rPr>
        <w:t>.</w:t>
      </w:r>
    </w:p>
    <w:p w14:paraId="7634A389" w14:textId="77777777" w:rsidR="005D056C" w:rsidRDefault="005D056C" w:rsidP="005D056C">
      <w:pPr>
        <w:rPr>
          <w:b/>
          <w:bCs/>
        </w:rPr>
      </w:pPr>
    </w:p>
    <w:p w14:paraId="3020B976" w14:textId="5D7100E1" w:rsidR="003D65B2" w:rsidRDefault="00226F20" w:rsidP="00BD460A">
      <w:r>
        <w:t xml:space="preserve">A key driver of </w:t>
      </w:r>
      <w:r w:rsidR="009E3427">
        <w:t xml:space="preserve">the observed high frequency of policy amendment is the position that governments have </w:t>
      </w:r>
      <w:r w:rsidR="00490963">
        <w:t>taken in mediating expansion of the higher education</w:t>
      </w:r>
      <w:r w:rsidR="009E3427">
        <w:t xml:space="preserve"> </w:t>
      </w:r>
      <w:r w:rsidR="00490963">
        <w:t xml:space="preserve">system. </w:t>
      </w:r>
      <w:r w:rsidR="0047322D">
        <w:t>Governments have played an influential role in funding and supporting new place</w:t>
      </w:r>
      <w:r w:rsidR="00FE6FCB">
        <w:t>s</w:t>
      </w:r>
      <w:r w:rsidR="0047322D">
        <w:t>, new building</w:t>
      </w:r>
      <w:r w:rsidR="00FE6FCB">
        <w:t>s</w:t>
      </w:r>
      <w:r w:rsidR="0047322D">
        <w:t>, new discipline</w:t>
      </w:r>
      <w:r w:rsidR="00FE6FCB">
        <w:t>s</w:t>
      </w:r>
      <w:r w:rsidR="0047322D">
        <w:t>, and new research grant</w:t>
      </w:r>
      <w:r w:rsidR="00FE6FCB">
        <w:t>s</w:t>
      </w:r>
      <w:r w:rsidR="0047322D">
        <w:t xml:space="preserve">. </w:t>
      </w:r>
      <w:r w:rsidR="009575FC">
        <w:t xml:space="preserve">Even the </w:t>
      </w:r>
      <w:r w:rsidR="00AA6D78">
        <w:t>growth</w:t>
      </w:r>
      <w:r w:rsidR="009575FC">
        <w:t xml:space="preserve"> of </w:t>
      </w:r>
      <w:r w:rsidR="00AA6D78">
        <w:t xml:space="preserve">self-funded </w:t>
      </w:r>
      <w:r w:rsidR="009575FC">
        <w:t>international students</w:t>
      </w:r>
      <w:r w:rsidR="00AA6D78">
        <w:t xml:space="preserve"> in Australian higher education has been mediated by governments </w:t>
      </w:r>
      <w:r w:rsidR="006449A9">
        <w:t>through</w:t>
      </w:r>
      <w:r w:rsidR="00AA6D78">
        <w:t xml:space="preserve"> </w:t>
      </w:r>
      <w:r w:rsidR="00FE6FCB">
        <w:t>establishing and maintaining regulation</w:t>
      </w:r>
      <w:r w:rsidR="00AA6D78">
        <w:t xml:space="preserve"> of the international student market. </w:t>
      </w:r>
      <w:r w:rsidR="004929BF">
        <w:t>Since the referral of powers in the early 1970s, the Commonwealth has been the central mediator</w:t>
      </w:r>
      <w:r w:rsidR="00EF6D06">
        <w:t xml:space="preserve">, at times </w:t>
      </w:r>
      <w:r w:rsidR="00986EF9">
        <w:t xml:space="preserve">pejoratively </w:t>
      </w:r>
      <w:r w:rsidR="00EF6D06">
        <w:t xml:space="preserve">referred to as </w:t>
      </w:r>
      <w:r w:rsidR="00094446">
        <w:t>‘</w:t>
      </w:r>
      <w:r w:rsidR="00EF6D06">
        <w:t>Moscow on the Molonglo</w:t>
      </w:r>
      <w:r w:rsidR="00094446">
        <w:t>’</w:t>
      </w:r>
      <w:r w:rsidR="00AC5166">
        <w:rPr>
          <w:rStyle w:val="FootnoteReference"/>
        </w:rPr>
        <w:footnoteReference w:id="15"/>
      </w:r>
      <w:r w:rsidR="00986EF9">
        <w:t xml:space="preserve"> given </w:t>
      </w:r>
      <w:r w:rsidR="00094446">
        <w:t>a tendency to tight</w:t>
      </w:r>
      <w:r w:rsidR="00683ACE">
        <w:t>ly</w:t>
      </w:r>
      <w:r w:rsidR="00094446">
        <w:t xml:space="preserve"> control and micro-manage </w:t>
      </w:r>
      <w:r w:rsidR="00683ACE">
        <w:t xml:space="preserve">allocation of </w:t>
      </w:r>
      <w:r w:rsidR="00094446">
        <w:t>places</w:t>
      </w:r>
      <w:r w:rsidR="00EF6D06">
        <w:t xml:space="preserve">. </w:t>
      </w:r>
    </w:p>
    <w:p w14:paraId="770BD68B" w14:textId="77777777" w:rsidR="003D65B2" w:rsidRDefault="003D65B2" w:rsidP="00BD460A"/>
    <w:p w14:paraId="6AA4F5CF" w14:textId="71078AD4" w:rsidR="00A754BD" w:rsidRDefault="003B29CB" w:rsidP="00BD460A">
      <w:r>
        <w:t xml:space="preserve">The Commonwealth could continue to exert considerable control over the sector, </w:t>
      </w:r>
      <w:r w:rsidR="00FB24CD">
        <w:t>negotiating student places and special grants on a case</w:t>
      </w:r>
      <w:r w:rsidR="008C3865">
        <w:t>-</w:t>
      </w:r>
      <w:r w:rsidR="00FB24CD">
        <w:t>by</w:t>
      </w:r>
      <w:r w:rsidR="008C3865">
        <w:t>-</w:t>
      </w:r>
      <w:r w:rsidR="00FB24CD">
        <w:t>case basis</w:t>
      </w:r>
      <w:r w:rsidR="006C378E">
        <w:t xml:space="preserve">, </w:t>
      </w:r>
      <w:r w:rsidR="001C5CA4">
        <w:t xml:space="preserve">increasing risks </w:t>
      </w:r>
      <w:r w:rsidR="00A754BD">
        <w:t>of politicised funding</w:t>
      </w:r>
      <w:r w:rsidR="008A0649">
        <w:t xml:space="preserve"> disconnected from the systems core purposes</w:t>
      </w:r>
      <w:r w:rsidR="008A0649">
        <w:rPr>
          <w:rStyle w:val="FootnoteReference"/>
        </w:rPr>
        <w:footnoteReference w:id="16"/>
      </w:r>
      <w:r w:rsidR="008C3865">
        <w:t xml:space="preserve">. As the sector grows </w:t>
      </w:r>
      <w:r w:rsidR="00421B67">
        <w:t>in scale and complexity</w:t>
      </w:r>
      <w:r w:rsidR="008C3865">
        <w:t xml:space="preserve"> th</w:t>
      </w:r>
      <w:r w:rsidR="001A611E">
        <w:t xml:space="preserve">e coherence </w:t>
      </w:r>
      <w:r w:rsidR="00B752EF">
        <w:t xml:space="preserve">and </w:t>
      </w:r>
      <w:r w:rsidR="009A0661">
        <w:t xml:space="preserve">utility </w:t>
      </w:r>
      <w:r w:rsidR="001A611E">
        <w:t xml:space="preserve">of this approach is </w:t>
      </w:r>
      <w:r w:rsidR="00421B67">
        <w:t>being</w:t>
      </w:r>
      <w:r w:rsidR="001A611E">
        <w:t xml:space="preserve"> eroded. </w:t>
      </w:r>
    </w:p>
    <w:p w14:paraId="504665B9" w14:textId="77777777" w:rsidR="00A754BD" w:rsidRDefault="00A754BD" w:rsidP="00BD460A"/>
    <w:p w14:paraId="31144115" w14:textId="3609F69E" w:rsidR="00C33A8C" w:rsidRDefault="001A611E" w:rsidP="00BD460A">
      <w:r>
        <w:t>We already see States compensating for limitations of a centralised approach. New South Wales</w:t>
      </w:r>
      <w:r w:rsidR="00FF270B">
        <w:rPr>
          <w:rStyle w:val="FootnoteReference"/>
        </w:rPr>
        <w:footnoteReference w:id="17"/>
      </w:r>
      <w:r>
        <w:t xml:space="preserve"> and Victoria</w:t>
      </w:r>
      <w:r w:rsidR="00C53DAF">
        <w:rPr>
          <w:rStyle w:val="FootnoteReference"/>
        </w:rPr>
        <w:footnoteReference w:id="18"/>
      </w:r>
      <w:r>
        <w:t xml:space="preserve"> have announced targeted funding to incentivise students to enrol, complete and then work in specific occupations and regions. </w:t>
      </w:r>
      <w:r w:rsidR="00CF093B">
        <w:t>States are active in a policy domain for which they referred responsibility to the Commonwealth decades ago.</w:t>
      </w:r>
      <w:r w:rsidR="00625766">
        <w:t xml:space="preserve"> </w:t>
      </w:r>
      <w:r w:rsidR="00880BA4">
        <w:t>This logic can be extended to i</w:t>
      </w:r>
      <w:r w:rsidR="0017263B">
        <w:t>ndustry groups</w:t>
      </w:r>
      <w:r w:rsidR="005C13BB">
        <w:t>,</w:t>
      </w:r>
      <w:r w:rsidR="0017263B">
        <w:t xml:space="preserve"> </w:t>
      </w:r>
      <w:r w:rsidR="007B5239">
        <w:t xml:space="preserve">who are grappling with </w:t>
      </w:r>
      <w:r w:rsidR="00C547AD">
        <w:t>skills shortages and</w:t>
      </w:r>
      <w:r w:rsidR="00553CE9">
        <w:t xml:space="preserve"> insufficient </w:t>
      </w:r>
      <w:r w:rsidR="00C547AD">
        <w:t xml:space="preserve">numbers of </w:t>
      </w:r>
      <w:r w:rsidR="005C13BB">
        <w:t xml:space="preserve">graduates </w:t>
      </w:r>
      <w:r w:rsidR="00C547AD">
        <w:t>to mee</w:t>
      </w:r>
      <w:r w:rsidR="00C33A8C">
        <w:t xml:space="preserve">t their human </w:t>
      </w:r>
      <w:r w:rsidR="004378E6">
        <w:t>resource</w:t>
      </w:r>
      <w:r w:rsidR="00C33A8C">
        <w:t xml:space="preserve"> needs</w:t>
      </w:r>
      <w:r w:rsidR="00553CE9">
        <w:t>.</w:t>
      </w:r>
    </w:p>
    <w:p w14:paraId="48458073" w14:textId="77777777" w:rsidR="00C33A8C" w:rsidRDefault="00C33A8C" w:rsidP="00BD460A"/>
    <w:p w14:paraId="52BED768" w14:textId="128CAFAA" w:rsidR="00D859C6" w:rsidRDefault="001030F1" w:rsidP="00BD460A">
      <w:r>
        <w:t xml:space="preserve">Australian higher education financing and regulation has yet to find a sustainable resolution to accommodating growth in the scale and complexity of the system. </w:t>
      </w:r>
      <w:r w:rsidR="005A40BB">
        <w:t>Policy has favoured l</w:t>
      </w:r>
      <w:r>
        <w:t xml:space="preserve">arge comprehensive public universities. Developments in South Australia and Western Australia suggest we </w:t>
      </w:r>
      <w:r w:rsidR="00953A0A">
        <w:t>will have</w:t>
      </w:r>
      <w:r>
        <w:t xml:space="preserve"> fewer public universities that </w:t>
      </w:r>
      <w:r w:rsidR="005A40BB">
        <w:t>are</w:t>
      </w:r>
      <w:r>
        <w:t xml:space="preserve"> larger on average.</w:t>
      </w:r>
      <w:r w:rsidR="005A40BB">
        <w:t xml:space="preserve"> </w:t>
      </w:r>
      <w:r w:rsidR="004378E6">
        <w:t>Some</w:t>
      </w:r>
      <w:r>
        <w:t xml:space="preserve"> universities are on trajectories to </w:t>
      </w:r>
      <w:r w:rsidR="004378E6">
        <w:t xml:space="preserve">soon </w:t>
      </w:r>
      <w:r>
        <w:t xml:space="preserve">enrol </w:t>
      </w:r>
      <w:r w:rsidR="00953A0A">
        <w:t xml:space="preserve">over </w:t>
      </w:r>
      <w:r>
        <w:t>100,000+</w:t>
      </w:r>
      <w:r w:rsidR="002A0587">
        <w:t xml:space="preserve"> students</w:t>
      </w:r>
      <w:r>
        <w:t xml:space="preserve">. </w:t>
      </w:r>
    </w:p>
    <w:p w14:paraId="72230BD4" w14:textId="77777777" w:rsidR="00D859C6" w:rsidRDefault="00D859C6" w:rsidP="00BD460A"/>
    <w:p w14:paraId="0E38E218" w14:textId="5B5C6DD3" w:rsidR="001030F1" w:rsidRDefault="00D859C6" w:rsidP="00BD460A">
      <w:r>
        <w:t xml:space="preserve">Policy and institutional practice </w:t>
      </w:r>
      <w:r w:rsidR="002A0587">
        <w:t>see</w:t>
      </w:r>
      <w:r>
        <w:t xml:space="preserve"> the Commonwealth and some institutions, trying to be all things to all people</w:t>
      </w:r>
      <w:r w:rsidR="00734354">
        <w:t xml:space="preserve">. Whilst there is much to celebrate about the quality of Australian higher education, there are legitimate questions about whether </w:t>
      </w:r>
      <w:r w:rsidR="00FD7FF3">
        <w:t xml:space="preserve">the combination of central control and increasing institutional scale is the best mechanism for </w:t>
      </w:r>
      <w:r w:rsidR="001030F1">
        <w:t xml:space="preserve">accommodating an increasing proportion of the Australian population </w:t>
      </w:r>
      <w:r w:rsidR="002A0587">
        <w:t>whilst simultaneously</w:t>
      </w:r>
      <w:r w:rsidR="00BB15E4">
        <w:t xml:space="preserve"> </w:t>
      </w:r>
      <w:r w:rsidR="002F75E3">
        <w:t xml:space="preserve">being </w:t>
      </w:r>
      <w:r w:rsidR="002A0587">
        <w:t>world class</w:t>
      </w:r>
      <w:r w:rsidR="002F75E3">
        <w:t xml:space="preserve"> across every field of research</w:t>
      </w:r>
      <w:r w:rsidR="001030F1">
        <w:t xml:space="preserve">. </w:t>
      </w:r>
    </w:p>
    <w:p w14:paraId="08FF19F3" w14:textId="77777777" w:rsidR="00EC52D6" w:rsidRDefault="00EC52D6" w:rsidP="00BD460A"/>
    <w:p w14:paraId="18CBB402" w14:textId="2A82FEF6" w:rsidR="002F75E3" w:rsidRDefault="002A0587" w:rsidP="00BD460A">
      <w:r>
        <w:t>I</w:t>
      </w:r>
      <w:r w:rsidR="002F75E3">
        <w:t>nstitutions operating at a large scale make it difficult to cater effectively for the specific needs of population sub-groups, particularly those underrepresented in higher education</w:t>
      </w:r>
      <w:r>
        <w:t>,</w:t>
      </w:r>
      <w:r w:rsidR="002F75E3">
        <w:t xml:space="preserve"> or marginalised in large institutional settings. Institutional attention in large institutions will </w:t>
      </w:r>
      <w:r w:rsidR="002F75E3">
        <w:lastRenderedPageBreak/>
        <w:t xml:space="preserve">always be segmented across a wide range of legitimate interests, </w:t>
      </w:r>
      <w:r w:rsidR="0017413E">
        <w:t>and</w:t>
      </w:r>
      <w:r w:rsidR="002F75E3">
        <w:t xml:space="preserve"> the needs of smaller population sub-groups </w:t>
      </w:r>
      <w:r w:rsidR="0017413E">
        <w:t xml:space="preserve">can be </w:t>
      </w:r>
      <w:r w:rsidR="002F75E3">
        <w:t xml:space="preserve">crowded out by </w:t>
      </w:r>
      <w:r w:rsidR="0017413E">
        <w:t xml:space="preserve">other </w:t>
      </w:r>
      <w:r w:rsidR="002F75E3">
        <w:t>concerns.</w:t>
      </w:r>
    </w:p>
    <w:p w14:paraId="59C56627" w14:textId="77777777" w:rsidR="002F75E3" w:rsidRDefault="002F75E3" w:rsidP="00BD460A"/>
    <w:p w14:paraId="04ECC435" w14:textId="20D9EA60" w:rsidR="002F75E3" w:rsidRDefault="002F75E3" w:rsidP="00BD460A">
      <w:r>
        <w:t xml:space="preserve">Regulatory focus on equity and diversity is also diluted to the detriment of smaller marginalised cohorts. </w:t>
      </w:r>
      <w:r w:rsidR="0000470A">
        <w:t xml:space="preserve">Equity policy measures </w:t>
      </w:r>
      <w:r w:rsidR="005F5F1D">
        <w:t xml:space="preserve">participation only on nationally relevant </w:t>
      </w:r>
      <w:r w:rsidR="0017413E">
        <w:t>groups</w:t>
      </w:r>
      <w:r w:rsidR="00116E5E">
        <w:t xml:space="preserve">. </w:t>
      </w:r>
      <w:r>
        <w:t>The Higher Education Standards Framewor</w:t>
      </w:r>
      <w:r w:rsidR="00116E5E">
        <w:t>k</w:t>
      </w:r>
      <w:r>
        <w:t xml:space="preserve"> </w:t>
      </w:r>
      <w:r w:rsidR="003A3DC1">
        <w:t>requires</w:t>
      </w:r>
      <w:r>
        <w:t xml:space="preserve"> that all higher education providers meet diversity and equity standards, but these standards have never been core to </w:t>
      </w:r>
      <w:r w:rsidR="00116E5E">
        <w:t>provider</w:t>
      </w:r>
      <w:r>
        <w:t xml:space="preserve"> registration processes. </w:t>
      </w:r>
      <w:r w:rsidR="006221F4">
        <w:t>E</w:t>
      </w:r>
      <w:r>
        <w:t xml:space="preserve">quity data </w:t>
      </w:r>
      <w:r w:rsidR="00116E5E">
        <w:t>demonstrate</w:t>
      </w:r>
      <w:r w:rsidR="006221F4">
        <w:t>s</w:t>
      </w:r>
      <w:r>
        <w:t xml:space="preserve"> that some institutions </w:t>
      </w:r>
      <w:r w:rsidR="003324DA">
        <w:t>establish considerable barriers to</w:t>
      </w:r>
      <w:r>
        <w:t xml:space="preserve"> access, whilst others that </w:t>
      </w:r>
      <w:r w:rsidR="003324DA">
        <w:t>may be</w:t>
      </w:r>
      <w:r>
        <w:t xml:space="preserve"> more accessible</w:t>
      </w:r>
      <w:r w:rsidR="00116E5E">
        <w:t>,</w:t>
      </w:r>
      <w:r>
        <w:t xml:space="preserve"> have challenges with student success. </w:t>
      </w:r>
      <w:r w:rsidR="006221F4">
        <w:t>No university (to the best of my knowledge) has had conditions placed on its registration for these equity related shortcomings. A r</w:t>
      </w:r>
      <w:r>
        <w:t xml:space="preserve">egulatory </w:t>
      </w:r>
      <w:r w:rsidR="006221F4">
        <w:t>environment</w:t>
      </w:r>
      <w:r>
        <w:t xml:space="preserve"> that renders </w:t>
      </w:r>
      <w:r w:rsidR="00116E5E">
        <w:t xml:space="preserve">aspects of </w:t>
      </w:r>
      <w:r>
        <w:t>equity invisible</w:t>
      </w:r>
      <w:r w:rsidR="00116E5E">
        <w:t xml:space="preserve"> </w:t>
      </w:r>
      <w:r w:rsidR="006C165B">
        <w:t>and which fails to interrogate equity performance</w:t>
      </w:r>
      <w:r w:rsidR="008C6B1B">
        <w:t xml:space="preserve"> </w:t>
      </w:r>
      <w:r w:rsidR="006C165B">
        <w:t xml:space="preserve">serves to </w:t>
      </w:r>
      <w:r>
        <w:t xml:space="preserve">ease regulatory pressure on large institutions to address equity and diversity matters with </w:t>
      </w:r>
      <w:r w:rsidR="006C165B">
        <w:t>anything appr</w:t>
      </w:r>
      <w:r w:rsidR="00E978F8">
        <w:t>oximating</w:t>
      </w:r>
      <w:r w:rsidR="006C165B">
        <w:t xml:space="preserve"> </w:t>
      </w:r>
      <w:r>
        <w:t>full gusto.</w:t>
      </w:r>
    </w:p>
    <w:p w14:paraId="0A2FD729" w14:textId="77777777" w:rsidR="002F75E3" w:rsidRDefault="002F75E3" w:rsidP="00BD460A">
      <w:pPr>
        <w:ind w:left="-360"/>
      </w:pPr>
    </w:p>
    <w:p w14:paraId="5128181F" w14:textId="12FF8E92" w:rsidR="0055280C" w:rsidRDefault="002F75E3" w:rsidP="00BD460A">
      <w:r>
        <w:t xml:space="preserve">This is troubling for many, but </w:t>
      </w:r>
      <w:r w:rsidR="00FA7C59">
        <w:t>also</w:t>
      </w:r>
      <w:r>
        <w:t xml:space="preserve"> personal reasons. I am the child of Deaf adults, and my first language is sign-language</w:t>
      </w:r>
      <w:r w:rsidR="007E424E">
        <w:t xml:space="preserve"> (hence some of the imperfections in how this submission is phrased)</w:t>
      </w:r>
      <w:r>
        <w:t xml:space="preserve">. </w:t>
      </w:r>
      <w:r w:rsidR="006C165B">
        <w:t xml:space="preserve">I have always had an interest in making higher education more accessible to people like my parents. </w:t>
      </w:r>
      <w:r w:rsidR="008C6B1B">
        <w:t>I h</w:t>
      </w:r>
      <w:r w:rsidR="0055280C">
        <w:t xml:space="preserve">ave </w:t>
      </w:r>
      <w:r w:rsidR="006C165B">
        <w:t xml:space="preserve">also had </w:t>
      </w:r>
      <w:r w:rsidR="0055280C">
        <w:t>an</w:t>
      </w:r>
      <w:r>
        <w:t xml:space="preserve"> interest in the institutional diversity evident in American higher education. Institutions like Gallaudet University and Rochester Institute of Technology - </w:t>
      </w:r>
      <w:r w:rsidRPr="00173F50">
        <w:t xml:space="preserve">National Technical Institute </w:t>
      </w:r>
      <w:r>
        <w:t>specialise in programs for</w:t>
      </w:r>
      <w:r w:rsidRPr="00173F50">
        <w:t xml:space="preserve"> Deaf</w:t>
      </w:r>
      <w:r>
        <w:t xml:space="preserve"> students in ways that Australia has never come close to emulating. </w:t>
      </w:r>
      <w:r w:rsidR="006C165B">
        <w:t>A short</w:t>
      </w:r>
      <w:r w:rsidR="00FA7C59">
        <w:t>-</w:t>
      </w:r>
      <w:r w:rsidR="006C165B">
        <w:t>lived</w:t>
      </w:r>
      <w:r>
        <w:t xml:space="preserve"> </w:t>
      </w:r>
      <w:r w:rsidRPr="003C66F3">
        <w:t>National Institute for Deaf Studies and Sign Language Research</w:t>
      </w:r>
      <w:r w:rsidR="006C165B">
        <w:t xml:space="preserve"> highlights that there was once some policy interest in this domain</w:t>
      </w:r>
      <w:r w:rsidR="006F2B53">
        <w:t>,</w:t>
      </w:r>
      <w:r w:rsidR="006C165B">
        <w:t xml:space="preserve"> but the light has now faded</w:t>
      </w:r>
      <w:r>
        <w:t xml:space="preserve">. </w:t>
      </w:r>
    </w:p>
    <w:p w14:paraId="443F0932" w14:textId="77777777" w:rsidR="0055280C" w:rsidRDefault="0055280C" w:rsidP="00BD460A"/>
    <w:p w14:paraId="685DF252" w14:textId="00EEE363" w:rsidR="002F75E3" w:rsidRDefault="002F75E3" w:rsidP="00BD460A">
      <w:r>
        <w:t xml:space="preserve">Australia’s Deaf community may never be large enough to sustain </w:t>
      </w:r>
      <w:r w:rsidR="006F2B53">
        <w:t xml:space="preserve">an </w:t>
      </w:r>
      <w:r>
        <w:t>institution</w:t>
      </w:r>
      <w:r w:rsidR="006F2B53">
        <w:t xml:space="preserve"> </w:t>
      </w:r>
      <w:r>
        <w:t>of a Gallaudet</w:t>
      </w:r>
      <w:r w:rsidR="006F2B53">
        <w:t>-like</w:t>
      </w:r>
      <w:r>
        <w:t xml:space="preserve"> </w:t>
      </w:r>
      <w:r w:rsidR="006F2B53">
        <w:t>focus</w:t>
      </w:r>
      <w:r>
        <w:t>, but if this is true for the Deaf, is it true for all? Must every population sub-group find their way within large institutions</w:t>
      </w:r>
      <w:r w:rsidR="0055280C">
        <w:t xml:space="preserve"> whose attention is </w:t>
      </w:r>
      <w:r w:rsidR="0003007C">
        <w:t>fra</w:t>
      </w:r>
      <w:r w:rsidR="00742E76">
        <w:t>g</w:t>
      </w:r>
      <w:r w:rsidR="0003007C">
        <w:t>mented</w:t>
      </w:r>
      <w:r w:rsidR="0055280C">
        <w:t xml:space="preserve"> by </w:t>
      </w:r>
      <w:r w:rsidR="006F2B53">
        <w:t>scale and complexity</w:t>
      </w:r>
      <w:r>
        <w:t>? Th</w:t>
      </w:r>
      <w:r w:rsidR="006F2B53">
        <w:t xml:space="preserve">is should not be read as a need for segregationist </w:t>
      </w:r>
      <w:r>
        <w:t>policy</w:t>
      </w:r>
      <w:r w:rsidR="006F2B53">
        <w:t>. We should</w:t>
      </w:r>
      <w:r>
        <w:t xml:space="preserve"> </w:t>
      </w:r>
      <w:r w:rsidR="006F2B53">
        <w:t xml:space="preserve">be opening to </w:t>
      </w:r>
      <w:r>
        <w:t>question</w:t>
      </w:r>
      <w:r w:rsidR="006F2B53">
        <w:t>ing</w:t>
      </w:r>
      <w:r>
        <w:t xml:space="preserve"> </w:t>
      </w:r>
      <w:r w:rsidR="006F2B53">
        <w:t>now</w:t>
      </w:r>
      <w:r>
        <w:t xml:space="preserve"> larger institutions </w:t>
      </w:r>
      <w:r w:rsidR="006F2B53">
        <w:t>might</w:t>
      </w:r>
      <w:r>
        <w:t xml:space="preserve"> be all things to all people, and whether there is space for different institutional forms.</w:t>
      </w:r>
    </w:p>
    <w:p w14:paraId="54313AB9" w14:textId="77777777" w:rsidR="00EC52D6" w:rsidRDefault="00EC52D6" w:rsidP="00BD460A"/>
    <w:p w14:paraId="245B4911" w14:textId="6795EB75" w:rsidR="00752258" w:rsidRDefault="00752258" w:rsidP="00BD460A">
      <w:r>
        <w:t xml:space="preserve">We do have smaller institutions operating with a sharp disciplinary focus. Fast growing private providers have done so </w:t>
      </w:r>
      <w:proofErr w:type="gramStart"/>
      <w:r>
        <w:t>on the basis of</w:t>
      </w:r>
      <w:proofErr w:type="gramEnd"/>
      <w:r>
        <w:t xml:space="preserve"> </w:t>
      </w:r>
      <w:r w:rsidR="0017395A">
        <w:t>occupying</w:t>
      </w:r>
      <w:r>
        <w:t xml:space="preserve"> disciplinary niches</w:t>
      </w:r>
      <w:r>
        <w:rPr>
          <w:rStyle w:val="FootnoteReference"/>
        </w:rPr>
        <w:footnoteReference w:id="19"/>
      </w:r>
      <w:r>
        <w:t>. We also have the Batchelor Institute of Indigenous Tertiary Education</w:t>
      </w:r>
      <w:r w:rsidR="00433DB0">
        <w:rPr>
          <w:rStyle w:val="FootnoteReference"/>
        </w:rPr>
        <w:footnoteReference w:id="20"/>
      </w:r>
      <w:r w:rsidR="0017395A">
        <w:t xml:space="preserve"> specialising in </w:t>
      </w:r>
      <w:r w:rsidR="00A7203E">
        <w:t>the unique combination of vocational training and research degrees</w:t>
      </w:r>
      <w:r>
        <w:t xml:space="preserve">. Some institutional specificity is possible, but it is the exception rather than the norm given we have: a funding model that incentivises scale; a policy bureaucracy centralised in Canberra; </w:t>
      </w:r>
      <w:proofErr w:type="gramStart"/>
      <w:r>
        <w:t>and,</w:t>
      </w:r>
      <w:proofErr w:type="gramEnd"/>
      <w:r>
        <w:t xml:space="preserve"> regulatory environment that gives limited attention to </w:t>
      </w:r>
      <w:r w:rsidR="00A7203E">
        <w:t>the needs of smaller cohorts</w:t>
      </w:r>
      <w:r>
        <w:t>.</w:t>
      </w:r>
    </w:p>
    <w:p w14:paraId="37E2A5DA" w14:textId="77777777" w:rsidR="00EC52D6" w:rsidRDefault="00EC52D6" w:rsidP="00BD460A"/>
    <w:p w14:paraId="3D9A26AA" w14:textId="207FFF04" w:rsidR="00EC52D6" w:rsidRDefault="00A04CA7" w:rsidP="00BD460A">
      <w:r>
        <w:t xml:space="preserve">The Commonwealth </w:t>
      </w:r>
      <w:proofErr w:type="gramStart"/>
      <w:r>
        <w:t>by definition plays</w:t>
      </w:r>
      <w:proofErr w:type="gramEnd"/>
      <w:r>
        <w:t xml:space="preserve"> a role for all Australians</w:t>
      </w:r>
      <w:r w:rsidR="00C33A8C">
        <w:t xml:space="preserve"> and has taxation powers</w:t>
      </w:r>
      <w:r w:rsidR="00133E14">
        <w:t xml:space="preserve"> that </w:t>
      </w:r>
      <w:r w:rsidR="00931937">
        <w:t>make it the logical choice as the</w:t>
      </w:r>
      <w:r w:rsidR="00C33A8C">
        <w:t xml:space="preserve"> dominant funder and regulator. The Commonwealth, should however, be willing to relinquish the reins of full control and </w:t>
      </w:r>
      <w:r w:rsidR="00EC52D6">
        <w:t>be open to sharing power</w:t>
      </w:r>
      <w:r w:rsidR="00931937">
        <w:t xml:space="preserve">. </w:t>
      </w:r>
      <w:r w:rsidR="002A37B6">
        <w:t>We should be striving for</w:t>
      </w:r>
      <w:r w:rsidR="00931937">
        <w:t xml:space="preserve"> diverse system that</w:t>
      </w:r>
      <w:r w:rsidR="00DB26A1">
        <w:t>:</w:t>
      </w:r>
      <w:r w:rsidR="00CB223F">
        <w:t xml:space="preserve"> serves national interests;</w:t>
      </w:r>
      <w:r w:rsidR="00931937">
        <w:t xml:space="preserve"> integrates</w:t>
      </w:r>
      <w:r w:rsidR="002A37B6">
        <w:t xml:space="preserve"> </w:t>
      </w:r>
      <w:r w:rsidR="002A37B6">
        <w:lastRenderedPageBreak/>
        <w:t xml:space="preserve">the legitimate interests of </w:t>
      </w:r>
      <w:r w:rsidR="00C05A56">
        <w:t>the States</w:t>
      </w:r>
      <w:r w:rsidR="00DB26A1">
        <w:t>;</w:t>
      </w:r>
      <w:r w:rsidR="00C05A56">
        <w:t xml:space="preserve"> </w:t>
      </w:r>
      <w:r w:rsidR="002A37B6">
        <w:t>is responsive to the</w:t>
      </w:r>
      <w:r w:rsidR="00C05A56">
        <w:t xml:space="preserve"> market</w:t>
      </w:r>
      <w:r w:rsidR="00DB26A1">
        <w:t>;</w:t>
      </w:r>
      <w:r w:rsidR="00C05A56">
        <w:t xml:space="preserve"> </w:t>
      </w:r>
      <w:r w:rsidR="00DB26A1">
        <w:t>recognises and adapts to market failure</w:t>
      </w:r>
      <w:r w:rsidR="009F5DA2">
        <w:t>; nurtures</w:t>
      </w:r>
      <w:r w:rsidR="00F237E2">
        <w:t xml:space="preserve"> strong independent </w:t>
      </w:r>
      <w:r w:rsidR="006C3DC6">
        <w:t xml:space="preserve">and diverse </w:t>
      </w:r>
      <w:r w:rsidR="00C05A56">
        <w:t>institutions</w:t>
      </w:r>
      <w:r w:rsidR="00DF40E7">
        <w:t>;</w:t>
      </w:r>
      <w:r w:rsidR="00C05A56">
        <w:t xml:space="preserve"> and</w:t>
      </w:r>
      <w:r w:rsidR="00DF40E7">
        <w:t>,</w:t>
      </w:r>
      <w:r w:rsidR="00C05A56">
        <w:t xml:space="preserve"> </w:t>
      </w:r>
      <w:r w:rsidR="00F237E2">
        <w:t xml:space="preserve">adds value to a multitude of </w:t>
      </w:r>
      <w:r w:rsidR="00C05A56">
        <w:t>end users</w:t>
      </w:r>
      <w:r w:rsidR="00F237E2">
        <w:t>. This might be achieved through more</w:t>
      </w:r>
      <w:r w:rsidR="00C05A56">
        <w:t xml:space="preserve"> </w:t>
      </w:r>
      <w:r w:rsidR="008B51F8">
        <w:t>effective</w:t>
      </w:r>
      <w:r w:rsidR="00C41CED">
        <w:t xml:space="preserve"> </w:t>
      </w:r>
      <w:r w:rsidR="006C3DC6">
        <w:t xml:space="preserve">financing and regulatory </w:t>
      </w:r>
      <w:r w:rsidR="00C41CED">
        <w:t>mechanism</w:t>
      </w:r>
      <w:r w:rsidR="000F51A9">
        <w:t>s</w:t>
      </w:r>
      <w:r w:rsidR="00C41CED">
        <w:t xml:space="preserve"> </w:t>
      </w:r>
      <w:r w:rsidR="008B51F8">
        <w:t>that</w:t>
      </w:r>
      <w:r w:rsidR="00DF40E7">
        <w:t xml:space="preserve"> integrate these diverse perspectives. This mechanism might be </w:t>
      </w:r>
      <w:r w:rsidR="00C05A56">
        <w:t>established</w:t>
      </w:r>
      <w:r w:rsidR="00C41CED">
        <w:t xml:space="preserve"> through the</w:t>
      </w:r>
      <w:r w:rsidR="00C33A8C">
        <w:t xml:space="preserve"> Accord </w:t>
      </w:r>
      <w:r w:rsidR="00C41CED">
        <w:t>process</w:t>
      </w:r>
      <w:r w:rsidR="004559C4">
        <w:t xml:space="preserve"> and might even be called “</w:t>
      </w:r>
      <w:r w:rsidR="004559C4" w:rsidRPr="00DF40E7">
        <w:rPr>
          <w:i/>
          <w:iCs/>
        </w:rPr>
        <w:t>The Universities Accord</w:t>
      </w:r>
      <w:r w:rsidR="004559C4">
        <w:t>”</w:t>
      </w:r>
      <w:r w:rsidR="00C33A8C">
        <w:t xml:space="preserve">. </w:t>
      </w:r>
    </w:p>
    <w:p w14:paraId="2B55C056" w14:textId="77777777" w:rsidR="00EC52D6" w:rsidRDefault="00EC52D6" w:rsidP="00BD460A"/>
    <w:p w14:paraId="0E4EF5F6" w14:textId="4D6150E8" w:rsidR="00193977" w:rsidRPr="00193977" w:rsidRDefault="004559C4" w:rsidP="00BD460A">
      <w:pPr>
        <w:rPr>
          <w:b/>
          <w:bCs/>
          <w:i/>
          <w:iCs/>
        </w:rPr>
      </w:pPr>
      <w:r w:rsidRPr="00CC0222">
        <w:rPr>
          <w:b/>
          <w:bCs/>
          <w:i/>
          <w:iCs/>
        </w:rPr>
        <w:t>The Acord Pan</w:t>
      </w:r>
      <w:r w:rsidR="003A3DC1">
        <w:rPr>
          <w:b/>
          <w:bCs/>
          <w:i/>
          <w:iCs/>
        </w:rPr>
        <w:t>el</w:t>
      </w:r>
      <w:r w:rsidRPr="00CC0222">
        <w:rPr>
          <w:b/>
          <w:bCs/>
          <w:i/>
          <w:iCs/>
        </w:rPr>
        <w:t xml:space="preserve"> is encouraged to</w:t>
      </w:r>
      <w:r w:rsidR="003A3DC1">
        <w:rPr>
          <w:b/>
          <w:bCs/>
          <w:i/>
          <w:iCs/>
        </w:rPr>
        <w:t xml:space="preserve"> </w:t>
      </w:r>
      <w:r w:rsidR="00DF40E7">
        <w:rPr>
          <w:b/>
          <w:bCs/>
          <w:i/>
          <w:iCs/>
        </w:rPr>
        <w:t xml:space="preserve">devise a </w:t>
      </w:r>
      <w:r w:rsidR="001C792B">
        <w:rPr>
          <w:b/>
          <w:bCs/>
          <w:i/>
          <w:iCs/>
        </w:rPr>
        <w:t xml:space="preserve">more open and diverse regulatory environment that moves away from Commonwealth control, or </w:t>
      </w:r>
      <w:r w:rsidR="00F94415">
        <w:rPr>
          <w:b/>
          <w:bCs/>
          <w:i/>
          <w:iCs/>
        </w:rPr>
        <w:t xml:space="preserve">excessive </w:t>
      </w:r>
      <w:r w:rsidR="004C6233">
        <w:rPr>
          <w:b/>
          <w:bCs/>
          <w:i/>
          <w:iCs/>
        </w:rPr>
        <w:t xml:space="preserve">central coordination, </w:t>
      </w:r>
      <w:r w:rsidR="000E4F9F">
        <w:rPr>
          <w:b/>
          <w:bCs/>
          <w:i/>
          <w:iCs/>
        </w:rPr>
        <w:t>adopting a model</w:t>
      </w:r>
      <w:r w:rsidR="004C6233">
        <w:rPr>
          <w:b/>
          <w:bCs/>
          <w:i/>
          <w:iCs/>
        </w:rPr>
        <w:t xml:space="preserve"> </w:t>
      </w:r>
      <w:r w:rsidR="000E4F9F">
        <w:rPr>
          <w:b/>
          <w:bCs/>
          <w:i/>
          <w:iCs/>
        </w:rPr>
        <w:t>that</w:t>
      </w:r>
      <w:r w:rsidR="000F51A9" w:rsidRPr="00CC0222">
        <w:rPr>
          <w:b/>
          <w:bCs/>
          <w:i/>
          <w:iCs/>
        </w:rPr>
        <w:t xml:space="preserve"> accommodate</w:t>
      </w:r>
      <w:r w:rsidR="000E4F9F">
        <w:rPr>
          <w:b/>
          <w:bCs/>
          <w:i/>
          <w:iCs/>
        </w:rPr>
        <w:t>s</w:t>
      </w:r>
      <w:r w:rsidR="000F51A9" w:rsidRPr="00CC0222">
        <w:rPr>
          <w:b/>
          <w:bCs/>
          <w:i/>
          <w:iCs/>
        </w:rPr>
        <w:t xml:space="preserve"> </w:t>
      </w:r>
      <w:r w:rsidR="003A0A65" w:rsidRPr="00CC0222">
        <w:rPr>
          <w:b/>
          <w:bCs/>
          <w:i/>
          <w:iCs/>
        </w:rPr>
        <w:t xml:space="preserve">growth in scale, </w:t>
      </w:r>
      <w:proofErr w:type="gramStart"/>
      <w:r w:rsidR="003A0A65" w:rsidRPr="00CC0222">
        <w:rPr>
          <w:b/>
          <w:bCs/>
          <w:i/>
          <w:iCs/>
        </w:rPr>
        <w:t>complexity</w:t>
      </w:r>
      <w:proofErr w:type="gramEnd"/>
      <w:r w:rsidR="003A0A65" w:rsidRPr="00CC0222">
        <w:rPr>
          <w:b/>
          <w:bCs/>
          <w:i/>
          <w:iCs/>
        </w:rPr>
        <w:t xml:space="preserve"> and diversity </w:t>
      </w:r>
      <w:r w:rsidR="004C6233">
        <w:rPr>
          <w:b/>
          <w:bCs/>
          <w:i/>
          <w:iCs/>
        </w:rPr>
        <w:t>of the Australian</w:t>
      </w:r>
      <w:r w:rsidR="003A0A65" w:rsidRPr="00CC0222">
        <w:rPr>
          <w:b/>
          <w:bCs/>
          <w:i/>
          <w:iCs/>
        </w:rPr>
        <w:t xml:space="preserve"> higher </w:t>
      </w:r>
      <w:r w:rsidR="004C6233">
        <w:rPr>
          <w:b/>
          <w:bCs/>
          <w:i/>
          <w:iCs/>
        </w:rPr>
        <w:t xml:space="preserve">(and potentially tertiary) </w:t>
      </w:r>
      <w:r w:rsidR="003A0A65" w:rsidRPr="00CC0222">
        <w:rPr>
          <w:b/>
          <w:bCs/>
          <w:i/>
          <w:iCs/>
        </w:rPr>
        <w:t xml:space="preserve">education </w:t>
      </w:r>
      <w:r w:rsidR="004C6233">
        <w:rPr>
          <w:b/>
          <w:bCs/>
          <w:i/>
          <w:iCs/>
        </w:rPr>
        <w:t>s</w:t>
      </w:r>
      <w:r w:rsidR="00193977">
        <w:rPr>
          <w:b/>
          <w:bCs/>
          <w:i/>
          <w:iCs/>
        </w:rPr>
        <w:t>ectors.</w:t>
      </w:r>
      <w:r w:rsidR="00BD460A">
        <w:rPr>
          <w:b/>
          <w:bCs/>
          <w:i/>
          <w:iCs/>
        </w:rPr>
        <w:t xml:space="preserve"> </w:t>
      </w:r>
      <w:r w:rsidR="00AA74C4">
        <w:rPr>
          <w:b/>
          <w:bCs/>
          <w:i/>
          <w:iCs/>
        </w:rPr>
        <w:t>Elements of a new approach should include</w:t>
      </w:r>
      <w:r w:rsidR="001F54DD">
        <w:rPr>
          <w:rStyle w:val="FootnoteReference"/>
          <w:b/>
          <w:bCs/>
          <w:i/>
          <w:iCs/>
        </w:rPr>
        <w:footnoteReference w:id="21"/>
      </w:r>
      <w:r w:rsidR="00AA74C4">
        <w:rPr>
          <w:b/>
          <w:bCs/>
          <w:i/>
          <w:iCs/>
        </w:rPr>
        <w:t>:</w:t>
      </w:r>
    </w:p>
    <w:p w14:paraId="6C6AC348" w14:textId="77777777" w:rsidR="003A0A65" w:rsidRDefault="003A0A65" w:rsidP="00C33A8C">
      <w:pPr>
        <w:ind w:left="360"/>
      </w:pPr>
    </w:p>
    <w:p w14:paraId="5A4F0304" w14:textId="0F750373" w:rsidR="00EC52D6" w:rsidRPr="00AA74C4" w:rsidRDefault="00AA74C4" w:rsidP="00BD460A">
      <w:pPr>
        <w:pStyle w:val="ListParagraph"/>
        <w:numPr>
          <w:ilvl w:val="0"/>
          <w:numId w:val="5"/>
        </w:numPr>
        <w:ind w:left="360"/>
        <w:rPr>
          <w:b/>
          <w:bCs/>
          <w:i/>
          <w:iCs/>
          <w:color w:val="000000" w:themeColor="text1"/>
        </w:rPr>
      </w:pPr>
      <w:r>
        <w:rPr>
          <w:b/>
          <w:bCs/>
          <w:i/>
          <w:iCs/>
          <w:color w:val="000000" w:themeColor="text1"/>
        </w:rPr>
        <w:t xml:space="preserve">Recalibrating the role of </w:t>
      </w:r>
      <w:r w:rsidR="004C3AA9" w:rsidRPr="00AA74C4">
        <w:rPr>
          <w:b/>
          <w:bCs/>
          <w:i/>
          <w:iCs/>
          <w:color w:val="000000" w:themeColor="text1"/>
        </w:rPr>
        <w:t>State</w:t>
      </w:r>
      <w:r>
        <w:rPr>
          <w:b/>
          <w:bCs/>
          <w:i/>
          <w:iCs/>
          <w:color w:val="000000" w:themeColor="text1"/>
        </w:rPr>
        <w:t>s</w:t>
      </w:r>
      <w:r w:rsidR="004C3AA9" w:rsidRPr="00AA74C4">
        <w:rPr>
          <w:b/>
          <w:bCs/>
          <w:i/>
          <w:iCs/>
          <w:color w:val="000000" w:themeColor="text1"/>
        </w:rPr>
        <w:t xml:space="preserve"> </w:t>
      </w:r>
      <w:r w:rsidR="007B1497" w:rsidRPr="00AA74C4">
        <w:rPr>
          <w:b/>
          <w:bCs/>
          <w:i/>
          <w:iCs/>
          <w:color w:val="000000" w:themeColor="text1"/>
        </w:rPr>
        <w:t xml:space="preserve">for </w:t>
      </w:r>
      <w:r>
        <w:rPr>
          <w:b/>
          <w:bCs/>
          <w:i/>
          <w:iCs/>
          <w:color w:val="000000" w:themeColor="text1"/>
        </w:rPr>
        <w:t xml:space="preserve">Tertiary and </w:t>
      </w:r>
      <w:r w:rsidR="007B1497" w:rsidRPr="00AA74C4">
        <w:rPr>
          <w:b/>
          <w:bCs/>
          <w:i/>
          <w:iCs/>
          <w:color w:val="000000" w:themeColor="text1"/>
        </w:rPr>
        <w:t>Higher Education</w:t>
      </w:r>
    </w:p>
    <w:p w14:paraId="4F0983D1" w14:textId="1F368CB8" w:rsidR="00DF2826" w:rsidRPr="00DF2826" w:rsidRDefault="00DF2826" w:rsidP="009D558F">
      <w:pPr>
        <w:pStyle w:val="ListParagraph"/>
        <w:ind w:left="0"/>
      </w:pPr>
      <w:r>
        <w:t xml:space="preserve">The States </w:t>
      </w:r>
      <w:r w:rsidR="0059037B">
        <w:t xml:space="preserve">are </w:t>
      </w:r>
      <w:r w:rsidR="007B1497">
        <w:t xml:space="preserve">already </w:t>
      </w:r>
      <w:r w:rsidR="0059037B">
        <w:t xml:space="preserve">playing a more active role in higher education, and in some cases where dual-sector institutions are operating, play a more substantive role in institutional funding arrangements. The current </w:t>
      </w:r>
      <w:r w:rsidR="006D2832">
        <w:t>engagement of States in higher education policy</w:t>
      </w:r>
      <w:r w:rsidR="0059037B">
        <w:t xml:space="preserve"> is </w:t>
      </w:r>
      <w:r w:rsidR="006D2832">
        <w:t xml:space="preserve">not based on any </w:t>
      </w:r>
      <w:r w:rsidR="004212ED">
        <w:t>unifying policy framewor</w:t>
      </w:r>
      <w:r w:rsidR="00461BF9">
        <w:t xml:space="preserve">k. </w:t>
      </w:r>
      <w:r w:rsidR="000714CB">
        <w:t xml:space="preserve">There is scope to clarify and </w:t>
      </w:r>
      <w:r w:rsidR="001A75B8">
        <w:t xml:space="preserve">cement the role of the </w:t>
      </w:r>
      <w:r w:rsidR="000714CB">
        <w:t xml:space="preserve">States </w:t>
      </w:r>
      <w:r w:rsidR="001A75B8">
        <w:t xml:space="preserve">in funding </w:t>
      </w:r>
      <w:r w:rsidR="00CC0222">
        <w:t xml:space="preserve">with particular emphasis on </w:t>
      </w:r>
      <w:r w:rsidR="001A75B8">
        <w:t>targeted scholarships</w:t>
      </w:r>
      <w:r w:rsidR="009847F0">
        <w:t xml:space="preserve"> </w:t>
      </w:r>
      <w:r w:rsidR="0083024A">
        <w:t xml:space="preserve">and </w:t>
      </w:r>
      <w:r w:rsidR="004103CD">
        <w:t>research funding to</w:t>
      </w:r>
      <w:r w:rsidR="009847F0">
        <w:t xml:space="preserve"> address specific localised needs </w:t>
      </w:r>
      <w:r w:rsidR="004103CD">
        <w:t>that are not readily accommodated in national policy formulation.</w:t>
      </w:r>
    </w:p>
    <w:p w14:paraId="69B480C0" w14:textId="77777777" w:rsidR="00EC52D6" w:rsidRDefault="00EC52D6" w:rsidP="00BD460A"/>
    <w:p w14:paraId="27ADA3EC" w14:textId="68991B6E" w:rsidR="004103CD" w:rsidRPr="00AA74C4" w:rsidRDefault="004A6240" w:rsidP="00BD460A">
      <w:pPr>
        <w:pStyle w:val="ListParagraph"/>
        <w:numPr>
          <w:ilvl w:val="0"/>
          <w:numId w:val="5"/>
        </w:numPr>
        <w:ind w:left="360"/>
        <w:rPr>
          <w:b/>
          <w:bCs/>
          <w:i/>
          <w:iCs/>
          <w:color w:val="000000" w:themeColor="text1"/>
        </w:rPr>
      </w:pPr>
      <w:r w:rsidRPr="00AA74C4">
        <w:rPr>
          <w:b/>
          <w:bCs/>
          <w:i/>
          <w:iCs/>
          <w:color w:val="000000" w:themeColor="text1"/>
        </w:rPr>
        <w:t>Establishing New</w:t>
      </w:r>
      <w:r w:rsidR="004103CD" w:rsidRPr="00AA74C4">
        <w:rPr>
          <w:b/>
          <w:bCs/>
          <w:i/>
          <w:iCs/>
          <w:color w:val="000000" w:themeColor="text1"/>
        </w:rPr>
        <w:t xml:space="preserve"> </w:t>
      </w:r>
      <w:r w:rsidR="0076096C" w:rsidRPr="00AA74C4">
        <w:rPr>
          <w:b/>
          <w:bCs/>
          <w:i/>
          <w:iCs/>
          <w:color w:val="000000" w:themeColor="text1"/>
        </w:rPr>
        <w:t xml:space="preserve">Public </w:t>
      </w:r>
      <w:r w:rsidR="004103CD" w:rsidRPr="00AA74C4">
        <w:rPr>
          <w:b/>
          <w:bCs/>
          <w:i/>
          <w:iCs/>
          <w:color w:val="000000" w:themeColor="text1"/>
        </w:rPr>
        <w:t>Higher Education</w:t>
      </w:r>
      <w:r w:rsidRPr="00AA74C4">
        <w:rPr>
          <w:b/>
          <w:bCs/>
          <w:i/>
          <w:iCs/>
          <w:color w:val="000000" w:themeColor="text1"/>
        </w:rPr>
        <w:t xml:space="preserve"> Institutions</w:t>
      </w:r>
      <w:r w:rsidR="00AA74C4">
        <w:rPr>
          <w:b/>
          <w:bCs/>
          <w:i/>
          <w:iCs/>
          <w:color w:val="000000" w:themeColor="text1"/>
        </w:rPr>
        <w:t xml:space="preserve"> </w:t>
      </w:r>
      <w:r w:rsidR="00986608">
        <w:rPr>
          <w:b/>
          <w:bCs/>
          <w:i/>
          <w:iCs/>
          <w:color w:val="000000" w:themeColor="text1"/>
        </w:rPr>
        <w:t>Backed by</w:t>
      </w:r>
      <w:r w:rsidR="00156BCA" w:rsidRPr="00AA74C4">
        <w:rPr>
          <w:b/>
          <w:bCs/>
          <w:i/>
          <w:iCs/>
          <w:color w:val="000000" w:themeColor="text1"/>
        </w:rPr>
        <w:t xml:space="preserve"> </w:t>
      </w:r>
      <w:r w:rsidR="00986608">
        <w:rPr>
          <w:b/>
          <w:bCs/>
          <w:i/>
          <w:iCs/>
          <w:color w:val="000000" w:themeColor="text1"/>
        </w:rPr>
        <w:t xml:space="preserve">Public </w:t>
      </w:r>
      <w:r w:rsidR="00156BCA" w:rsidRPr="00AA74C4">
        <w:rPr>
          <w:b/>
          <w:bCs/>
          <w:i/>
          <w:iCs/>
          <w:color w:val="000000" w:themeColor="text1"/>
        </w:rPr>
        <w:t>Financing</w:t>
      </w:r>
    </w:p>
    <w:p w14:paraId="4B764D28" w14:textId="34B07260" w:rsidR="004103CD" w:rsidRPr="00DF2826" w:rsidRDefault="0076096C" w:rsidP="009D558F">
      <w:pPr>
        <w:pStyle w:val="ListParagraph"/>
        <w:ind w:left="0"/>
      </w:pPr>
      <w:r>
        <w:t xml:space="preserve">Diversity of provision could be enabled by </w:t>
      </w:r>
      <w:r w:rsidR="00986608">
        <w:t xml:space="preserve">creating </w:t>
      </w:r>
      <w:r>
        <w:t xml:space="preserve">diversity </w:t>
      </w:r>
      <w:r w:rsidR="00986608">
        <w:t>in</w:t>
      </w:r>
      <w:r>
        <w:t xml:space="preserve"> </w:t>
      </w:r>
      <w:r w:rsidR="00156BCA">
        <w:t xml:space="preserve">public </w:t>
      </w:r>
      <w:r>
        <w:t>supply</w:t>
      </w:r>
      <w:r w:rsidR="00986608">
        <w:t>. A</w:t>
      </w:r>
      <w:r w:rsidR="00156BCA">
        <w:t xml:space="preserve">ny new institution would </w:t>
      </w:r>
      <w:r w:rsidR="00CC0222">
        <w:t xml:space="preserve">likely </w:t>
      </w:r>
      <w:r w:rsidR="00156BCA">
        <w:t>adopt similar strategic orientations</w:t>
      </w:r>
      <w:r w:rsidR="0092054B">
        <w:t xml:space="preserve"> to existing institutions</w:t>
      </w:r>
      <w:r w:rsidR="00156BCA">
        <w:t xml:space="preserve"> if </w:t>
      </w:r>
      <w:r w:rsidR="0092054B">
        <w:t>subject to the same financing and regulatory regime</w:t>
      </w:r>
      <w:r w:rsidR="00986608">
        <w:t xml:space="preserve"> of today</w:t>
      </w:r>
      <w:r w:rsidR="0092054B">
        <w:t xml:space="preserve">. </w:t>
      </w:r>
      <w:r w:rsidR="00077AFA">
        <w:t xml:space="preserve">Diversity in institutions should be nurtured by diversity in funding </w:t>
      </w:r>
      <w:r w:rsidR="004A6E0A">
        <w:t>appropriate for new institutional forms rather than extending a</w:t>
      </w:r>
      <w:r w:rsidR="00077AFA">
        <w:t xml:space="preserve"> one size fits all funding model.</w:t>
      </w:r>
    </w:p>
    <w:p w14:paraId="1E872D7F" w14:textId="77777777" w:rsidR="004103CD" w:rsidRDefault="004103CD" w:rsidP="00BD460A"/>
    <w:p w14:paraId="7F6BC51E" w14:textId="31F9BC3C" w:rsidR="00C3356B" w:rsidRPr="00B250CA" w:rsidRDefault="00C3356B" w:rsidP="00BD460A">
      <w:pPr>
        <w:pStyle w:val="ListParagraph"/>
        <w:numPr>
          <w:ilvl w:val="0"/>
          <w:numId w:val="5"/>
        </w:numPr>
        <w:ind w:left="360"/>
        <w:rPr>
          <w:b/>
          <w:bCs/>
          <w:color w:val="000000" w:themeColor="text1"/>
        </w:rPr>
      </w:pPr>
      <w:r w:rsidRPr="00B250CA">
        <w:rPr>
          <w:b/>
          <w:bCs/>
          <w:color w:val="000000" w:themeColor="text1"/>
        </w:rPr>
        <w:t xml:space="preserve">Building a </w:t>
      </w:r>
      <w:r w:rsidR="00B250CA">
        <w:rPr>
          <w:b/>
          <w:bCs/>
          <w:color w:val="000000" w:themeColor="text1"/>
        </w:rPr>
        <w:t>National Higher Education Endowment</w:t>
      </w:r>
      <w:r w:rsidRPr="00B250CA">
        <w:rPr>
          <w:b/>
          <w:bCs/>
          <w:color w:val="000000" w:themeColor="text1"/>
        </w:rPr>
        <w:t xml:space="preserve"> Fund</w:t>
      </w:r>
    </w:p>
    <w:p w14:paraId="6F614754" w14:textId="09FC74CF" w:rsidR="00C3565D" w:rsidRDefault="00C3356B" w:rsidP="009D558F">
      <w:pPr>
        <w:pStyle w:val="ListParagraph"/>
        <w:ind w:left="0"/>
      </w:pPr>
      <w:r>
        <w:t xml:space="preserve">The continued expansion of higher education participation and research activity means </w:t>
      </w:r>
      <w:r w:rsidR="002E33B7">
        <w:t xml:space="preserve">that </w:t>
      </w:r>
      <w:r w:rsidR="00032213">
        <w:t>the funding of today will be inadequate to meet the needs of the future. Funding pressures</w:t>
      </w:r>
      <w:r w:rsidR="00907E3D">
        <w:t xml:space="preserve"> will be more </w:t>
      </w:r>
      <w:r w:rsidR="00032213">
        <w:t>acute given</w:t>
      </w:r>
      <w:r w:rsidR="00907E3D">
        <w:t xml:space="preserve"> social and economic headwinds. A greater proportion of GDP is being allocated to </w:t>
      </w:r>
      <w:r w:rsidR="006A3761">
        <w:t xml:space="preserve">servicing </w:t>
      </w:r>
      <w:r w:rsidR="00907E3D">
        <w:t xml:space="preserve">higher interest </w:t>
      </w:r>
      <w:r w:rsidR="006A3761">
        <w:t>rates</w:t>
      </w:r>
      <w:r w:rsidR="00907E3D">
        <w:t xml:space="preserve">. An aging population </w:t>
      </w:r>
      <w:r w:rsidR="00711547">
        <w:t xml:space="preserve">places increasing demands on health systems and pensions. A more tense geopolitical environment sees increasing expenditure on defence. </w:t>
      </w:r>
      <w:r w:rsidR="006A3761">
        <w:t>Mental health challenges show no sign of abating.</w:t>
      </w:r>
    </w:p>
    <w:p w14:paraId="7B6CF9A4" w14:textId="77777777" w:rsidR="00C3565D" w:rsidRDefault="00C3565D" w:rsidP="00BD460A">
      <w:pPr>
        <w:pStyle w:val="ListParagraph"/>
        <w:ind w:left="360"/>
      </w:pPr>
    </w:p>
    <w:p w14:paraId="12F73F4C" w14:textId="436C4C1B" w:rsidR="00311D21" w:rsidRDefault="0011357C" w:rsidP="00BD460A">
      <w:pPr>
        <w:pStyle w:val="ListParagraph"/>
        <w:ind w:left="360"/>
      </w:pPr>
      <w:r>
        <w:t xml:space="preserve">As the best universities in the world have proven, considerable public good can be derived from </w:t>
      </w:r>
      <w:r w:rsidR="00E53FFB">
        <w:t>returns</w:t>
      </w:r>
      <w:r w:rsidR="005C5B64">
        <w:t xml:space="preserve"> on large endowments. A national higher education </w:t>
      </w:r>
      <w:r w:rsidR="00C3565D">
        <w:t>endowment</w:t>
      </w:r>
      <w:r w:rsidR="005C5B64">
        <w:t xml:space="preserve"> fund, perhaps funded by a levy on international student income, or </w:t>
      </w:r>
      <w:r w:rsidR="008A59F4">
        <w:t xml:space="preserve">mineral exports could within the horizon of the Accord’s thinking generate </w:t>
      </w:r>
      <w:r w:rsidR="00C3565D">
        <w:t>c</w:t>
      </w:r>
      <w:r w:rsidR="003A553A">
        <w:t>onsiderable annual return</w:t>
      </w:r>
      <w:r w:rsidR="00C3565D">
        <w:t xml:space="preserve">s. </w:t>
      </w:r>
      <w:r w:rsidR="00E53FFB">
        <w:t>The</w:t>
      </w:r>
      <w:r w:rsidR="002714CB">
        <w:t xml:space="preserve"> funding </w:t>
      </w:r>
      <w:r w:rsidR="00E53FFB">
        <w:t xml:space="preserve">of </w:t>
      </w:r>
      <w:r w:rsidR="002714CB">
        <w:t>new places</w:t>
      </w:r>
      <w:r w:rsidR="00FA65D0">
        <w:t xml:space="preserve">, novel research, or industry needs could be </w:t>
      </w:r>
      <w:r w:rsidR="00767FD1">
        <w:t>managed</w:t>
      </w:r>
      <w:r w:rsidR="00FA65D0">
        <w:t xml:space="preserve"> </w:t>
      </w:r>
      <w:r w:rsidR="003954D5">
        <w:t>through endowment interest rather than vagaries of recurrent expenditure. There may be opportunities to do this collaboratively through multi-level governance mechanisms involving the Commonwealth, States,</w:t>
      </w:r>
      <w:r w:rsidR="00767FD1">
        <w:t xml:space="preserve"> and</w:t>
      </w:r>
      <w:r w:rsidR="003954D5">
        <w:t xml:space="preserve"> institutions</w:t>
      </w:r>
      <w:r w:rsidR="00767FD1">
        <w:t>.</w:t>
      </w:r>
    </w:p>
    <w:p w14:paraId="1B217CDC" w14:textId="5268EFC2" w:rsidR="00176174" w:rsidRPr="00311D21" w:rsidRDefault="00BD460A" w:rsidP="00EB2812">
      <w:pPr>
        <w:rPr>
          <w:b/>
          <w:bCs/>
        </w:rPr>
      </w:pPr>
      <w:r>
        <w:rPr>
          <w:b/>
          <w:bCs/>
        </w:rPr>
        <w:lastRenderedPageBreak/>
        <w:t xml:space="preserve">Responses to </w:t>
      </w:r>
      <w:r w:rsidR="00311D21" w:rsidRPr="00311D21">
        <w:rPr>
          <w:b/>
          <w:bCs/>
        </w:rPr>
        <w:t>Accord Discussion Paper Questions</w:t>
      </w:r>
      <w:r>
        <w:rPr>
          <w:b/>
          <w:bCs/>
        </w:rPr>
        <w:t xml:space="preserve"> (Grouped where appropriate)</w:t>
      </w:r>
    </w:p>
    <w:p w14:paraId="738ABEEC" w14:textId="77777777" w:rsidR="00176174" w:rsidRDefault="00176174" w:rsidP="00EB2812"/>
    <w:p w14:paraId="6CCACF21" w14:textId="77777777" w:rsidR="00730619" w:rsidRDefault="00730619" w:rsidP="00730619">
      <w:pPr>
        <w:rPr>
          <w:b/>
          <w:bCs/>
          <w:i/>
          <w:iCs/>
        </w:rPr>
      </w:pPr>
      <w:r w:rsidRPr="00311D21">
        <w:rPr>
          <w:b/>
          <w:bCs/>
          <w:i/>
          <w:iCs/>
        </w:rPr>
        <w:t>Q</w:t>
      </w:r>
      <w:proofErr w:type="gramStart"/>
      <w:r w:rsidRPr="00311D21">
        <w:rPr>
          <w:b/>
          <w:bCs/>
          <w:i/>
          <w:iCs/>
        </w:rPr>
        <w:t>1  How</w:t>
      </w:r>
      <w:proofErr w:type="gramEnd"/>
      <w:r w:rsidRPr="00311D21">
        <w:rPr>
          <w:b/>
          <w:bCs/>
          <w:i/>
          <w:iCs/>
        </w:rPr>
        <w:t xml:space="preserve"> should an Accord be structured and focused to meet the challenges facing Australia’s higher education system? What is needed to overcome limitations in the current approach to Australian higher education? </w:t>
      </w:r>
    </w:p>
    <w:p w14:paraId="0696A246" w14:textId="77777777" w:rsidR="00E60C6F" w:rsidRPr="00311D21" w:rsidRDefault="00E60C6F" w:rsidP="00730619">
      <w:pPr>
        <w:rPr>
          <w:b/>
          <w:bCs/>
          <w:i/>
          <w:iCs/>
        </w:rPr>
      </w:pPr>
    </w:p>
    <w:p w14:paraId="3C42A830" w14:textId="77777777" w:rsidR="00E60C6F" w:rsidRDefault="00E60C6F" w:rsidP="00E60C6F">
      <w:pPr>
        <w:rPr>
          <w:b/>
          <w:bCs/>
          <w:i/>
          <w:iCs/>
        </w:rPr>
      </w:pPr>
      <w:r w:rsidRPr="00311D21">
        <w:rPr>
          <w:b/>
          <w:bCs/>
          <w:i/>
          <w:iCs/>
        </w:rPr>
        <w:t>Q</w:t>
      </w:r>
      <w:proofErr w:type="gramStart"/>
      <w:r w:rsidRPr="00311D21">
        <w:rPr>
          <w:b/>
          <w:bCs/>
          <w:i/>
          <w:iCs/>
        </w:rPr>
        <w:t>2  How</w:t>
      </w:r>
      <w:proofErr w:type="gramEnd"/>
      <w:r w:rsidRPr="00311D21">
        <w:rPr>
          <w:b/>
          <w:bCs/>
          <w:i/>
          <w:iCs/>
        </w:rPr>
        <w:t xml:space="preserve"> can the diverse missions of Australian higher education providers be supported, taking into account their different operating contexts and communities they serve (for example regional universities)? </w:t>
      </w:r>
    </w:p>
    <w:p w14:paraId="701FF802" w14:textId="77777777" w:rsidR="004E51EE" w:rsidRDefault="004E51EE" w:rsidP="00E60C6F">
      <w:pPr>
        <w:rPr>
          <w:b/>
          <w:bCs/>
          <w:i/>
          <w:iCs/>
        </w:rPr>
      </w:pPr>
    </w:p>
    <w:p w14:paraId="13791078" w14:textId="14F43DDE" w:rsidR="004E51EE" w:rsidRPr="00311D21" w:rsidRDefault="004E51EE" w:rsidP="00E60C6F">
      <w:pPr>
        <w:rPr>
          <w:b/>
          <w:bCs/>
          <w:i/>
          <w:iCs/>
        </w:rPr>
      </w:pPr>
      <w:r w:rsidRPr="00311D21">
        <w:rPr>
          <w:b/>
          <w:bCs/>
          <w:i/>
          <w:iCs/>
        </w:rPr>
        <w:t>Q45 How should the contribution of different institutions and providers to key national objectives specific to their location, specialist expertise or community focus be appropriately financed?</w:t>
      </w:r>
    </w:p>
    <w:p w14:paraId="643B1872" w14:textId="77777777" w:rsidR="00E60C6F" w:rsidRPr="00311D21" w:rsidRDefault="00E60C6F" w:rsidP="00E60C6F">
      <w:pPr>
        <w:rPr>
          <w:b/>
          <w:bCs/>
          <w:i/>
          <w:iCs/>
        </w:rPr>
      </w:pPr>
    </w:p>
    <w:p w14:paraId="4A177D29" w14:textId="6F48611E" w:rsidR="00EB2812" w:rsidRPr="00E054BD" w:rsidRDefault="001952AA" w:rsidP="00EB2812">
      <w:r>
        <w:t>An indicative model for the</w:t>
      </w:r>
      <w:r w:rsidR="00C35EB7">
        <w:t xml:space="preserve"> Accord </w:t>
      </w:r>
      <w:r w:rsidR="00BD460A">
        <w:t xml:space="preserve">(or other </w:t>
      </w:r>
      <w:r w:rsidR="002224BE">
        <w:t xml:space="preserve">suitable descriptor) </w:t>
      </w:r>
      <w:r>
        <w:t>is depicted below and c</w:t>
      </w:r>
      <w:r w:rsidR="00C35EB7">
        <w:t xml:space="preserve">ould </w:t>
      </w:r>
      <w:r w:rsidR="00154940">
        <w:t xml:space="preserve">provide a structured </w:t>
      </w:r>
      <w:r w:rsidR="00E60C6F">
        <w:t xml:space="preserve">collaborative </w:t>
      </w:r>
      <w:r w:rsidR="004B0E26">
        <w:t>mechanism that</w:t>
      </w:r>
      <w:r w:rsidR="00154940">
        <w:t xml:space="preserve"> bring</w:t>
      </w:r>
      <w:r w:rsidR="004B0E26">
        <w:t>s</w:t>
      </w:r>
      <w:r w:rsidR="00154940">
        <w:t xml:space="preserve"> together all levels of Government with institutions</w:t>
      </w:r>
      <w:r w:rsidR="00E40555">
        <w:t xml:space="preserve"> and key end-user groups</w:t>
      </w:r>
      <w:r w:rsidR="00927791">
        <w:t xml:space="preserve">. </w:t>
      </w:r>
    </w:p>
    <w:p w14:paraId="11F5C984" w14:textId="773CAE85" w:rsidR="00EB2812" w:rsidRDefault="00EB2812" w:rsidP="00EB2812">
      <w:pPr>
        <w:rPr>
          <w:b/>
          <w:bCs/>
          <w:i/>
          <w:iCs/>
        </w:rPr>
      </w:pPr>
    </w:p>
    <w:p w14:paraId="339E55BE" w14:textId="1F799E45" w:rsidR="005073E0" w:rsidRPr="00311D21" w:rsidRDefault="00AF6BFC" w:rsidP="0017624C">
      <w:pPr>
        <w:jc w:val="center"/>
        <w:rPr>
          <w:b/>
          <w:bCs/>
          <w:i/>
          <w:iCs/>
        </w:rPr>
      </w:pPr>
      <w:r w:rsidRPr="00AF6BFC">
        <w:rPr>
          <w:b/>
          <w:bCs/>
          <w:i/>
          <w:iCs/>
          <w:noProof/>
        </w:rPr>
        <w:drawing>
          <wp:inline distT="0" distB="0" distL="0" distR="0" wp14:anchorId="17B97DBB" wp14:editId="275D5ED8">
            <wp:extent cx="5239910" cy="3636471"/>
            <wp:effectExtent l="0" t="0" r="5715" b="0"/>
            <wp:docPr id="20" name="Picture 20">
              <a:extLst xmlns:a="http://schemas.openxmlformats.org/drawingml/2006/main">
                <a:ext uri="{FF2B5EF4-FFF2-40B4-BE49-F238E27FC236}">
                  <a16:creationId xmlns:a16="http://schemas.microsoft.com/office/drawing/2014/main" id="{7B1C5B53-7010-53D3-13D5-FE2318C1D6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7B1C5B53-7010-53D3-13D5-FE2318C1D6B9}"/>
                        </a:ext>
                      </a:extLst>
                    </pic:cNvPr>
                    <pic:cNvPicPr>
                      <a:picLocks noChangeAspect="1"/>
                    </pic:cNvPicPr>
                  </pic:nvPicPr>
                  <pic:blipFill>
                    <a:blip r:embed="rId8"/>
                    <a:stretch>
                      <a:fillRect/>
                    </a:stretch>
                  </pic:blipFill>
                  <pic:spPr>
                    <a:xfrm>
                      <a:off x="0" y="0"/>
                      <a:ext cx="5262961" cy="3652468"/>
                    </a:xfrm>
                    <a:prstGeom prst="rect">
                      <a:avLst/>
                    </a:prstGeom>
                  </pic:spPr>
                </pic:pic>
              </a:graphicData>
            </a:graphic>
          </wp:inline>
        </w:drawing>
      </w:r>
    </w:p>
    <w:p w14:paraId="6E0029C3" w14:textId="77777777" w:rsidR="00EB2812" w:rsidRDefault="00EB2812" w:rsidP="00EB2812">
      <w:pPr>
        <w:rPr>
          <w:b/>
          <w:bCs/>
          <w:i/>
          <w:iCs/>
        </w:rPr>
      </w:pPr>
    </w:p>
    <w:p w14:paraId="5B66F537" w14:textId="366B293A" w:rsidR="00341389" w:rsidRDefault="00E60C6F" w:rsidP="00DE0D6E">
      <w:r>
        <w:t>Th</w:t>
      </w:r>
      <w:r w:rsidR="00D51D73">
        <w:t>is</w:t>
      </w:r>
      <w:r w:rsidR="00637951">
        <w:t xml:space="preserve"> </w:t>
      </w:r>
      <w:r>
        <w:t>A</w:t>
      </w:r>
      <w:r w:rsidR="00FB5082">
        <w:t>ccord</w:t>
      </w:r>
      <w:r w:rsidR="00927791">
        <w:t xml:space="preserve"> </w:t>
      </w:r>
      <w:r w:rsidR="00637951">
        <w:t>minimises</w:t>
      </w:r>
      <w:r w:rsidR="00927791">
        <w:t xml:space="preserve"> centralised control over place and resource allocations</w:t>
      </w:r>
      <w:r w:rsidR="00637951">
        <w:t>, and activates institutions, student</w:t>
      </w:r>
      <w:r w:rsidR="00D51D73">
        <w:t xml:space="preserve"> representative bodies, </w:t>
      </w:r>
      <w:r w:rsidR="00637951">
        <w:t xml:space="preserve">State governments and industry </w:t>
      </w:r>
      <w:r w:rsidR="00B61313">
        <w:t xml:space="preserve">in </w:t>
      </w:r>
      <w:r w:rsidR="00341389">
        <w:t xml:space="preserve">the </w:t>
      </w:r>
      <w:r w:rsidR="00846C9C">
        <w:t xml:space="preserve">sustainable </w:t>
      </w:r>
      <w:r w:rsidR="00B61313">
        <w:t>mediati</w:t>
      </w:r>
      <w:r w:rsidR="00846C9C">
        <w:t>on</w:t>
      </w:r>
      <w:r w:rsidR="00B61313">
        <w:t xml:space="preserve"> </w:t>
      </w:r>
      <w:r w:rsidR="00846C9C">
        <w:t>dynamic</w:t>
      </w:r>
      <w:r w:rsidR="00B61313">
        <w:t xml:space="preserve"> social and economic needs. </w:t>
      </w:r>
      <w:r w:rsidR="00637951">
        <w:t xml:space="preserve"> </w:t>
      </w:r>
      <w:r w:rsidR="002C4473">
        <w:t>Under this model t</w:t>
      </w:r>
      <w:r w:rsidR="00341389">
        <w:t>he Commonwealth retains key financing and regulatory power but</w:t>
      </w:r>
      <w:r w:rsidR="007416CC">
        <w:t xml:space="preserve"> relinquishes </w:t>
      </w:r>
      <w:r w:rsidR="002C4473">
        <w:t xml:space="preserve">some </w:t>
      </w:r>
      <w:r w:rsidR="007416CC">
        <w:t>control over funding distributions to the Accord. Institutions will have certainty over basic grants</w:t>
      </w:r>
      <w:r w:rsidR="002224BE">
        <w:t xml:space="preserve"> </w:t>
      </w:r>
      <w:r w:rsidR="007416CC">
        <w:t xml:space="preserve">but can achieve </w:t>
      </w:r>
      <w:r w:rsidR="00C13D43">
        <w:t xml:space="preserve">a level of fee flexibility if they can satisfy the expectations of accord participants. Student representative bodies have a seat at the Accord table, as does industry that co-invests in the system. States will refine their role in </w:t>
      </w:r>
      <w:r w:rsidR="003F46E9">
        <w:t xml:space="preserve">targeting scholarships and research to localised social and economic needs. </w:t>
      </w:r>
    </w:p>
    <w:p w14:paraId="4F6643CE" w14:textId="77777777" w:rsidR="00EB2812" w:rsidRPr="00311D21" w:rsidRDefault="00EB2812" w:rsidP="00EB2812">
      <w:pPr>
        <w:rPr>
          <w:b/>
          <w:bCs/>
          <w:i/>
          <w:iCs/>
        </w:rPr>
      </w:pPr>
    </w:p>
    <w:p w14:paraId="76ED1693" w14:textId="174F0B03" w:rsidR="00EB2812" w:rsidRPr="00311D21" w:rsidRDefault="00EB2812" w:rsidP="00EB2812">
      <w:pPr>
        <w:rPr>
          <w:b/>
          <w:bCs/>
          <w:i/>
          <w:iCs/>
        </w:rPr>
      </w:pPr>
      <w:r w:rsidRPr="00311D21">
        <w:rPr>
          <w:b/>
          <w:bCs/>
          <w:i/>
          <w:iCs/>
        </w:rPr>
        <w:t>Q</w:t>
      </w:r>
      <w:proofErr w:type="gramStart"/>
      <w:r w:rsidRPr="00311D21">
        <w:rPr>
          <w:b/>
          <w:bCs/>
          <w:i/>
          <w:iCs/>
        </w:rPr>
        <w:t>3  What</w:t>
      </w:r>
      <w:proofErr w:type="gramEnd"/>
      <w:r w:rsidRPr="00311D21">
        <w:rPr>
          <w:b/>
          <w:bCs/>
          <w:i/>
          <w:iCs/>
        </w:rPr>
        <w:t xml:space="preserve"> should the long-term target/s be for Australia’s higher education attainment by 2030 and 2040, and how should these be set and adjusted over time? </w:t>
      </w:r>
    </w:p>
    <w:p w14:paraId="4E663E97" w14:textId="437C1227" w:rsidR="00EB2812" w:rsidRDefault="00EB2812" w:rsidP="00EB2812">
      <w:pPr>
        <w:rPr>
          <w:b/>
          <w:bCs/>
        </w:rPr>
      </w:pPr>
    </w:p>
    <w:p w14:paraId="147822FA" w14:textId="11B8A07A" w:rsidR="00040D48" w:rsidRDefault="002040CC" w:rsidP="007B1A84">
      <w:r w:rsidRPr="002040CC">
        <w:t xml:space="preserve">There </w:t>
      </w:r>
      <w:r>
        <w:t>should be no long-term target for attainment</w:t>
      </w:r>
      <w:r w:rsidR="00520AA2">
        <w:t>. A</w:t>
      </w:r>
      <w:r w:rsidR="00E61EFB">
        <w:t xml:space="preserve">n </w:t>
      </w:r>
      <w:r w:rsidR="00520AA2">
        <w:t xml:space="preserve">entitlement for a place in tertiary education </w:t>
      </w:r>
      <w:r w:rsidR="0057456B">
        <w:t>should be in place</w:t>
      </w:r>
      <w:r w:rsidR="00E61EFB">
        <w:t xml:space="preserve"> for all Australians. This </w:t>
      </w:r>
      <w:r w:rsidR="00281A8F">
        <w:t>aspiration is included in a recent Higher Education Standards Panel Discussion Paper</w:t>
      </w:r>
      <w:r w:rsidR="00F12625">
        <w:rPr>
          <w:rStyle w:val="FootnoteReference"/>
        </w:rPr>
        <w:footnoteReference w:id="22"/>
      </w:r>
      <w:r w:rsidR="00694351">
        <w:t xml:space="preserve">. </w:t>
      </w:r>
      <w:r w:rsidR="0057456B">
        <w:t xml:space="preserve"> </w:t>
      </w:r>
      <w:r w:rsidR="00694351">
        <w:t>N</w:t>
      </w:r>
      <w:r w:rsidR="0057456B">
        <w:t xml:space="preserve">ot everyone will take up this entitlement, </w:t>
      </w:r>
      <w:r w:rsidR="00A248F0">
        <w:t>and</w:t>
      </w:r>
      <w:r w:rsidR="00D42F64">
        <w:t xml:space="preserve"> under current</w:t>
      </w:r>
      <w:r w:rsidR="0057456B">
        <w:t xml:space="preserve"> </w:t>
      </w:r>
      <w:r w:rsidR="00736B38">
        <w:t xml:space="preserve">labour market conditions many institutions </w:t>
      </w:r>
      <w:r w:rsidR="00D42F64">
        <w:t xml:space="preserve">are </w:t>
      </w:r>
      <w:r w:rsidR="00736B38">
        <w:t>operating below their theoretical maximum basic grant amount.</w:t>
      </w:r>
      <w:r w:rsidR="00D42F64">
        <w:t xml:space="preserve"> </w:t>
      </w:r>
      <w:r w:rsidR="00704568">
        <w:t xml:space="preserve">People are choosing work over study. </w:t>
      </w:r>
      <w:r w:rsidR="00D42F64">
        <w:t>The Acc</w:t>
      </w:r>
      <w:r w:rsidR="0060557F">
        <w:t>or</w:t>
      </w:r>
      <w:r w:rsidR="00D42F64">
        <w:t xml:space="preserve">d </w:t>
      </w:r>
      <w:r w:rsidR="00661DE5">
        <w:t xml:space="preserve">could monitor </w:t>
      </w:r>
      <w:r w:rsidR="00D42F64">
        <w:t xml:space="preserve">should </w:t>
      </w:r>
      <w:r w:rsidR="006C55A0">
        <w:t xml:space="preserve">demand and supply for </w:t>
      </w:r>
      <w:r w:rsidR="00C13FF1">
        <w:t>skills</w:t>
      </w:r>
      <w:r w:rsidR="006C55A0">
        <w:t xml:space="preserve"> and </w:t>
      </w:r>
      <w:proofErr w:type="gramStart"/>
      <w:r w:rsidR="00C13FF1">
        <w:t>capabilities</w:t>
      </w:r>
      <w:r w:rsidR="0011091D">
        <w:t xml:space="preserve">, </w:t>
      </w:r>
      <w:r w:rsidR="00710991">
        <w:t>and</w:t>
      </w:r>
      <w:proofErr w:type="gramEnd"/>
      <w:r w:rsidR="00710991">
        <w:t xml:space="preserve"> moving to </w:t>
      </w:r>
      <w:r w:rsidR="0011091D">
        <w:t>underwrit</w:t>
      </w:r>
      <w:r w:rsidR="00710991">
        <w:t>e</w:t>
      </w:r>
      <w:r w:rsidR="0011091D">
        <w:t xml:space="preserve"> particular activities </w:t>
      </w:r>
      <w:r w:rsidR="00710991">
        <w:t xml:space="preserve">where appropriate.  </w:t>
      </w:r>
    </w:p>
    <w:p w14:paraId="734F4E52" w14:textId="447C82FF" w:rsidR="00EB2812" w:rsidRPr="00311D21" w:rsidRDefault="00EB2812" w:rsidP="00EB2812">
      <w:pPr>
        <w:rPr>
          <w:b/>
          <w:bCs/>
          <w:i/>
          <w:iCs/>
        </w:rPr>
      </w:pPr>
    </w:p>
    <w:p w14:paraId="544B4132" w14:textId="62A6A0EE" w:rsidR="00EB2812" w:rsidRPr="00311D21" w:rsidRDefault="00EB2812" w:rsidP="00EB2812">
      <w:pPr>
        <w:rPr>
          <w:b/>
          <w:bCs/>
          <w:i/>
          <w:iCs/>
        </w:rPr>
      </w:pPr>
      <w:r w:rsidRPr="00311D21">
        <w:rPr>
          <w:b/>
          <w:bCs/>
          <w:i/>
          <w:iCs/>
        </w:rPr>
        <w:t>Q4 Looking from now to 2030 and 2040, what major national challenges and opportunities should Australian higher education be focused on meeting?</w:t>
      </w:r>
    </w:p>
    <w:p w14:paraId="2D78C8DE" w14:textId="4C179AC0" w:rsidR="00EB2812" w:rsidRDefault="00EB2812" w:rsidP="00EB2812">
      <w:pPr>
        <w:rPr>
          <w:b/>
          <w:bCs/>
          <w:i/>
          <w:iCs/>
        </w:rPr>
      </w:pPr>
    </w:p>
    <w:p w14:paraId="40988514" w14:textId="5C0EDFF6" w:rsidR="00EB2812" w:rsidRPr="00FC1195" w:rsidRDefault="003529C3" w:rsidP="00EB2812">
      <w:r>
        <w:t xml:space="preserve">There should be no 2040 target beyond establishing a </w:t>
      </w:r>
      <w:r w:rsidR="00FC1195">
        <w:t>universal entitlement for post-school tertiary education that is mediated and managed via an ongoing multi-level and multi-stakeholder Accord mechanism.</w:t>
      </w:r>
    </w:p>
    <w:p w14:paraId="53D543B1" w14:textId="77777777" w:rsidR="00EB2812" w:rsidRPr="00311D21" w:rsidRDefault="00EB2812" w:rsidP="00EB2812">
      <w:pPr>
        <w:rPr>
          <w:b/>
          <w:bCs/>
          <w:i/>
          <w:iCs/>
        </w:rPr>
      </w:pPr>
    </w:p>
    <w:p w14:paraId="66110855" w14:textId="0DBEB089" w:rsidR="00EB2812" w:rsidRPr="00311D21" w:rsidRDefault="00EB2812" w:rsidP="00EB2812">
      <w:pPr>
        <w:rPr>
          <w:b/>
          <w:bCs/>
          <w:i/>
          <w:iCs/>
        </w:rPr>
      </w:pPr>
      <w:r w:rsidRPr="00311D21">
        <w:rPr>
          <w:b/>
          <w:bCs/>
          <w:i/>
          <w:iCs/>
        </w:rPr>
        <w:t>Q5 How do the current structures of institutions, regulation and funding in higher education help or hinder Australia’s ability to meet these challenges? What needs to change?</w:t>
      </w:r>
    </w:p>
    <w:p w14:paraId="678740F9" w14:textId="3FB3A875" w:rsidR="00EB2812" w:rsidRDefault="00EB2812" w:rsidP="00EB2812">
      <w:pPr>
        <w:rPr>
          <w:b/>
          <w:bCs/>
        </w:rPr>
      </w:pPr>
    </w:p>
    <w:p w14:paraId="6A526E89" w14:textId="333C9B63" w:rsidR="00EB2812" w:rsidRPr="00710991" w:rsidRDefault="00C3035D" w:rsidP="00EB2812">
      <w:r w:rsidRPr="00C3035D">
        <w:t>See introductory comments</w:t>
      </w:r>
      <w:r>
        <w:t xml:space="preserve"> on pages 1 to 5.</w:t>
      </w:r>
    </w:p>
    <w:p w14:paraId="581C2DD8" w14:textId="77777777" w:rsidR="00EB2812" w:rsidRPr="00311D21" w:rsidRDefault="00EB2812" w:rsidP="00EB2812">
      <w:pPr>
        <w:rPr>
          <w:b/>
          <w:bCs/>
          <w:i/>
          <w:iCs/>
        </w:rPr>
      </w:pPr>
    </w:p>
    <w:p w14:paraId="367997AC" w14:textId="4AD47C0E" w:rsidR="00EB2812" w:rsidRPr="00311D21" w:rsidRDefault="00EB2812" w:rsidP="00EB2812">
      <w:pPr>
        <w:rPr>
          <w:b/>
          <w:bCs/>
          <w:i/>
          <w:iCs/>
        </w:rPr>
      </w:pPr>
      <w:r w:rsidRPr="00311D21">
        <w:rPr>
          <w:b/>
          <w:bCs/>
          <w:i/>
          <w:iCs/>
        </w:rPr>
        <w:t>Q6 What are the best ways to achieve and sustain future growth in Australian higher education, given the changing needs of the population and the current pressures on public funding?</w:t>
      </w:r>
    </w:p>
    <w:p w14:paraId="54A7F8A1" w14:textId="34661E31" w:rsidR="00EB2812" w:rsidRPr="00311D21" w:rsidRDefault="00EB2812" w:rsidP="00EB2812">
      <w:pPr>
        <w:rPr>
          <w:b/>
          <w:bCs/>
          <w:i/>
          <w:iCs/>
        </w:rPr>
      </w:pPr>
    </w:p>
    <w:p w14:paraId="3371769C" w14:textId="023E1B10" w:rsidR="00842769" w:rsidRDefault="001C3648" w:rsidP="00EB2812">
      <w:r>
        <w:t>A</w:t>
      </w:r>
      <w:r w:rsidR="0004236D">
        <w:t>n</w:t>
      </w:r>
      <w:r w:rsidR="00343F63">
        <w:t xml:space="preserve"> </w:t>
      </w:r>
      <w:r w:rsidR="00ED7C3B">
        <w:t>e</w:t>
      </w:r>
      <w:r w:rsidR="00343F63" w:rsidRPr="00343F63">
        <w:t xml:space="preserve">ndowment </w:t>
      </w:r>
      <w:r w:rsidR="00ED7C3B">
        <w:t>f</w:t>
      </w:r>
      <w:r w:rsidR="00343F63" w:rsidRPr="00343F63">
        <w:t>und</w:t>
      </w:r>
      <w:r w:rsidR="00881465">
        <w:t xml:space="preserve"> </w:t>
      </w:r>
      <w:r>
        <w:t>should be established</w:t>
      </w:r>
      <w:r w:rsidR="0048543B">
        <w:t xml:space="preserve"> and managed by the Future Fund. T</w:t>
      </w:r>
      <w:r w:rsidR="00ED7C3B">
        <w:t xml:space="preserve">he endowment fund could be </w:t>
      </w:r>
      <w:r w:rsidR="00653032">
        <w:t xml:space="preserve">capitalised though </w:t>
      </w:r>
      <w:r w:rsidR="004A5DD0">
        <w:t xml:space="preserve">a </w:t>
      </w:r>
      <w:r w:rsidR="00BE7066">
        <w:t>modest lev</w:t>
      </w:r>
      <w:r w:rsidR="00653032">
        <w:t>y</w:t>
      </w:r>
      <w:r w:rsidR="00BE7066">
        <w:t xml:space="preserve"> on mineral </w:t>
      </w:r>
      <w:r w:rsidR="00583288">
        <w:t xml:space="preserve">exports, and/or </w:t>
      </w:r>
      <w:r w:rsidR="00F5323F">
        <w:t>private investment in higher education</w:t>
      </w:r>
      <w:r w:rsidR="00653032">
        <w:t xml:space="preserve">, </w:t>
      </w:r>
      <w:r w:rsidR="00583288">
        <w:t xml:space="preserve">supplemented with </w:t>
      </w:r>
      <w:r w:rsidR="00653032">
        <w:t xml:space="preserve">Commonwealth </w:t>
      </w:r>
      <w:r w:rsidR="00583288">
        <w:t>investment</w:t>
      </w:r>
      <w:r w:rsidR="00BE7066">
        <w:t>.</w:t>
      </w:r>
      <w:r w:rsidR="004864C3">
        <w:t xml:space="preserve"> </w:t>
      </w:r>
      <w:r w:rsidR="00E13F97">
        <w:t xml:space="preserve">Once sufficient capitalisation </w:t>
      </w:r>
      <w:r w:rsidR="00653032">
        <w:t>is achieved</w:t>
      </w:r>
      <w:r w:rsidR="004A5DD0">
        <w:t xml:space="preserve"> (&gt;$100 billion)</w:t>
      </w:r>
      <w:r w:rsidR="00653032">
        <w:t xml:space="preserve">, </w:t>
      </w:r>
      <w:r w:rsidR="008D4706">
        <w:t xml:space="preserve">future funding </w:t>
      </w:r>
      <w:r w:rsidR="00933FBD">
        <w:t>pressures</w:t>
      </w:r>
      <w:r w:rsidR="008D4706">
        <w:t xml:space="preserve"> </w:t>
      </w:r>
      <w:r w:rsidR="00F87B82">
        <w:t>would be eased</w:t>
      </w:r>
      <w:r w:rsidR="00933FBD">
        <w:t xml:space="preserve"> by </w:t>
      </w:r>
      <w:r w:rsidR="00F87B82">
        <w:t xml:space="preserve">disbursement of </w:t>
      </w:r>
      <w:r w:rsidR="00462CD8">
        <w:t>endowment returns.</w:t>
      </w:r>
      <w:r w:rsidR="00F23D9D">
        <w:t xml:space="preserve"> </w:t>
      </w:r>
    </w:p>
    <w:p w14:paraId="0A9CE8DA" w14:textId="77777777" w:rsidR="00343F63" w:rsidRPr="00311D21" w:rsidRDefault="00343F63" w:rsidP="00EB2812">
      <w:pPr>
        <w:rPr>
          <w:b/>
          <w:bCs/>
          <w:i/>
          <w:iCs/>
        </w:rPr>
      </w:pPr>
    </w:p>
    <w:p w14:paraId="77BA36FE" w14:textId="76691A89" w:rsidR="00EB2812" w:rsidRPr="00311D21" w:rsidRDefault="00EB2812" w:rsidP="00EB2812">
      <w:pPr>
        <w:rPr>
          <w:b/>
          <w:bCs/>
          <w:i/>
          <w:iCs/>
        </w:rPr>
      </w:pPr>
      <w:r w:rsidRPr="00311D21">
        <w:rPr>
          <w:b/>
          <w:bCs/>
          <w:i/>
          <w:iCs/>
        </w:rPr>
        <w:t>Q7 How should the mix of providers evolve, considering the size and location of existing institutions and the future needs of communities?</w:t>
      </w:r>
      <w:r w:rsidRPr="00311D21">
        <w:rPr>
          <w:b/>
          <w:bCs/>
          <w:i/>
          <w:iCs/>
        </w:rPr>
        <w:br/>
      </w:r>
    </w:p>
    <w:p w14:paraId="392BEE95" w14:textId="11C387A0" w:rsidR="00EB2812" w:rsidRPr="00462CD8" w:rsidRDefault="00462CD8" w:rsidP="00EB2812">
      <w:r>
        <w:t xml:space="preserve">The mix of providers should evolve, with new public higher education providers established </w:t>
      </w:r>
      <w:r w:rsidR="00B66807">
        <w:t xml:space="preserve">to establish more diversity in institution form and orientation. </w:t>
      </w:r>
      <w:r w:rsidR="00200408">
        <w:t xml:space="preserve">New providers may grow market share by </w:t>
      </w:r>
      <w:r w:rsidR="0085653A">
        <w:t xml:space="preserve">a specialised focus and lower cost model, recognising that larger universities may </w:t>
      </w:r>
      <w:r w:rsidR="00570E6E">
        <w:t xml:space="preserve">condense in scale through earned autonomy linked to fee flexibility. </w:t>
      </w:r>
    </w:p>
    <w:p w14:paraId="60EB0D32" w14:textId="77777777" w:rsidR="00EB2812" w:rsidRPr="00311D21" w:rsidRDefault="00EB2812" w:rsidP="00EB2812">
      <w:pPr>
        <w:rPr>
          <w:b/>
          <w:bCs/>
          <w:i/>
          <w:iCs/>
        </w:rPr>
      </w:pPr>
    </w:p>
    <w:p w14:paraId="2578201C" w14:textId="656CAADC" w:rsidR="00EF63D3" w:rsidRDefault="00EB2812">
      <w:pPr>
        <w:rPr>
          <w:b/>
          <w:bCs/>
          <w:i/>
          <w:iCs/>
        </w:rPr>
      </w:pPr>
      <w:r w:rsidRPr="00311D21">
        <w:rPr>
          <w:b/>
          <w:bCs/>
          <w:i/>
          <w:iCs/>
        </w:rPr>
        <w:t>Q8 What reforms are needed to promote a quality learning environment and to ensure graduates are entering the labour market with the skills and knowledge they need?</w:t>
      </w:r>
    </w:p>
    <w:p w14:paraId="229E54A0" w14:textId="77777777" w:rsidR="0089077D" w:rsidRDefault="0089077D">
      <w:pPr>
        <w:rPr>
          <w:b/>
          <w:bCs/>
          <w:i/>
          <w:iCs/>
        </w:rPr>
      </w:pPr>
    </w:p>
    <w:p w14:paraId="595F15FF" w14:textId="77777777" w:rsidR="00875EF4" w:rsidRPr="00311D21" w:rsidRDefault="00875EF4" w:rsidP="00875EF4">
      <w:pPr>
        <w:rPr>
          <w:b/>
          <w:bCs/>
          <w:i/>
          <w:iCs/>
        </w:rPr>
      </w:pPr>
      <w:r w:rsidRPr="00311D21">
        <w:rPr>
          <w:b/>
          <w:bCs/>
          <w:i/>
          <w:iCs/>
        </w:rPr>
        <w:t>Q9 How should Australia ensure enough students are studying courses that align with the changing needs of the economy and society?</w:t>
      </w:r>
    </w:p>
    <w:p w14:paraId="035E7299" w14:textId="77777777" w:rsidR="00875EF4" w:rsidRDefault="00875EF4">
      <w:pPr>
        <w:rPr>
          <w:b/>
          <w:bCs/>
          <w:i/>
          <w:iCs/>
        </w:rPr>
      </w:pPr>
    </w:p>
    <w:p w14:paraId="40965569" w14:textId="77777777" w:rsidR="00875EF4" w:rsidRPr="00311D21" w:rsidRDefault="00875EF4" w:rsidP="00875EF4">
      <w:pPr>
        <w:rPr>
          <w:b/>
          <w:bCs/>
          <w:i/>
          <w:iCs/>
        </w:rPr>
      </w:pPr>
      <w:r w:rsidRPr="00311D21">
        <w:rPr>
          <w:b/>
          <w:bCs/>
          <w:i/>
          <w:iCs/>
        </w:rPr>
        <w:t>Q10 What role should higher education play in helping to develop high quality general learning capabilities across all age groups and industries?</w:t>
      </w:r>
    </w:p>
    <w:p w14:paraId="03B7E344" w14:textId="77777777" w:rsidR="00875EF4" w:rsidRDefault="00875EF4">
      <w:pPr>
        <w:rPr>
          <w:b/>
          <w:bCs/>
          <w:i/>
          <w:iCs/>
        </w:rPr>
      </w:pPr>
    </w:p>
    <w:p w14:paraId="24A653D8" w14:textId="77777777" w:rsidR="0089077D" w:rsidRPr="00311D21" w:rsidRDefault="0089077D" w:rsidP="0089077D">
      <w:pPr>
        <w:rPr>
          <w:b/>
          <w:bCs/>
          <w:i/>
          <w:iCs/>
        </w:rPr>
      </w:pPr>
      <w:r w:rsidRPr="00311D21">
        <w:rPr>
          <w:b/>
          <w:bCs/>
          <w:i/>
          <w:iCs/>
        </w:rPr>
        <w:t>Q39 What reforms are needed to ensure that all students have a quality student experience?</w:t>
      </w:r>
    </w:p>
    <w:p w14:paraId="59BC3767" w14:textId="77777777" w:rsidR="0089077D" w:rsidRPr="00311D21" w:rsidRDefault="0089077D">
      <w:pPr>
        <w:rPr>
          <w:b/>
          <w:bCs/>
          <w:i/>
          <w:iCs/>
        </w:rPr>
      </w:pPr>
    </w:p>
    <w:p w14:paraId="1DF2CD9A" w14:textId="1E9B2B3B" w:rsidR="001F4E73" w:rsidRDefault="007E37DC">
      <w:r>
        <w:t xml:space="preserve">Teaching quality </w:t>
      </w:r>
      <w:r w:rsidR="0089077D">
        <w:t xml:space="preserve">and the quality of the student experience </w:t>
      </w:r>
      <w:r>
        <w:t xml:space="preserve">is a function of </w:t>
      </w:r>
      <w:r w:rsidR="00ED45B3">
        <w:t xml:space="preserve">the </w:t>
      </w:r>
      <w:r>
        <w:t xml:space="preserve">focus and </w:t>
      </w:r>
      <w:r w:rsidR="002C518F">
        <w:t xml:space="preserve">quantum of </w:t>
      </w:r>
      <w:r>
        <w:t xml:space="preserve">resourcing. </w:t>
      </w:r>
      <w:r w:rsidR="009F5334">
        <w:t xml:space="preserve">Most universities have pursued research quality over teaching quality, with large productivity gains evident in </w:t>
      </w:r>
      <w:r w:rsidR="003C6575">
        <w:t>research</w:t>
      </w:r>
      <w:r w:rsidR="003C6575">
        <w:rPr>
          <w:rStyle w:val="FootnoteReference"/>
        </w:rPr>
        <w:footnoteReference w:id="23"/>
      </w:r>
      <w:r w:rsidR="003C6575">
        <w:t>.</w:t>
      </w:r>
      <w:r w:rsidR="009F5334">
        <w:t xml:space="preserve"> </w:t>
      </w:r>
      <w:r w:rsidR="008911FE">
        <w:t xml:space="preserve">The system needs a more flexible approach to funding that </w:t>
      </w:r>
      <w:r w:rsidR="00137192">
        <w:t>reduces</w:t>
      </w:r>
      <w:r w:rsidR="008911FE">
        <w:t xml:space="preserve"> relian</w:t>
      </w:r>
      <w:r w:rsidR="00137192">
        <w:t>ce</w:t>
      </w:r>
      <w:r w:rsidR="008911FE">
        <w:t xml:space="preserve"> on cross-subsidisation from </w:t>
      </w:r>
      <w:r w:rsidR="00BC475F">
        <w:t xml:space="preserve">fee paying </w:t>
      </w:r>
      <w:r w:rsidR="008911FE">
        <w:t>overseas students</w:t>
      </w:r>
      <w:r w:rsidR="00334D82">
        <w:t xml:space="preserve"> (to fund </w:t>
      </w:r>
      <w:r w:rsidR="00137192">
        <w:t xml:space="preserve">primarily </w:t>
      </w:r>
      <w:r w:rsidR="00334D82">
        <w:t>research)</w:t>
      </w:r>
      <w:r w:rsidR="00137192">
        <w:t xml:space="preserve">. </w:t>
      </w:r>
    </w:p>
    <w:p w14:paraId="028A93E8" w14:textId="77777777" w:rsidR="001F4E73" w:rsidRDefault="001F4E73"/>
    <w:p w14:paraId="70FEB968" w14:textId="1C00B9BD" w:rsidR="00F87B82" w:rsidRDefault="002B683E">
      <w:r>
        <w:t xml:space="preserve">Any fee flexibility should be conditional on </w:t>
      </w:r>
      <w:r w:rsidR="001F4E73">
        <w:t>reaching threshold benchmarks for</w:t>
      </w:r>
      <w:r w:rsidR="001B2AE6">
        <w:t xml:space="preserve"> teaching quality</w:t>
      </w:r>
      <w:r w:rsidR="0089077D">
        <w:t>, student experience</w:t>
      </w:r>
      <w:r w:rsidR="00DA4FC0">
        <w:t xml:space="preserve"> and social </w:t>
      </w:r>
      <w:r w:rsidR="008114F8">
        <w:t>equity</w:t>
      </w:r>
      <w:r w:rsidR="00ED70BD">
        <w:t>. Large institutions that rank high on research rankings and derive substantial international student fee revenue, might for example</w:t>
      </w:r>
      <w:r w:rsidR="001F4E73">
        <w:t>,</w:t>
      </w:r>
      <w:r w:rsidR="00ED70BD">
        <w:t xml:space="preserve"> be excluded from fee flexibility </w:t>
      </w:r>
      <w:r w:rsidR="008114F8">
        <w:t>until such time that they can sustainably resolve persistent</w:t>
      </w:r>
      <w:r w:rsidR="001F4E73">
        <w:t>ly</w:t>
      </w:r>
      <w:r w:rsidR="008114F8">
        <w:t xml:space="preserve"> low </w:t>
      </w:r>
      <w:r w:rsidR="001F4E73">
        <w:t xml:space="preserve">student </w:t>
      </w:r>
      <w:r w:rsidR="008114F8">
        <w:t xml:space="preserve">satisfaction and </w:t>
      </w:r>
      <w:r w:rsidR="001F4E73">
        <w:t xml:space="preserve">improve </w:t>
      </w:r>
      <w:r w:rsidR="008114F8">
        <w:t>accessibility</w:t>
      </w:r>
      <w:r w:rsidR="001F4E73">
        <w:t xml:space="preserve"> to a wider social demography</w:t>
      </w:r>
      <w:r w:rsidR="008114F8">
        <w:t xml:space="preserve">. </w:t>
      </w:r>
    </w:p>
    <w:p w14:paraId="7C9821B6" w14:textId="77777777" w:rsidR="00F87B82" w:rsidRDefault="00F87B82"/>
    <w:p w14:paraId="27AB63EF" w14:textId="33C23453" w:rsidR="00EB2812" w:rsidRPr="00875EF4" w:rsidRDefault="00CB5754">
      <w:pPr>
        <w:rPr>
          <w:b/>
          <w:bCs/>
          <w:i/>
          <w:iCs/>
        </w:rPr>
      </w:pPr>
      <w:r>
        <w:t xml:space="preserve">Industry engagement </w:t>
      </w:r>
      <w:r w:rsidR="001F4E73">
        <w:t>could also be made</w:t>
      </w:r>
      <w:r w:rsidR="002F2EF4">
        <w:t xml:space="preserve"> as a</w:t>
      </w:r>
      <w:r w:rsidR="001D27BE">
        <w:t xml:space="preserve"> condition of fee flexibility</w:t>
      </w:r>
      <w:r w:rsidR="002F2EF4">
        <w:t xml:space="preserve"> and </w:t>
      </w:r>
      <w:r>
        <w:t xml:space="preserve">increase </w:t>
      </w:r>
      <w:r w:rsidR="001D27BE">
        <w:t xml:space="preserve">the </w:t>
      </w:r>
      <w:r>
        <w:t>probability that higher education deliver</w:t>
      </w:r>
      <w:r w:rsidR="001D27BE">
        <w:t>s</w:t>
      </w:r>
      <w:r>
        <w:t xml:space="preserve"> </w:t>
      </w:r>
      <w:r w:rsidR="002F2EF4">
        <w:t xml:space="preserve">both </w:t>
      </w:r>
      <w:r>
        <w:t xml:space="preserve">long term employability capabilities </w:t>
      </w:r>
      <w:r w:rsidR="002F2EF4">
        <w:t xml:space="preserve">and </w:t>
      </w:r>
      <w:r w:rsidR="001E2763">
        <w:t>skills that can ne</w:t>
      </w:r>
      <w:r>
        <w:t xml:space="preserve"> be deployed to </w:t>
      </w:r>
      <w:r w:rsidR="001E2763">
        <w:t>meet</w:t>
      </w:r>
      <w:r w:rsidR="00E037CB">
        <w:t xml:space="preserve"> more</w:t>
      </w:r>
      <w:r>
        <w:t xml:space="preserve"> immediate industry needs. </w:t>
      </w:r>
    </w:p>
    <w:p w14:paraId="4B2FFCF9" w14:textId="77777777" w:rsidR="00BC475F" w:rsidRPr="00CB5754" w:rsidRDefault="00BC475F"/>
    <w:p w14:paraId="3C455022" w14:textId="27484846" w:rsidR="00EB2812" w:rsidRPr="00875EF4" w:rsidRDefault="00CB5754" w:rsidP="00EB2812">
      <w:r w:rsidRPr="00CB5754">
        <w:t>Students</w:t>
      </w:r>
      <w:r>
        <w:t xml:space="preserve"> should continue to pursue their interests. Where there is market failure, the Accord can </w:t>
      </w:r>
      <w:r w:rsidR="008710FE">
        <w:t xml:space="preserve">negotiate with </w:t>
      </w:r>
      <w:r w:rsidR="00785929">
        <w:t>States</w:t>
      </w:r>
      <w:r w:rsidR="008710FE">
        <w:t xml:space="preserve"> and industry</w:t>
      </w:r>
      <w:r w:rsidR="00785929">
        <w:t xml:space="preserve"> to fund </w:t>
      </w:r>
      <w:r>
        <w:t>targeted scholarships</w:t>
      </w:r>
      <w:r w:rsidR="008710FE">
        <w:t>,</w:t>
      </w:r>
      <w:r>
        <w:t xml:space="preserve"> and</w:t>
      </w:r>
      <w:r w:rsidR="008710FE">
        <w:t>/or</w:t>
      </w:r>
      <w:r>
        <w:t xml:space="preserve"> </w:t>
      </w:r>
      <w:r w:rsidR="00785929">
        <w:t xml:space="preserve">inform </w:t>
      </w:r>
      <w:r w:rsidR="008710FE">
        <w:t xml:space="preserve">eligibility </w:t>
      </w:r>
      <w:r w:rsidR="00F87B82">
        <w:t>criteria for</w:t>
      </w:r>
      <w:r w:rsidR="00785929">
        <w:t xml:space="preserve"> </w:t>
      </w:r>
      <w:r>
        <w:t>skilled migration</w:t>
      </w:r>
      <w:r w:rsidR="00785929">
        <w:t xml:space="preserve"> programs.</w:t>
      </w:r>
    </w:p>
    <w:p w14:paraId="48D2E58B" w14:textId="5DBCD418" w:rsidR="00EB2812" w:rsidRPr="00311D21" w:rsidRDefault="00EB2812" w:rsidP="00EB2812">
      <w:pPr>
        <w:rPr>
          <w:b/>
          <w:bCs/>
          <w:i/>
          <w:iCs/>
        </w:rPr>
      </w:pPr>
    </w:p>
    <w:p w14:paraId="3DE0DFE7" w14:textId="01BD1C3B" w:rsidR="00EB2812" w:rsidRPr="00311D21" w:rsidRDefault="00EB2812" w:rsidP="00EB2812">
      <w:pPr>
        <w:rPr>
          <w:b/>
          <w:bCs/>
          <w:i/>
          <w:iCs/>
        </w:rPr>
      </w:pPr>
      <w:r w:rsidRPr="00311D21">
        <w:rPr>
          <w:b/>
          <w:bCs/>
          <w:i/>
          <w:iCs/>
        </w:rPr>
        <w:t>Q11 How should Australia boost demand from people to study in the higher education system?</w:t>
      </w:r>
    </w:p>
    <w:p w14:paraId="4EF0B868" w14:textId="03DF57BC" w:rsidR="00EB2812" w:rsidRDefault="00EB2812" w:rsidP="00EB2812">
      <w:pPr>
        <w:rPr>
          <w:b/>
          <w:bCs/>
          <w:i/>
          <w:iCs/>
        </w:rPr>
      </w:pPr>
    </w:p>
    <w:p w14:paraId="162A55B4" w14:textId="2849E1BD" w:rsidR="00875EF4" w:rsidRPr="00C17A8E" w:rsidRDefault="00C17A8E" w:rsidP="00EB2812">
      <w:r>
        <w:t xml:space="preserve">The only substantive rise in low socioeconomic status participation evident over recent decades was the combined effects of demand driven funding and </w:t>
      </w:r>
      <w:r w:rsidR="008E470E">
        <w:t xml:space="preserve">a </w:t>
      </w:r>
      <w:r w:rsidR="00616DEE">
        <w:t>targeted equity program</w:t>
      </w:r>
      <w:r w:rsidR="008E470E">
        <w:rPr>
          <w:rStyle w:val="FootnoteReference"/>
        </w:rPr>
        <w:footnoteReference w:id="24"/>
      </w:r>
      <w:r w:rsidR="00616DEE">
        <w:t xml:space="preserve">. </w:t>
      </w:r>
      <w:r w:rsidR="001E2763">
        <w:t xml:space="preserve">If there were to be a target for wider participation, </w:t>
      </w:r>
      <w:r w:rsidR="00F77869">
        <w:t xml:space="preserve">elements of these policy settings could be reintroduced. As per responses to questions 8, 9 and 10, </w:t>
      </w:r>
      <w:r w:rsidR="00CE7FA2">
        <w:t xml:space="preserve">fee flexibility tied to teaching quality and social demography might also catalyse </w:t>
      </w:r>
      <w:r w:rsidR="00671A13">
        <w:t>supply side responses that lead to a widening of participation.</w:t>
      </w:r>
    </w:p>
    <w:p w14:paraId="2A358BA2" w14:textId="77777777" w:rsidR="00EB2812" w:rsidRPr="00311D21" w:rsidRDefault="00EB2812" w:rsidP="00EB2812">
      <w:pPr>
        <w:rPr>
          <w:b/>
          <w:bCs/>
          <w:i/>
          <w:iCs/>
        </w:rPr>
      </w:pPr>
    </w:p>
    <w:p w14:paraId="30218B50" w14:textId="633A9280" w:rsidR="00EB2812" w:rsidRDefault="00EB2812" w:rsidP="00EB2812">
      <w:pPr>
        <w:rPr>
          <w:b/>
          <w:bCs/>
          <w:i/>
          <w:iCs/>
        </w:rPr>
      </w:pPr>
      <w:r w:rsidRPr="00311D21">
        <w:rPr>
          <w:b/>
          <w:bCs/>
          <w:i/>
          <w:iCs/>
        </w:rPr>
        <w:t>Q12 How should an adequate supply of CSPs be sustained and funded, as population and demand increase?</w:t>
      </w:r>
    </w:p>
    <w:p w14:paraId="4E6EE916" w14:textId="77777777" w:rsidR="000A29EE" w:rsidRPr="00311D21" w:rsidRDefault="000A29EE" w:rsidP="000A29EE">
      <w:pPr>
        <w:rPr>
          <w:b/>
          <w:bCs/>
          <w:i/>
          <w:iCs/>
        </w:rPr>
      </w:pPr>
    </w:p>
    <w:p w14:paraId="0FF0E283" w14:textId="77777777" w:rsidR="000A29EE" w:rsidRPr="00311D21" w:rsidRDefault="000A29EE" w:rsidP="000A29EE">
      <w:pPr>
        <w:rPr>
          <w:b/>
          <w:bCs/>
          <w:i/>
          <w:iCs/>
        </w:rPr>
      </w:pPr>
      <w:r w:rsidRPr="00311D21">
        <w:rPr>
          <w:b/>
          <w:bCs/>
          <w:i/>
          <w:iCs/>
        </w:rPr>
        <w:lastRenderedPageBreak/>
        <w:t>Q46 How can infrastructure development for higher education be financed, especially in regional and outer urban locations?</w:t>
      </w:r>
    </w:p>
    <w:p w14:paraId="272E7630" w14:textId="77777777" w:rsidR="000A29EE" w:rsidRPr="00311D21" w:rsidRDefault="000A29EE" w:rsidP="000A29EE">
      <w:pPr>
        <w:rPr>
          <w:b/>
          <w:bCs/>
          <w:i/>
          <w:iCs/>
        </w:rPr>
      </w:pPr>
    </w:p>
    <w:p w14:paraId="0801F70A" w14:textId="701C5524" w:rsidR="000A29EE" w:rsidRDefault="000A29EE" w:rsidP="00EB2812">
      <w:pPr>
        <w:rPr>
          <w:b/>
          <w:bCs/>
          <w:i/>
          <w:iCs/>
        </w:rPr>
      </w:pPr>
      <w:r w:rsidRPr="00311D21">
        <w:rPr>
          <w:b/>
          <w:bCs/>
          <w:i/>
          <w:iCs/>
        </w:rPr>
        <w:t>Q47 What structure of Commonwealth funding is needed for the higher education sector for the system to be sustainable over the next two decades?</w:t>
      </w:r>
    </w:p>
    <w:p w14:paraId="591331BC" w14:textId="5067CF17" w:rsidR="00EB2812" w:rsidRDefault="00EB2812" w:rsidP="00EB2812">
      <w:pPr>
        <w:rPr>
          <w:b/>
          <w:bCs/>
          <w:i/>
          <w:iCs/>
        </w:rPr>
      </w:pPr>
    </w:p>
    <w:p w14:paraId="144FAD0F" w14:textId="243BC91B" w:rsidR="006B7865" w:rsidRDefault="00671A13" w:rsidP="00EB2812">
      <w:r>
        <w:t xml:space="preserve">See </w:t>
      </w:r>
      <w:r w:rsidR="0004435D">
        <w:t xml:space="preserve">also </w:t>
      </w:r>
      <w:r>
        <w:t>responses to question</w:t>
      </w:r>
      <w:r w:rsidR="000634FE">
        <w:t xml:space="preserve">s 6, </w:t>
      </w:r>
      <w:r>
        <w:t>8, 9 and 10.</w:t>
      </w:r>
    </w:p>
    <w:p w14:paraId="03D4469B" w14:textId="77777777" w:rsidR="006B7865" w:rsidRDefault="006B7865" w:rsidP="00EB2812"/>
    <w:p w14:paraId="2A21671F" w14:textId="24498AE6" w:rsidR="00194FA1" w:rsidRDefault="006B7865" w:rsidP="00EB2812">
      <w:r>
        <w:t xml:space="preserve">Labour governments have not been the strongest proponents of fee flexibility. There are moral hazard risks of introducing fee flexibility </w:t>
      </w:r>
      <w:r w:rsidR="0007066E">
        <w:t xml:space="preserve">if all the risks are borne by the </w:t>
      </w:r>
      <w:proofErr w:type="gramStart"/>
      <w:r w:rsidR="0007066E">
        <w:t>tax</w:t>
      </w:r>
      <w:r w:rsidR="002224BE">
        <w:t>-</w:t>
      </w:r>
      <w:r w:rsidR="0007066E">
        <w:t>payer</w:t>
      </w:r>
      <w:proofErr w:type="gramEnd"/>
      <w:r w:rsidR="0007066E">
        <w:t xml:space="preserve"> via income contingent loans. If CSP availability i</w:t>
      </w:r>
      <w:r w:rsidR="009E7BC0">
        <w:t>s</w:t>
      </w:r>
      <w:r w:rsidR="0007066E">
        <w:t xml:space="preserve"> to meet what can be reasonably anticipated to be </w:t>
      </w:r>
      <w:r w:rsidR="009E7BC0">
        <w:t xml:space="preserve">larger future demand </w:t>
      </w:r>
      <w:proofErr w:type="gramStart"/>
      <w:r w:rsidR="009E7BC0">
        <w:t>a number of</w:t>
      </w:r>
      <w:proofErr w:type="gramEnd"/>
      <w:r w:rsidR="009E7BC0">
        <w:t xml:space="preserve"> changes to CSP </w:t>
      </w:r>
      <w:r w:rsidR="00E37FAC">
        <w:t xml:space="preserve">design </w:t>
      </w:r>
      <w:r w:rsidR="00194FA1">
        <w:t>should be considered. These include:</w:t>
      </w:r>
    </w:p>
    <w:p w14:paraId="1CD09DD2" w14:textId="201E0AAF" w:rsidR="00671A13" w:rsidRDefault="00194FA1" w:rsidP="00194FA1">
      <w:pPr>
        <w:pStyle w:val="ListParagraph"/>
        <w:numPr>
          <w:ilvl w:val="0"/>
          <w:numId w:val="6"/>
        </w:numPr>
      </w:pPr>
      <w:r>
        <w:t xml:space="preserve">Universal entitlement to </w:t>
      </w:r>
      <w:r w:rsidR="00643905">
        <w:t xml:space="preserve">a fixed Commonwealth subsidy and capped </w:t>
      </w:r>
      <w:r w:rsidR="00757F2F">
        <w:t>student contribution</w:t>
      </w:r>
      <w:r w:rsidR="00643905">
        <w:t xml:space="preserve"> amount </w:t>
      </w:r>
      <w:r w:rsidR="00D0666E">
        <w:t>that can be deferred to</w:t>
      </w:r>
      <w:r w:rsidR="00643905">
        <w:t xml:space="preserve"> a consolidated loan program. Some might call this a voucher.</w:t>
      </w:r>
    </w:p>
    <w:p w14:paraId="2DFB974E" w14:textId="4544DB06" w:rsidR="00643905" w:rsidRDefault="00D0666E" w:rsidP="00194FA1">
      <w:pPr>
        <w:pStyle w:val="ListParagraph"/>
        <w:numPr>
          <w:ilvl w:val="0"/>
          <w:numId w:val="6"/>
        </w:numPr>
      </w:pPr>
      <w:r>
        <w:t xml:space="preserve">The entitlement would be open to any higher education provider that can satisfy quality thresholds and </w:t>
      </w:r>
      <w:r w:rsidR="00A04246">
        <w:t xml:space="preserve">can navigate Accord expectations. </w:t>
      </w:r>
    </w:p>
    <w:p w14:paraId="0B7CFAC1" w14:textId="77777777" w:rsidR="00BB38E2" w:rsidRDefault="00A04246" w:rsidP="00194FA1">
      <w:pPr>
        <w:pStyle w:val="ListParagraph"/>
        <w:numPr>
          <w:ilvl w:val="0"/>
          <w:numId w:val="6"/>
        </w:numPr>
      </w:pPr>
      <w:r>
        <w:t xml:space="preserve">Institutions </w:t>
      </w:r>
      <w:r w:rsidR="00DE3F04">
        <w:t xml:space="preserve">with claims for offering programs of higher quality at a student contribution </w:t>
      </w:r>
      <w:r w:rsidR="00E0658C">
        <w:t xml:space="preserve">amount </w:t>
      </w:r>
      <w:r w:rsidR="00C974D6">
        <w:t xml:space="preserve">above </w:t>
      </w:r>
      <w:r w:rsidR="00547A86">
        <w:t xml:space="preserve">caps could do so </w:t>
      </w:r>
      <w:r w:rsidR="00BB38E2">
        <w:t>in context of:</w:t>
      </w:r>
    </w:p>
    <w:p w14:paraId="21029660" w14:textId="7B4F9433" w:rsidR="00BB38E2" w:rsidRDefault="00547A86" w:rsidP="00BB38E2">
      <w:pPr>
        <w:pStyle w:val="ListParagraph"/>
        <w:numPr>
          <w:ilvl w:val="1"/>
          <w:numId w:val="6"/>
        </w:numPr>
      </w:pPr>
      <w:r>
        <w:t xml:space="preserve">additional accountability requirements (quality and social equity) </w:t>
      </w:r>
    </w:p>
    <w:p w14:paraId="0AA88390" w14:textId="77777777" w:rsidR="00A4211F" w:rsidRDefault="001465FF" w:rsidP="00BB38E2">
      <w:pPr>
        <w:pStyle w:val="ListParagraph"/>
        <w:numPr>
          <w:ilvl w:val="1"/>
          <w:numId w:val="6"/>
        </w:numPr>
      </w:pPr>
      <w:r>
        <w:t xml:space="preserve">disincentives for students to accumulate </w:t>
      </w:r>
      <w:r w:rsidR="00CB0713">
        <w:t xml:space="preserve">excessive amounts </w:t>
      </w:r>
      <w:proofErr w:type="gramStart"/>
      <w:r w:rsidR="00CB0713">
        <w:t>e.g.</w:t>
      </w:r>
      <w:proofErr w:type="gramEnd"/>
      <w:r w:rsidR="00CB0713">
        <w:t xml:space="preserve"> minimum annual payments that are not income contingent</w:t>
      </w:r>
    </w:p>
    <w:p w14:paraId="1540277E" w14:textId="17C47C74" w:rsidR="00A04246" w:rsidRDefault="00A4211F" w:rsidP="00BB38E2">
      <w:pPr>
        <w:pStyle w:val="ListParagraph"/>
        <w:numPr>
          <w:ilvl w:val="1"/>
          <w:numId w:val="6"/>
        </w:numPr>
      </w:pPr>
      <w:r>
        <w:t xml:space="preserve">disincentives for institutions to levy excessive amounts, </w:t>
      </w:r>
      <w:proofErr w:type="gramStart"/>
      <w:r>
        <w:t>e.g.</w:t>
      </w:r>
      <w:proofErr w:type="gramEnd"/>
      <w:r w:rsidR="00CB0713">
        <w:t xml:space="preserve"> </w:t>
      </w:r>
      <w:r w:rsidR="004C6456">
        <w:t xml:space="preserve">revocation of </w:t>
      </w:r>
      <w:r w:rsidR="007F09EC">
        <w:t>rights to levy student contributions above caps</w:t>
      </w:r>
    </w:p>
    <w:p w14:paraId="2577B15A" w14:textId="3D1DD8F1" w:rsidR="008920F7" w:rsidRDefault="005F31CB" w:rsidP="00BB38E2">
      <w:pPr>
        <w:pStyle w:val="ListParagraph"/>
        <w:numPr>
          <w:ilvl w:val="1"/>
          <w:numId w:val="6"/>
        </w:numPr>
      </w:pPr>
      <w:r>
        <w:t xml:space="preserve">opportunities to leverage co-investment from employers via sponsored </w:t>
      </w:r>
      <w:proofErr w:type="gramStart"/>
      <w:r>
        <w:t>places</w:t>
      </w:r>
      <w:proofErr w:type="gramEnd"/>
    </w:p>
    <w:p w14:paraId="6DC97D3F" w14:textId="1E7B44E0" w:rsidR="005F31CB" w:rsidRDefault="005F31CB" w:rsidP="00BB38E2">
      <w:pPr>
        <w:pStyle w:val="ListParagraph"/>
        <w:numPr>
          <w:ilvl w:val="1"/>
          <w:numId w:val="6"/>
        </w:numPr>
      </w:pPr>
      <w:r>
        <w:t xml:space="preserve">opportunities to leverage co-investment from families via parental </w:t>
      </w:r>
      <w:proofErr w:type="gramStart"/>
      <w:r>
        <w:t>contributions</w:t>
      </w:r>
      <w:proofErr w:type="gramEnd"/>
    </w:p>
    <w:p w14:paraId="28E79D3C" w14:textId="690DD3B8" w:rsidR="00A4211F" w:rsidRDefault="00423913" w:rsidP="00BB38E2">
      <w:pPr>
        <w:pStyle w:val="ListParagraph"/>
        <w:numPr>
          <w:ilvl w:val="1"/>
          <w:numId w:val="6"/>
        </w:numPr>
      </w:pPr>
      <w:r>
        <w:t xml:space="preserve">receipts from targeted scholarships and/or disbursements from the endowment fund to offset </w:t>
      </w:r>
      <w:r w:rsidR="00D90131">
        <w:t>student contribution amounts.</w:t>
      </w:r>
    </w:p>
    <w:p w14:paraId="5B18D551" w14:textId="77777777" w:rsidR="007F09EC" w:rsidRDefault="007F09EC" w:rsidP="007F09EC"/>
    <w:p w14:paraId="1AAD4224" w14:textId="4C8E24F3" w:rsidR="00D90131" w:rsidRPr="00671A13" w:rsidRDefault="00D90131" w:rsidP="007F09EC">
      <w:r>
        <w:t xml:space="preserve">The net effect of these changes would be to unlock lower cost supply, </w:t>
      </w:r>
      <w:r w:rsidR="008920F7">
        <w:t>increase quality for those</w:t>
      </w:r>
      <w:r w:rsidR="005F31CB">
        <w:t xml:space="preserve"> providers</w:t>
      </w:r>
      <w:r w:rsidR="008920F7">
        <w:t xml:space="preserve"> that can earn and sustain trust to do so, and limit the long-term impact on loan program sustainability</w:t>
      </w:r>
      <w:r w:rsidR="005F31CB">
        <w:t>.</w:t>
      </w:r>
      <w:r w:rsidR="00492C69">
        <w:t xml:space="preserve"> This would also establish a sustainable resourcing model </w:t>
      </w:r>
      <w:r w:rsidR="00AB34B5">
        <w:t xml:space="preserve">for the </w:t>
      </w:r>
      <w:proofErr w:type="gramStart"/>
      <w:r w:rsidR="00AB34B5">
        <w:t>system as a whole, including</w:t>
      </w:r>
      <w:proofErr w:type="gramEnd"/>
      <w:r w:rsidR="00AB34B5">
        <w:t xml:space="preserve"> specific needs of </w:t>
      </w:r>
      <w:r w:rsidR="00492C69">
        <w:t>regional and outer suburban areas</w:t>
      </w:r>
      <w:r w:rsidR="00AB34B5">
        <w:t>.</w:t>
      </w:r>
    </w:p>
    <w:p w14:paraId="39807E5F" w14:textId="117CD443" w:rsidR="00EB2812" w:rsidRPr="00311D21" w:rsidRDefault="00EB2812" w:rsidP="00EB2812">
      <w:pPr>
        <w:rPr>
          <w:b/>
          <w:bCs/>
          <w:i/>
          <w:iCs/>
        </w:rPr>
      </w:pPr>
    </w:p>
    <w:p w14:paraId="4D6BA6BF" w14:textId="3F8E7DF7" w:rsidR="00EB2812" w:rsidRPr="00311D21" w:rsidRDefault="00EB2812" w:rsidP="00EB2812">
      <w:pPr>
        <w:rPr>
          <w:b/>
          <w:bCs/>
          <w:i/>
          <w:iCs/>
        </w:rPr>
      </w:pPr>
      <w:r w:rsidRPr="00311D21">
        <w:rPr>
          <w:b/>
          <w:bCs/>
          <w:i/>
          <w:iCs/>
        </w:rPr>
        <w:t xml:space="preserve">Q13 How could an Accord support cooperation between providers, accreditation bodies, </w:t>
      </w:r>
      <w:proofErr w:type="gramStart"/>
      <w:r w:rsidRPr="00311D21">
        <w:rPr>
          <w:b/>
          <w:bCs/>
          <w:i/>
          <w:iCs/>
        </w:rPr>
        <w:t>government</w:t>
      </w:r>
      <w:proofErr w:type="gramEnd"/>
      <w:r w:rsidRPr="00311D21">
        <w:rPr>
          <w:b/>
          <w:bCs/>
          <w:i/>
          <w:iCs/>
        </w:rPr>
        <w:t xml:space="preserve"> and industry to ensure graduates have relevant skills for the workforce?</w:t>
      </w:r>
    </w:p>
    <w:p w14:paraId="58834213" w14:textId="3E8AA879" w:rsidR="00EB2812" w:rsidRPr="00311D21" w:rsidRDefault="00EB2812" w:rsidP="00EB2812">
      <w:pPr>
        <w:rPr>
          <w:b/>
          <w:bCs/>
          <w:i/>
          <w:iCs/>
        </w:rPr>
      </w:pPr>
    </w:p>
    <w:p w14:paraId="686DEE11" w14:textId="457EBA1C" w:rsidR="00EB2812" w:rsidRPr="005F31CB" w:rsidRDefault="00614401" w:rsidP="00EB2812">
      <w:r>
        <w:t xml:space="preserve">A condition of fee flexibility might be greater transparency and engagement with end users. </w:t>
      </w:r>
      <w:r w:rsidR="00E74894">
        <w:t>The sector</w:t>
      </w:r>
      <w:r>
        <w:t xml:space="preserve"> already </w:t>
      </w:r>
      <w:r w:rsidR="00A80EF3">
        <w:t>has</w:t>
      </w:r>
      <w:r>
        <w:t xml:space="preserve"> requirements </w:t>
      </w:r>
      <w:r w:rsidR="00A80EF3">
        <w:t>to establish industry informed</w:t>
      </w:r>
      <w:r>
        <w:t xml:space="preserve"> course advisory boards</w:t>
      </w:r>
      <w:r w:rsidR="00A80EF3">
        <w:t xml:space="preserve">. These mechanisms could </w:t>
      </w:r>
      <w:r w:rsidR="00B845DA">
        <w:t xml:space="preserve">be made more effective through </w:t>
      </w:r>
      <w:r w:rsidR="00CB2714">
        <w:t xml:space="preserve">more stringent governance and accountability </w:t>
      </w:r>
      <w:r w:rsidR="0050490C">
        <w:t>measures</w:t>
      </w:r>
      <w:r w:rsidR="00CB2714">
        <w:t xml:space="preserve">. </w:t>
      </w:r>
      <w:r w:rsidR="00654884">
        <w:t xml:space="preserve">Fit and proper person tests and expertise could be a requirement of being a paid member of such a </w:t>
      </w:r>
      <w:r w:rsidR="005279E7">
        <w:t xml:space="preserve">mechanism, combined with enhanced transparency requirements that made advisory board deliberations publicly accessible. Concerns about </w:t>
      </w:r>
      <w:r w:rsidR="005279E7">
        <w:lastRenderedPageBreak/>
        <w:t xml:space="preserve">the cost of such measures might dissipate if </w:t>
      </w:r>
      <w:r w:rsidR="00CD747D">
        <w:t xml:space="preserve">they provide a pathway to student contributions that exceed caps.  </w:t>
      </w:r>
    </w:p>
    <w:p w14:paraId="408D9672" w14:textId="77777777" w:rsidR="005F31CB" w:rsidRPr="00311D21" w:rsidRDefault="005F31CB" w:rsidP="00EB2812">
      <w:pPr>
        <w:rPr>
          <w:b/>
          <w:bCs/>
          <w:i/>
          <w:iCs/>
        </w:rPr>
      </w:pPr>
    </w:p>
    <w:p w14:paraId="7CE7C855" w14:textId="5C52E049" w:rsidR="00EB2812" w:rsidRPr="00311D21" w:rsidRDefault="00EB2812" w:rsidP="00EB2812">
      <w:pPr>
        <w:rPr>
          <w:b/>
          <w:bCs/>
          <w:i/>
          <w:iCs/>
        </w:rPr>
      </w:pPr>
      <w:r w:rsidRPr="00311D21">
        <w:rPr>
          <w:b/>
          <w:bCs/>
          <w:i/>
          <w:iCs/>
        </w:rPr>
        <w:t>Q14 How should placement arrangements and work-integrated learning (WIL) in higher education change in the decades ahead?</w:t>
      </w:r>
    </w:p>
    <w:p w14:paraId="72732FC0" w14:textId="06F1894C" w:rsidR="00EB2812" w:rsidRDefault="00EB2812" w:rsidP="00EB2812">
      <w:pPr>
        <w:rPr>
          <w:b/>
          <w:bCs/>
          <w:i/>
          <w:iCs/>
        </w:rPr>
      </w:pPr>
    </w:p>
    <w:p w14:paraId="7B2CEF1D" w14:textId="3BB32C40" w:rsidR="00EB2812" w:rsidRPr="000A29EE" w:rsidRDefault="00B6077D" w:rsidP="00EB2812">
      <w:r w:rsidRPr="00B6077D">
        <w:t xml:space="preserve">There are </w:t>
      </w:r>
      <w:r>
        <w:t xml:space="preserve">significant costs incurred by students who engage in placements and WIL. Reasonable living and travel costs should be </w:t>
      </w:r>
      <w:r w:rsidR="004F5F72">
        <w:t xml:space="preserve">included in amounts that students can legitimately defer to the loan program. Where </w:t>
      </w:r>
      <w:r w:rsidR="00BB786B">
        <w:t>specific industries still confront skills</w:t>
      </w:r>
      <w:r w:rsidR="002224BE">
        <w:t>-</w:t>
      </w:r>
      <w:r w:rsidR="00BB786B">
        <w:t xml:space="preserve">shortages there may be Accord based mechanisms to incentivise engagement with additional targeted scholarships. </w:t>
      </w:r>
    </w:p>
    <w:p w14:paraId="4B94354E" w14:textId="77777777" w:rsidR="00BB786B" w:rsidRPr="00311D21" w:rsidRDefault="00BB786B" w:rsidP="00EB2812">
      <w:pPr>
        <w:rPr>
          <w:b/>
          <w:bCs/>
          <w:i/>
          <w:iCs/>
        </w:rPr>
      </w:pPr>
    </w:p>
    <w:p w14:paraId="68728DE3" w14:textId="3BC8A735" w:rsidR="00EB2812" w:rsidRPr="00311D21" w:rsidRDefault="00EB2812" w:rsidP="00EB2812">
      <w:pPr>
        <w:rPr>
          <w:b/>
          <w:bCs/>
          <w:i/>
          <w:iCs/>
        </w:rPr>
      </w:pPr>
      <w:r w:rsidRPr="00311D21">
        <w:rPr>
          <w:b/>
          <w:bCs/>
          <w:i/>
          <w:iCs/>
        </w:rPr>
        <w:t>Q15 What changes are needed to grow a culture of lifelong learning in Australia?</w:t>
      </w:r>
    </w:p>
    <w:p w14:paraId="2D1096DD" w14:textId="77777777" w:rsidR="0089077D" w:rsidRDefault="0089077D" w:rsidP="009D3AF8">
      <w:pPr>
        <w:rPr>
          <w:b/>
          <w:bCs/>
          <w:i/>
          <w:iCs/>
        </w:rPr>
      </w:pPr>
    </w:p>
    <w:p w14:paraId="3CD75B6C" w14:textId="4A0B42DB" w:rsidR="009D3AF8" w:rsidRPr="00311D21" w:rsidRDefault="009D3AF8" w:rsidP="009D3AF8">
      <w:pPr>
        <w:rPr>
          <w:b/>
          <w:bCs/>
          <w:i/>
          <w:iCs/>
        </w:rPr>
      </w:pPr>
      <w:r w:rsidRPr="00311D21">
        <w:rPr>
          <w:b/>
          <w:bCs/>
          <w:i/>
          <w:iCs/>
        </w:rPr>
        <w:t>Q16 What practical barriers are inhibiting lifelong learning, and how can they be fixed?</w:t>
      </w:r>
    </w:p>
    <w:p w14:paraId="1BC381A2" w14:textId="3650F47A" w:rsidR="00EB2812" w:rsidRPr="00311D21" w:rsidRDefault="00EB2812" w:rsidP="00EB2812">
      <w:pPr>
        <w:rPr>
          <w:b/>
          <w:bCs/>
          <w:i/>
          <w:iCs/>
        </w:rPr>
      </w:pPr>
    </w:p>
    <w:p w14:paraId="0CB478DC" w14:textId="77777777" w:rsidR="009D3AF8" w:rsidRDefault="00E61219" w:rsidP="009D3AF8">
      <w:r>
        <w:t>Cost is a major disincentive to life-long learning</w:t>
      </w:r>
      <w:r w:rsidR="00C13C5B">
        <w:t xml:space="preserve">. </w:t>
      </w:r>
      <w:r w:rsidR="008F750B">
        <w:t xml:space="preserve">The </w:t>
      </w:r>
      <w:proofErr w:type="gramStart"/>
      <w:r w:rsidR="008F750B">
        <w:t>tax</w:t>
      </w:r>
      <w:r w:rsidR="002C499A">
        <w:t>-</w:t>
      </w:r>
      <w:r w:rsidR="008F750B">
        <w:t>payer</w:t>
      </w:r>
      <w:proofErr w:type="gramEnd"/>
      <w:r w:rsidR="008F750B">
        <w:t xml:space="preserve"> cannot be expected to cover the costs of all learning activities, and </w:t>
      </w:r>
      <w:r w:rsidR="00C13C5B">
        <w:t>individual</w:t>
      </w:r>
      <w:r w:rsidR="008F750B">
        <w:t xml:space="preserve">s have varying capacity to invest at differing points in the life course. </w:t>
      </w:r>
      <w:r w:rsidR="00E31303">
        <w:t xml:space="preserve">Industry sentiment </w:t>
      </w:r>
      <w:r w:rsidR="004250A9">
        <w:t xml:space="preserve">often </w:t>
      </w:r>
      <w:r w:rsidR="002C499A">
        <w:t xml:space="preserve">criticises the availability of skills, without fully recognising the role it can and should play in supporting staff to translate skills they have into a new industry context. </w:t>
      </w:r>
      <w:r w:rsidR="009D3AF8">
        <w:t xml:space="preserve">In this context, the Commonwealth’s primary role is to establish a universal entitlement to Commonwealth subsidised participation in education and training, with limits on how much students can defer to a consolidated loan program. </w:t>
      </w:r>
    </w:p>
    <w:p w14:paraId="0770C562" w14:textId="0CD47440" w:rsidR="009D3AF8" w:rsidRDefault="009D3AF8" w:rsidP="009D3AF8"/>
    <w:p w14:paraId="7D3F44D1" w14:textId="7854AD23" w:rsidR="009D3AF8" w:rsidRPr="00BB786B" w:rsidRDefault="009D3AF8" w:rsidP="009D3AF8">
      <w:r>
        <w:t xml:space="preserve">Individuals should be encouraged to </w:t>
      </w:r>
      <w:r w:rsidR="003058DF">
        <w:t xml:space="preserve">transition from school to post-compulsory education and obtain skills that provide a platform for </w:t>
      </w:r>
      <w:r w:rsidR="004E0B83">
        <w:t xml:space="preserve">life-long learning. The ability to dip in and out of training in future might be managed by providing repayment flexibility </w:t>
      </w:r>
      <w:r w:rsidR="000B207A">
        <w:t>to accommodate key life stages where up-front payment becomes problematic</w:t>
      </w:r>
      <w:r w:rsidR="00A004DF">
        <w:t xml:space="preserve">. For example, someone </w:t>
      </w:r>
      <w:r w:rsidR="000B207A">
        <w:t xml:space="preserve">working full time </w:t>
      </w:r>
      <w:r w:rsidR="00ED23C3">
        <w:t xml:space="preserve">at median wage </w:t>
      </w:r>
      <w:r w:rsidR="000B207A">
        <w:t>and studying part time w</w:t>
      </w:r>
      <w:r w:rsidR="00810BDC">
        <w:t xml:space="preserve">hilst </w:t>
      </w:r>
      <w:r w:rsidR="00ED23C3">
        <w:t>supporting dependent</w:t>
      </w:r>
      <w:r w:rsidR="00810BDC">
        <w:t xml:space="preserve"> family </w:t>
      </w:r>
      <w:r w:rsidR="00ED23C3">
        <w:t xml:space="preserve">members </w:t>
      </w:r>
      <w:r w:rsidR="00A004DF">
        <w:t>would see a</w:t>
      </w:r>
      <w:r w:rsidR="001D29BD">
        <w:t>n immediate</w:t>
      </w:r>
      <w:r w:rsidR="00A004DF">
        <w:t xml:space="preserve"> reduction in </w:t>
      </w:r>
      <w:proofErr w:type="gramStart"/>
      <w:r w:rsidR="00A004DF">
        <w:t>day to day</w:t>
      </w:r>
      <w:proofErr w:type="gramEnd"/>
      <w:r w:rsidR="00A004DF">
        <w:t xml:space="preserve"> earnings to </w:t>
      </w:r>
      <w:r w:rsidR="00810BDC">
        <w:t>repay</w:t>
      </w:r>
      <w:r w:rsidR="00A004DF">
        <w:t xml:space="preserve"> </w:t>
      </w:r>
      <w:r w:rsidR="00BA3C7C">
        <w:t>fees</w:t>
      </w:r>
      <w:r w:rsidR="00A004DF">
        <w:t xml:space="preserve"> </w:t>
      </w:r>
      <w:r w:rsidR="00BA3C7C">
        <w:t>currently</w:t>
      </w:r>
      <w:r w:rsidR="001D29BD">
        <w:t xml:space="preserve"> </w:t>
      </w:r>
      <w:r w:rsidR="00A004DF">
        <w:t xml:space="preserve">deferred </w:t>
      </w:r>
      <w:r w:rsidR="001D29BD">
        <w:t xml:space="preserve">for study whilst facing cost of living pressures in supporting. Some provision to delay repayments </w:t>
      </w:r>
      <w:r w:rsidR="00BA3C7C">
        <w:t xml:space="preserve">until the benefits of study are realised should be possible. These circumstances could </w:t>
      </w:r>
      <w:r w:rsidR="00D23447">
        <w:t>b</w:t>
      </w:r>
      <w:r w:rsidR="00BA3C7C">
        <w:t>e further ameliorated if i</w:t>
      </w:r>
      <w:r>
        <w:t xml:space="preserve">ndustry </w:t>
      </w:r>
      <w:r w:rsidR="00BA3C7C">
        <w:t>were</w:t>
      </w:r>
      <w:r>
        <w:t xml:space="preserve"> incentivised to co-invest in </w:t>
      </w:r>
      <w:r w:rsidR="00BA3C7C">
        <w:t xml:space="preserve">relevant </w:t>
      </w:r>
      <w:r>
        <w:t>accredited high</w:t>
      </w:r>
      <w:r w:rsidR="00E47971">
        <w:t>-</w:t>
      </w:r>
      <w:r>
        <w:t>quality training</w:t>
      </w:r>
      <w:r w:rsidR="00DC145E">
        <w:t>. This can be achieved by widening</w:t>
      </w:r>
      <w:r w:rsidR="003B4F5A">
        <w:t xml:space="preserve"> </w:t>
      </w:r>
      <w:r w:rsidR="00DC145E">
        <w:t xml:space="preserve">eligibility </w:t>
      </w:r>
      <w:r w:rsidR="008825E9">
        <w:t>of claims</w:t>
      </w:r>
      <w:r w:rsidR="003B4F5A">
        <w:t xml:space="preserve"> </w:t>
      </w:r>
      <w:r w:rsidR="008825E9">
        <w:t xml:space="preserve">through the </w:t>
      </w:r>
      <w:r w:rsidR="00DC145E">
        <w:t>Skills and Training Boost</w:t>
      </w:r>
      <w:r w:rsidR="008825E9">
        <w:t xml:space="preserve"> for larger businesses and non-</w:t>
      </w:r>
      <w:r w:rsidR="00535866">
        <w:t>technology related training.</w:t>
      </w:r>
    </w:p>
    <w:p w14:paraId="0A71FB91" w14:textId="77777777" w:rsidR="00ED240D" w:rsidRPr="00311D21" w:rsidRDefault="00ED240D" w:rsidP="00EB2812">
      <w:pPr>
        <w:rPr>
          <w:b/>
          <w:bCs/>
          <w:i/>
          <w:iCs/>
        </w:rPr>
      </w:pPr>
    </w:p>
    <w:p w14:paraId="55E01F2B" w14:textId="52203665" w:rsidR="00ED240D" w:rsidRPr="00311D21" w:rsidRDefault="00ED240D" w:rsidP="00ED240D">
      <w:pPr>
        <w:rPr>
          <w:b/>
          <w:bCs/>
          <w:i/>
          <w:iCs/>
        </w:rPr>
      </w:pPr>
      <w:r w:rsidRPr="00311D21">
        <w:rPr>
          <w:b/>
          <w:bCs/>
          <w:i/>
          <w:iCs/>
        </w:rPr>
        <w:t>Q17 How should better alignment and connection across Australia’s tertiary education system be achieved?</w:t>
      </w:r>
    </w:p>
    <w:p w14:paraId="2DB868FF" w14:textId="77777777" w:rsidR="00ED240D" w:rsidRPr="00311D21" w:rsidRDefault="00ED240D" w:rsidP="00ED240D">
      <w:pPr>
        <w:rPr>
          <w:b/>
          <w:bCs/>
          <w:i/>
          <w:iCs/>
        </w:rPr>
      </w:pPr>
    </w:p>
    <w:p w14:paraId="12188DDD" w14:textId="16A0D089" w:rsidR="00ED240D" w:rsidRPr="00311D21" w:rsidRDefault="00ED240D" w:rsidP="00ED240D">
      <w:pPr>
        <w:rPr>
          <w:b/>
          <w:bCs/>
          <w:i/>
          <w:iCs/>
        </w:rPr>
      </w:pPr>
      <w:r w:rsidRPr="00311D21">
        <w:rPr>
          <w:b/>
          <w:bCs/>
          <w:i/>
          <w:iCs/>
        </w:rPr>
        <w:t>Q18 What role should reform of the AQF play in creating this alignment?</w:t>
      </w:r>
    </w:p>
    <w:p w14:paraId="671B1AEE" w14:textId="77777777" w:rsidR="006D0FA3" w:rsidRDefault="006D0FA3" w:rsidP="006D0FA3">
      <w:pPr>
        <w:rPr>
          <w:b/>
          <w:bCs/>
          <w:i/>
          <w:iCs/>
        </w:rPr>
      </w:pPr>
    </w:p>
    <w:p w14:paraId="2BED36C9" w14:textId="4AA6A55F" w:rsidR="006D0FA3" w:rsidRPr="00311D21" w:rsidRDefault="006D0FA3" w:rsidP="006D0FA3">
      <w:pPr>
        <w:rPr>
          <w:b/>
          <w:bCs/>
          <w:i/>
          <w:iCs/>
        </w:rPr>
      </w:pPr>
      <w:r w:rsidRPr="00311D21">
        <w:rPr>
          <w:b/>
          <w:bCs/>
          <w:i/>
          <w:iCs/>
        </w:rPr>
        <w:t>Q20 How can pathways between VET and higher education be improved, and how can students be helped to navigate these pathways?</w:t>
      </w:r>
    </w:p>
    <w:p w14:paraId="465B8DCB" w14:textId="77777777" w:rsidR="006D0FA3" w:rsidRPr="00311D21" w:rsidRDefault="006D0FA3" w:rsidP="006D0FA3">
      <w:pPr>
        <w:rPr>
          <w:b/>
          <w:bCs/>
          <w:i/>
          <w:iCs/>
        </w:rPr>
      </w:pPr>
    </w:p>
    <w:p w14:paraId="415B773E" w14:textId="77777777" w:rsidR="006D0FA3" w:rsidRPr="00311D21" w:rsidRDefault="006D0FA3" w:rsidP="006D0FA3">
      <w:pPr>
        <w:rPr>
          <w:b/>
          <w:bCs/>
          <w:i/>
          <w:iCs/>
        </w:rPr>
      </w:pPr>
      <w:r w:rsidRPr="00311D21">
        <w:rPr>
          <w:b/>
          <w:bCs/>
          <w:i/>
          <w:iCs/>
        </w:rPr>
        <w:t>Q21 How can current examples of successful linkages between VET and higher education be integrated across the tertiary education system?</w:t>
      </w:r>
    </w:p>
    <w:p w14:paraId="3765907E" w14:textId="77777777" w:rsidR="00ED240D" w:rsidRDefault="00ED240D" w:rsidP="00ED240D">
      <w:pPr>
        <w:rPr>
          <w:b/>
          <w:bCs/>
          <w:i/>
          <w:iCs/>
        </w:rPr>
      </w:pPr>
    </w:p>
    <w:p w14:paraId="1AC384EB" w14:textId="7D2BB030" w:rsidR="00C937C0" w:rsidRPr="0099048C" w:rsidRDefault="00C937C0" w:rsidP="00ED240D">
      <w:r>
        <w:t xml:space="preserve">Implementation of recommendations from the AQF review would support collaboration between sectors. A barrier to collaboration relates to assessment cultures and quality of delivery </w:t>
      </w:r>
      <w:r w:rsidR="00B66C70">
        <w:t>across the sectors. There is potential to fund more reputable RTOs</w:t>
      </w:r>
      <w:r>
        <w:t xml:space="preserve"> </w:t>
      </w:r>
      <w:r w:rsidR="00B66C70">
        <w:t xml:space="preserve">and public TAFES to </w:t>
      </w:r>
      <w:r w:rsidR="0099048C">
        <w:t>work with more established universities in advancing the quality of assessment practices.</w:t>
      </w:r>
    </w:p>
    <w:p w14:paraId="7421F024" w14:textId="77777777" w:rsidR="00C937C0" w:rsidRPr="00311D21" w:rsidRDefault="00C937C0" w:rsidP="00ED240D">
      <w:pPr>
        <w:rPr>
          <w:b/>
          <w:bCs/>
          <w:i/>
          <w:iCs/>
        </w:rPr>
      </w:pPr>
    </w:p>
    <w:p w14:paraId="11FBDBB3" w14:textId="51CCB295" w:rsidR="00ED240D" w:rsidRPr="00311D21" w:rsidRDefault="00ED240D" w:rsidP="00ED240D">
      <w:pPr>
        <w:rPr>
          <w:b/>
          <w:bCs/>
          <w:i/>
          <w:iCs/>
        </w:rPr>
      </w:pPr>
      <w:r w:rsidRPr="00311D21">
        <w:rPr>
          <w:b/>
          <w:bCs/>
          <w:i/>
          <w:iCs/>
        </w:rPr>
        <w:t>Q19 What would a more effective and collaborative national governance approach to tertiary education look like?</w:t>
      </w:r>
    </w:p>
    <w:p w14:paraId="34EBCDDB" w14:textId="1D8D5FAE" w:rsidR="00ED240D" w:rsidRDefault="00ED240D" w:rsidP="00ED240D">
      <w:pPr>
        <w:rPr>
          <w:b/>
          <w:bCs/>
          <w:i/>
          <w:iCs/>
        </w:rPr>
      </w:pPr>
    </w:p>
    <w:p w14:paraId="467A7F4B" w14:textId="1E9D9941" w:rsidR="0099048C" w:rsidRPr="0099048C" w:rsidRDefault="0099048C" w:rsidP="00ED240D">
      <w:pPr>
        <w:rPr>
          <w:i/>
          <w:iCs/>
        </w:rPr>
      </w:pPr>
      <w:r w:rsidRPr="0099048C">
        <w:rPr>
          <w:i/>
          <w:iCs/>
        </w:rPr>
        <w:t>See schematic in question 2.</w:t>
      </w:r>
    </w:p>
    <w:p w14:paraId="4D3778B9" w14:textId="376B0A0D" w:rsidR="00ED240D" w:rsidRPr="00311D21" w:rsidRDefault="00ED240D" w:rsidP="00ED240D">
      <w:pPr>
        <w:rPr>
          <w:b/>
          <w:bCs/>
          <w:i/>
          <w:iCs/>
        </w:rPr>
      </w:pPr>
    </w:p>
    <w:p w14:paraId="54595F5A" w14:textId="385CCA1D" w:rsidR="00ED240D" w:rsidRPr="00311D21" w:rsidRDefault="00ED240D" w:rsidP="00ED240D">
      <w:pPr>
        <w:rPr>
          <w:b/>
          <w:bCs/>
          <w:i/>
          <w:iCs/>
        </w:rPr>
      </w:pPr>
      <w:r w:rsidRPr="00311D21">
        <w:rPr>
          <w:b/>
          <w:bCs/>
          <w:i/>
          <w:iCs/>
        </w:rPr>
        <w:t>Q22 What role do tertiary entrance and admissions systems play in matching learners to pathways and supporting a sustained increase in participation and tertiary success?</w:t>
      </w:r>
    </w:p>
    <w:p w14:paraId="5AC283F7" w14:textId="24F2BC21" w:rsidR="00ED240D" w:rsidRPr="00311D21" w:rsidRDefault="00ED240D" w:rsidP="00ED240D">
      <w:pPr>
        <w:rPr>
          <w:b/>
          <w:bCs/>
          <w:i/>
          <w:iCs/>
        </w:rPr>
      </w:pPr>
    </w:p>
    <w:p w14:paraId="323A583F" w14:textId="4829C8E2" w:rsidR="00F86FD5" w:rsidRDefault="00897D85" w:rsidP="00ED240D">
      <w:r>
        <w:t xml:space="preserve">Many of the problems associated with tertiary admissions are a product of sorting mechanisms </w:t>
      </w:r>
      <w:r w:rsidR="00504C60">
        <w:t xml:space="preserve">put in place </w:t>
      </w:r>
      <w:r>
        <w:t xml:space="preserve">to </w:t>
      </w:r>
      <w:r w:rsidR="00504C60">
        <w:t xml:space="preserve">manage </w:t>
      </w:r>
      <w:r>
        <w:t>a fixed number of pl</w:t>
      </w:r>
      <w:r w:rsidR="00504C60">
        <w:t>a</w:t>
      </w:r>
      <w:r>
        <w:t xml:space="preserve">ces in higher education. </w:t>
      </w:r>
      <w:r w:rsidR="00A42562">
        <w:t xml:space="preserve">ATAR anxiety combined with pandemic challenges are seeing mores students </w:t>
      </w:r>
      <w:r w:rsidR="00F86FD5">
        <w:t>choosing an ungraded year 12 option</w:t>
      </w:r>
      <w:r w:rsidR="00BD25F9">
        <w:t xml:space="preserve">. </w:t>
      </w:r>
    </w:p>
    <w:p w14:paraId="6C32A92C" w14:textId="77777777" w:rsidR="00F86FD5" w:rsidRDefault="00F86FD5" w:rsidP="00ED240D"/>
    <w:p w14:paraId="24F78440" w14:textId="035843EE" w:rsidR="0084674E" w:rsidRDefault="00504C60" w:rsidP="00ED240D">
      <w:r>
        <w:t>A universal entitlement for post-compulsory education would go some</w:t>
      </w:r>
      <w:r w:rsidR="0084674E">
        <w:t xml:space="preserve"> </w:t>
      </w:r>
      <w:r>
        <w:t xml:space="preserve">way to resolving this issue, noting that there will always be a need to </w:t>
      </w:r>
      <w:r w:rsidR="00357D99">
        <w:t xml:space="preserve">select students in programs where there is more demand than supply. </w:t>
      </w:r>
    </w:p>
    <w:p w14:paraId="02BA2698" w14:textId="77777777" w:rsidR="0084674E" w:rsidRDefault="0084674E" w:rsidP="00ED240D"/>
    <w:p w14:paraId="27D22522" w14:textId="77777777" w:rsidR="00ED07ED" w:rsidRDefault="00357D99" w:rsidP="00ED240D">
      <w:r>
        <w:t>If the pathway into higher education was less compet</w:t>
      </w:r>
      <w:r w:rsidR="00A10674">
        <w:t>it</w:t>
      </w:r>
      <w:r>
        <w:t xml:space="preserve">ive, and students had greater confidence that completing year 12, rather than completing year 12 and getting a high ATAR, we </w:t>
      </w:r>
      <w:r w:rsidR="00BD25F9">
        <w:t xml:space="preserve">should see </w:t>
      </w:r>
      <w:r w:rsidR="00C17F94">
        <w:t xml:space="preserve">a smoother transition into tertiary education. </w:t>
      </w:r>
    </w:p>
    <w:p w14:paraId="1B098C30" w14:textId="77777777" w:rsidR="00ED07ED" w:rsidRDefault="00ED07ED" w:rsidP="00ED240D"/>
    <w:p w14:paraId="0F28088C" w14:textId="748EA711" w:rsidR="00ED240D" w:rsidRPr="00897D85" w:rsidRDefault="00ED07ED" w:rsidP="00ED240D">
      <w:r>
        <w:t>There is a considerable amount of work occurring in schools to develop alternative assessment methodologies</w:t>
      </w:r>
      <w:r w:rsidR="00830984">
        <w:t>. There is also a significant amount of activity occurring</w:t>
      </w:r>
      <w:r>
        <w:t xml:space="preserve"> </w:t>
      </w:r>
      <w:r w:rsidR="00CD7454">
        <w:t xml:space="preserve">in schools </w:t>
      </w:r>
      <w:r w:rsidR="00830984">
        <w:t xml:space="preserve">by universities </w:t>
      </w:r>
      <w:r w:rsidR="00CD7454">
        <w:t>to establish customer</w:t>
      </w:r>
      <w:r w:rsidR="00830984">
        <w:t xml:space="preserve">-like </w:t>
      </w:r>
      <w:r w:rsidR="00CD7454">
        <w:t xml:space="preserve">relationships </w:t>
      </w:r>
      <w:r w:rsidR="00830984">
        <w:t xml:space="preserve">and a more robust </w:t>
      </w:r>
      <w:r w:rsidR="00B36FF3">
        <w:t xml:space="preserve">enrolment pipeline. It is not clear whether this work is having a net positive or negative effect given the structural and cultural emphasis on ATAR and competition for scarce places. </w:t>
      </w:r>
      <w:r w:rsidR="003834A0">
        <w:t xml:space="preserve">My personal view is that the </w:t>
      </w:r>
      <w:r w:rsidR="009144AB">
        <w:t>security afforded by an</w:t>
      </w:r>
      <w:r w:rsidR="003834A0">
        <w:t xml:space="preserve"> entitlement </w:t>
      </w:r>
      <w:r w:rsidR="009144AB">
        <w:t xml:space="preserve">to a place will trump these other factors and </w:t>
      </w:r>
      <w:r w:rsidR="00B96839">
        <w:t>allow for a less fraught transition to tertiary education.</w:t>
      </w:r>
    </w:p>
    <w:p w14:paraId="7D895631" w14:textId="18BC8539" w:rsidR="00ED240D" w:rsidRPr="00311D21" w:rsidRDefault="00ED240D" w:rsidP="00ED240D">
      <w:pPr>
        <w:rPr>
          <w:b/>
          <w:bCs/>
          <w:i/>
          <w:iCs/>
        </w:rPr>
      </w:pPr>
    </w:p>
    <w:p w14:paraId="6ECA4905" w14:textId="77777777" w:rsidR="00ED240D" w:rsidRPr="00311D21" w:rsidRDefault="00ED240D" w:rsidP="00ED240D">
      <w:pPr>
        <w:rPr>
          <w:b/>
          <w:bCs/>
          <w:i/>
          <w:iCs/>
        </w:rPr>
      </w:pPr>
      <w:r w:rsidRPr="00311D21">
        <w:rPr>
          <w:b/>
          <w:bCs/>
          <w:i/>
          <w:iCs/>
        </w:rPr>
        <w:t xml:space="preserve">Q23 How should an Accord help Australia increase collaboration between industry, </w:t>
      </w:r>
      <w:proofErr w:type="gramStart"/>
      <w:r w:rsidRPr="00311D21">
        <w:rPr>
          <w:b/>
          <w:bCs/>
          <w:i/>
          <w:iCs/>
        </w:rPr>
        <w:t>government</w:t>
      </w:r>
      <w:proofErr w:type="gramEnd"/>
      <w:r w:rsidRPr="00311D21">
        <w:rPr>
          <w:b/>
          <w:bCs/>
          <w:i/>
          <w:iCs/>
        </w:rPr>
        <w:t xml:space="preserve"> and universities to solve big challenges?</w:t>
      </w:r>
    </w:p>
    <w:p w14:paraId="61602E17" w14:textId="0DDC8C13" w:rsidR="00ED240D" w:rsidRPr="00311D21" w:rsidRDefault="00ED240D" w:rsidP="00ED240D">
      <w:pPr>
        <w:rPr>
          <w:b/>
          <w:bCs/>
          <w:i/>
          <w:iCs/>
        </w:rPr>
      </w:pPr>
    </w:p>
    <w:p w14:paraId="60F664A1" w14:textId="4D15CF08" w:rsidR="00ED240D" w:rsidRPr="001D511A" w:rsidRDefault="00B96839" w:rsidP="00ED240D">
      <w:r w:rsidRPr="001D511A">
        <w:t>See schematic in question 2</w:t>
      </w:r>
      <w:r w:rsidR="001D511A" w:rsidRPr="001D511A">
        <w:t xml:space="preserve"> and response to question 4.</w:t>
      </w:r>
    </w:p>
    <w:p w14:paraId="1DFA6F81" w14:textId="77777777" w:rsidR="00ED240D" w:rsidRPr="00311D21" w:rsidRDefault="00ED240D" w:rsidP="00ED240D">
      <w:pPr>
        <w:rPr>
          <w:b/>
          <w:bCs/>
          <w:i/>
          <w:iCs/>
        </w:rPr>
      </w:pPr>
    </w:p>
    <w:p w14:paraId="41D50A23" w14:textId="2B94635C" w:rsidR="00ED240D" w:rsidRDefault="00ED240D" w:rsidP="00ED240D">
      <w:pPr>
        <w:rPr>
          <w:b/>
          <w:bCs/>
          <w:i/>
          <w:iCs/>
        </w:rPr>
      </w:pPr>
      <w:r w:rsidRPr="00311D21">
        <w:rPr>
          <w:b/>
          <w:bCs/>
          <w:i/>
          <w:iCs/>
        </w:rPr>
        <w:t xml:space="preserve">Q24 What reforms will enable Australian research institutions to achieve excellence, </w:t>
      </w:r>
      <w:proofErr w:type="gramStart"/>
      <w:r w:rsidRPr="00311D21">
        <w:rPr>
          <w:b/>
          <w:bCs/>
          <w:i/>
          <w:iCs/>
        </w:rPr>
        <w:t>scale</w:t>
      </w:r>
      <w:proofErr w:type="gramEnd"/>
      <w:r w:rsidRPr="00311D21">
        <w:rPr>
          <w:b/>
          <w:bCs/>
          <w:i/>
          <w:iCs/>
        </w:rPr>
        <w:t xml:space="preserve"> and impact in particular fields?</w:t>
      </w:r>
    </w:p>
    <w:p w14:paraId="5092BFC3" w14:textId="77777777" w:rsidR="00466A1F" w:rsidRDefault="00466A1F" w:rsidP="00ED240D">
      <w:pPr>
        <w:rPr>
          <w:b/>
          <w:bCs/>
          <w:i/>
          <w:iCs/>
        </w:rPr>
      </w:pPr>
    </w:p>
    <w:p w14:paraId="6F2B6221" w14:textId="77777777" w:rsidR="005103C5" w:rsidRDefault="005103C5" w:rsidP="005103C5">
      <w:pPr>
        <w:rPr>
          <w:b/>
          <w:bCs/>
          <w:i/>
          <w:iCs/>
        </w:rPr>
      </w:pPr>
      <w:r w:rsidRPr="00311D21">
        <w:rPr>
          <w:b/>
          <w:bCs/>
          <w:i/>
          <w:iCs/>
        </w:rPr>
        <w:t>Q25 How should Australia leverage its research capacity overall and use it more effectively to develop new capabilities and solve wicked problems?</w:t>
      </w:r>
    </w:p>
    <w:p w14:paraId="05B9F57C" w14:textId="77777777" w:rsidR="0089077D" w:rsidRDefault="0089077D" w:rsidP="0089077D">
      <w:pPr>
        <w:rPr>
          <w:b/>
          <w:bCs/>
          <w:i/>
          <w:iCs/>
        </w:rPr>
      </w:pPr>
    </w:p>
    <w:p w14:paraId="5376E4EA" w14:textId="3157B27A" w:rsidR="0089077D" w:rsidRPr="00311D21" w:rsidRDefault="0089077D" w:rsidP="005103C5">
      <w:pPr>
        <w:rPr>
          <w:b/>
          <w:bCs/>
          <w:i/>
          <w:iCs/>
        </w:rPr>
      </w:pPr>
      <w:r w:rsidRPr="00311D21">
        <w:rPr>
          <w:b/>
          <w:bCs/>
          <w:i/>
          <w:iCs/>
        </w:rPr>
        <w:lastRenderedPageBreak/>
        <w:t>Q41 How should research quality be prioritised and supported most effectively over the next decade?</w:t>
      </w:r>
    </w:p>
    <w:p w14:paraId="76B47C70" w14:textId="0516C17D" w:rsidR="00ED240D" w:rsidRPr="00311D21" w:rsidRDefault="00ED240D" w:rsidP="00ED240D">
      <w:pPr>
        <w:rPr>
          <w:b/>
          <w:bCs/>
          <w:i/>
          <w:iCs/>
        </w:rPr>
      </w:pPr>
    </w:p>
    <w:p w14:paraId="267DB65A" w14:textId="16C09ED5" w:rsidR="00145569" w:rsidRDefault="00DF5157" w:rsidP="00ED240D">
      <w:r>
        <w:t xml:space="preserve">The current funding model incentivises institutions to </w:t>
      </w:r>
      <w:r w:rsidR="00F7706E">
        <w:t xml:space="preserve">undertake research in internationally relevant areas to drive rankings improvement to drive recruitment of higher margin fee-paying international students </w:t>
      </w:r>
      <w:r w:rsidR="002F3F7D">
        <w:t xml:space="preserve">to invest in more internationally relevant research. </w:t>
      </w:r>
      <w:r w:rsidR="00B12916">
        <w:t xml:space="preserve">Science based ranking performance has been generally underpinned by </w:t>
      </w:r>
      <w:r w:rsidR="000953BF">
        <w:t xml:space="preserve">international revenue </w:t>
      </w:r>
      <w:r w:rsidR="00300FAB">
        <w:t xml:space="preserve">in business courses (although this pattern has shifted somewhat in recent times). </w:t>
      </w:r>
      <w:r w:rsidR="005103C5">
        <w:t xml:space="preserve">This model has emerged from </w:t>
      </w:r>
      <w:r w:rsidR="00466A1F">
        <w:t>funding constraint for domestic operations, and lack of full funding for research grants.</w:t>
      </w:r>
    </w:p>
    <w:p w14:paraId="2CC8119E" w14:textId="77777777" w:rsidR="00145569" w:rsidRDefault="00145569" w:rsidP="00ED240D"/>
    <w:p w14:paraId="2E0CC328" w14:textId="455627FA" w:rsidR="00DF5157" w:rsidRDefault="00300FAB" w:rsidP="00ED240D">
      <w:r>
        <w:t>L</w:t>
      </w:r>
      <w:r w:rsidR="002F3F7D">
        <w:t xml:space="preserve">ocally oriented research that may have relevance to smaller population sub-groups is not well supported, nor something that is actively </w:t>
      </w:r>
      <w:r w:rsidR="005C6BDE">
        <w:t xml:space="preserve">cultivated via the cross subsidisation implicit in the rankings/international student revenue </w:t>
      </w:r>
      <w:r>
        <w:t>model. T</w:t>
      </w:r>
      <w:r w:rsidR="002F3F7D">
        <w:t xml:space="preserve">he now defunct </w:t>
      </w:r>
      <w:r w:rsidR="002F3F7D" w:rsidRPr="003C66F3">
        <w:t>National Institute for Deaf Studies and Sign Language Research</w:t>
      </w:r>
      <w:r>
        <w:t xml:space="preserve"> referenced earlier</w:t>
      </w:r>
      <w:r w:rsidR="00145569">
        <w:t>,</w:t>
      </w:r>
      <w:r>
        <w:t xml:space="preserve"> is not about to be re-funded on the back of the return of international students to Australia. </w:t>
      </w:r>
    </w:p>
    <w:p w14:paraId="4AE807C9" w14:textId="77777777" w:rsidR="0082739E" w:rsidRDefault="0082739E" w:rsidP="00ED240D"/>
    <w:p w14:paraId="47636CE6" w14:textId="77777777" w:rsidR="00366369" w:rsidRDefault="0082739E" w:rsidP="005F34F0">
      <w:r>
        <w:t xml:space="preserve">A solution to this problem is ensuring there are sufficient resources to fund higher education operations </w:t>
      </w:r>
      <w:r w:rsidR="000C7192">
        <w:t>without requiring an international fee revenue cross subsidy. Options outlined in</w:t>
      </w:r>
      <w:r w:rsidR="005F34F0" w:rsidRPr="001D511A">
        <w:t xml:space="preserve"> </w:t>
      </w:r>
      <w:r w:rsidR="005F34F0">
        <w:t>response to question 12</w:t>
      </w:r>
      <w:r w:rsidR="000C7192">
        <w:t xml:space="preserve"> may go some way to ensuring resource sufficiency, </w:t>
      </w:r>
      <w:r w:rsidR="00253A96">
        <w:t xml:space="preserve">recognising that cross-subsidies should be an accepted feature of teaching funding. </w:t>
      </w:r>
    </w:p>
    <w:p w14:paraId="78F8AAAB" w14:textId="77777777" w:rsidR="00317F0B" w:rsidRDefault="00317F0B" w:rsidP="00ED240D"/>
    <w:p w14:paraId="05182841" w14:textId="02123284" w:rsidR="00ED240D" w:rsidRPr="007C2314" w:rsidRDefault="00253A96" w:rsidP="00ED240D">
      <w:r>
        <w:t xml:space="preserve">To avoid the worse of Bowen’s revenue theory of costs (universities make as much money as they can and spend it all </w:t>
      </w:r>
      <w:r w:rsidR="0083503D">
        <w:t>–</w:t>
      </w:r>
      <w:r>
        <w:t xml:space="preserve"> </w:t>
      </w:r>
      <w:r w:rsidR="0083503D">
        <w:t>with a preference for research</w:t>
      </w:r>
      <w:r w:rsidR="00366369">
        <w:rPr>
          <w:rStyle w:val="FootnoteReference"/>
        </w:rPr>
        <w:footnoteReference w:id="25"/>
      </w:r>
      <w:r w:rsidR="0083503D">
        <w:t xml:space="preserve">) </w:t>
      </w:r>
      <w:r w:rsidR="000C7192">
        <w:t xml:space="preserve">accountability requirements for fee flexibility </w:t>
      </w:r>
      <w:r w:rsidR="00366369">
        <w:t xml:space="preserve">outlined earlier </w:t>
      </w:r>
      <w:r w:rsidR="001D43D8">
        <w:t xml:space="preserve">should be </w:t>
      </w:r>
      <w:r w:rsidR="000C7192">
        <w:t xml:space="preserve">augmented with requirements for </w:t>
      </w:r>
      <w:r w:rsidR="00366369">
        <w:t>research, both in terms of its world</w:t>
      </w:r>
      <w:r w:rsidR="00466A1F">
        <w:t>-</w:t>
      </w:r>
      <w:r w:rsidR="00366369">
        <w:t>class</w:t>
      </w:r>
      <w:r w:rsidR="00466A1F">
        <w:t>-</w:t>
      </w:r>
      <w:r w:rsidR="00366369">
        <w:t xml:space="preserve">ness, and </w:t>
      </w:r>
      <w:r w:rsidR="005103C5">
        <w:t>in terms of its relevance to Australian needs, national and local.</w:t>
      </w:r>
      <w:r w:rsidR="001D43D8">
        <w:t xml:space="preserve"> </w:t>
      </w:r>
    </w:p>
    <w:p w14:paraId="245BF0FC" w14:textId="77777777" w:rsidR="00ED240D" w:rsidRPr="00311D21" w:rsidRDefault="00ED240D" w:rsidP="00ED240D">
      <w:pPr>
        <w:rPr>
          <w:b/>
          <w:bCs/>
          <w:i/>
          <w:iCs/>
        </w:rPr>
      </w:pPr>
    </w:p>
    <w:p w14:paraId="17A85F8A" w14:textId="7638A6F2" w:rsidR="00ED240D" w:rsidRPr="00311D21" w:rsidRDefault="00ED240D" w:rsidP="00ED240D">
      <w:pPr>
        <w:rPr>
          <w:b/>
          <w:bCs/>
          <w:i/>
          <w:iCs/>
        </w:rPr>
      </w:pPr>
      <w:r w:rsidRPr="00311D21">
        <w:rPr>
          <w:b/>
          <w:bCs/>
          <w:i/>
          <w:iCs/>
        </w:rPr>
        <w:t>Q26 How can Australia stimulate greater industry investment in research and more effective collaboration?</w:t>
      </w:r>
    </w:p>
    <w:p w14:paraId="5D18050F" w14:textId="77777777" w:rsidR="0089077D" w:rsidRDefault="0089077D" w:rsidP="00F46BF6">
      <w:pPr>
        <w:rPr>
          <w:b/>
          <w:bCs/>
          <w:i/>
          <w:iCs/>
        </w:rPr>
      </w:pPr>
    </w:p>
    <w:p w14:paraId="1F1F10B1" w14:textId="0C66C173" w:rsidR="00F46BF6" w:rsidRPr="00311D21" w:rsidRDefault="00F46BF6" w:rsidP="00F46BF6">
      <w:pPr>
        <w:rPr>
          <w:b/>
          <w:bCs/>
          <w:i/>
          <w:iCs/>
        </w:rPr>
      </w:pPr>
      <w:r w:rsidRPr="00311D21">
        <w:rPr>
          <w:b/>
          <w:bCs/>
          <w:i/>
          <w:iCs/>
        </w:rPr>
        <w:t>Q27 How can we improve research training in Australia including improving pathways for researchers to gain experience and develop high-impact careers in government and industry?</w:t>
      </w:r>
    </w:p>
    <w:p w14:paraId="766982FA" w14:textId="48D2B4C5" w:rsidR="00ED240D" w:rsidRDefault="00ED240D" w:rsidP="00ED240D">
      <w:pPr>
        <w:rPr>
          <w:b/>
          <w:bCs/>
        </w:rPr>
      </w:pPr>
    </w:p>
    <w:p w14:paraId="2A5096E6" w14:textId="704E745F" w:rsidR="00E746B2" w:rsidRPr="00E746B2" w:rsidRDefault="009B4376" w:rsidP="00ED240D">
      <w:r>
        <w:t>A</w:t>
      </w:r>
      <w:r w:rsidR="00F46BF6">
        <w:t xml:space="preserve">s a recent </w:t>
      </w:r>
      <w:r w:rsidR="00551715">
        <w:t xml:space="preserve">research training graduate </w:t>
      </w:r>
      <w:r w:rsidR="003360B5">
        <w:t xml:space="preserve">key learnings from research training include aphorisms that </w:t>
      </w:r>
      <w:r w:rsidR="00130C5A">
        <w:t>the key to completion is ‘time on task’</w:t>
      </w:r>
      <w:r w:rsidR="00BE6564">
        <w:t xml:space="preserve"> and ‘distraction is the enemy of completion’. Efforts to build in industry relevance, </w:t>
      </w:r>
      <w:r>
        <w:t xml:space="preserve">industry impact, or real-life experience run the risk of </w:t>
      </w:r>
      <w:r w:rsidR="003360B5">
        <w:t>magnifying distractions and reducing time on task.</w:t>
      </w:r>
    </w:p>
    <w:p w14:paraId="323D4355" w14:textId="734CCF85" w:rsidR="00ED240D" w:rsidRPr="00E746B2" w:rsidRDefault="00ED240D" w:rsidP="00ED240D"/>
    <w:p w14:paraId="3FF04B93" w14:textId="311E1FA2" w:rsidR="00ED240D" w:rsidRPr="00311D21" w:rsidRDefault="00ED240D" w:rsidP="00ED240D">
      <w:pPr>
        <w:rPr>
          <w:b/>
          <w:bCs/>
          <w:i/>
          <w:iCs/>
        </w:rPr>
      </w:pPr>
      <w:r w:rsidRPr="00311D21">
        <w:rPr>
          <w:b/>
          <w:bCs/>
          <w:i/>
          <w:iCs/>
        </w:rPr>
        <w:t>Q28 What is needed to increase the number of people from under-represented groups applying to and prepared for higher education, both from school and from other pathways?</w:t>
      </w:r>
    </w:p>
    <w:p w14:paraId="6BB04D83" w14:textId="659A80C1" w:rsidR="00ED240D" w:rsidRPr="00311D21" w:rsidRDefault="00ED240D" w:rsidP="00ED240D">
      <w:pPr>
        <w:rPr>
          <w:b/>
          <w:bCs/>
          <w:i/>
          <w:iCs/>
        </w:rPr>
      </w:pPr>
    </w:p>
    <w:p w14:paraId="734A4C65" w14:textId="209CFC77" w:rsidR="00ED240D" w:rsidRPr="005E173A" w:rsidRDefault="005E173A" w:rsidP="00ED240D">
      <w:r>
        <w:lastRenderedPageBreak/>
        <w:t>See response to Question 11</w:t>
      </w:r>
      <w:r w:rsidR="00247851">
        <w:t>, augmented with insights from an Equity Fellowship report with the National Centre for Student Equity in Higher Education on Equity Performance and Accountability</w:t>
      </w:r>
      <w:r w:rsidR="00247851">
        <w:rPr>
          <w:rStyle w:val="FootnoteReference"/>
        </w:rPr>
        <w:footnoteReference w:id="26"/>
      </w:r>
      <w:r w:rsidR="00247851">
        <w:t xml:space="preserve">. </w:t>
      </w:r>
      <w:r w:rsidR="005D01CF">
        <w:t>The relationship between base funding and targeted equity funding needs to be optimised</w:t>
      </w:r>
      <w:r w:rsidR="006655ED">
        <w:t xml:space="preserve"> in sync with appropriate accountability measures. There are few meaningful consequences of sub-optimal equity performance in current policy</w:t>
      </w:r>
      <w:r w:rsidR="008408C3">
        <w:t>, and our conceptions of equity in policy do not sufficiently appreciate the nuances presenting for small cohor</w:t>
      </w:r>
      <w:r w:rsidR="004E5338">
        <w:t>t</w:t>
      </w:r>
      <w:r w:rsidR="008408C3">
        <w:t>s or at a local level</w:t>
      </w:r>
      <w:r w:rsidR="006655ED">
        <w:t xml:space="preserve">. </w:t>
      </w:r>
      <w:r w:rsidR="008408C3">
        <w:t>An Accord like f</w:t>
      </w:r>
      <w:r w:rsidR="006655ED">
        <w:t>unding mode</w:t>
      </w:r>
      <w:r w:rsidR="008408C3">
        <w:t xml:space="preserve">l </w:t>
      </w:r>
      <w:r w:rsidR="004E5338">
        <w:t>described in question 12 might go some way to galvanising institutional engagement in equity</w:t>
      </w:r>
      <w:r w:rsidR="00FD4880">
        <w:t>.</w:t>
      </w:r>
    </w:p>
    <w:p w14:paraId="317E300D" w14:textId="77777777" w:rsidR="00ED240D" w:rsidRPr="00311D21" w:rsidRDefault="00ED240D" w:rsidP="00ED240D">
      <w:pPr>
        <w:rPr>
          <w:b/>
          <w:bCs/>
          <w:i/>
          <w:iCs/>
        </w:rPr>
      </w:pPr>
    </w:p>
    <w:p w14:paraId="64C211A2" w14:textId="51062ACE" w:rsidR="00ED240D" w:rsidRPr="00311D21" w:rsidRDefault="00ED240D" w:rsidP="00ED240D">
      <w:pPr>
        <w:rPr>
          <w:b/>
          <w:bCs/>
          <w:i/>
          <w:iCs/>
        </w:rPr>
      </w:pPr>
      <w:r w:rsidRPr="00311D21">
        <w:rPr>
          <w:b/>
          <w:bCs/>
          <w:i/>
          <w:iCs/>
        </w:rPr>
        <w:t>Q29 What changes in provider practices and offerings are necessary to ensure all potential students can succeed in their chosen area of study?</w:t>
      </w:r>
    </w:p>
    <w:p w14:paraId="3DD97368" w14:textId="77777777" w:rsidR="0089077D" w:rsidRDefault="0089077D" w:rsidP="005822CF">
      <w:pPr>
        <w:rPr>
          <w:b/>
          <w:bCs/>
          <w:i/>
          <w:iCs/>
        </w:rPr>
      </w:pPr>
    </w:p>
    <w:p w14:paraId="246683B0" w14:textId="7D86F7B2" w:rsidR="005822CF" w:rsidRPr="00311D21" w:rsidRDefault="005822CF" w:rsidP="005822CF">
      <w:pPr>
        <w:rPr>
          <w:b/>
          <w:bCs/>
          <w:i/>
          <w:iCs/>
        </w:rPr>
      </w:pPr>
      <w:r w:rsidRPr="00311D21">
        <w:rPr>
          <w:b/>
          <w:bCs/>
          <w:i/>
          <w:iCs/>
        </w:rPr>
        <w:t xml:space="preserve">Q30 How can governments, institutions and employers assist students, widen </w:t>
      </w:r>
      <w:proofErr w:type="gramStart"/>
      <w:r w:rsidRPr="00311D21">
        <w:rPr>
          <w:b/>
          <w:bCs/>
          <w:i/>
          <w:iCs/>
        </w:rPr>
        <w:t>opportunities</w:t>
      </w:r>
      <w:proofErr w:type="gramEnd"/>
      <w:r w:rsidRPr="00311D21">
        <w:rPr>
          <w:b/>
          <w:bCs/>
          <w:i/>
          <w:iCs/>
        </w:rPr>
        <w:t xml:space="preserve"> and remove barriers to higher education?</w:t>
      </w:r>
    </w:p>
    <w:p w14:paraId="74A4F0A2" w14:textId="76B061D9" w:rsidR="00ED240D" w:rsidRPr="00311D21" w:rsidRDefault="00ED240D" w:rsidP="00ED240D">
      <w:pPr>
        <w:rPr>
          <w:b/>
          <w:bCs/>
          <w:i/>
          <w:iCs/>
        </w:rPr>
      </w:pPr>
    </w:p>
    <w:p w14:paraId="3667B086" w14:textId="5E8E8D97" w:rsidR="00ED240D" w:rsidRPr="005822CF" w:rsidRDefault="00FD4880" w:rsidP="00ED240D">
      <w:r>
        <w:t xml:space="preserve">See responses to question </w:t>
      </w:r>
      <w:r w:rsidR="00A234B8">
        <w:t>10, 12</w:t>
      </w:r>
      <w:r w:rsidR="0087621E">
        <w:t xml:space="preserve">, </w:t>
      </w:r>
      <w:r w:rsidR="00A234B8">
        <w:t>25</w:t>
      </w:r>
      <w:r w:rsidR="0087621E">
        <w:t xml:space="preserve"> and 28</w:t>
      </w:r>
      <w:r w:rsidR="00A234B8">
        <w:t>.</w:t>
      </w:r>
      <w:r w:rsidR="00CB620E">
        <w:t xml:space="preserve"> The adequacy and focus of resourcing is key. At this point resources are insufficient, they are not well targeted</w:t>
      </w:r>
      <w:r w:rsidR="00397F5A">
        <w:t xml:space="preserve">, and there </w:t>
      </w:r>
      <w:r w:rsidR="0087621E">
        <w:t xml:space="preserve">are few meaningful consequences for poor performance. </w:t>
      </w:r>
      <w:r w:rsidR="001D4F2F">
        <w:t>Differential</w:t>
      </w:r>
      <w:r w:rsidR="00EE1028">
        <w:t xml:space="preserve"> levels of </w:t>
      </w:r>
      <w:r w:rsidR="001D4F2F">
        <w:t xml:space="preserve">access and </w:t>
      </w:r>
      <w:r w:rsidR="00EE1028">
        <w:t xml:space="preserve">success correlate with </w:t>
      </w:r>
      <w:r w:rsidR="001D4F2F">
        <w:t xml:space="preserve">equity characteristics, suggesting need to </w:t>
      </w:r>
      <w:r w:rsidR="005822CF">
        <w:t>better incentivise institutional equity performance.</w:t>
      </w:r>
    </w:p>
    <w:p w14:paraId="6EAA5BA4" w14:textId="77777777" w:rsidR="00ED240D" w:rsidRPr="00311D21" w:rsidRDefault="00ED240D" w:rsidP="00ED240D">
      <w:pPr>
        <w:rPr>
          <w:b/>
          <w:bCs/>
          <w:i/>
          <w:iCs/>
        </w:rPr>
      </w:pPr>
    </w:p>
    <w:p w14:paraId="27D2B55D" w14:textId="188A8B8E" w:rsidR="00ED240D" w:rsidRPr="00311D21" w:rsidRDefault="00ED240D" w:rsidP="00ED240D">
      <w:pPr>
        <w:rPr>
          <w:b/>
          <w:bCs/>
          <w:i/>
          <w:iCs/>
        </w:rPr>
      </w:pPr>
      <w:r w:rsidRPr="00311D21">
        <w:rPr>
          <w:b/>
          <w:bCs/>
          <w:i/>
          <w:iCs/>
        </w:rPr>
        <w:t>Q31 How can the costs of participation, including living expenses, be most effectively alleviated?</w:t>
      </w:r>
    </w:p>
    <w:p w14:paraId="16188C7F" w14:textId="46D2A9AC" w:rsidR="00ED240D" w:rsidRDefault="00ED240D" w:rsidP="00ED240D">
      <w:pPr>
        <w:rPr>
          <w:b/>
          <w:bCs/>
        </w:rPr>
      </w:pPr>
    </w:p>
    <w:p w14:paraId="63A3F883" w14:textId="77777777" w:rsidR="00BF5789" w:rsidRDefault="002E4246" w:rsidP="00ED240D">
      <w:r>
        <w:t xml:space="preserve">The loan program </w:t>
      </w:r>
      <w:r w:rsidR="00427862">
        <w:t xml:space="preserve">is currently restricted to </w:t>
      </w:r>
      <w:r w:rsidR="00973E0D">
        <w:t xml:space="preserve">tuition and services </w:t>
      </w:r>
      <w:r w:rsidR="00427862">
        <w:t xml:space="preserve">fees, </w:t>
      </w:r>
      <w:r w:rsidR="00A37F60">
        <w:t xml:space="preserve">and </w:t>
      </w:r>
      <w:r w:rsidR="00427862">
        <w:t>overseas study</w:t>
      </w:r>
      <w:r w:rsidR="00973E0D">
        <w:t>. Consideration should be given to extending loans to living expenses, whilst not incentivising students to borrow</w:t>
      </w:r>
      <w:r w:rsidR="00F56CAD">
        <w:t xml:space="preserve"> excessively. </w:t>
      </w:r>
      <w:r w:rsidR="00B10EE5">
        <w:t>This might be piloted first with placement and work integrated learning expenses before being rolled out more broadly.</w:t>
      </w:r>
      <w:r w:rsidR="004635CF">
        <w:t xml:space="preserve"> </w:t>
      </w:r>
    </w:p>
    <w:p w14:paraId="1AFEA941" w14:textId="77777777" w:rsidR="00BF5789" w:rsidRDefault="00BF5789" w:rsidP="00ED240D"/>
    <w:p w14:paraId="411AE9DF" w14:textId="36AFEA9F" w:rsidR="002E4246" w:rsidRPr="002E4246" w:rsidRDefault="004635CF" w:rsidP="00ED240D">
      <w:r>
        <w:t>There are opportunities to reduce costs for students living away from home. There are a high number of vacant properties</w:t>
      </w:r>
      <w:r w:rsidR="004A2C4A">
        <w:rPr>
          <w:rStyle w:val="FootnoteReference"/>
        </w:rPr>
        <w:footnoteReference w:id="27"/>
      </w:r>
      <w:r>
        <w:t xml:space="preserve"> and </w:t>
      </w:r>
      <w:r w:rsidR="001204C8">
        <w:t xml:space="preserve">underutilised space in occupied properties </w:t>
      </w:r>
      <w:r w:rsidR="00694A55">
        <w:t xml:space="preserve">which might be unlocked for student use with appropriate incentives. </w:t>
      </w:r>
    </w:p>
    <w:p w14:paraId="1AC3F48B" w14:textId="6A892FCA" w:rsidR="00ED240D" w:rsidRPr="00311D21" w:rsidRDefault="00ED240D" w:rsidP="00ED240D">
      <w:pPr>
        <w:rPr>
          <w:b/>
          <w:bCs/>
          <w:i/>
          <w:iCs/>
        </w:rPr>
      </w:pPr>
    </w:p>
    <w:p w14:paraId="345741A6" w14:textId="12B9E570" w:rsidR="00ED240D" w:rsidRPr="00311D21" w:rsidRDefault="00ED240D" w:rsidP="00ED240D">
      <w:pPr>
        <w:rPr>
          <w:b/>
          <w:bCs/>
          <w:i/>
          <w:iCs/>
        </w:rPr>
      </w:pPr>
      <w:r w:rsidRPr="00311D21">
        <w:rPr>
          <w:b/>
          <w:bCs/>
          <w:i/>
          <w:iCs/>
        </w:rPr>
        <w:t>Q32 How can best practice learning and teaching for students from under-represented groups be embedded across the higher education system, including the use of remote learning?</w:t>
      </w:r>
    </w:p>
    <w:p w14:paraId="00A3AF31" w14:textId="22849271" w:rsidR="00ED240D" w:rsidRPr="00287825" w:rsidRDefault="00ED240D" w:rsidP="00ED240D">
      <w:pPr>
        <w:rPr>
          <w:b/>
          <w:bCs/>
        </w:rPr>
      </w:pPr>
    </w:p>
    <w:p w14:paraId="52F2AFE6" w14:textId="192D63DA" w:rsidR="00ED240D" w:rsidRPr="00287825" w:rsidRDefault="00287825" w:rsidP="00ED240D">
      <w:r>
        <w:t>There is scope to broaden the take up of universal design for learning</w:t>
      </w:r>
      <w:r w:rsidR="00BC2A9A">
        <w:rPr>
          <w:rStyle w:val="FootnoteReference"/>
        </w:rPr>
        <w:footnoteReference w:id="28"/>
      </w:r>
      <w:r>
        <w:t xml:space="preserve"> and </w:t>
      </w:r>
      <w:r w:rsidR="006C471F">
        <w:t xml:space="preserve">embed </w:t>
      </w:r>
      <w:r>
        <w:t>open education resou</w:t>
      </w:r>
      <w:r w:rsidR="00C9704A">
        <w:t>r</w:t>
      </w:r>
      <w:r>
        <w:t>ces</w:t>
      </w:r>
      <w:r w:rsidR="006C471F">
        <w:rPr>
          <w:rStyle w:val="FootnoteReference"/>
        </w:rPr>
        <w:footnoteReference w:id="29"/>
      </w:r>
      <w:r w:rsidR="00BC2A9A">
        <w:t>.</w:t>
      </w:r>
    </w:p>
    <w:p w14:paraId="742518C1" w14:textId="77777777" w:rsidR="00287825" w:rsidRPr="00287825" w:rsidRDefault="00287825" w:rsidP="00ED240D">
      <w:pPr>
        <w:rPr>
          <w:b/>
          <w:bCs/>
        </w:rPr>
      </w:pPr>
    </w:p>
    <w:p w14:paraId="2BFB5A89" w14:textId="4352EE66" w:rsidR="00ED240D" w:rsidRPr="00311D21" w:rsidRDefault="00ED240D" w:rsidP="00ED240D">
      <w:pPr>
        <w:rPr>
          <w:b/>
          <w:bCs/>
          <w:i/>
          <w:iCs/>
        </w:rPr>
      </w:pPr>
      <w:r w:rsidRPr="00311D21">
        <w:rPr>
          <w:b/>
          <w:bCs/>
          <w:i/>
          <w:iCs/>
        </w:rPr>
        <w:t>Q33 What changes to funding and regulatory settings would enable providers to better support students from under-represented groups in higher education?</w:t>
      </w:r>
    </w:p>
    <w:p w14:paraId="5F908722" w14:textId="469D1983" w:rsidR="00ED240D" w:rsidRPr="00311D21" w:rsidRDefault="00ED240D" w:rsidP="00ED240D">
      <w:pPr>
        <w:rPr>
          <w:b/>
          <w:bCs/>
          <w:i/>
          <w:iCs/>
        </w:rPr>
      </w:pPr>
    </w:p>
    <w:p w14:paraId="13E8A197" w14:textId="273AB4A5" w:rsidR="00ED240D" w:rsidRPr="006C471F" w:rsidRDefault="006C471F" w:rsidP="00ED240D">
      <w:r w:rsidRPr="006C471F">
        <w:t>See re</w:t>
      </w:r>
      <w:r>
        <w:t>sp</w:t>
      </w:r>
      <w:r w:rsidRPr="006C471F">
        <w:t>onse</w:t>
      </w:r>
      <w:r>
        <w:t>s</w:t>
      </w:r>
      <w:r w:rsidRPr="006C471F">
        <w:t xml:space="preserve"> to question</w:t>
      </w:r>
      <w:r>
        <w:t xml:space="preserve">s </w:t>
      </w:r>
      <w:r w:rsidR="00FA0DED">
        <w:t>3, 10, 12 and</w:t>
      </w:r>
      <w:r w:rsidRPr="006C471F">
        <w:t xml:space="preserve"> 28</w:t>
      </w:r>
      <w:r w:rsidR="00FA0DED">
        <w:t>.</w:t>
      </w:r>
    </w:p>
    <w:p w14:paraId="371DE234" w14:textId="107BBC2F" w:rsidR="00ED240D" w:rsidRPr="00311D21" w:rsidRDefault="00ED240D" w:rsidP="00ED240D">
      <w:pPr>
        <w:rPr>
          <w:b/>
          <w:bCs/>
          <w:i/>
          <w:iCs/>
        </w:rPr>
      </w:pPr>
    </w:p>
    <w:p w14:paraId="1616F19C" w14:textId="6BB6A236" w:rsidR="00ED240D" w:rsidRPr="00311D21" w:rsidRDefault="00ED240D" w:rsidP="00ED240D">
      <w:pPr>
        <w:rPr>
          <w:b/>
          <w:bCs/>
          <w:i/>
          <w:iCs/>
        </w:rPr>
      </w:pPr>
      <w:r w:rsidRPr="00311D21">
        <w:rPr>
          <w:b/>
          <w:bCs/>
          <w:i/>
          <w:iCs/>
        </w:rPr>
        <w:t>Q34 How should the contribution of higher education providers to community engagement be encouraged and promoted?</w:t>
      </w:r>
    </w:p>
    <w:p w14:paraId="5879EC20" w14:textId="586460DD" w:rsidR="00ED240D" w:rsidRPr="00311D21" w:rsidRDefault="00ED240D" w:rsidP="00ED240D">
      <w:pPr>
        <w:rPr>
          <w:b/>
          <w:bCs/>
          <w:i/>
          <w:iCs/>
        </w:rPr>
      </w:pPr>
    </w:p>
    <w:p w14:paraId="1DE4E4F0" w14:textId="1C699A8A" w:rsidR="00ED240D" w:rsidRPr="00FA0DED" w:rsidRDefault="00FA0DED" w:rsidP="00ED240D">
      <w:r>
        <w:t>The Accord model and schematic outlined in question 2 would provide a clearer structure for community engagement and relevance.</w:t>
      </w:r>
    </w:p>
    <w:p w14:paraId="4AFA994D" w14:textId="77777777" w:rsidR="00ED240D" w:rsidRPr="00311D21" w:rsidRDefault="00ED240D" w:rsidP="00ED240D">
      <w:pPr>
        <w:rPr>
          <w:b/>
          <w:bCs/>
          <w:i/>
          <w:iCs/>
        </w:rPr>
      </w:pPr>
    </w:p>
    <w:p w14:paraId="75EF2200" w14:textId="0AD806E7" w:rsidR="00ED240D" w:rsidRPr="00311D21" w:rsidRDefault="00ED240D" w:rsidP="00ED240D">
      <w:pPr>
        <w:rPr>
          <w:b/>
          <w:bCs/>
          <w:i/>
          <w:iCs/>
        </w:rPr>
      </w:pPr>
      <w:r w:rsidRPr="00311D21">
        <w:rPr>
          <w:b/>
          <w:bCs/>
          <w:i/>
          <w:iCs/>
        </w:rPr>
        <w:t>Q35 Where providers make a distinctive contribution to national objectives through community, location-based or specialised economic development, how should this contribution be identified and invested in?</w:t>
      </w:r>
    </w:p>
    <w:p w14:paraId="1C8D7CEC" w14:textId="7AFE3BA1" w:rsidR="00ED240D" w:rsidRPr="00311D21" w:rsidRDefault="00ED240D" w:rsidP="00ED240D">
      <w:pPr>
        <w:rPr>
          <w:b/>
          <w:bCs/>
          <w:i/>
          <w:iCs/>
        </w:rPr>
      </w:pPr>
    </w:p>
    <w:p w14:paraId="0B4ECC1A" w14:textId="7F71B2FB" w:rsidR="00FA0DED" w:rsidRDefault="00FA0DED" w:rsidP="00FA0DED">
      <w:r>
        <w:t xml:space="preserve">The endowment fund described in question 6, disbursing funds through the Accord model outlined in question 2 would provide a mechanism for supporting community, </w:t>
      </w:r>
      <w:proofErr w:type="gramStart"/>
      <w:r>
        <w:t>location</w:t>
      </w:r>
      <w:proofErr w:type="gramEnd"/>
      <w:r w:rsidR="00A42B07">
        <w:t xml:space="preserve"> or specialised activities. If underpinned by a levy on private investment in higher education (</w:t>
      </w:r>
      <w:proofErr w:type="spellStart"/>
      <w:r w:rsidR="00A42B07">
        <w:t>ie</w:t>
      </w:r>
      <w:proofErr w:type="spellEnd"/>
      <w:r w:rsidR="00A42B07">
        <w:t xml:space="preserve">. international fees, domestic fees, industry co-investment) a virtuous cycle of cross-subsidisation </w:t>
      </w:r>
      <w:r w:rsidR="00C62981">
        <w:t>would be achieved</w:t>
      </w:r>
      <w:r w:rsidR="00775A94">
        <w:t xml:space="preserve">. </w:t>
      </w:r>
      <w:r w:rsidR="00D55C8E">
        <w:t>A small proportion of the</w:t>
      </w:r>
      <w:r w:rsidR="00C62981">
        <w:t xml:space="preserve"> </w:t>
      </w:r>
      <w:r w:rsidR="00775A94">
        <w:t xml:space="preserve">benefits currently accrued by </w:t>
      </w:r>
      <w:r w:rsidR="00C62981">
        <w:t xml:space="preserve">major city elite universities </w:t>
      </w:r>
      <w:r w:rsidR="00775A94">
        <w:t xml:space="preserve">who </w:t>
      </w:r>
      <w:r w:rsidR="00C62981">
        <w:t>generat</w:t>
      </w:r>
      <w:r w:rsidR="00775A94">
        <w:t>e</w:t>
      </w:r>
      <w:r w:rsidR="00C62981">
        <w:t xml:space="preserve"> hundreds of millions in annual revenue </w:t>
      </w:r>
      <w:r w:rsidR="00D55C8E">
        <w:t>from international student fees would be redistributed to address the needs of a broader geography.</w:t>
      </w:r>
    </w:p>
    <w:p w14:paraId="2886904E" w14:textId="77777777" w:rsidR="00FA0DED" w:rsidRDefault="00FA0DED" w:rsidP="00FA0DED"/>
    <w:p w14:paraId="756C414B" w14:textId="26A05A6D" w:rsidR="00ED240D" w:rsidRPr="00311D21" w:rsidRDefault="00ED240D" w:rsidP="00ED240D">
      <w:pPr>
        <w:rPr>
          <w:b/>
          <w:bCs/>
          <w:i/>
          <w:iCs/>
        </w:rPr>
      </w:pPr>
      <w:r w:rsidRPr="00311D21">
        <w:rPr>
          <w:b/>
          <w:bCs/>
          <w:i/>
          <w:iCs/>
        </w:rPr>
        <w:t>Q36 What regulatory and governance reforms would enable the higher education sector to better meet contemporary demands?</w:t>
      </w:r>
    </w:p>
    <w:p w14:paraId="12369337" w14:textId="77777777" w:rsidR="0089077D" w:rsidRDefault="0089077D" w:rsidP="00CE0753">
      <w:pPr>
        <w:rPr>
          <w:b/>
          <w:bCs/>
          <w:i/>
          <w:iCs/>
        </w:rPr>
      </w:pPr>
    </w:p>
    <w:p w14:paraId="71914D85" w14:textId="5A2D2D7A" w:rsidR="00CE0753" w:rsidRPr="00311D21" w:rsidRDefault="00CE0753" w:rsidP="00CE0753">
      <w:pPr>
        <w:rPr>
          <w:b/>
          <w:bCs/>
          <w:i/>
          <w:iCs/>
        </w:rPr>
      </w:pPr>
      <w:r w:rsidRPr="00311D21">
        <w:rPr>
          <w:b/>
          <w:bCs/>
          <w:i/>
          <w:iCs/>
        </w:rPr>
        <w:t>Q37 How could a more coherent and dynamic national governance system for higher education be achieved?</w:t>
      </w:r>
    </w:p>
    <w:p w14:paraId="70B9CEC7" w14:textId="233E9790" w:rsidR="00ED240D" w:rsidRPr="00311D21" w:rsidRDefault="00ED240D" w:rsidP="00ED240D">
      <w:pPr>
        <w:rPr>
          <w:b/>
          <w:bCs/>
          <w:i/>
          <w:iCs/>
        </w:rPr>
      </w:pPr>
    </w:p>
    <w:p w14:paraId="33493F1D" w14:textId="6703FC46" w:rsidR="00ED240D" w:rsidRDefault="00540838" w:rsidP="00ED240D">
      <w:r>
        <w:t>U</w:t>
      </w:r>
      <w:r w:rsidR="00D55C8E">
        <w:t xml:space="preserve">niversities </w:t>
      </w:r>
      <w:r>
        <w:t>operate as</w:t>
      </w:r>
      <w:r w:rsidR="00D55C8E">
        <w:t xml:space="preserve"> peculiar</w:t>
      </w:r>
      <w:r>
        <w:t xml:space="preserve"> organisations</w:t>
      </w:r>
      <w:r w:rsidR="00D55C8E">
        <w:rPr>
          <w:rStyle w:val="FootnoteReference"/>
        </w:rPr>
        <w:footnoteReference w:id="30"/>
      </w:r>
      <w:r>
        <w:t xml:space="preserve"> in what is a complex higher education system. </w:t>
      </w:r>
      <w:r w:rsidR="005E09DE">
        <w:t xml:space="preserve">Governance of universities is usually subject to a ‘fit and proper person test’ but this </w:t>
      </w:r>
      <w:r w:rsidR="00112890">
        <w:t xml:space="preserve">does not extend to any specific knowledge of higher education operations. Australian Institute of Company Directors training may go some way to building skills and knowledge around institutional governance, but this does not in my opinion give sufficient exposure to the governance of universities. </w:t>
      </w:r>
      <w:r w:rsidR="00FC06D8">
        <w:t>Consideration should be given to making participation on university</w:t>
      </w:r>
      <w:r w:rsidR="00DE471C">
        <w:t xml:space="preserve"> and higher education</w:t>
      </w:r>
      <w:r w:rsidR="00FC06D8">
        <w:t xml:space="preserve"> governance bodies as conditional on </w:t>
      </w:r>
      <w:r w:rsidR="00443527">
        <w:t xml:space="preserve">completing accredited </w:t>
      </w:r>
      <w:r w:rsidR="00DE471C">
        <w:t>qualifications</w:t>
      </w:r>
      <w:r w:rsidR="00443527">
        <w:t xml:space="preserve"> </w:t>
      </w:r>
      <w:r w:rsidR="00DE471C">
        <w:t>relevant to</w:t>
      </w:r>
      <w:r w:rsidR="00443527">
        <w:t xml:space="preserve"> higher education</w:t>
      </w:r>
      <w:r w:rsidR="00DE471C">
        <w:t xml:space="preserve"> governance</w:t>
      </w:r>
      <w:r w:rsidR="00443527">
        <w:t xml:space="preserve">. </w:t>
      </w:r>
    </w:p>
    <w:p w14:paraId="23D82E79" w14:textId="77777777" w:rsidR="00F94CF3" w:rsidRDefault="00F94CF3" w:rsidP="00ED240D"/>
    <w:p w14:paraId="1BE598E0" w14:textId="14AA34F6" w:rsidR="00F94CF3" w:rsidRPr="00D55C8E" w:rsidRDefault="00F94CF3" w:rsidP="00ED240D">
      <w:r>
        <w:t xml:space="preserve">As per earlier comments, despite there being philosophical opposition to fee flexibility in Labor circles, </w:t>
      </w:r>
      <w:r w:rsidR="00B71FBE">
        <w:t>fee flexibility is important to addressing higher education challenges</w:t>
      </w:r>
      <w:r w:rsidR="00F74554">
        <w:t>. E</w:t>
      </w:r>
      <w:r w:rsidR="00B71FBE">
        <w:t xml:space="preserve">nhanced and more transparent governance practice </w:t>
      </w:r>
      <w:r w:rsidR="00F74554">
        <w:t xml:space="preserve">might </w:t>
      </w:r>
      <w:r w:rsidR="00FE1DA4">
        <w:t xml:space="preserve">enhance trust in </w:t>
      </w:r>
      <w:r w:rsidR="00EF3F06">
        <w:t xml:space="preserve">the system and provide </w:t>
      </w:r>
      <w:r w:rsidR="00CE0753">
        <w:t xml:space="preserve">a pathway to a more flexible approach. </w:t>
      </w:r>
      <w:r w:rsidR="005C4558">
        <w:t xml:space="preserve"> </w:t>
      </w:r>
    </w:p>
    <w:p w14:paraId="539E5A25" w14:textId="77777777" w:rsidR="00ED240D" w:rsidRPr="00311D21" w:rsidRDefault="00ED240D" w:rsidP="00ED240D">
      <w:pPr>
        <w:rPr>
          <w:b/>
          <w:bCs/>
          <w:i/>
          <w:iCs/>
        </w:rPr>
      </w:pPr>
    </w:p>
    <w:p w14:paraId="7447175A" w14:textId="3721DDE0" w:rsidR="00ED240D" w:rsidRPr="00CE0753" w:rsidRDefault="000B4DBD" w:rsidP="00ED240D">
      <w:r>
        <w:lastRenderedPageBreak/>
        <w:t xml:space="preserve">As per responses to question 2, an Accord mechanism might bring together sector interest groups </w:t>
      </w:r>
      <w:r w:rsidR="00D1155B">
        <w:t xml:space="preserve">to achieve a more coherent and dynamic approach to governance of the system. The big idea that the Accord Panel is encouraged to grapple with is whether we are stuck with the referral of powers </w:t>
      </w:r>
      <w:r w:rsidR="00571295">
        <w:t xml:space="preserve">made in </w:t>
      </w:r>
      <w:r w:rsidR="00E87EC8">
        <w:t>the early 70s</w:t>
      </w:r>
      <w:r w:rsidR="00571295">
        <w:t xml:space="preserve"> and </w:t>
      </w:r>
      <w:r w:rsidR="00E87EC8">
        <w:t>tight Commonwealth control of the system that emerged from the Dawkins reforms of the late 80s. Change would require the Commonwealth to share power and relinquish control</w:t>
      </w:r>
      <w:r w:rsidR="00B80DE4">
        <w:t xml:space="preserve">. With State and Commonwealth governments (barring Tasmania) </w:t>
      </w:r>
      <w:proofErr w:type="gramStart"/>
      <w:r w:rsidR="00B80DE4">
        <w:t>all of</w:t>
      </w:r>
      <w:proofErr w:type="gramEnd"/>
      <w:r w:rsidR="00B80DE4">
        <w:t xml:space="preserve"> the same political hue there </w:t>
      </w:r>
      <w:r w:rsidR="00036A96">
        <w:t xml:space="preserve">is a tremendous opportunity to introduce major reforms. </w:t>
      </w:r>
      <w:r w:rsidR="006E08FC">
        <w:t>The success of a new approach might require a</w:t>
      </w:r>
      <w:r w:rsidR="00A33807">
        <w:t xml:space="preserve">n effective consultation and governance model </w:t>
      </w:r>
      <w:r w:rsidR="006E08FC">
        <w:t xml:space="preserve">set by the Commonwealth, that integrates the legitimate interests of the States, and </w:t>
      </w:r>
      <w:r w:rsidR="00F60E56">
        <w:t xml:space="preserve">which penetrates deeply into those universities prepared to earn greater autonomy and flexibility </w:t>
      </w:r>
      <w:r w:rsidR="00AE752A">
        <w:t xml:space="preserve">by operating in high quality and inclusive manner </w:t>
      </w:r>
      <w:r w:rsidR="0034695E">
        <w:t xml:space="preserve">with </w:t>
      </w:r>
      <w:r w:rsidR="00F60E56">
        <w:t xml:space="preserve">better </w:t>
      </w:r>
      <w:r w:rsidR="0034695E">
        <w:t>and</w:t>
      </w:r>
      <w:r w:rsidR="00F60E56">
        <w:t xml:space="preserve"> more transparent governance</w:t>
      </w:r>
      <w:r w:rsidR="0034695E">
        <w:t>.</w:t>
      </w:r>
    </w:p>
    <w:p w14:paraId="63C6FD17" w14:textId="63E84CB8" w:rsidR="00ED240D" w:rsidRPr="00311D21" w:rsidRDefault="00ED240D" w:rsidP="00ED240D">
      <w:pPr>
        <w:rPr>
          <w:b/>
          <w:bCs/>
          <w:i/>
          <w:iCs/>
        </w:rPr>
      </w:pPr>
    </w:p>
    <w:p w14:paraId="61D4283A" w14:textId="6657C936" w:rsidR="00ED240D" w:rsidRPr="00311D21" w:rsidRDefault="00ED240D" w:rsidP="00ED240D">
      <w:pPr>
        <w:rPr>
          <w:b/>
          <w:bCs/>
          <w:i/>
          <w:iCs/>
        </w:rPr>
      </w:pPr>
      <w:r w:rsidRPr="00311D21">
        <w:rPr>
          <w:b/>
          <w:bCs/>
          <w:i/>
          <w:iCs/>
        </w:rPr>
        <w:t>Q38 How can the Accord support higher education providers to adopt sector-leading employment practices?</w:t>
      </w:r>
    </w:p>
    <w:p w14:paraId="50CEFDA6" w14:textId="72F6ED16" w:rsidR="00ED240D" w:rsidRPr="00311D21" w:rsidRDefault="00ED240D" w:rsidP="00ED240D">
      <w:pPr>
        <w:rPr>
          <w:b/>
          <w:bCs/>
          <w:i/>
          <w:iCs/>
        </w:rPr>
      </w:pPr>
    </w:p>
    <w:p w14:paraId="05F25E15" w14:textId="7A6C1454" w:rsidR="00ED240D" w:rsidRPr="0089077D" w:rsidRDefault="0034695E" w:rsidP="00ED240D">
      <w:r w:rsidRPr="0089077D">
        <w:t>No comment.</w:t>
      </w:r>
    </w:p>
    <w:p w14:paraId="14E77B90" w14:textId="77777777" w:rsidR="0034695E" w:rsidRPr="00311D21" w:rsidRDefault="0034695E" w:rsidP="00ED240D">
      <w:pPr>
        <w:rPr>
          <w:b/>
          <w:bCs/>
          <w:i/>
          <w:iCs/>
        </w:rPr>
      </w:pPr>
    </w:p>
    <w:p w14:paraId="18FB253E" w14:textId="52BA5C0D" w:rsidR="00ED240D" w:rsidRPr="00311D21" w:rsidRDefault="00ED240D" w:rsidP="00ED240D">
      <w:pPr>
        <w:rPr>
          <w:b/>
          <w:bCs/>
          <w:i/>
          <w:iCs/>
        </w:rPr>
      </w:pPr>
      <w:r w:rsidRPr="00311D21">
        <w:rPr>
          <w:b/>
          <w:bCs/>
          <w:i/>
          <w:iCs/>
        </w:rPr>
        <w:t>Q40 What changes are needed to ensure all students are physically and culturally safe while studying?</w:t>
      </w:r>
    </w:p>
    <w:p w14:paraId="04089F86" w14:textId="59DC8250" w:rsidR="00ED240D" w:rsidRPr="00D33A6F" w:rsidRDefault="00ED240D" w:rsidP="00ED240D"/>
    <w:p w14:paraId="7CE810CB" w14:textId="40575E1E" w:rsidR="00ED240D" w:rsidRPr="00D33A6F" w:rsidRDefault="00D33A6F" w:rsidP="00ED240D">
      <w:r>
        <w:t xml:space="preserve">Consistent with observations made about the lack of meaningful consequences for equity performance, </w:t>
      </w:r>
      <w:r w:rsidR="00C15956">
        <w:t xml:space="preserve">the Higher Education Standards Panel and Productivity Commission have recommended that every university had a mental health strategy. </w:t>
      </w:r>
      <w:r w:rsidR="00DD0623">
        <w:t>About</w:t>
      </w:r>
      <w:r w:rsidR="00C15956">
        <w:t xml:space="preserve"> half </w:t>
      </w:r>
      <w:r w:rsidR="00BB4420">
        <w:t xml:space="preserve">of Australian universities have </w:t>
      </w:r>
      <w:r w:rsidR="00DD0623">
        <w:t xml:space="preserve">publicly available mental health strategy, less than half have a </w:t>
      </w:r>
      <w:r w:rsidR="009663DA">
        <w:t xml:space="preserve">publicly accessible and </w:t>
      </w:r>
      <w:r w:rsidR="00DD0623">
        <w:t xml:space="preserve">current </w:t>
      </w:r>
      <w:r w:rsidR="009663DA">
        <w:t xml:space="preserve">mental health strategy. The Accord might consider what might be required to ensure physical and cultural safety when </w:t>
      </w:r>
      <w:r w:rsidR="00CA5EAF">
        <w:t xml:space="preserve">the sector has been so resistant to respond to </w:t>
      </w:r>
      <w:r w:rsidR="009D6095">
        <w:t xml:space="preserve">advice from the Standards Panel. </w:t>
      </w:r>
      <w:r w:rsidR="00904C10">
        <w:t xml:space="preserve">A pathway to fee flexibility combined with meaningful </w:t>
      </w:r>
      <w:r w:rsidR="0067177A">
        <w:t xml:space="preserve">quality, experience and equity performance </w:t>
      </w:r>
      <w:r w:rsidR="00173DED">
        <w:t xml:space="preserve">thresholds provides a more realistic catalyst for inclusion than </w:t>
      </w:r>
      <w:r w:rsidR="0099772A">
        <w:t>un-enforced policy expectations.</w:t>
      </w:r>
    </w:p>
    <w:p w14:paraId="3E92FDA9" w14:textId="281A230C" w:rsidR="00ED240D" w:rsidRPr="00D33A6F" w:rsidRDefault="00ED240D" w:rsidP="00ED240D"/>
    <w:p w14:paraId="0DBF575B" w14:textId="6DD94769" w:rsidR="00ED240D" w:rsidRDefault="00ED240D" w:rsidP="00ED240D">
      <w:pPr>
        <w:rPr>
          <w:b/>
          <w:bCs/>
          <w:i/>
          <w:iCs/>
        </w:rPr>
      </w:pPr>
      <w:r w:rsidRPr="00311D21">
        <w:rPr>
          <w:b/>
          <w:bCs/>
          <w:i/>
          <w:iCs/>
        </w:rPr>
        <w:t>Q42 What settings are needed to ensure academic integrity, and how can new technologies and innovative assessment practices be leveraged to improve academic integrity?</w:t>
      </w:r>
    </w:p>
    <w:p w14:paraId="2A5CAC25" w14:textId="77777777" w:rsidR="0099772A" w:rsidRDefault="0099772A" w:rsidP="00ED240D">
      <w:pPr>
        <w:rPr>
          <w:b/>
          <w:bCs/>
          <w:i/>
          <w:iCs/>
        </w:rPr>
      </w:pPr>
    </w:p>
    <w:p w14:paraId="2A97FA74" w14:textId="1B1BA445" w:rsidR="0099772A" w:rsidRPr="0046196D" w:rsidRDefault="0099772A" w:rsidP="00ED240D">
      <w:r w:rsidRPr="0046196D">
        <w:t>No comment</w:t>
      </w:r>
    </w:p>
    <w:p w14:paraId="4395772A" w14:textId="58094F03" w:rsidR="00ED240D" w:rsidRPr="00311D21" w:rsidRDefault="00ED240D" w:rsidP="00ED240D">
      <w:pPr>
        <w:rPr>
          <w:b/>
          <w:bCs/>
          <w:i/>
          <w:iCs/>
        </w:rPr>
      </w:pPr>
    </w:p>
    <w:p w14:paraId="2DDFD79D" w14:textId="0D0ED2D4" w:rsidR="00ED240D" w:rsidRPr="00311D21" w:rsidRDefault="00ED240D" w:rsidP="00ED240D">
      <w:pPr>
        <w:rPr>
          <w:b/>
          <w:bCs/>
          <w:i/>
          <w:iCs/>
        </w:rPr>
      </w:pPr>
      <w:r w:rsidRPr="00311D21">
        <w:rPr>
          <w:b/>
          <w:bCs/>
          <w:i/>
          <w:iCs/>
        </w:rPr>
        <w:t>Q43 How should the current recovery in international education be managed to increase the resilience and sustainability of Australia’s higher education system, including through diversification of student enrolments from source countries?</w:t>
      </w:r>
    </w:p>
    <w:p w14:paraId="0CBAB469" w14:textId="71A7C5C1" w:rsidR="00ED240D" w:rsidRDefault="00ED240D" w:rsidP="00ED240D">
      <w:pPr>
        <w:rPr>
          <w:b/>
          <w:bCs/>
          <w:i/>
          <w:iCs/>
        </w:rPr>
      </w:pPr>
    </w:p>
    <w:p w14:paraId="47F01DE0" w14:textId="797EA229" w:rsidR="001558F4" w:rsidRPr="003A2B5D" w:rsidRDefault="003A2B5D" w:rsidP="00ED240D">
      <w:r w:rsidRPr="003A2B5D">
        <w:t>See re</w:t>
      </w:r>
      <w:r>
        <w:t xml:space="preserve">sponse to question 6. </w:t>
      </w:r>
      <w:proofErr w:type="gramStart"/>
      <w:r>
        <w:t>An endowment fund,</w:t>
      </w:r>
      <w:proofErr w:type="gramEnd"/>
      <w:r>
        <w:t xml:space="preserve"> partly capitalised by</w:t>
      </w:r>
      <w:r w:rsidR="00393366">
        <w:t xml:space="preserve"> a levy on</w:t>
      </w:r>
      <w:r>
        <w:t xml:space="preserve"> international </w:t>
      </w:r>
      <w:r w:rsidR="00393366">
        <w:t xml:space="preserve">student fees could </w:t>
      </w:r>
      <w:r w:rsidR="0004435D">
        <w:t xml:space="preserve">see returns </w:t>
      </w:r>
      <w:r w:rsidR="00393366">
        <w:t xml:space="preserve">reinvested in new </w:t>
      </w:r>
      <w:r w:rsidR="0004435D">
        <w:t xml:space="preserve">products targeting new and emerging </w:t>
      </w:r>
      <w:r w:rsidR="00393366">
        <w:t>markets</w:t>
      </w:r>
      <w:r w:rsidR="0004435D">
        <w:t>.</w:t>
      </w:r>
    </w:p>
    <w:p w14:paraId="4C5A845C" w14:textId="77777777" w:rsidR="00ED240D" w:rsidRPr="00311D21" w:rsidRDefault="00ED240D" w:rsidP="00ED240D">
      <w:pPr>
        <w:rPr>
          <w:b/>
          <w:bCs/>
          <w:i/>
          <w:iCs/>
        </w:rPr>
      </w:pPr>
    </w:p>
    <w:p w14:paraId="78290E3D" w14:textId="47949204" w:rsidR="00ED240D" w:rsidRPr="00311D21" w:rsidRDefault="00ED240D" w:rsidP="00ED240D">
      <w:pPr>
        <w:rPr>
          <w:b/>
          <w:bCs/>
          <w:i/>
          <w:iCs/>
        </w:rPr>
      </w:pPr>
      <w:r w:rsidRPr="00311D21">
        <w:rPr>
          <w:b/>
          <w:bCs/>
          <w:i/>
          <w:iCs/>
        </w:rPr>
        <w:t>Q44 How can the benefits of international education be shared broadly across the system, including in regional areas, and what level of reporting should there be?</w:t>
      </w:r>
    </w:p>
    <w:p w14:paraId="29B28011" w14:textId="3FE7D322" w:rsidR="00ED240D" w:rsidRPr="00311D21" w:rsidRDefault="00ED240D" w:rsidP="00ED240D">
      <w:pPr>
        <w:rPr>
          <w:b/>
          <w:bCs/>
          <w:i/>
          <w:iCs/>
        </w:rPr>
      </w:pPr>
    </w:p>
    <w:p w14:paraId="36D2DA97" w14:textId="37B773DB" w:rsidR="00220D09" w:rsidRPr="00AB34B5" w:rsidRDefault="00F2709C" w:rsidP="00ED240D">
      <w:r>
        <w:t xml:space="preserve">See response to question 35. A levy on international student revenue could support </w:t>
      </w:r>
      <w:r w:rsidR="002C27DA">
        <w:t>cross subsidy across the system.</w:t>
      </w:r>
      <w:r w:rsidR="004843CC">
        <w:t xml:space="preserve"> This could for example be allocated towards PhD scholarships for international students in regional universities</w:t>
      </w:r>
      <w:r w:rsidR="00AB301C">
        <w:t xml:space="preserve">, bringing the benefits of international education to the region but acknowledging that the international student market remains hesitant in </w:t>
      </w:r>
      <w:r w:rsidR="001558F4">
        <w:t>embracing regional areas.</w:t>
      </w:r>
    </w:p>
    <w:p w14:paraId="17837BE4" w14:textId="2A3497F2" w:rsidR="00220D09" w:rsidRPr="00311D21" w:rsidRDefault="00220D09" w:rsidP="00ED240D">
      <w:pPr>
        <w:rPr>
          <w:b/>
          <w:bCs/>
          <w:i/>
          <w:iCs/>
        </w:rPr>
      </w:pPr>
    </w:p>
    <w:p w14:paraId="3EB5E8A5" w14:textId="751DA8B3" w:rsidR="00220D09" w:rsidRPr="00311D21" w:rsidRDefault="00220D09" w:rsidP="00ED240D">
      <w:pPr>
        <w:rPr>
          <w:b/>
          <w:bCs/>
          <w:i/>
          <w:iCs/>
        </w:rPr>
      </w:pPr>
      <w:r w:rsidRPr="00311D21">
        <w:rPr>
          <w:b/>
          <w:bCs/>
          <w:i/>
          <w:iCs/>
        </w:rPr>
        <w:t>Q48 What principles should underpin the setting of student contributions and Higher Education Loan Program arrangements?</w:t>
      </w:r>
    </w:p>
    <w:p w14:paraId="0DDDC4AE" w14:textId="0FCEFF30" w:rsidR="00220D09" w:rsidRDefault="00220D09" w:rsidP="00ED240D">
      <w:pPr>
        <w:rPr>
          <w:b/>
          <w:bCs/>
          <w:i/>
          <w:iCs/>
        </w:rPr>
      </w:pPr>
    </w:p>
    <w:p w14:paraId="64FCC7E5" w14:textId="51D38AEB" w:rsidR="006702F9" w:rsidRDefault="006702F9" w:rsidP="00ED240D">
      <w:r>
        <w:t xml:space="preserve">The loan program has been operating well for many years, although </w:t>
      </w:r>
      <w:r w:rsidR="00A15B63">
        <w:t xml:space="preserve">funding cluster rates and repayment thresholds have been a focal point for policy tinkering. There are others with more expertise on this topic, but the following ideas may push the boundaries of what is possible with </w:t>
      </w:r>
      <w:r w:rsidR="00F641E8">
        <w:t xml:space="preserve">the higher education loan program. This framework may enable a safer means </w:t>
      </w:r>
      <w:r w:rsidR="00F1026A">
        <w:t xml:space="preserve">of achieving fee flexibility than other options explored in the past. </w:t>
      </w:r>
    </w:p>
    <w:p w14:paraId="56235324" w14:textId="77777777" w:rsidR="006702F9" w:rsidRPr="006702F9" w:rsidRDefault="006702F9" w:rsidP="00ED240D"/>
    <w:p w14:paraId="139C1E86" w14:textId="7489181E" w:rsidR="00807865" w:rsidRPr="00AB34B5" w:rsidRDefault="00807865" w:rsidP="00807865">
      <w:pPr>
        <w:pStyle w:val="ListParagraph"/>
        <w:numPr>
          <w:ilvl w:val="0"/>
          <w:numId w:val="7"/>
        </w:numPr>
      </w:pPr>
      <w:r>
        <w:t xml:space="preserve">All Australian have an entitlement to defer legitimate education expenses to a national loan program. </w:t>
      </w:r>
    </w:p>
    <w:p w14:paraId="3CFD10A0" w14:textId="5DD638D0" w:rsidR="00AB34B5" w:rsidRDefault="00A2638C" w:rsidP="00AB34B5">
      <w:pPr>
        <w:pStyle w:val="ListParagraph"/>
        <w:numPr>
          <w:ilvl w:val="0"/>
          <w:numId w:val="7"/>
        </w:numPr>
      </w:pPr>
      <w:r>
        <w:t>Students should only be able to defer payments to the loan program for legitimate educational purposes that meet quality thresholds</w:t>
      </w:r>
      <w:r w:rsidR="005401C0">
        <w:t xml:space="preserve"> defined through the Accord.</w:t>
      </w:r>
    </w:p>
    <w:p w14:paraId="5B0D8C1D" w14:textId="33F13CD0" w:rsidR="006F74A4" w:rsidRDefault="009F0CCD" w:rsidP="00AB34B5">
      <w:pPr>
        <w:pStyle w:val="ListParagraph"/>
        <w:numPr>
          <w:ilvl w:val="0"/>
          <w:numId w:val="7"/>
        </w:numPr>
      </w:pPr>
      <w:r>
        <w:t xml:space="preserve">Entitlements </w:t>
      </w:r>
      <w:r w:rsidR="005401C0">
        <w:t>are</w:t>
      </w:r>
      <w:r>
        <w:t xml:space="preserve"> capped at a reasonable level </w:t>
      </w:r>
      <w:r w:rsidR="006F74A4">
        <w:t xml:space="preserve">commensurate with </w:t>
      </w:r>
      <w:r w:rsidR="005401C0">
        <w:t xml:space="preserve">successful completion of </w:t>
      </w:r>
      <w:r w:rsidR="006F74A4">
        <w:t>education at a threshold standard.</w:t>
      </w:r>
    </w:p>
    <w:p w14:paraId="49CEF4E0" w14:textId="75A11FF9" w:rsidR="00F10B9D" w:rsidRDefault="008B6C11" w:rsidP="00AB34B5">
      <w:pPr>
        <w:pStyle w:val="ListParagraph"/>
        <w:numPr>
          <w:ilvl w:val="0"/>
          <w:numId w:val="7"/>
        </w:numPr>
      </w:pPr>
      <w:r>
        <w:t xml:space="preserve">Debts accrued </w:t>
      </w:r>
      <w:r w:rsidR="00D903CF">
        <w:t>up to</w:t>
      </w:r>
      <w:r>
        <w:t xml:space="preserve"> the entitlement cap </w:t>
      </w:r>
      <w:r w:rsidR="00D903CF">
        <w:t>are</w:t>
      </w:r>
      <w:r>
        <w:t xml:space="preserve"> income contingent.</w:t>
      </w:r>
    </w:p>
    <w:p w14:paraId="3EE47A22" w14:textId="0E8771BD" w:rsidR="008B6C11" w:rsidRDefault="008B6C11" w:rsidP="00AB34B5">
      <w:pPr>
        <w:pStyle w:val="ListParagraph"/>
        <w:numPr>
          <w:ilvl w:val="0"/>
          <w:numId w:val="7"/>
        </w:numPr>
      </w:pPr>
      <w:r>
        <w:t xml:space="preserve">Debts </w:t>
      </w:r>
      <w:r w:rsidR="00D903CF">
        <w:t xml:space="preserve">may be </w:t>
      </w:r>
      <w:r>
        <w:t xml:space="preserve">accrued above the entitlement cap </w:t>
      </w:r>
      <w:r w:rsidR="00D903CF">
        <w:t>through</w:t>
      </w:r>
      <w:r>
        <w:t xml:space="preserve"> </w:t>
      </w:r>
      <w:r w:rsidR="00372D64">
        <w:t>institutions approved to operate with fee flexibility</w:t>
      </w:r>
      <w:r w:rsidR="00D903CF">
        <w:t xml:space="preserve">, or </w:t>
      </w:r>
      <w:r w:rsidR="00104E5E">
        <w:t>through participating in lifelong learning</w:t>
      </w:r>
      <w:r w:rsidR="00372D64">
        <w:t>.</w:t>
      </w:r>
    </w:p>
    <w:p w14:paraId="44A256D8" w14:textId="510654F5" w:rsidR="00372D64" w:rsidRDefault="00372D64" w:rsidP="00AB34B5">
      <w:pPr>
        <w:pStyle w:val="ListParagraph"/>
        <w:numPr>
          <w:ilvl w:val="0"/>
          <w:numId w:val="7"/>
        </w:numPr>
      </w:pPr>
      <w:r>
        <w:t xml:space="preserve">Debts above the entitlement cap will not be income contingent and will require </w:t>
      </w:r>
      <w:r w:rsidR="006702F9">
        <w:t>minimum annual payment.</w:t>
      </w:r>
    </w:p>
    <w:p w14:paraId="5019D6A7" w14:textId="1480DF63" w:rsidR="00104E5E" w:rsidRDefault="00104E5E" w:rsidP="00AB34B5">
      <w:pPr>
        <w:pStyle w:val="ListParagraph"/>
        <w:numPr>
          <w:ilvl w:val="0"/>
          <w:numId w:val="7"/>
        </w:numPr>
      </w:pPr>
      <w:r>
        <w:t xml:space="preserve">Non-repayment of the minimum annual payment </w:t>
      </w:r>
      <w:r w:rsidR="00811193">
        <w:t>will revoke access to further accrual of debt.</w:t>
      </w:r>
    </w:p>
    <w:p w14:paraId="7F518BA6" w14:textId="7766ECE0" w:rsidR="00E047A5" w:rsidRDefault="00A83618" w:rsidP="00AB34B5">
      <w:pPr>
        <w:pStyle w:val="ListParagraph"/>
        <w:numPr>
          <w:ilvl w:val="0"/>
          <w:numId w:val="7"/>
        </w:numPr>
      </w:pPr>
      <w:r>
        <w:t xml:space="preserve">The legislative framework for debt accrual </w:t>
      </w:r>
      <w:r w:rsidR="00811193">
        <w:t xml:space="preserve">and legitimate educational purposes </w:t>
      </w:r>
      <w:r>
        <w:t>should be positioned as a matter for higher education policy</w:t>
      </w:r>
      <w:r w:rsidR="00811193">
        <w:t xml:space="preserve"> </w:t>
      </w:r>
      <w:r w:rsidR="00593100">
        <w:t xml:space="preserve">informed by the Accord. </w:t>
      </w:r>
    </w:p>
    <w:p w14:paraId="0221183D" w14:textId="1FAF15A0" w:rsidR="00F1026A" w:rsidRDefault="00A83618" w:rsidP="00AB34B5">
      <w:pPr>
        <w:pStyle w:val="ListParagraph"/>
        <w:numPr>
          <w:ilvl w:val="0"/>
          <w:numId w:val="7"/>
        </w:numPr>
      </w:pPr>
      <w:r>
        <w:t xml:space="preserve">The legislative framework for </w:t>
      </w:r>
      <w:r w:rsidR="00E047A5">
        <w:t xml:space="preserve">loan program </w:t>
      </w:r>
      <w:r>
        <w:t>repayment</w:t>
      </w:r>
      <w:r w:rsidR="006C12CF">
        <w:t>s</w:t>
      </w:r>
      <w:r>
        <w:t xml:space="preserve"> should be treated as a matter of taxation policy and </w:t>
      </w:r>
      <w:r w:rsidR="006C12CF">
        <w:t>removed as a component</w:t>
      </w:r>
      <w:r w:rsidR="00E047A5">
        <w:t xml:space="preserve"> </w:t>
      </w:r>
      <w:r w:rsidR="006C12CF">
        <w:t>of</w:t>
      </w:r>
      <w:r w:rsidR="00E047A5">
        <w:t xml:space="preserve"> higher education </w:t>
      </w:r>
      <w:r w:rsidR="006C12CF">
        <w:t>policy</w:t>
      </w:r>
      <w:r w:rsidR="00E047A5">
        <w:t>.</w:t>
      </w:r>
    </w:p>
    <w:p w14:paraId="13207BDA" w14:textId="603C2280" w:rsidR="00220D09" w:rsidRPr="00311D21" w:rsidRDefault="00220D09" w:rsidP="00ED240D">
      <w:pPr>
        <w:rPr>
          <w:b/>
          <w:bCs/>
          <w:i/>
          <w:iCs/>
        </w:rPr>
      </w:pPr>
    </w:p>
    <w:p w14:paraId="7E046D33" w14:textId="62B7EDFA" w:rsidR="00220D09" w:rsidRDefault="00220D09" w:rsidP="00ED240D">
      <w:pPr>
        <w:rPr>
          <w:b/>
          <w:bCs/>
          <w:i/>
          <w:iCs/>
        </w:rPr>
      </w:pPr>
      <w:r w:rsidRPr="00311D21">
        <w:rPr>
          <w:b/>
          <w:bCs/>
          <w:i/>
          <w:iCs/>
        </w:rPr>
        <w:t>Q49 Which aspects of the JRG package should be altered, and which should be retained?</w:t>
      </w:r>
    </w:p>
    <w:p w14:paraId="3202BA37" w14:textId="77777777" w:rsidR="00381D58" w:rsidRDefault="00381D58" w:rsidP="00ED240D">
      <w:pPr>
        <w:rPr>
          <w:b/>
          <w:bCs/>
          <w:i/>
          <w:iCs/>
        </w:rPr>
      </w:pPr>
    </w:p>
    <w:p w14:paraId="204E339E" w14:textId="01FE8AD1" w:rsidR="00381D58" w:rsidRPr="00381D58" w:rsidRDefault="00381D58" w:rsidP="00ED240D">
      <w:r>
        <w:t xml:space="preserve">There is little to commend in the JRG package. Governance accountability measures were a step forward and sharpen focus on </w:t>
      </w:r>
      <w:r w:rsidR="008A0B8A">
        <w:t>the consequences of poor conduct or poor institutional performance.</w:t>
      </w:r>
      <w:r w:rsidR="00ED4378">
        <w:t xml:space="preserve"> Other matters including funding cluster changes, </w:t>
      </w:r>
      <w:r w:rsidR="005401C0">
        <w:t>and penalties for students that fail should be remade and repealed through the accord process.</w:t>
      </w:r>
    </w:p>
    <w:sectPr w:rsidR="00381D58" w:rsidRPr="00381D5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B3B4" w14:textId="77777777" w:rsidR="00582700" w:rsidRDefault="00582700" w:rsidP="003B4B01">
      <w:r>
        <w:separator/>
      </w:r>
    </w:p>
  </w:endnote>
  <w:endnote w:type="continuationSeparator" w:id="0">
    <w:p w14:paraId="209F9EFD" w14:textId="77777777" w:rsidR="00582700" w:rsidRDefault="00582700" w:rsidP="003B4B01">
      <w:r>
        <w:continuationSeparator/>
      </w:r>
    </w:p>
  </w:endnote>
  <w:endnote w:type="continuationNotice" w:id="1">
    <w:p w14:paraId="0930EED3" w14:textId="77777777" w:rsidR="00F40DD2" w:rsidRDefault="00F40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0C16" w14:textId="79CEA02F" w:rsidR="00205D92" w:rsidRPr="000C3AAA" w:rsidRDefault="00205D92" w:rsidP="000C3AAA">
    <w:pPr>
      <w:pStyle w:val="Footer"/>
      <w:jc w:val="right"/>
      <w:rPr>
        <w:rFonts w:cstheme="minorHAnsi"/>
        <w:sz w:val="20"/>
        <w:szCs w:val="20"/>
      </w:rPr>
    </w:pPr>
    <w:r w:rsidRPr="000C3AAA">
      <w:rPr>
        <w:rFonts w:cstheme="minorHAnsi"/>
        <w:sz w:val="20"/>
        <w:szCs w:val="20"/>
        <w:lang w:val="en-GB"/>
      </w:rPr>
      <w:t xml:space="preserve">Page </w:t>
    </w:r>
    <w:r w:rsidRPr="000C3AAA">
      <w:rPr>
        <w:rFonts w:cstheme="minorHAnsi"/>
        <w:sz w:val="20"/>
        <w:szCs w:val="20"/>
        <w:lang w:val="en-GB"/>
      </w:rPr>
      <w:fldChar w:fldCharType="begin"/>
    </w:r>
    <w:r w:rsidRPr="000C3AAA">
      <w:rPr>
        <w:rFonts w:cstheme="minorHAnsi"/>
        <w:sz w:val="20"/>
        <w:szCs w:val="20"/>
        <w:lang w:val="en-GB"/>
      </w:rPr>
      <w:instrText xml:space="preserve"> PAGE </w:instrText>
    </w:r>
    <w:r w:rsidRPr="000C3AAA">
      <w:rPr>
        <w:rFonts w:cstheme="minorHAnsi"/>
        <w:sz w:val="20"/>
        <w:szCs w:val="20"/>
        <w:lang w:val="en-GB"/>
      </w:rPr>
      <w:fldChar w:fldCharType="separate"/>
    </w:r>
    <w:r w:rsidRPr="000C3AAA">
      <w:rPr>
        <w:rFonts w:cstheme="minorHAnsi"/>
        <w:noProof/>
        <w:sz w:val="20"/>
        <w:szCs w:val="20"/>
        <w:lang w:val="en-GB"/>
      </w:rPr>
      <w:t>1</w:t>
    </w:r>
    <w:r w:rsidRPr="000C3AAA">
      <w:rPr>
        <w:rFonts w:cstheme="minorHAnsi"/>
        <w:sz w:val="20"/>
        <w:szCs w:val="20"/>
        <w:lang w:val="en-GB"/>
      </w:rPr>
      <w:fldChar w:fldCharType="end"/>
    </w:r>
    <w:r w:rsidRPr="000C3AAA">
      <w:rPr>
        <w:rFonts w:cstheme="minorHAnsi"/>
        <w:sz w:val="20"/>
        <w:szCs w:val="20"/>
        <w:lang w:val="en-GB"/>
      </w:rPr>
      <w:t xml:space="preserve"> of </w:t>
    </w:r>
    <w:r w:rsidRPr="000C3AAA">
      <w:rPr>
        <w:rFonts w:cstheme="minorHAnsi"/>
        <w:sz w:val="20"/>
        <w:szCs w:val="20"/>
        <w:lang w:val="en-GB"/>
      </w:rPr>
      <w:fldChar w:fldCharType="begin"/>
    </w:r>
    <w:r w:rsidRPr="000C3AAA">
      <w:rPr>
        <w:rFonts w:cstheme="minorHAnsi"/>
        <w:sz w:val="20"/>
        <w:szCs w:val="20"/>
        <w:lang w:val="en-GB"/>
      </w:rPr>
      <w:instrText xml:space="preserve"> NUMPAGES </w:instrText>
    </w:r>
    <w:r w:rsidRPr="000C3AAA">
      <w:rPr>
        <w:rFonts w:cstheme="minorHAnsi"/>
        <w:sz w:val="20"/>
        <w:szCs w:val="20"/>
        <w:lang w:val="en-GB"/>
      </w:rPr>
      <w:fldChar w:fldCharType="separate"/>
    </w:r>
    <w:r w:rsidRPr="000C3AAA">
      <w:rPr>
        <w:rFonts w:cstheme="minorHAnsi"/>
        <w:noProof/>
        <w:sz w:val="20"/>
        <w:szCs w:val="20"/>
        <w:lang w:val="en-GB"/>
      </w:rPr>
      <w:t>13</w:t>
    </w:r>
    <w:r w:rsidRPr="000C3AAA">
      <w:rPr>
        <w:rFonts w:cstheme="minorHAnsi"/>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99D0" w14:textId="77777777" w:rsidR="00582700" w:rsidRDefault="00582700" w:rsidP="003B4B01">
      <w:r>
        <w:separator/>
      </w:r>
    </w:p>
  </w:footnote>
  <w:footnote w:type="continuationSeparator" w:id="0">
    <w:p w14:paraId="4BC0DCEF" w14:textId="77777777" w:rsidR="00582700" w:rsidRDefault="00582700" w:rsidP="003B4B01">
      <w:r>
        <w:continuationSeparator/>
      </w:r>
    </w:p>
  </w:footnote>
  <w:footnote w:type="continuationNotice" w:id="1">
    <w:p w14:paraId="0EFAB25C" w14:textId="77777777" w:rsidR="00F40DD2" w:rsidRDefault="00F40DD2"/>
  </w:footnote>
  <w:footnote w:id="2">
    <w:p w14:paraId="1BFE7669" w14:textId="3C80483E" w:rsidR="009C5BBB" w:rsidRDefault="009C5BBB" w:rsidP="009C5BBB">
      <w:pPr>
        <w:pStyle w:val="FootnoteText"/>
      </w:pPr>
      <w:r>
        <w:rPr>
          <w:rStyle w:val="FootnoteReference"/>
        </w:rPr>
        <w:footnoteRef/>
      </w:r>
      <w:r>
        <w:t xml:space="preserve"> Brett, M. 2020</w:t>
      </w:r>
      <w:r w:rsidR="00071015">
        <w:t>,</w:t>
      </w:r>
      <w:r>
        <w:t xml:space="preserve"> </w:t>
      </w:r>
      <w:hyperlink r:id="rId1" w:history="1">
        <w:r w:rsidRPr="00855127">
          <w:rPr>
            <w:rStyle w:val="Hyperlink"/>
          </w:rPr>
          <w:t>The Heredity of Australian Higher Education</w:t>
        </w:r>
      </w:hyperlink>
      <w:r>
        <w:t xml:space="preserve"> </w:t>
      </w:r>
    </w:p>
  </w:footnote>
  <w:footnote w:id="3">
    <w:p w14:paraId="50E89F77" w14:textId="654AD490" w:rsidR="003B4B01" w:rsidRDefault="003B4B01">
      <w:pPr>
        <w:pStyle w:val="FootnoteText"/>
      </w:pPr>
      <w:r>
        <w:rPr>
          <w:rStyle w:val="FootnoteReference"/>
        </w:rPr>
        <w:footnoteRef/>
      </w:r>
      <w:r>
        <w:t xml:space="preserve"> </w:t>
      </w:r>
      <w:r w:rsidR="007B57A4">
        <w:t xml:space="preserve">Federal Register of Legislation, </w:t>
      </w:r>
      <w:hyperlink r:id="rId2" w:history="1">
        <w:r w:rsidR="00922BBB" w:rsidRPr="00922BBB">
          <w:rPr>
            <w:rStyle w:val="Hyperlink"/>
          </w:rPr>
          <w:t>Higher Education Support Act 2003, Amendments</w:t>
        </w:r>
      </w:hyperlink>
    </w:p>
  </w:footnote>
  <w:footnote w:id="4">
    <w:p w14:paraId="1F0F2770" w14:textId="4323B8E8" w:rsidR="007B57A4" w:rsidRDefault="007B57A4">
      <w:pPr>
        <w:pStyle w:val="FootnoteText"/>
      </w:pPr>
      <w:r>
        <w:rPr>
          <w:rStyle w:val="FootnoteReference"/>
        </w:rPr>
        <w:footnoteRef/>
      </w:r>
      <w:r>
        <w:t xml:space="preserve"> Federal Register of Legislation, </w:t>
      </w:r>
      <w:hyperlink r:id="rId3" w:history="1">
        <w:r w:rsidRPr="007B57A4">
          <w:rPr>
            <w:rStyle w:val="Hyperlink"/>
          </w:rPr>
          <w:t>Higher Education Support Act 2003, Enables</w:t>
        </w:r>
      </w:hyperlink>
    </w:p>
  </w:footnote>
  <w:footnote w:id="5">
    <w:p w14:paraId="1DEB129E" w14:textId="07722390" w:rsidR="006353FB" w:rsidRDefault="006353FB">
      <w:pPr>
        <w:pStyle w:val="FootnoteText"/>
      </w:pPr>
      <w:r>
        <w:rPr>
          <w:rStyle w:val="FootnoteReference"/>
        </w:rPr>
        <w:footnoteRef/>
      </w:r>
      <w:r>
        <w:t xml:space="preserve"> Victorian Legislation,</w:t>
      </w:r>
      <w:r w:rsidR="0091552C">
        <w:t xml:space="preserve"> version histories</w:t>
      </w:r>
      <w:r>
        <w:t xml:space="preserve"> </w:t>
      </w:r>
      <w:hyperlink r:id="rId4" w:history="1">
        <w:r w:rsidRPr="006353FB">
          <w:rPr>
            <w:rStyle w:val="Hyperlink"/>
          </w:rPr>
          <w:t>University of Melbourne Act 2009</w:t>
        </w:r>
      </w:hyperlink>
      <w:r>
        <w:t xml:space="preserve">, </w:t>
      </w:r>
      <w:hyperlink r:id="rId5" w:history="1">
        <w:r w:rsidR="0091552C" w:rsidRPr="0091552C">
          <w:rPr>
            <w:rStyle w:val="Hyperlink"/>
          </w:rPr>
          <w:t>Melbourne University Act 1958</w:t>
        </w:r>
      </w:hyperlink>
    </w:p>
  </w:footnote>
  <w:footnote w:id="6">
    <w:p w14:paraId="3D236CB5" w14:textId="17FDF249" w:rsidR="002D17D9" w:rsidRDefault="002D17D9">
      <w:pPr>
        <w:pStyle w:val="FootnoteText"/>
      </w:pPr>
      <w:r>
        <w:rPr>
          <w:rStyle w:val="FootnoteReference"/>
        </w:rPr>
        <w:footnoteRef/>
      </w:r>
      <w:r>
        <w:t xml:space="preserve"> </w:t>
      </w:r>
      <w:r w:rsidR="00D1769B">
        <w:t xml:space="preserve">Described in Eaton, C. and Stevens, M. L. </w:t>
      </w:r>
      <w:r w:rsidR="0010225B">
        <w:t xml:space="preserve">2020, </w:t>
      </w:r>
      <w:hyperlink r:id="rId6" w:history="1">
        <w:r w:rsidR="0010225B" w:rsidRPr="0010225B">
          <w:rPr>
            <w:rStyle w:val="Hyperlink"/>
          </w:rPr>
          <w:t>Universities as peculiar organizations</w:t>
        </w:r>
      </w:hyperlink>
    </w:p>
  </w:footnote>
  <w:footnote w:id="7">
    <w:p w14:paraId="5071D7E7" w14:textId="77777777" w:rsidR="001E28BB" w:rsidRDefault="006C7ED2" w:rsidP="001E28BB">
      <w:pPr>
        <w:pStyle w:val="FootnoteText"/>
      </w:pPr>
      <w:r>
        <w:rPr>
          <w:rStyle w:val="FootnoteReference"/>
        </w:rPr>
        <w:footnoteRef/>
      </w:r>
      <w:r>
        <w:t xml:space="preserve"> </w:t>
      </w:r>
      <w:r w:rsidR="001E28BB">
        <w:t xml:space="preserve">Federal Register of Legislation, </w:t>
      </w:r>
      <w:hyperlink r:id="rId7" w:history="1">
        <w:r w:rsidR="001E28BB">
          <w:rPr>
            <w:rStyle w:val="Hyperlink"/>
          </w:rPr>
          <w:t>Higher Education Support Act 2003, Principal Legislation</w:t>
        </w:r>
      </w:hyperlink>
    </w:p>
    <w:p w14:paraId="06E747F0" w14:textId="233F76FC" w:rsidR="006C7ED2" w:rsidRDefault="001E28BB">
      <w:pPr>
        <w:pStyle w:val="FootnoteText"/>
      </w:pPr>
      <w:r>
        <w:t xml:space="preserve"> and </w:t>
      </w:r>
      <w:hyperlink r:id="rId8" w:history="1">
        <w:r w:rsidR="00835D3F" w:rsidRPr="00835D3F">
          <w:rPr>
            <w:rStyle w:val="Hyperlink"/>
          </w:rPr>
          <w:t>Higher Education Support Act 2003 Compilation 2023C00057</w:t>
        </w:r>
      </w:hyperlink>
      <w:r w:rsidR="00835D3F">
        <w:t xml:space="preserve"> </w:t>
      </w:r>
    </w:p>
  </w:footnote>
  <w:footnote w:id="8">
    <w:p w14:paraId="3574115E" w14:textId="1BFD7D80" w:rsidR="00E17D13" w:rsidRDefault="00E17D13">
      <w:pPr>
        <w:pStyle w:val="FootnoteText"/>
      </w:pPr>
      <w:r>
        <w:rPr>
          <w:rStyle w:val="FootnoteReference"/>
        </w:rPr>
        <w:footnoteRef/>
      </w:r>
      <w:r>
        <w:t xml:space="preserve"> </w:t>
      </w:r>
      <w:hyperlink r:id="rId9" w:history="1">
        <w:r w:rsidR="00023873" w:rsidRPr="00835D3F">
          <w:rPr>
            <w:rStyle w:val="Hyperlink"/>
          </w:rPr>
          <w:t>The Higher Education Loan Program (HELP) and related loans: a chronology</w:t>
        </w:r>
      </w:hyperlink>
      <w:r w:rsidR="00023873">
        <w:t xml:space="preserve"> </w:t>
      </w:r>
    </w:p>
  </w:footnote>
  <w:footnote w:id="9">
    <w:p w14:paraId="5B06B2E2" w14:textId="4D2EBC4B" w:rsidR="001767BB" w:rsidRDefault="001767BB" w:rsidP="001767BB">
      <w:pPr>
        <w:pStyle w:val="FootnoteText"/>
      </w:pPr>
      <w:r>
        <w:rPr>
          <w:rStyle w:val="FootnoteReference"/>
        </w:rPr>
        <w:footnoteRef/>
      </w:r>
      <w:r>
        <w:t xml:space="preserve"> </w:t>
      </w:r>
      <w:hyperlink r:id="rId10" w:history="1">
        <w:r w:rsidRPr="00835D3F">
          <w:rPr>
            <w:rStyle w:val="Hyperlink"/>
          </w:rPr>
          <w:t>Education Legislation Amendment (Startup Year and Other Measures) Bill 2023</w:t>
        </w:r>
      </w:hyperlink>
      <w:r>
        <w:rPr>
          <w:b/>
          <w:bCs/>
        </w:rPr>
        <w:t xml:space="preserve"> </w:t>
      </w:r>
    </w:p>
  </w:footnote>
  <w:footnote w:id="10">
    <w:p w14:paraId="7324B40C" w14:textId="19EB46B2" w:rsidR="00AB7118" w:rsidRDefault="00AB7118">
      <w:pPr>
        <w:pStyle w:val="FootnoteText"/>
      </w:pPr>
      <w:r>
        <w:rPr>
          <w:rStyle w:val="FootnoteReference"/>
        </w:rPr>
        <w:footnoteRef/>
      </w:r>
      <w:r>
        <w:t xml:space="preserve"> </w:t>
      </w:r>
      <w:r w:rsidR="008D5B97">
        <w:t xml:space="preserve">Brett, M, 2020 </w:t>
      </w:r>
      <w:r>
        <w:t>The Heredity of Australian Higher Education, p</w:t>
      </w:r>
      <w:r w:rsidR="00EE0342">
        <w:t>182</w:t>
      </w:r>
    </w:p>
  </w:footnote>
  <w:footnote w:id="11">
    <w:p w14:paraId="3BE58AE2" w14:textId="5B367265" w:rsidR="008779B4" w:rsidRDefault="008779B4">
      <w:pPr>
        <w:pStyle w:val="FootnoteText"/>
      </w:pPr>
      <w:r>
        <w:rPr>
          <w:rStyle w:val="FootnoteReference"/>
        </w:rPr>
        <w:footnoteRef/>
      </w:r>
      <w:r>
        <w:t xml:space="preserve"> </w:t>
      </w:r>
      <w:r w:rsidR="008D5B97">
        <w:t xml:space="preserve">Norton, A. 2023 </w:t>
      </w:r>
      <w:hyperlink r:id="rId11" w:history="1">
        <w:r w:rsidR="00D362CE">
          <w:rPr>
            <w:rStyle w:val="Hyperlink"/>
          </w:rPr>
          <w:t>Is it helpful to have so many HELPs?</w:t>
        </w:r>
      </w:hyperlink>
    </w:p>
  </w:footnote>
  <w:footnote w:id="12">
    <w:p w14:paraId="0C7C0A04" w14:textId="4F0ECEA2" w:rsidR="00855127" w:rsidRDefault="00855127">
      <w:pPr>
        <w:pStyle w:val="FootnoteText"/>
      </w:pPr>
      <w:r>
        <w:rPr>
          <w:rStyle w:val="FootnoteReference"/>
        </w:rPr>
        <w:footnoteRef/>
      </w:r>
      <w:r>
        <w:t xml:space="preserve"> </w:t>
      </w:r>
      <w:hyperlink r:id="rId12" w:history="1">
        <w:r w:rsidRPr="001A0FA9">
          <w:rPr>
            <w:rStyle w:val="Hyperlink"/>
          </w:rPr>
          <w:t>States Grants (Universities) Act 1951 (No. 81, 1951)</w:t>
        </w:r>
      </w:hyperlink>
    </w:p>
  </w:footnote>
  <w:footnote w:id="13">
    <w:p w14:paraId="5C60FE7B" w14:textId="4B22DFA0" w:rsidR="00C438CA" w:rsidRDefault="00C438CA">
      <w:pPr>
        <w:pStyle w:val="FootnoteText"/>
      </w:pPr>
      <w:r>
        <w:rPr>
          <w:rStyle w:val="FootnoteReference"/>
        </w:rPr>
        <w:footnoteRef/>
      </w:r>
      <w:r>
        <w:t xml:space="preserve"> </w:t>
      </w:r>
      <w:hyperlink r:id="rId13" w:history="1">
        <w:r w:rsidRPr="00FF3F90">
          <w:rPr>
            <w:rStyle w:val="Hyperlink"/>
          </w:rPr>
          <w:t>States Grants</w:t>
        </w:r>
        <w:r w:rsidR="00FF3F90" w:rsidRPr="00FF3F90">
          <w:rPr>
            <w:rStyle w:val="Hyperlink"/>
          </w:rPr>
          <w:t xml:space="preserve"> (Tertiary Education Assistance) Act 1984</w:t>
        </w:r>
      </w:hyperlink>
    </w:p>
  </w:footnote>
  <w:footnote w:id="14">
    <w:p w14:paraId="502EC48B" w14:textId="48162DDE" w:rsidR="00300CBF" w:rsidRDefault="00300CBF">
      <w:pPr>
        <w:pStyle w:val="FootnoteText"/>
      </w:pPr>
      <w:r>
        <w:rPr>
          <w:rStyle w:val="FootnoteReference"/>
        </w:rPr>
        <w:footnoteRef/>
      </w:r>
      <w:r>
        <w:t xml:space="preserve"> </w:t>
      </w:r>
      <w:hyperlink r:id="rId14" w:history="1">
        <w:r w:rsidRPr="006C2D8E">
          <w:rPr>
            <w:rStyle w:val="Hyperlink"/>
          </w:rPr>
          <w:t xml:space="preserve">Higher </w:t>
        </w:r>
        <w:r w:rsidR="00F210E5" w:rsidRPr="006C2D8E">
          <w:rPr>
            <w:rStyle w:val="Hyperlink"/>
          </w:rPr>
          <w:t>Education Funding Act 1988</w:t>
        </w:r>
        <w:r w:rsidR="006C2D8E" w:rsidRPr="006C2D8E">
          <w:rPr>
            <w:rStyle w:val="Hyperlink"/>
          </w:rPr>
          <w:t>, Principal Legislation</w:t>
        </w:r>
      </w:hyperlink>
    </w:p>
  </w:footnote>
  <w:footnote w:id="15">
    <w:p w14:paraId="76CCD2B6" w14:textId="74F5E4D7" w:rsidR="00AC5166" w:rsidRDefault="00AC5166">
      <w:pPr>
        <w:pStyle w:val="FootnoteText"/>
      </w:pPr>
      <w:r>
        <w:rPr>
          <w:rStyle w:val="FootnoteReference"/>
        </w:rPr>
        <w:footnoteRef/>
      </w:r>
      <w:r>
        <w:t xml:space="preserve"> </w:t>
      </w:r>
      <w:hyperlink r:id="rId15" w:history="1">
        <w:r w:rsidRPr="00986EF9">
          <w:rPr>
            <w:rStyle w:val="Hyperlink"/>
          </w:rPr>
          <w:t>W. Max Corden</w:t>
        </w:r>
        <w:r w:rsidR="00986EF9" w:rsidRPr="00986EF9">
          <w:rPr>
            <w:rStyle w:val="Hyperlink"/>
          </w:rPr>
          <w:t xml:space="preserve"> 2005</w:t>
        </w:r>
        <w:r w:rsidRPr="00986EF9">
          <w:rPr>
            <w:rStyle w:val="Hyperlink"/>
          </w:rPr>
          <w:t xml:space="preserve">, Australian universities: Moscow on the Molonglo, </w:t>
        </w:r>
        <w:r w:rsidRPr="00986EF9">
          <w:rPr>
            <w:rStyle w:val="Hyperlink"/>
            <w:i/>
            <w:iCs/>
          </w:rPr>
          <w:t>Quadrant</w:t>
        </w:r>
        <w:r w:rsidRPr="00986EF9">
          <w:rPr>
            <w:rStyle w:val="Hyperlink"/>
          </w:rPr>
          <w:t>, 49, no. 11</w:t>
        </w:r>
      </w:hyperlink>
    </w:p>
  </w:footnote>
  <w:footnote w:id="16">
    <w:p w14:paraId="2DBC1B52" w14:textId="0EED1424" w:rsidR="008A0649" w:rsidRDefault="008A0649">
      <w:pPr>
        <w:pStyle w:val="FootnoteText"/>
      </w:pPr>
      <w:r>
        <w:rPr>
          <w:rStyle w:val="FootnoteReference"/>
        </w:rPr>
        <w:footnoteRef/>
      </w:r>
      <w:r>
        <w:t xml:space="preserve"> Discussed in analysis of place allocations in Norton, A. </w:t>
      </w:r>
      <w:r w:rsidR="007C6EF3">
        <w:t xml:space="preserve">2021 </w:t>
      </w:r>
      <w:hyperlink r:id="rId16" w:history="1">
        <w:r w:rsidR="007C6EF3" w:rsidRPr="007C6EF3">
          <w:rPr>
            <w:rStyle w:val="Hyperlink"/>
          </w:rPr>
          <w:t>New allocations of money and student places in the university funding agreements</w:t>
        </w:r>
      </w:hyperlink>
    </w:p>
  </w:footnote>
  <w:footnote w:id="17">
    <w:p w14:paraId="15586401" w14:textId="05C8F245" w:rsidR="00FF270B" w:rsidRDefault="00FF270B">
      <w:pPr>
        <w:pStyle w:val="FootnoteText"/>
      </w:pPr>
      <w:r>
        <w:rPr>
          <w:rStyle w:val="FootnoteReference"/>
        </w:rPr>
        <w:footnoteRef/>
      </w:r>
      <w:r>
        <w:t xml:space="preserve"> </w:t>
      </w:r>
      <w:r w:rsidR="001F7ABB">
        <w:t xml:space="preserve">NSW Health, </w:t>
      </w:r>
      <w:hyperlink r:id="rId17" w:history="1">
        <w:r w:rsidR="001F7ABB" w:rsidRPr="004E2FE9">
          <w:rPr>
            <w:rStyle w:val="Hyperlink"/>
          </w:rPr>
          <w:t>Undergraduate Clinical Placement Grants</w:t>
        </w:r>
      </w:hyperlink>
      <w:r w:rsidR="00093DC7">
        <w:t xml:space="preserve">, </w:t>
      </w:r>
      <w:hyperlink r:id="rId18" w:history="1">
        <w:r w:rsidR="00835C47" w:rsidRPr="000D79D4">
          <w:rPr>
            <w:rStyle w:val="Hyperlink"/>
          </w:rPr>
          <w:t>Allied Health Rural HECS HELP Incentive Package</w:t>
        </w:r>
      </w:hyperlink>
    </w:p>
  </w:footnote>
  <w:footnote w:id="18">
    <w:p w14:paraId="6FE72EE2" w14:textId="32BCA737" w:rsidR="00C53DAF" w:rsidRDefault="00C53DAF">
      <w:pPr>
        <w:pStyle w:val="FootnoteText"/>
      </w:pPr>
      <w:r>
        <w:rPr>
          <w:rStyle w:val="FootnoteReference"/>
        </w:rPr>
        <w:footnoteRef/>
      </w:r>
      <w:r>
        <w:t xml:space="preserve"> Vic</w:t>
      </w:r>
      <w:r w:rsidR="003D65B2">
        <w:t xml:space="preserve">toria Department of </w:t>
      </w:r>
      <w:r>
        <w:t xml:space="preserve">Health, </w:t>
      </w:r>
      <w:hyperlink r:id="rId19" w:history="1">
        <w:r w:rsidR="003D65B2" w:rsidRPr="003D65B2">
          <w:rPr>
            <w:rStyle w:val="Hyperlink"/>
          </w:rPr>
          <w:t>Undergraduate Nursing and Midwifery Scholarships</w:t>
        </w:r>
      </w:hyperlink>
    </w:p>
  </w:footnote>
  <w:footnote w:id="19">
    <w:p w14:paraId="5D0EE8D7" w14:textId="77777777" w:rsidR="00752258" w:rsidRDefault="00752258" w:rsidP="00752258">
      <w:pPr>
        <w:pStyle w:val="FootnoteText"/>
      </w:pPr>
      <w:r>
        <w:rPr>
          <w:rStyle w:val="FootnoteReference"/>
        </w:rPr>
        <w:footnoteRef/>
      </w:r>
      <w:r>
        <w:t xml:space="preserve"> </w:t>
      </w:r>
      <w:proofErr w:type="spellStart"/>
      <w:r>
        <w:t>Cardak</w:t>
      </w:r>
      <w:proofErr w:type="spellEnd"/>
      <w:r>
        <w:t xml:space="preserve">, B., Brett, M. and Burt, S. 2022. </w:t>
      </w:r>
      <w:hyperlink r:id="rId20" w:history="1">
        <w:r w:rsidRPr="007263E4">
          <w:rPr>
            <w:rStyle w:val="Hyperlink"/>
          </w:rPr>
          <w:t>Explaining domestic student enrolment growth in Australian private universities and colleges</w:t>
        </w:r>
      </w:hyperlink>
    </w:p>
  </w:footnote>
  <w:footnote w:id="20">
    <w:p w14:paraId="426B1A64" w14:textId="7CE9A682" w:rsidR="00433DB0" w:rsidRDefault="00433DB0">
      <w:pPr>
        <w:pStyle w:val="FootnoteText"/>
      </w:pPr>
      <w:r>
        <w:rPr>
          <w:rStyle w:val="FootnoteReference"/>
        </w:rPr>
        <w:footnoteRef/>
      </w:r>
      <w:r>
        <w:t xml:space="preserve"> Batchelor Institute Courses - </w:t>
      </w:r>
      <w:hyperlink r:id="rId21" w:history="1">
        <w:r w:rsidRPr="004805BF">
          <w:rPr>
            <w:rStyle w:val="Hyperlink"/>
          </w:rPr>
          <w:t>https://www.batchelor.edu.au/students/courses/</w:t>
        </w:r>
      </w:hyperlink>
      <w:r>
        <w:t xml:space="preserve"> </w:t>
      </w:r>
    </w:p>
  </w:footnote>
  <w:footnote w:id="21">
    <w:p w14:paraId="540352EE" w14:textId="099B49EE" w:rsidR="001F54DD" w:rsidRDefault="001F54DD">
      <w:pPr>
        <w:pStyle w:val="FootnoteText"/>
      </w:pPr>
      <w:r>
        <w:rPr>
          <w:rStyle w:val="FootnoteReference"/>
        </w:rPr>
        <w:footnoteRef/>
      </w:r>
      <w:r>
        <w:t xml:space="preserve"> A model for </w:t>
      </w:r>
      <w:r w:rsidR="00A96AA7">
        <w:t xml:space="preserve">a post-universal participation policy framework is outlined in </w:t>
      </w:r>
      <w:r w:rsidR="00BD460A">
        <w:t xml:space="preserve">Brett, M. 2020, </w:t>
      </w:r>
      <w:hyperlink r:id="rId22" w:history="1">
        <w:r w:rsidR="00BD460A" w:rsidRPr="00855127">
          <w:rPr>
            <w:rStyle w:val="Hyperlink"/>
          </w:rPr>
          <w:t>The Heredity of Australian Higher Education</w:t>
        </w:r>
      </w:hyperlink>
      <w:r w:rsidR="00BD460A">
        <w:t>, p 184.</w:t>
      </w:r>
    </w:p>
  </w:footnote>
  <w:footnote w:id="22">
    <w:p w14:paraId="51C6EB9C" w14:textId="18147DDF" w:rsidR="00F12625" w:rsidRDefault="00F12625">
      <w:pPr>
        <w:pStyle w:val="FootnoteText"/>
      </w:pPr>
      <w:r>
        <w:rPr>
          <w:rStyle w:val="FootnoteReference"/>
        </w:rPr>
        <w:footnoteRef/>
      </w:r>
      <w:r>
        <w:t xml:space="preserve"> </w:t>
      </w:r>
      <w:r w:rsidR="00281A8F">
        <w:t xml:space="preserve">Higher Education Standards Panel, 2023, </w:t>
      </w:r>
      <w:r w:rsidR="00E9176B" w:rsidRPr="00E9176B">
        <w:t>Developments in Higher Education Admission Practices</w:t>
      </w:r>
    </w:p>
  </w:footnote>
  <w:footnote w:id="23">
    <w:p w14:paraId="4FFEC7A2" w14:textId="3F10457F" w:rsidR="003C6575" w:rsidRDefault="003C6575">
      <w:pPr>
        <w:pStyle w:val="FootnoteText"/>
      </w:pPr>
      <w:r>
        <w:rPr>
          <w:rStyle w:val="FootnoteReference"/>
        </w:rPr>
        <w:footnoteRef/>
      </w:r>
      <w:r>
        <w:t xml:space="preserve"> See Higher Education Research Group</w:t>
      </w:r>
      <w:r w:rsidR="00B21DD3">
        <w:t xml:space="preserve">, 2018,  </w:t>
      </w:r>
      <w:hyperlink r:id="rId23" w:history="1">
        <w:r w:rsidR="00B21DD3" w:rsidRPr="00334D82">
          <w:rPr>
            <w:rStyle w:val="Hyperlink"/>
          </w:rPr>
          <w:t>Submission to Inquiry into Research Funding.</w:t>
        </w:r>
      </w:hyperlink>
    </w:p>
  </w:footnote>
  <w:footnote w:id="24">
    <w:p w14:paraId="53D82425" w14:textId="70A2A53A" w:rsidR="008E470E" w:rsidRDefault="008E470E">
      <w:pPr>
        <w:pStyle w:val="FootnoteText"/>
      </w:pPr>
      <w:r>
        <w:rPr>
          <w:rStyle w:val="FootnoteReference"/>
        </w:rPr>
        <w:footnoteRef/>
      </w:r>
      <w:r>
        <w:t xml:space="preserve"> </w:t>
      </w:r>
      <w:r w:rsidR="00F14944">
        <w:t xml:space="preserve">See </w:t>
      </w:r>
      <w:r w:rsidR="00F14944" w:rsidRPr="00F14944">
        <w:t xml:space="preserve">Zacharias, N. 2017. </w:t>
      </w:r>
      <w:hyperlink r:id="rId24" w:history="1">
        <w:r w:rsidR="00F14944" w:rsidRPr="002D7DA4">
          <w:rPr>
            <w:rStyle w:val="Hyperlink"/>
          </w:rPr>
          <w:t xml:space="preserve">The Australian student equity program and institutional change: paradigm shift or business as </w:t>
        </w:r>
        <w:proofErr w:type="gramStart"/>
        <w:r w:rsidR="00F14944" w:rsidRPr="002D7DA4">
          <w:rPr>
            <w:rStyle w:val="Hyperlink"/>
          </w:rPr>
          <w:t>usual?.</w:t>
        </w:r>
        <w:proofErr w:type="gramEnd"/>
        <w:r w:rsidR="00F14944" w:rsidRPr="002D7DA4">
          <w:rPr>
            <w:rStyle w:val="Hyperlink"/>
          </w:rPr>
          <w:t xml:space="preserve"> National Centre for Student Equity in Higher Education.</w:t>
        </w:r>
      </w:hyperlink>
    </w:p>
  </w:footnote>
  <w:footnote w:id="25">
    <w:p w14:paraId="5815DDEC" w14:textId="187E1E37" w:rsidR="00366369" w:rsidRDefault="00366369" w:rsidP="00897094">
      <w:pPr>
        <w:pStyle w:val="NormalWeb"/>
        <w:spacing w:before="0" w:beforeAutospacing="0" w:after="0" w:afterAutospacing="0"/>
      </w:pPr>
      <w:r>
        <w:rPr>
          <w:rStyle w:val="FootnoteReference"/>
        </w:rPr>
        <w:footnoteRef/>
      </w:r>
      <w:r>
        <w:t xml:space="preserve"> </w:t>
      </w:r>
      <w:r>
        <w:rPr>
          <w:rFonts w:ascii="Calibri" w:hAnsi="Calibri" w:cs="Calibri"/>
          <w:sz w:val="20"/>
          <w:szCs w:val="20"/>
        </w:rPr>
        <w:t xml:space="preserve">Lawrence Cram, </w:t>
      </w:r>
      <w:r>
        <w:rPr>
          <w:rFonts w:ascii="Calibri" w:hAnsi="Calibri" w:cs="Calibri"/>
          <w:i/>
          <w:iCs/>
          <w:sz w:val="20"/>
          <w:szCs w:val="20"/>
        </w:rPr>
        <w:t xml:space="preserve">The expenditure on research and education outputs by Australian universities 1996–2009 </w:t>
      </w:r>
      <w:r>
        <w:rPr>
          <w:rFonts w:ascii="Calibri" w:hAnsi="Calibri" w:cs="Calibri"/>
          <w:sz w:val="20"/>
          <w:szCs w:val="20"/>
        </w:rPr>
        <w:t xml:space="preserve">(Submission, Base Funding Review 2011). </w:t>
      </w:r>
    </w:p>
  </w:footnote>
  <w:footnote w:id="26">
    <w:p w14:paraId="03E58388" w14:textId="45EF1E8A" w:rsidR="00247851" w:rsidRDefault="00247851">
      <w:pPr>
        <w:pStyle w:val="FootnoteText"/>
      </w:pPr>
      <w:r>
        <w:rPr>
          <w:rStyle w:val="FootnoteReference"/>
        </w:rPr>
        <w:footnoteRef/>
      </w:r>
      <w:r>
        <w:t xml:space="preserve"> </w:t>
      </w:r>
      <w:r w:rsidR="00EC5EDC" w:rsidRPr="00EC5EDC">
        <w:t xml:space="preserve">Brett, M. (2018). </w:t>
      </w:r>
      <w:hyperlink r:id="rId25" w:history="1">
        <w:r w:rsidR="00EC5EDC" w:rsidRPr="00EC5EDC">
          <w:rPr>
            <w:rStyle w:val="Hyperlink"/>
          </w:rPr>
          <w:t>Equity performance and accountability, National Centre for Student Equity in Higher Education</w:t>
        </w:r>
      </w:hyperlink>
      <w:r w:rsidR="00EC5EDC">
        <w:t>.</w:t>
      </w:r>
    </w:p>
  </w:footnote>
  <w:footnote w:id="27">
    <w:p w14:paraId="6ADFDA0A" w14:textId="5A537D2B" w:rsidR="004A2C4A" w:rsidRDefault="004A2C4A">
      <w:pPr>
        <w:pStyle w:val="FootnoteText"/>
      </w:pPr>
      <w:r>
        <w:rPr>
          <w:rStyle w:val="FootnoteReference"/>
        </w:rPr>
        <w:footnoteRef/>
      </w:r>
      <w:r>
        <w:t xml:space="preserve"> </w:t>
      </w:r>
      <w:r w:rsidRPr="004A2C4A">
        <w:t>Emma Baker, Andrew Beer and Marcus Blake</w:t>
      </w:r>
      <w:r>
        <w:t xml:space="preserve">, 2022, </w:t>
      </w:r>
      <w:hyperlink r:id="rId26" w:history="1">
        <w:r w:rsidR="009B1E4D" w:rsidRPr="009B1E4D">
          <w:rPr>
            <w:rStyle w:val="Hyperlink"/>
          </w:rPr>
          <w:t>Australia's '1 million empty homes' and why they're vacant – they're not a simple solution to housing need</w:t>
        </w:r>
      </w:hyperlink>
    </w:p>
  </w:footnote>
  <w:footnote w:id="28">
    <w:p w14:paraId="4A9F04D2" w14:textId="36DE0E5D" w:rsidR="00BC2A9A" w:rsidRDefault="00BC2A9A">
      <w:pPr>
        <w:pStyle w:val="FootnoteText"/>
      </w:pPr>
      <w:r>
        <w:rPr>
          <w:rStyle w:val="FootnoteReference"/>
        </w:rPr>
        <w:footnoteRef/>
      </w:r>
      <w:r>
        <w:t xml:space="preserve"> </w:t>
      </w:r>
      <w:r w:rsidR="008522C4" w:rsidRPr="008522C4">
        <w:t xml:space="preserve">Pitman, T. (2022). </w:t>
      </w:r>
      <w:hyperlink r:id="rId27" w:history="1">
        <w:r w:rsidR="008522C4" w:rsidRPr="008710C0">
          <w:rPr>
            <w:rStyle w:val="Hyperlink"/>
          </w:rPr>
          <w:t>Supporting persons with disabilities to succeed in higher education: Final report. Research Fellowship final report, Perth: National Centre for Student Equity in Higher Education, Curtin University.</w:t>
        </w:r>
      </w:hyperlink>
    </w:p>
  </w:footnote>
  <w:footnote w:id="29">
    <w:p w14:paraId="5AF38921" w14:textId="7DDC9B54" w:rsidR="006C471F" w:rsidRDefault="006C471F">
      <w:pPr>
        <w:pStyle w:val="FootnoteText"/>
      </w:pPr>
      <w:r>
        <w:rPr>
          <w:rStyle w:val="FootnoteReference"/>
        </w:rPr>
        <w:footnoteRef/>
      </w:r>
      <w:r>
        <w:t xml:space="preserve"> </w:t>
      </w:r>
      <w:r w:rsidRPr="006C471F">
        <w:t>Lambert, S. R., &amp; Fadel, H. (2022</w:t>
      </w:r>
      <w:hyperlink r:id="rId28" w:history="1">
        <w:r w:rsidRPr="006C471F">
          <w:rPr>
            <w:rStyle w:val="Hyperlink"/>
          </w:rPr>
          <w:t>). Open textbooks and social justice: a national scoping study. National Centre for Student Equity in Higher Education. Perth, Australia.</w:t>
        </w:r>
      </w:hyperlink>
      <w:r w:rsidRPr="006C471F">
        <w:t xml:space="preserve"> </w:t>
      </w:r>
    </w:p>
  </w:footnote>
  <w:footnote w:id="30">
    <w:p w14:paraId="4762B163" w14:textId="69736E37" w:rsidR="00D55C8E" w:rsidRDefault="00D55C8E">
      <w:pPr>
        <w:pStyle w:val="FootnoteText"/>
      </w:pPr>
      <w:r>
        <w:rPr>
          <w:rStyle w:val="FootnoteReference"/>
        </w:rPr>
        <w:footnoteRef/>
      </w:r>
      <w:r>
        <w:t xml:space="preserve"> See Eaton, C. and Stevens, M. L. 2020, </w:t>
      </w:r>
      <w:hyperlink r:id="rId29" w:history="1">
        <w:r w:rsidRPr="0010225B">
          <w:rPr>
            <w:rStyle w:val="Hyperlink"/>
          </w:rPr>
          <w:t>Universities as peculiar organizations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1DE9"/>
    <w:multiLevelType w:val="multilevel"/>
    <w:tmpl w:val="2E0835C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A73980"/>
    <w:multiLevelType w:val="hybridMultilevel"/>
    <w:tmpl w:val="6ABAEC78"/>
    <w:lvl w:ilvl="0" w:tplc="EA64C08A">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1B92727"/>
    <w:multiLevelType w:val="hybridMultilevel"/>
    <w:tmpl w:val="2E0835C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4323EE"/>
    <w:multiLevelType w:val="hybridMultilevel"/>
    <w:tmpl w:val="ACA25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E9645B"/>
    <w:multiLevelType w:val="hybridMultilevel"/>
    <w:tmpl w:val="AFB06F5C"/>
    <w:lvl w:ilvl="0" w:tplc="DCC65606">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F5DA9"/>
    <w:multiLevelType w:val="hybridMultilevel"/>
    <w:tmpl w:val="3416A0B6"/>
    <w:lvl w:ilvl="0" w:tplc="0809000F">
      <w:start w:val="1"/>
      <w:numFmt w:val="decimal"/>
      <w:lvlText w:val="%1."/>
      <w:lvlJc w:val="left"/>
      <w:pPr>
        <w:ind w:left="360" w:hanging="360"/>
      </w:pPr>
      <w:rPr>
        <w:rFonts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5230BAD"/>
    <w:multiLevelType w:val="multilevel"/>
    <w:tmpl w:val="5ECE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45128">
    <w:abstractNumId w:val="6"/>
  </w:num>
  <w:num w:numId="2" w16cid:durableId="181362310">
    <w:abstractNumId w:val="2"/>
  </w:num>
  <w:num w:numId="3" w16cid:durableId="698314955">
    <w:abstractNumId w:val="0"/>
  </w:num>
  <w:num w:numId="4" w16cid:durableId="1414622352">
    <w:abstractNumId w:val="5"/>
  </w:num>
  <w:num w:numId="5" w16cid:durableId="1373965986">
    <w:abstractNumId w:val="1"/>
  </w:num>
  <w:num w:numId="6" w16cid:durableId="1317495637">
    <w:abstractNumId w:val="4"/>
  </w:num>
  <w:num w:numId="7" w16cid:durableId="1152483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12"/>
    <w:rsid w:val="00000D00"/>
    <w:rsid w:val="000022DA"/>
    <w:rsid w:val="00002C7F"/>
    <w:rsid w:val="0000470A"/>
    <w:rsid w:val="00010167"/>
    <w:rsid w:val="00013673"/>
    <w:rsid w:val="0001411E"/>
    <w:rsid w:val="00014401"/>
    <w:rsid w:val="00016D4B"/>
    <w:rsid w:val="00017671"/>
    <w:rsid w:val="00023873"/>
    <w:rsid w:val="00025730"/>
    <w:rsid w:val="0003007C"/>
    <w:rsid w:val="00032213"/>
    <w:rsid w:val="00033128"/>
    <w:rsid w:val="00036A96"/>
    <w:rsid w:val="00036EAE"/>
    <w:rsid w:val="00040D48"/>
    <w:rsid w:val="0004236D"/>
    <w:rsid w:val="0004406B"/>
    <w:rsid w:val="0004435D"/>
    <w:rsid w:val="0005479A"/>
    <w:rsid w:val="000634FE"/>
    <w:rsid w:val="0007066E"/>
    <w:rsid w:val="00071015"/>
    <w:rsid w:val="000714CB"/>
    <w:rsid w:val="00072376"/>
    <w:rsid w:val="00073F39"/>
    <w:rsid w:val="00073FA6"/>
    <w:rsid w:val="00077AFA"/>
    <w:rsid w:val="000809FB"/>
    <w:rsid w:val="00080FCB"/>
    <w:rsid w:val="0008191F"/>
    <w:rsid w:val="00091B35"/>
    <w:rsid w:val="00093DC7"/>
    <w:rsid w:val="00094446"/>
    <w:rsid w:val="000953BF"/>
    <w:rsid w:val="00095F93"/>
    <w:rsid w:val="000A0B7B"/>
    <w:rsid w:val="000A29EE"/>
    <w:rsid w:val="000B207A"/>
    <w:rsid w:val="000B4DBD"/>
    <w:rsid w:val="000B5C55"/>
    <w:rsid w:val="000B6862"/>
    <w:rsid w:val="000C3AAA"/>
    <w:rsid w:val="000C3BF9"/>
    <w:rsid w:val="000C3E5A"/>
    <w:rsid w:val="000C5DB6"/>
    <w:rsid w:val="000C7192"/>
    <w:rsid w:val="000D1F77"/>
    <w:rsid w:val="000D43F2"/>
    <w:rsid w:val="000D79D4"/>
    <w:rsid w:val="000E144F"/>
    <w:rsid w:val="000E4F9F"/>
    <w:rsid w:val="000E5BB0"/>
    <w:rsid w:val="000E5BCF"/>
    <w:rsid w:val="000F51A9"/>
    <w:rsid w:val="000F5AF5"/>
    <w:rsid w:val="0010225B"/>
    <w:rsid w:val="001030F1"/>
    <w:rsid w:val="00104E5E"/>
    <w:rsid w:val="0011091D"/>
    <w:rsid w:val="00112890"/>
    <w:rsid w:val="0011357C"/>
    <w:rsid w:val="00116E5E"/>
    <w:rsid w:val="001204C8"/>
    <w:rsid w:val="00122869"/>
    <w:rsid w:val="00124FF9"/>
    <w:rsid w:val="00130C5A"/>
    <w:rsid w:val="0013337A"/>
    <w:rsid w:val="00133B1C"/>
    <w:rsid w:val="00133E14"/>
    <w:rsid w:val="00135D9A"/>
    <w:rsid w:val="00136B2A"/>
    <w:rsid w:val="00137192"/>
    <w:rsid w:val="00140587"/>
    <w:rsid w:val="00140BFD"/>
    <w:rsid w:val="00145569"/>
    <w:rsid w:val="001465FF"/>
    <w:rsid w:val="00153C38"/>
    <w:rsid w:val="00154940"/>
    <w:rsid w:val="001552B3"/>
    <w:rsid w:val="001558F4"/>
    <w:rsid w:val="00156BCA"/>
    <w:rsid w:val="00156D9C"/>
    <w:rsid w:val="001605FD"/>
    <w:rsid w:val="00160CF4"/>
    <w:rsid w:val="00164194"/>
    <w:rsid w:val="00166949"/>
    <w:rsid w:val="0017263B"/>
    <w:rsid w:val="0017395A"/>
    <w:rsid w:val="00173DED"/>
    <w:rsid w:val="00173F50"/>
    <w:rsid w:val="0017413E"/>
    <w:rsid w:val="00176174"/>
    <w:rsid w:val="0017624C"/>
    <w:rsid w:val="001767BB"/>
    <w:rsid w:val="00182397"/>
    <w:rsid w:val="0018711E"/>
    <w:rsid w:val="00190B55"/>
    <w:rsid w:val="00190EB2"/>
    <w:rsid w:val="00193977"/>
    <w:rsid w:val="0019397E"/>
    <w:rsid w:val="00194E86"/>
    <w:rsid w:val="00194FA1"/>
    <w:rsid w:val="001952AA"/>
    <w:rsid w:val="001A0FA9"/>
    <w:rsid w:val="001A2DFB"/>
    <w:rsid w:val="001A611E"/>
    <w:rsid w:val="001A75B8"/>
    <w:rsid w:val="001B2AE6"/>
    <w:rsid w:val="001B3C16"/>
    <w:rsid w:val="001B7943"/>
    <w:rsid w:val="001C0F92"/>
    <w:rsid w:val="001C139D"/>
    <w:rsid w:val="001C3648"/>
    <w:rsid w:val="001C3EC4"/>
    <w:rsid w:val="001C5751"/>
    <w:rsid w:val="001C5CA4"/>
    <w:rsid w:val="001C792B"/>
    <w:rsid w:val="001D27BE"/>
    <w:rsid w:val="001D29BD"/>
    <w:rsid w:val="001D43D8"/>
    <w:rsid w:val="001D4F2F"/>
    <w:rsid w:val="001D511A"/>
    <w:rsid w:val="001D5C39"/>
    <w:rsid w:val="001D7248"/>
    <w:rsid w:val="001E09E2"/>
    <w:rsid w:val="001E1E64"/>
    <w:rsid w:val="001E25C5"/>
    <w:rsid w:val="001E2763"/>
    <w:rsid w:val="001E28BB"/>
    <w:rsid w:val="001E556A"/>
    <w:rsid w:val="001F444D"/>
    <w:rsid w:val="001F4495"/>
    <w:rsid w:val="001F4920"/>
    <w:rsid w:val="001F4E73"/>
    <w:rsid w:val="001F54DD"/>
    <w:rsid w:val="001F57FC"/>
    <w:rsid w:val="001F7ABB"/>
    <w:rsid w:val="00200408"/>
    <w:rsid w:val="002040CC"/>
    <w:rsid w:val="00205D92"/>
    <w:rsid w:val="0021040C"/>
    <w:rsid w:val="00217D8D"/>
    <w:rsid w:val="00220038"/>
    <w:rsid w:val="00220D09"/>
    <w:rsid w:val="002213EC"/>
    <w:rsid w:val="002224BE"/>
    <w:rsid w:val="00226D44"/>
    <w:rsid w:val="00226F20"/>
    <w:rsid w:val="002275B6"/>
    <w:rsid w:val="00230C3F"/>
    <w:rsid w:val="00234076"/>
    <w:rsid w:val="002368CA"/>
    <w:rsid w:val="00245C00"/>
    <w:rsid w:val="002473E2"/>
    <w:rsid w:val="00247851"/>
    <w:rsid w:val="00250A90"/>
    <w:rsid w:val="002530E5"/>
    <w:rsid w:val="00253A96"/>
    <w:rsid w:val="002654A4"/>
    <w:rsid w:val="00265808"/>
    <w:rsid w:val="00270B43"/>
    <w:rsid w:val="002714CB"/>
    <w:rsid w:val="00271BC9"/>
    <w:rsid w:val="002723DC"/>
    <w:rsid w:val="00273F4B"/>
    <w:rsid w:val="00281A8F"/>
    <w:rsid w:val="00284EFF"/>
    <w:rsid w:val="00286014"/>
    <w:rsid w:val="00287825"/>
    <w:rsid w:val="002900DD"/>
    <w:rsid w:val="00293437"/>
    <w:rsid w:val="002940A7"/>
    <w:rsid w:val="002A0587"/>
    <w:rsid w:val="002A1D55"/>
    <w:rsid w:val="002A37B6"/>
    <w:rsid w:val="002A7FE2"/>
    <w:rsid w:val="002B683E"/>
    <w:rsid w:val="002C1F8A"/>
    <w:rsid w:val="002C27DA"/>
    <w:rsid w:val="002C3D74"/>
    <w:rsid w:val="002C4473"/>
    <w:rsid w:val="002C499A"/>
    <w:rsid w:val="002C518F"/>
    <w:rsid w:val="002D10C6"/>
    <w:rsid w:val="002D17D9"/>
    <w:rsid w:val="002D3A46"/>
    <w:rsid w:val="002D5289"/>
    <w:rsid w:val="002D6241"/>
    <w:rsid w:val="002D7DA4"/>
    <w:rsid w:val="002E33B7"/>
    <w:rsid w:val="002E4246"/>
    <w:rsid w:val="002E6EA2"/>
    <w:rsid w:val="002E7D10"/>
    <w:rsid w:val="002F2EF4"/>
    <w:rsid w:val="002F3CE3"/>
    <w:rsid w:val="002F3F7D"/>
    <w:rsid w:val="002F75E3"/>
    <w:rsid w:val="0030043B"/>
    <w:rsid w:val="00300CBF"/>
    <w:rsid w:val="00300FAB"/>
    <w:rsid w:val="00303E03"/>
    <w:rsid w:val="003058DF"/>
    <w:rsid w:val="00311D21"/>
    <w:rsid w:val="00314413"/>
    <w:rsid w:val="00317F0B"/>
    <w:rsid w:val="00320146"/>
    <w:rsid w:val="00324AF4"/>
    <w:rsid w:val="00325453"/>
    <w:rsid w:val="00327061"/>
    <w:rsid w:val="003314A2"/>
    <w:rsid w:val="003324DA"/>
    <w:rsid w:val="00334D82"/>
    <w:rsid w:val="003360B5"/>
    <w:rsid w:val="0033766F"/>
    <w:rsid w:val="00341389"/>
    <w:rsid w:val="00342B46"/>
    <w:rsid w:val="003434CB"/>
    <w:rsid w:val="00343F63"/>
    <w:rsid w:val="00344053"/>
    <w:rsid w:val="0034695E"/>
    <w:rsid w:val="00347825"/>
    <w:rsid w:val="003529C3"/>
    <w:rsid w:val="00353541"/>
    <w:rsid w:val="00353577"/>
    <w:rsid w:val="00355231"/>
    <w:rsid w:val="00357D99"/>
    <w:rsid w:val="003640A8"/>
    <w:rsid w:val="00366369"/>
    <w:rsid w:val="003723B7"/>
    <w:rsid w:val="00372D64"/>
    <w:rsid w:val="00374B39"/>
    <w:rsid w:val="00381D58"/>
    <w:rsid w:val="003834A0"/>
    <w:rsid w:val="00383B74"/>
    <w:rsid w:val="00392411"/>
    <w:rsid w:val="00393366"/>
    <w:rsid w:val="00393837"/>
    <w:rsid w:val="003954D5"/>
    <w:rsid w:val="00396526"/>
    <w:rsid w:val="00397F5A"/>
    <w:rsid w:val="003A0A65"/>
    <w:rsid w:val="003A2126"/>
    <w:rsid w:val="003A2AF0"/>
    <w:rsid w:val="003A2B5D"/>
    <w:rsid w:val="003A3DC1"/>
    <w:rsid w:val="003A553A"/>
    <w:rsid w:val="003B00C8"/>
    <w:rsid w:val="003B29CB"/>
    <w:rsid w:val="003B4B01"/>
    <w:rsid w:val="003B4F5A"/>
    <w:rsid w:val="003B5064"/>
    <w:rsid w:val="003C6575"/>
    <w:rsid w:val="003C66F3"/>
    <w:rsid w:val="003D65B2"/>
    <w:rsid w:val="003E40A5"/>
    <w:rsid w:val="003E442C"/>
    <w:rsid w:val="003E6934"/>
    <w:rsid w:val="003F46E9"/>
    <w:rsid w:val="003F5815"/>
    <w:rsid w:val="004103CD"/>
    <w:rsid w:val="00410E43"/>
    <w:rsid w:val="00411289"/>
    <w:rsid w:val="0042056B"/>
    <w:rsid w:val="004212ED"/>
    <w:rsid w:val="00421B67"/>
    <w:rsid w:val="0042328A"/>
    <w:rsid w:val="00423913"/>
    <w:rsid w:val="004250A9"/>
    <w:rsid w:val="00427862"/>
    <w:rsid w:val="00433643"/>
    <w:rsid w:val="00433DB0"/>
    <w:rsid w:val="004378E6"/>
    <w:rsid w:val="004420F9"/>
    <w:rsid w:val="00443527"/>
    <w:rsid w:val="00447344"/>
    <w:rsid w:val="004544FF"/>
    <w:rsid w:val="004559C4"/>
    <w:rsid w:val="004568AB"/>
    <w:rsid w:val="0046196D"/>
    <w:rsid w:val="00461BF9"/>
    <w:rsid w:val="00462CD8"/>
    <w:rsid w:val="004635CF"/>
    <w:rsid w:val="00466A1F"/>
    <w:rsid w:val="0047322D"/>
    <w:rsid w:val="00477BF2"/>
    <w:rsid w:val="00477C27"/>
    <w:rsid w:val="004843CC"/>
    <w:rsid w:val="0048543B"/>
    <w:rsid w:val="004864C3"/>
    <w:rsid w:val="00487AF5"/>
    <w:rsid w:val="00490963"/>
    <w:rsid w:val="004929BF"/>
    <w:rsid w:val="00492C69"/>
    <w:rsid w:val="00494468"/>
    <w:rsid w:val="0049602C"/>
    <w:rsid w:val="00496E8D"/>
    <w:rsid w:val="004979A6"/>
    <w:rsid w:val="004A0D85"/>
    <w:rsid w:val="004A2C4A"/>
    <w:rsid w:val="004A5DD0"/>
    <w:rsid w:val="004A6240"/>
    <w:rsid w:val="004A6E0A"/>
    <w:rsid w:val="004B0E26"/>
    <w:rsid w:val="004B3925"/>
    <w:rsid w:val="004C3AA9"/>
    <w:rsid w:val="004C4102"/>
    <w:rsid w:val="004C50ED"/>
    <w:rsid w:val="004C6233"/>
    <w:rsid w:val="004C6456"/>
    <w:rsid w:val="004D643C"/>
    <w:rsid w:val="004E03D6"/>
    <w:rsid w:val="004E0B83"/>
    <w:rsid w:val="004E28A3"/>
    <w:rsid w:val="004E2FE9"/>
    <w:rsid w:val="004E3A7B"/>
    <w:rsid w:val="004E51EE"/>
    <w:rsid w:val="004E5338"/>
    <w:rsid w:val="004E5430"/>
    <w:rsid w:val="004E5B27"/>
    <w:rsid w:val="004F5F72"/>
    <w:rsid w:val="004F7722"/>
    <w:rsid w:val="004F7893"/>
    <w:rsid w:val="004F7F14"/>
    <w:rsid w:val="0050490C"/>
    <w:rsid w:val="00504C60"/>
    <w:rsid w:val="005073E0"/>
    <w:rsid w:val="005103C5"/>
    <w:rsid w:val="00515CC2"/>
    <w:rsid w:val="00520AA2"/>
    <w:rsid w:val="005279E7"/>
    <w:rsid w:val="00527F40"/>
    <w:rsid w:val="00533B11"/>
    <w:rsid w:val="00535866"/>
    <w:rsid w:val="00537EED"/>
    <w:rsid w:val="005401C0"/>
    <w:rsid w:val="00540838"/>
    <w:rsid w:val="00546134"/>
    <w:rsid w:val="005465AB"/>
    <w:rsid w:val="00547A86"/>
    <w:rsid w:val="00551715"/>
    <w:rsid w:val="0055280C"/>
    <w:rsid w:val="00553CE9"/>
    <w:rsid w:val="00564827"/>
    <w:rsid w:val="005659FE"/>
    <w:rsid w:val="00565EEA"/>
    <w:rsid w:val="00567F24"/>
    <w:rsid w:val="00570E6E"/>
    <w:rsid w:val="00571295"/>
    <w:rsid w:val="00573B2A"/>
    <w:rsid w:val="0057456B"/>
    <w:rsid w:val="00576ADE"/>
    <w:rsid w:val="00576C0E"/>
    <w:rsid w:val="00580B72"/>
    <w:rsid w:val="005822CF"/>
    <w:rsid w:val="00582700"/>
    <w:rsid w:val="00583288"/>
    <w:rsid w:val="005833DD"/>
    <w:rsid w:val="0059037B"/>
    <w:rsid w:val="00593100"/>
    <w:rsid w:val="00595895"/>
    <w:rsid w:val="005A18CD"/>
    <w:rsid w:val="005A3745"/>
    <w:rsid w:val="005A40BB"/>
    <w:rsid w:val="005C0A17"/>
    <w:rsid w:val="005C0C53"/>
    <w:rsid w:val="005C13BB"/>
    <w:rsid w:val="005C4558"/>
    <w:rsid w:val="005C5B64"/>
    <w:rsid w:val="005C6BDE"/>
    <w:rsid w:val="005D01CF"/>
    <w:rsid w:val="005D056C"/>
    <w:rsid w:val="005D24BD"/>
    <w:rsid w:val="005D6D3C"/>
    <w:rsid w:val="005E09DE"/>
    <w:rsid w:val="005E173A"/>
    <w:rsid w:val="005E3072"/>
    <w:rsid w:val="005E3D08"/>
    <w:rsid w:val="005E4913"/>
    <w:rsid w:val="005E4B99"/>
    <w:rsid w:val="005F03F2"/>
    <w:rsid w:val="005F2208"/>
    <w:rsid w:val="005F31CB"/>
    <w:rsid w:val="005F34F0"/>
    <w:rsid w:val="005F5F1D"/>
    <w:rsid w:val="00601F6D"/>
    <w:rsid w:val="0060557F"/>
    <w:rsid w:val="00610F01"/>
    <w:rsid w:val="00611B6D"/>
    <w:rsid w:val="00614401"/>
    <w:rsid w:val="00616DEE"/>
    <w:rsid w:val="00620139"/>
    <w:rsid w:val="0062092C"/>
    <w:rsid w:val="006221F4"/>
    <w:rsid w:val="0062235E"/>
    <w:rsid w:val="00625766"/>
    <w:rsid w:val="006331BF"/>
    <w:rsid w:val="006353FB"/>
    <w:rsid w:val="00637171"/>
    <w:rsid w:val="00637951"/>
    <w:rsid w:val="00643905"/>
    <w:rsid w:val="006449A9"/>
    <w:rsid w:val="006471EC"/>
    <w:rsid w:val="00653032"/>
    <w:rsid w:val="006541D4"/>
    <w:rsid w:val="00654884"/>
    <w:rsid w:val="00661DE5"/>
    <w:rsid w:val="00664D46"/>
    <w:rsid w:val="006655ED"/>
    <w:rsid w:val="00667094"/>
    <w:rsid w:val="0066763B"/>
    <w:rsid w:val="0066778C"/>
    <w:rsid w:val="006702F9"/>
    <w:rsid w:val="0067177A"/>
    <w:rsid w:val="00671A13"/>
    <w:rsid w:val="00671C45"/>
    <w:rsid w:val="00673E31"/>
    <w:rsid w:val="00683ACE"/>
    <w:rsid w:val="0068468B"/>
    <w:rsid w:val="0068591F"/>
    <w:rsid w:val="006877F4"/>
    <w:rsid w:val="00691A02"/>
    <w:rsid w:val="00694351"/>
    <w:rsid w:val="00694A55"/>
    <w:rsid w:val="006A01D6"/>
    <w:rsid w:val="006A0441"/>
    <w:rsid w:val="006A07AE"/>
    <w:rsid w:val="006A3761"/>
    <w:rsid w:val="006B0ACA"/>
    <w:rsid w:val="006B1E88"/>
    <w:rsid w:val="006B459C"/>
    <w:rsid w:val="006B5E4A"/>
    <w:rsid w:val="006B7865"/>
    <w:rsid w:val="006C04E5"/>
    <w:rsid w:val="006C0731"/>
    <w:rsid w:val="006C12CF"/>
    <w:rsid w:val="006C165B"/>
    <w:rsid w:val="006C2CB6"/>
    <w:rsid w:val="006C2D8E"/>
    <w:rsid w:val="006C378E"/>
    <w:rsid w:val="006C3DC6"/>
    <w:rsid w:val="006C471F"/>
    <w:rsid w:val="006C55A0"/>
    <w:rsid w:val="006C7ED2"/>
    <w:rsid w:val="006D0125"/>
    <w:rsid w:val="006D0FA3"/>
    <w:rsid w:val="006D224C"/>
    <w:rsid w:val="006D2832"/>
    <w:rsid w:val="006D3A7D"/>
    <w:rsid w:val="006D7FE3"/>
    <w:rsid w:val="006E0833"/>
    <w:rsid w:val="006E08FC"/>
    <w:rsid w:val="006E0A02"/>
    <w:rsid w:val="006F0654"/>
    <w:rsid w:val="006F0E48"/>
    <w:rsid w:val="006F12C1"/>
    <w:rsid w:val="006F2B53"/>
    <w:rsid w:val="006F3087"/>
    <w:rsid w:val="006F50DA"/>
    <w:rsid w:val="006F74A4"/>
    <w:rsid w:val="006F7D82"/>
    <w:rsid w:val="00704568"/>
    <w:rsid w:val="007066D6"/>
    <w:rsid w:val="00706AAD"/>
    <w:rsid w:val="00710991"/>
    <w:rsid w:val="00711547"/>
    <w:rsid w:val="0071731A"/>
    <w:rsid w:val="00723C32"/>
    <w:rsid w:val="007263E4"/>
    <w:rsid w:val="00730619"/>
    <w:rsid w:val="00734354"/>
    <w:rsid w:val="00736B38"/>
    <w:rsid w:val="007416CC"/>
    <w:rsid w:val="00742E76"/>
    <w:rsid w:val="0074422A"/>
    <w:rsid w:val="007445FA"/>
    <w:rsid w:val="00744ED4"/>
    <w:rsid w:val="00751F13"/>
    <w:rsid w:val="00752258"/>
    <w:rsid w:val="00756C48"/>
    <w:rsid w:val="00757F2F"/>
    <w:rsid w:val="007606AE"/>
    <w:rsid w:val="0076096C"/>
    <w:rsid w:val="00762B05"/>
    <w:rsid w:val="00767FD1"/>
    <w:rsid w:val="00772151"/>
    <w:rsid w:val="00775A94"/>
    <w:rsid w:val="00775FDD"/>
    <w:rsid w:val="00780AF6"/>
    <w:rsid w:val="00783673"/>
    <w:rsid w:val="00785929"/>
    <w:rsid w:val="00790CD5"/>
    <w:rsid w:val="007A7B39"/>
    <w:rsid w:val="007B1497"/>
    <w:rsid w:val="007B1A84"/>
    <w:rsid w:val="007B5239"/>
    <w:rsid w:val="007B57A4"/>
    <w:rsid w:val="007C2314"/>
    <w:rsid w:val="007C6EF3"/>
    <w:rsid w:val="007D0F1D"/>
    <w:rsid w:val="007D3534"/>
    <w:rsid w:val="007D3CB7"/>
    <w:rsid w:val="007D4C3E"/>
    <w:rsid w:val="007E37A6"/>
    <w:rsid w:val="007E37DC"/>
    <w:rsid w:val="007E3C5A"/>
    <w:rsid w:val="007E424E"/>
    <w:rsid w:val="007E6BFA"/>
    <w:rsid w:val="007F09EC"/>
    <w:rsid w:val="007F0AD0"/>
    <w:rsid w:val="007F4897"/>
    <w:rsid w:val="007F7690"/>
    <w:rsid w:val="008029ED"/>
    <w:rsid w:val="00805F6F"/>
    <w:rsid w:val="00807865"/>
    <w:rsid w:val="00810BDC"/>
    <w:rsid w:val="00811193"/>
    <w:rsid w:val="008114F8"/>
    <w:rsid w:val="00814359"/>
    <w:rsid w:val="00826805"/>
    <w:rsid w:val="00826BE7"/>
    <w:rsid w:val="0082739E"/>
    <w:rsid w:val="00827DBA"/>
    <w:rsid w:val="0083024A"/>
    <w:rsid w:val="00830984"/>
    <w:rsid w:val="00832863"/>
    <w:rsid w:val="0083503D"/>
    <w:rsid w:val="00835C47"/>
    <w:rsid w:val="00835D3F"/>
    <w:rsid w:val="008408C3"/>
    <w:rsid w:val="00840991"/>
    <w:rsid w:val="00842769"/>
    <w:rsid w:val="0084346A"/>
    <w:rsid w:val="0084674E"/>
    <w:rsid w:val="00846C9C"/>
    <w:rsid w:val="008522C4"/>
    <w:rsid w:val="00853232"/>
    <w:rsid w:val="00855127"/>
    <w:rsid w:val="0085653A"/>
    <w:rsid w:val="0085692F"/>
    <w:rsid w:val="008624AB"/>
    <w:rsid w:val="008705AE"/>
    <w:rsid w:val="008710C0"/>
    <w:rsid w:val="008710FE"/>
    <w:rsid w:val="008717EE"/>
    <w:rsid w:val="00875EF4"/>
    <w:rsid w:val="0087621E"/>
    <w:rsid w:val="008779B4"/>
    <w:rsid w:val="00880BA4"/>
    <w:rsid w:val="00881465"/>
    <w:rsid w:val="008821F0"/>
    <w:rsid w:val="008825E9"/>
    <w:rsid w:val="0089077D"/>
    <w:rsid w:val="008911FE"/>
    <w:rsid w:val="008920F7"/>
    <w:rsid w:val="00893DE1"/>
    <w:rsid w:val="00897094"/>
    <w:rsid w:val="00897D85"/>
    <w:rsid w:val="008A0649"/>
    <w:rsid w:val="008A0B8A"/>
    <w:rsid w:val="008A1916"/>
    <w:rsid w:val="008A59F4"/>
    <w:rsid w:val="008A5E82"/>
    <w:rsid w:val="008A6079"/>
    <w:rsid w:val="008B13A5"/>
    <w:rsid w:val="008B1FF0"/>
    <w:rsid w:val="008B51F8"/>
    <w:rsid w:val="008B5418"/>
    <w:rsid w:val="008B5519"/>
    <w:rsid w:val="008B6C11"/>
    <w:rsid w:val="008C132D"/>
    <w:rsid w:val="008C1757"/>
    <w:rsid w:val="008C3865"/>
    <w:rsid w:val="008C4DD6"/>
    <w:rsid w:val="008C6B1B"/>
    <w:rsid w:val="008D4706"/>
    <w:rsid w:val="008D5B97"/>
    <w:rsid w:val="008D715F"/>
    <w:rsid w:val="008E0121"/>
    <w:rsid w:val="008E0768"/>
    <w:rsid w:val="008E3CE4"/>
    <w:rsid w:val="008E439A"/>
    <w:rsid w:val="008E470E"/>
    <w:rsid w:val="008E47EC"/>
    <w:rsid w:val="008E49E8"/>
    <w:rsid w:val="008E5348"/>
    <w:rsid w:val="008E54A6"/>
    <w:rsid w:val="008E5BBF"/>
    <w:rsid w:val="008E6620"/>
    <w:rsid w:val="008E7C9F"/>
    <w:rsid w:val="008F2140"/>
    <w:rsid w:val="008F750B"/>
    <w:rsid w:val="009026AA"/>
    <w:rsid w:val="009037B6"/>
    <w:rsid w:val="00904C10"/>
    <w:rsid w:val="00907E3D"/>
    <w:rsid w:val="0091082B"/>
    <w:rsid w:val="009144AB"/>
    <w:rsid w:val="009148A5"/>
    <w:rsid w:val="0091552C"/>
    <w:rsid w:val="00915806"/>
    <w:rsid w:val="0092054B"/>
    <w:rsid w:val="00920A53"/>
    <w:rsid w:val="00922BBB"/>
    <w:rsid w:val="00927791"/>
    <w:rsid w:val="00930235"/>
    <w:rsid w:val="00931888"/>
    <w:rsid w:val="00931937"/>
    <w:rsid w:val="00933FBD"/>
    <w:rsid w:val="00937AFC"/>
    <w:rsid w:val="00943680"/>
    <w:rsid w:val="009438A4"/>
    <w:rsid w:val="00943BC0"/>
    <w:rsid w:val="00944FE2"/>
    <w:rsid w:val="00947DF0"/>
    <w:rsid w:val="00953A0A"/>
    <w:rsid w:val="00953AF0"/>
    <w:rsid w:val="00956AC4"/>
    <w:rsid w:val="009575FC"/>
    <w:rsid w:val="00964474"/>
    <w:rsid w:val="00965739"/>
    <w:rsid w:val="009663DA"/>
    <w:rsid w:val="00970EBF"/>
    <w:rsid w:val="00973E0D"/>
    <w:rsid w:val="0097678E"/>
    <w:rsid w:val="00980BC7"/>
    <w:rsid w:val="009847F0"/>
    <w:rsid w:val="00986608"/>
    <w:rsid w:val="00986EF9"/>
    <w:rsid w:val="0099048C"/>
    <w:rsid w:val="00990747"/>
    <w:rsid w:val="00997583"/>
    <w:rsid w:val="0099772A"/>
    <w:rsid w:val="009A0661"/>
    <w:rsid w:val="009A55FE"/>
    <w:rsid w:val="009B1C87"/>
    <w:rsid w:val="009B1E4D"/>
    <w:rsid w:val="009B33A6"/>
    <w:rsid w:val="009B4376"/>
    <w:rsid w:val="009C09F1"/>
    <w:rsid w:val="009C2290"/>
    <w:rsid w:val="009C2B3C"/>
    <w:rsid w:val="009C5BBB"/>
    <w:rsid w:val="009D16E5"/>
    <w:rsid w:val="009D27D3"/>
    <w:rsid w:val="009D3AF8"/>
    <w:rsid w:val="009D558F"/>
    <w:rsid w:val="009D6095"/>
    <w:rsid w:val="009D626A"/>
    <w:rsid w:val="009D74F0"/>
    <w:rsid w:val="009E3427"/>
    <w:rsid w:val="009E59F7"/>
    <w:rsid w:val="009E6F32"/>
    <w:rsid w:val="009E7BC0"/>
    <w:rsid w:val="009F0CCD"/>
    <w:rsid w:val="009F4E58"/>
    <w:rsid w:val="009F5334"/>
    <w:rsid w:val="009F5DA2"/>
    <w:rsid w:val="00A004DF"/>
    <w:rsid w:val="00A0090D"/>
    <w:rsid w:val="00A033B1"/>
    <w:rsid w:val="00A04246"/>
    <w:rsid w:val="00A04CA7"/>
    <w:rsid w:val="00A06F8D"/>
    <w:rsid w:val="00A10674"/>
    <w:rsid w:val="00A15B63"/>
    <w:rsid w:val="00A201A5"/>
    <w:rsid w:val="00A2338D"/>
    <w:rsid w:val="00A234B8"/>
    <w:rsid w:val="00A2452E"/>
    <w:rsid w:val="00A248F0"/>
    <w:rsid w:val="00A2638C"/>
    <w:rsid w:val="00A27E5B"/>
    <w:rsid w:val="00A33807"/>
    <w:rsid w:val="00A37ECF"/>
    <w:rsid w:val="00A37F60"/>
    <w:rsid w:val="00A4211F"/>
    <w:rsid w:val="00A42562"/>
    <w:rsid w:val="00A42B07"/>
    <w:rsid w:val="00A45759"/>
    <w:rsid w:val="00A46B6C"/>
    <w:rsid w:val="00A470B6"/>
    <w:rsid w:val="00A60D48"/>
    <w:rsid w:val="00A614F1"/>
    <w:rsid w:val="00A667F2"/>
    <w:rsid w:val="00A67228"/>
    <w:rsid w:val="00A7018D"/>
    <w:rsid w:val="00A7203E"/>
    <w:rsid w:val="00A746AA"/>
    <w:rsid w:val="00A754BD"/>
    <w:rsid w:val="00A80EF3"/>
    <w:rsid w:val="00A81FE7"/>
    <w:rsid w:val="00A821D6"/>
    <w:rsid w:val="00A83618"/>
    <w:rsid w:val="00A84313"/>
    <w:rsid w:val="00A84EB6"/>
    <w:rsid w:val="00A86907"/>
    <w:rsid w:val="00A8745B"/>
    <w:rsid w:val="00A9085F"/>
    <w:rsid w:val="00A90B2D"/>
    <w:rsid w:val="00A96AA7"/>
    <w:rsid w:val="00A97431"/>
    <w:rsid w:val="00AA0494"/>
    <w:rsid w:val="00AA3891"/>
    <w:rsid w:val="00AA6D78"/>
    <w:rsid w:val="00AA74C4"/>
    <w:rsid w:val="00AB1104"/>
    <w:rsid w:val="00AB301C"/>
    <w:rsid w:val="00AB34B5"/>
    <w:rsid w:val="00AB5DA1"/>
    <w:rsid w:val="00AB7118"/>
    <w:rsid w:val="00AC06E0"/>
    <w:rsid w:val="00AC2FFA"/>
    <w:rsid w:val="00AC3044"/>
    <w:rsid w:val="00AC5166"/>
    <w:rsid w:val="00AD038D"/>
    <w:rsid w:val="00AD18F6"/>
    <w:rsid w:val="00AE0260"/>
    <w:rsid w:val="00AE2A8D"/>
    <w:rsid w:val="00AE752A"/>
    <w:rsid w:val="00AF17C3"/>
    <w:rsid w:val="00AF457C"/>
    <w:rsid w:val="00AF5221"/>
    <w:rsid w:val="00AF6BFC"/>
    <w:rsid w:val="00B006D1"/>
    <w:rsid w:val="00B10D39"/>
    <w:rsid w:val="00B10EE5"/>
    <w:rsid w:val="00B12916"/>
    <w:rsid w:val="00B13EF9"/>
    <w:rsid w:val="00B21DD3"/>
    <w:rsid w:val="00B250CA"/>
    <w:rsid w:val="00B27B65"/>
    <w:rsid w:val="00B302C0"/>
    <w:rsid w:val="00B307C9"/>
    <w:rsid w:val="00B32686"/>
    <w:rsid w:val="00B340FB"/>
    <w:rsid w:val="00B35A61"/>
    <w:rsid w:val="00B36FF3"/>
    <w:rsid w:val="00B405A9"/>
    <w:rsid w:val="00B43D95"/>
    <w:rsid w:val="00B46CE1"/>
    <w:rsid w:val="00B51DFC"/>
    <w:rsid w:val="00B5379A"/>
    <w:rsid w:val="00B5541F"/>
    <w:rsid w:val="00B606EC"/>
    <w:rsid w:val="00B6077D"/>
    <w:rsid w:val="00B61313"/>
    <w:rsid w:val="00B618A3"/>
    <w:rsid w:val="00B66157"/>
    <w:rsid w:val="00B66807"/>
    <w:rsid w:val="00B66C70"/>
    <w:rsid w:val="00B719C8"/>
    <w:rsid w:val="00B71FBE"/>
    <w:rsid w:val="00B752EF"/>
    <w:rsid w:val="00B75A4D"/>
    <w:rsid w:val="00B80DE4"/>
    <w:rsid w:val="00B811B4"/>
    <w:rsid w:val="00B845DA"/>
    <w:rsid w:val="00B84AAD"/>
    <w:rsid w:val="00B91448"/>
    <w:rsid w:val="00B92B15"/>
    <w:rsid w:val="00B96839"/>
    <w:rsid w:val="00BA1CAF"/>
    <w:rsid w:val="00BA3739"/>
    <w:rsid w:val="00BA3C7C"/>
    <w:rsid w:val="00BA5550"/>
    <w:rsid w:val="00BA6CE8"/>
    <w:rsid w:val="00BB072D"/>
    <w:rsid w:val="00BB15E4"/>
    <w:rsid w:val="00BB38E2"/>
    <w:rsid w:val="00BB4420"/>
    <w:rsid w:val="00BB5C9E"/>
    <w:rsid w:val="00BB786B"/>
    <w:rsid w:val="00BC2A9A"/>
    <w:rsid w:val="00BC475F"/>
    <w:rsid w:val="00BD03CF"/>
    <w:rsid w:val="00BD25F9"/>
    <w:rsid w:val="00BD3D93"/>
    <w:rsid w:val="00BD460A"/>
    <w:rsid w:val="00BE6564"/>
    <w:rsid w:val="00BE7066"/>
    <w:rsid w:val="00BF18B5"/>
    <w:rsid w:val="00BF1F16"/>
    <w:rsid w:val="00BF2752"/>
    <w:rsid w:val="00BF5789"/>
    <w:rsid w:val="00BF5AB6"/>
    <w:rsid w:val="00C02C2C"/>
    <w:rsid w:val="00C05A56"/>
    <w:rsid w:val="00C13248"/>
    <w:rsid w:val="00C13C5B"/>
    <w:rsid w:val="00C13D43"/>
    <w:rsid w:val="00C13EE7"/>
    <w:rsid w:val="00C13FF1"/>
    <w:rsid w:val="00C15956"/>
    <w:rsid w:val="00C17A8E"/>
    <w:rsid w:val="00C17F94"/>
    <w:rsid w:val="00C25A5D"/>
    <w:rsid w:val="00C3035D"/>
    <w:rsid w:val="00C3214A"/>
    <w:rsid w:val="00C3356B"/>
    <w:rsid w:val="00C33A8C"/>
    <w:rsid w:val="00C3565D"/>
    <w:rsid w:val="00C35EB7"/>
    <w:rsid w:val="00C41CED"/>
    <w:rsid w:val="00C438CA"/>
    <w:rsid w:val="00C445C8"/>
    <w:rsid w:val="00C455F2"/>
    <w:rsid w:val="00C51DF9"/>
    <w:rsid w:val="00C5259F"/>
    <w:rsid w:val="00C52940"/>
    <w:rsid w:val="00C53DAF"/>
    <w:rsid w:val="00C547AD"/>
    <w:rsid w:val="00C602F2"/>
    <w:rsid w:val="00C6044C"/>
    <w:rsid w:val="00C60681"/>
    <w:rsid w:val="00C62981"/>
    <w:rsid w:val="00C64003"/>
    <w:rsid w:val="00C66457"/>
    <w:rsid w:val="00C71103"/>
    <w:rsid w:val="00C7560A"/>
    <w:rsid w:val="00C76786"/>
    <w:rsid w:val="00C937C0"/>
    <w:rsid w:val="00C9704A"/>
    <w:rsid w:val="00C974D6"/>
    <w:rsid w:val="00CA1D03"/>
    <w:rsid w:val="00CA5EAF"/>
    <w:rsid w:val="00CB0713"/>
    <w:rsid w:val="00CB223F"/>
    <w:rsid w:val="00CB2714"/>
    <w:rsid w:val="00CB5754"/>
    <w:rsid w:val="00CB620E"/>
    <w:rsid w:val="00CB7B5D"/>
    <w:rsid w:val="00CC0222"/>
    <w:rsid w:val="00CC180E"/>
    <w:rsid w:val="00CC20B5"/>
    <w:rsid w:val="00CC45F6"/>
    <w:rsid w:val="00CC6AAC"/>
    <w:rsid w:val="00CD4BF5"/>
    <w:rsid w:val="00CD534C"/>
    <w:rsid w:val="00CD5BB3"/>
    <w:rsid w:val="00CD7454"/>
    <w:rsid w:val="00CD747D"/>
    <w:rsid w:val="00CE0753"/>
    <w:rsid w:val="00CE622E"/>
    <w:rsid w:val="00CE7FA2"/>
    <w:rsid w:val="00CF093B"/>
    <w:rsid w:val="00CF5171"/>
    <w:rsid w:val="00CF57E8"/>
    <w:rsid w:val="00D043BC"/>
    <w:rsid w:val="00D0666E"/>
    <w:rsid w:val="00D06E89"/>
    <w:rsid w:val="00D1155B"/>
    <w:rsid w:val="00D1769B"/>
    <w:rsid w:val="00D23447"/>
    <w:rsid w:val="00D27E99"/>
    <w:rsid w:val="00D31A8C"/>
    <w:rsid w:val="00D32443"/>
    <w:rsid w:val="00D33A6F"/>
    <w:rsid w:val="00D362CE"/>
    <w:rsid w:val="00D40A98"/>
    <w:rsid w:val="00D41DBD"/>
    <w:rsid w:val="00D42F64"/>
    <w:rsid w:val="00D51D73"/>
    <w:rsid w:val="00D5443D"/>
    <w:rsid w:val="00D5560B"/>
    <w:rsid w:val="00D55C8E"/>
    <w:rsid w:val="00D62F26"/>
    <w:rsid w:val="00D6448C"/>
    <w:rsid w:val="00D64688"/>
    <w:rsid w:val="00D7009A"/>
    <w:rsid w:val="00D71AAF"/>
    <w:rsid w:val="00D71C43"/>
    <w:rsid w:val="00D72EF8"/>
    <w:rsid w:val="00D7345B"/>
    <w:rsid w:val="00D75554"/>
    <w:rsid w:val="00D80E36"/>
    <w:rsid w:val="00D859C6"/>
    <w:rsid w:val="00D86A68"/>
    <w:rsid w:val="00D90131"/>
    <w:rsid w:val="00D903CF"/>
    <w:rsid w:val="00D96494"/>
    <w:rsid w:val="00DA0C02"/>
    <w:rsid w:val="00DA24E3"/>
    <w:rsid w:val="00DA2F18"/>
    <w:rsid w:val="00DA4FC0"/>
    <w:rsid w:val="00DB26A1"/>
    <w:rsid w:val="00DC145E"/>
    <w:rsid w:val="00DC2E76"/>
    <w:rsid w:val="00DC5890"/>
    <w:rsid w:val="00DC6568"/>
    <w:rsid w:val="00DD0623"/>
    <w:rsid w:val="00DD5BDE"/>
    <w:rsid w:val="00DE0D6E"/>
    <w:rsid w:val="00DE174A"/>
    <w:rsid w:val="00DE3B5B"/>
    <w:rsid w:val="00DE3C38"/>
    <w:rsid w:val="00DE3F04"/>
    <w:rsid w:val="00DE471C"/>
    <w:rsid w:val="00DE6A35"/>
    <w:rsid w:val="00DE7706"/>
    <w:rsid w:val="00DF051F"/>
    <w:rsid w:val="00DF2826"/>
    <w:rsid w:val="00DF40E7"/>
    <w:rsid w:val="00DF5157"/>
    <w:rsid w:val="00E037CB"/>
    <w:rsid w:val="00E047A5"/>
    <w:rsid w:val="00E054BD"/>
    <w:rsid w:val="00E05C38"/>
    <w:rsid w:val="00E0658C"/>
    <w:rsid w:val="00E07C69"/>
    <w:rsid w:val="00E12A6F"/>
    <w:rsid w:val="00E13F97"/>
    <w:rsid w:val="00E17D13"/>
    <w:rsid w:val="00E232BE"/>
    <w:rsid w:val="00E31303"/>
    <w:rsid w:val="00E314EC"/>
    <w:rsid w:val="00E3394A"/>
    <w:rsid w:val="00E37FAC"/>
    <w:rsid w:val="00E4045E"/>
    <w:rsid w:val="00E40555"/>
    <w:rsid w:val="00E40A25"/>
    <w:rsid w:val="00E42450"/>
    <w:rsid w:val="00E4363C"/>
    <w:rsid w:val="00E46303"/>
    <w:rsid w:val="00E46ADA"/>
    <w:rsid w:val="00E47971"/>
    <w:rsid w:val="00E511E2"/>
    <w:rsid w:val="00E52EB2"/>
    <w:rsid w:val="00E53FFB"/>
    <w:rsid w:val="00E60C6F"/>
    <w:rsid w:val="00E61219"/>
    <w:rsid w:val="00E61EFB"/>
    <w:rsid w:val="00E62570"/>
    <w:rsid w:val="00E6762E"/>
    <w:rsid w:val="00E74083"/>
    <w:rsid w:val="00E746B2"/>
    <w:rsid w:val="00E74894"/>
    <w:rsid w:val="00E7777E"/>
    <w:rsid w:val="00E86853"/>
    <w:rsid w:val="00E87EC8"/>
    <w:rsid w:val="00E907D3"/>
    <w:rsid w:val="00E9176B"/>
    <w:rsid w:val="00E92E0A"/>
    <w:rsid w:val="00E978F8"/>
    <w:rsid w:val="00EA329B"/>
    <w:rsid w:val="00EB161D"/>
    <w:rsid w:val="00EB2812"/>
    <w:rsid w:val="00EB3BDE"/>
    <w:rsid w:val="00EB70C1"/>
    <w:rsid w:val="00EC4B69"/>
    <w:rsid w:val="00EC52D6"/>
    <w:rsid w:val="00EC5632"/>
    <w:rsid w:val="00EC5EDC"/>
    <w:rsid w:val="00EC73A5"/>
    <w:rsid w:val="00EC7A10"/>
    <w:rsid w:val="00ED07ED"/>
    <w:rsid w:val="00ED23C3"/>
    <w:rsid w:val="00ED240D"/>
    <w:rsid w:val="00ED4378"/>
    <w:rsid w:val="00ED45B3"/>
    <w:rsid w:val="00ED70BD"/>
    <w:rsid w:val="00ED7C3B"/>
    <w:rsid w:val="00EE0342"/>
    <w:rsid w:val="00EE1028"/>
    <w:rsid w:val="00EE6703"/>
    <w:rsid w:val="00EE7A04"/>
    <w:rsid w:val="00EF0369"/>
    <w:rsid w:val="00EF0650"/>
    <w:rsid w:val="00EF0691"/>
    <w:rsid w:val="00EF333F"/>
    <w:rsid w:val="00EF3F06"/>
    <w:rsid w:val="00EF5094"/>
    <w:rsid w:val="00EF63D3"/>
    <w:rsid w:val="00EF6D06"/>
    <w:rsid w:val="00F075E4"/>
    <w:rsid w:val="00F1026A"/>
    <w:rsid w:val="00F10B9D"/>
    <w:rsid w:val="00F11FD0"/>
    <w:rsid w:val="00F12625"/>
    <w:rsid w:val="00F12EEB"/>
    <w:rsid w:val="00F147C3"/>
    <w:rsid w:val="00F14944"/>
    <w:rsid w:val="00F210E5"/>
    <w:rsid w:val="00F237E2"/>
    <w:rsid w:val="00F23D9D"/>
    <w:rsid w:val="00F2709C"/>
    <w:rsid w:val="00F321E6"/>
    <w:rsid w:val="00F40DD2"/>
    <w:rsid w:val="00F436B3"/>
    <w:rsid w:val="00F46BF6"/>
    <w:rsid w:val="00F510CA"/>
    <w:rsid w:val="00F52EBF"/>
    <w:rsid w:val="00F5323F"/>
    <w:rsid w:val="00F56CAD"/>
    <w:rsid w:val="00F60E56"/>
    <w:rsid w:val="00F63728"/>
    <w:rsid w:val="00F641E8"/>
    <w:rsid w:val="00F66917"/>
    <w:rsid w:val="00F67B36"/>
    <w:rsid w:val="00F74554"/>
    <w:rsid w:val="00F75497"/>
    <w:rsid w:val="00F7706E"/>
    <w:rsid w:val="00F77869"/>
    <w:rsid w:val="00F80928"/>
    <w:rsid w:val="00F82A59"/>
    <w:rsid w:val="00F86FD5"/>
    <w:rsid w:val="00F87A10"/>
    <w:rsid w:val="00F87B82"/>
    <w:rsid w:val="00F94415"/>
    <w:rsid w:val="00F94CF3"/>
    <w:rsid w:val="00FA0DED"/>
    <w:rsid w:val="00FA65D0"/>
    <w:rsid w:val="00FA68EA"/>
    <w:rsid w:val="00FA7C59"/>
    <w:rsid w:val="00FB24CD"/>
    <w:rsid w:val="00FB5082"/>
    <w:rsid w:val="00FC06D8"/>
    <w:rsid w:val="00FC1195"/>
    <w:rsid w:val="00FC3711"/>
    <w:rsid w:val="00FC7790"/>
    <w:rsid w:val="00FD4880"/>
    <w:rsid w:val="00FD4FB2"/>
    <w:rsid w:val="00FD7FF3"/>
    <w:rsid w:val="00FE08DE"/>
    <w:rsid w:val="00FE1A4F"/>
    <w:rsid w:val="00FE1DA4"/>
    <w:rsid w:val="00FE246B"/>
    <w:rsid w:val="00FE6842"/>
    <w:rsid w:val="00FE6FCB"/>
    <w:rsid w:val="00FF270B"/>
    <w:rsid w:val="00FF3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70411"/>
  <w15:docId w15:val="{B0ED42EE-91C2-C44F-96DE-B2456A1F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2812"/>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27DBA"/>
    <w:pPr>
      <w:ind w:left="720"/>
      <w:contextualSpacing/>
    </w:pPr>
  </w:style>
  <w:style w:type="paragraph" w:styleId="FootnoteText">
    <w:name w:val="footnote text"/>
    <w:basedOn w:val="Normal"/>
    <w:link w:val="FootnoteTextChar"/>
    <w:uiPriority w:val="99"/>
    <w:semiHidden/>
    <w:unhideWhenUsed/>
    <w:rsid w:val="003B4B01"/>
    <w:rPr>
      <w:sz w:val="20"/>
      <w:szCs w:val="20"/>
    </w:rPr>
  </w:style>
  <w:style w:type="character" w:customStyle="1" w:styleId="FootnoteTextChar">
    <w:name w:val="Footnote Text Char"/>
    <w:basedOn w:val="DefaultParagraphFont"/>
    <w:link w:val="FootnoteText"/>
    <w:uiPriority w:val="99"/>
    <w:semiHidden/>
    <w:rsid w:val="003B4B01"/>
    <w:rPr>
      <w:sz w:val="20"/>
      <w:szCs w:val="20"/>
    </w:rPr>
  </w:style>
  <w:style w:type="character" w:styleId="FootnoteReference">
    <w:name w:val="footnote reference"/>
    <w:basedOn w:val="DefaultParagraphFont"/>
    <w:uiPriority w:val="99"/>
    <w:semiHidden/>
    <w:unhideWhenUsed/>
    <w:rsid w:val="003B4B01"/>
    <w:rPr>
      <w:vertAlign w:val="superscript"/>
    </w:rPr>
  </w:style>
  <w:style w:type="numbering" w:customStyle="1" w:styleId="CurrentList1">
    <w:name w:val="Current List1"/>
    <w:uiPriority w:val="99"/>
    <w:rsid w:val="002D6241"/>
    <w:pPr>
      <w:numPr>
        <w:numId w:val="3"/>
      </w:numPr>
    </w:pPr>
  </w:style>
  <w:style w:type="character" w:styleId="Hyperlink">
    <w:name w:val="Hyperlink"/>
    <w:basedOn w:val="DefaultParagraphFont"/>
    <w:uiPriority w:val="99"/>
    <w:unhideWhenUsed/>
    <w:rsid w:val="00DE7706"/>
    <w:rPr>
      <w:color w:val="0563C1" w:themeColor="hyperlink"/>
      <w:u w:val="single"/>
    </w:rPr>
  </w:style>
  <w:style w:type="character" w:styleId="UnresolvedMention">
    <w:name w:val="Unresolved Mention"/>
    <w:basedOn w:val="DefaultParagraphFont"/>
    <w:uiPriority w:val="99"/>
    <w:semiHidden/>
    <w:unhideWhenUsed/>
    <w:rsid w:val="00DE7706"/>
    <w:rPr>
      <w:color w:val="605E5C"/>
      <w:shd w:val="clear" w:color="auto" w:fill="E1DFDD"/>
    </w:rPr>
  </w:style>
  <w:style w:type="paragraph" w:styleId="EndnoteText">
    <w:name w:val="endnote text"/>
    <w:basedOn w:val="Normal"/>
    <w:link w:val="EndnoteTextChar"/>
    <w:uiPriority w:val="99"/>
    <w:semiHidden/>
    <w:unhideWhenUsed/>
    <w:rsid w:val="00E4363C"/>
    <w:rPr>
      <w:sz w:val="20"/>
      <w:szCs w:val="20"/>
    </w:rPr>
  </w:style>
  <w:style w:type="character" w:customStyle="1" w:styleId="EndnoteTextChar">
    <w:name w:val="Endnote Text Char"/>
    <w:basedOn w:val="DefaultParagraphFont"/>
    <w:link w:val="EndnoteText"/>
    <w:uiPriority w:val="99"/>
    <w:semiHidden/>
    <w:rsid w:val="00E4363C"/>
    <w:rPr>
      <w:sz w:val="20"/>
      <w:szCs w:val="20"/>
    </w:rPr>
  </w:style>
  <w:style w:type="character" w:styleId="EndnoteReference">
    <w:name w:val="endnote reference"/>
    <w:basedOn w:val="DefaultParagraphFont"/>
    <w:uiPriority w:val="99"/>
    <w:semiHidden/>
    <w:unhideWhenUsed/>
    <w:rsid w:val="00E4363C"/>
    <w:rPr>
      <w:vertAlign w:val="superscript"/>
    </w:rPr>
  </w:style>
  <w:style w:type="character" w:styleId="FollowedHyperlink">
    <w:name w:val="FollowedHyperlink"/>
    <w:basedOn w:val="DefaultParagraphFont"/>
    <w:uiPriority w:val="99"/>
    <w:semiHidden/>
    <w:unhideWhenUsed/>
    <w:rsid w:val="00410E43"/>
    <w:rPr>
      <w:color w:val="954F72" w:themeColor="followedHyperlink"/>
      <w:u w:val="single"/>
    </w:rPr>
  </w:style>
  <w:style w:type="paragraph" w:styleId="Header">
    <w:name w:val="header"/>
    <w:basedOn w:val="Normal"/>
    <w:link w:val="HeaderChar"/>
    <w:uiPriority w:val="99"/>
    <w:unhideWhenUsed/>
    <w:rsid w:val="000C3E5A"/>
    <w:pPr>
      <w:tabs>
        <w:tab w:val="center" w:pos="4513"/>
        <w:tab w:val="right" w:pos="9026"/>
      </w:tabs>
    </w:pPr>
  </w:style>
  <w:style w:type="character" w:customStyle="1" w:styleId="HeaderChar">
    <w:name w:val="Header Char"/>
    <w:basedOn w:val="DefaultParagraphFont"/>
    <w:link w:val="Header"/>
    <w:uiPriority w:val="99"/>
    <w:rsid w:val="000C3E5A"/>
  </w:style>
  <w:style w:type="paragraph" w:styleId="Footer">
    <w:name w:val="footer"/>
    <w:basedOn w:val="Normal"/>
    <w:link w:val="FooterChar"/>
    <w:uiPriority w:val="99"/>
    <w:unhideWhenUsed/>
    <w:rsid w:val="000C3E5A"/>
    <w:pPr>
      <w:tabs>
        <w:tab w:val="center" w:pos="4513"/>
        <w:tab w:val="right" w:pos="9026"/>
      </w:tabs>
    </w:pPr>
  </w:style>
  <w:style w:type="character" w:customStyle="1" w:styleId="FooterChar">
    <w:name w:val="Footer Char"/>
    <w:basedOn w:val="DefaultParagraphFont"/>
    <w:link w:val="Footer"/>
    <w:uiPriority w:val="99"/>
    <w:rsid w:val="000C3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3937">
      <w:bodyDiv w:val="1"/>
      <w:marLeft w:val="0"/>
      <w:marRight w:val="0"/>
      <w:marTop w:val="0"/>
      <w:marBottom w:val="0"/>
      <w:divBdr>
        <w:top w:val="none" w:sz="0" w:space="0" w:color="auto"/>
        <w:left w:val="none" w:sz="0" w:space="0" w:color="auto"/>
        <w:bottom w:val="none" w:sz="0" w:space="0" w:color="auto"/>
        <w:right w:val="none" w:sz="0" w:space="0" w:color="auto"/>
      </w:divBdr>
    </w:div>
    <w:div w:id="649948001">
      <w:bodyDiv w:val="1"/>
      <w:marLeft w:val="0"/>
      <w:marRight w:val="0"/>
      <w:marTop w:val="0"/>
      <w:marBottom w:val="0"/>
      <w:divBdr>
        <w:top w:val="none" w:sz="0" w:space="0" w:color="auto"/>
        <w:left w:val="none" w:sz="0" w:space="0" w:color="auto"/>
        <w:bottom w:val="none" w:sz="0" w:space="0" w:color="auto"/>
        <w:right w:val="none" w:sz="0" w:space="0" w:color="auto"/>
      </w:divBdr>
    </w:div>
    <w:div w:id="676271063">
      <w:bodyDiv w:val="1"/>
      <w:marLeft w:val="0"/>
      <w:marRight w:val="0"/>
      <w:marTop w:val="0"/>
      <w:marBottom w:val="0"/>
      <w:divBdr>
        <w:top w:val="none" w:sz="0" w:space="0" w:color="auto"/>
        <w:left w:val="none" w:sz="0" w:space="0" w:color="auto"/>
        <w:bottom w:val="none" w:sz="0" w:space="0" w:color="auto"/>
        <w:right w:val="none" w:sz="0" w:space="0" w:color="auto"/>
      </w:divBdr>
      <w:divsChild>
        <w:div w:id="495655815">
          <w:marLeft w:val="0"/>
          <w:marRight w:val="0"/>
          <w:marTop w:val="0"/>
          <w:marBottom w:val="0"/>
          <w:divBdr>
            <w:top w:val="none" w:sz="0" w:space="0" w:color="auto"/>
            <w:left w:val="none" w:sz="0" w:space="0" w:color="auto"/>
            <w:bottom w:val="none" w:sz="0" w:space="0" w:color="auto"/>
            <w:right w:val="none" w:sz="0" w:space="0" w:color="auto"/>
          </w:divBdr>
          <w:divsChild>
            <w:div w:id="1713380341">
              <w:marLeft w:val="0"/>
              <w:marRight w:val="0"/>
              <w:marTop w:val="0"/>
              <w:marBottom w:val="0"/>
              <w:divBdr>
                <w:top w:val="none" w:sz="0" w:space="0" w:color="auto"/>
                <w:left w:val="none" w:sz="0" w:space="0" w:color="auto"/>
                <w:bottom w:val="none" w:sz="0" w:space="0" w:color="auto"/>
                <w:right w:val="none" w:sz="0" w:space="0" w:color="auto"/>
              </w:divBdr>
              <w:divsChild>
                <w:div w:id="1308126615">
                  <w:marLeft w:val="0"/>
                  <w:marRight w:val="0"/>
                  <w:marTop w:val="0"/>
                  <w:marBottom w:val="0"/>
                  <w:divBdr>
                    <w:top w:val="none" w:sz="0" w:space="0" w:color="auto"/>
                    <w:left w:val="none" w:sz="0" w:space="0" w:color="auto"/>
                    <w:bottom w:val="none" w:sz="0" w:space="0" w:color="auto"/>
                    <w:right w:val="none" w:sz="0" w:space="0" w:color="auto"/>
                  </w:divBdr>
                  <w:divsChild>
                    <w:div w:id="9297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500797">
      <w:bodyDiv w:val="1"/>
      <w:marLeft w:val="0"/>
      <w:marRight w:val="0"/>
      <w:marTop w:val="0"/>
      <w:marBottom w:val="0"/>
      <w:divBdr>
        <w:top w:val="none" w:sz="0" w:space="0" w:color="auto"/>
        <w:left w:val="none" w:sz="0" w:space="0" w:color="auto"/>
        <w:bottom w:val="none" w:sz="0" w:space="0" w:color="auto"/>
        <w:right w:val="none" w:sz="0" w:space="0" w:color="auto"/>
      </w:divBdr>
    </w:div>
    <w:div w:id="1095322657">
      <w:bodyDiv w:val="1"/>
      <w:marLeft w:val="0"/>
      <w:marRight w:val="0"/>
      <w:marTop w:val="0"/>
      <w:marBottom w:val="0"/>
      <w:divBdr>
        <w:top w:val="none" w:sz="0" w:space="0" w:color="auto"/>
        <w:left w:val="none" w:sz="0" w:space="0" w:color="auto"/>
        <w:bottom w:val="none" w:sz="0" w:space="0" w:color="auto"/>
        <w:right w:val="none" w:sz="0" w:space="0" w:color="auto"/>
      </w:divBdr>
      <w:divsChild>
        <w:div w:id="1564291691">
          <w:marLeft w:val="0"/>
          <w:marRight w:val="0"/>
          <w:marTop w:val="0"/>
          <w:marBottom w:val="0"/>
          <w:divBdr>
            <w:top w:val="none" w:sz="0" w:space="0" w:color="auto"/>
            <w:left w:val="none" w:sz="0" w:space="0" w:color="auto"/>
            <w:bottom w:val="none" w:sz="0" w:space="0" w:color="auto"/>
            <w:right w:val="none" w:sz="0" w:space="0" w:color="auto"/>
          </w:divBdr>
          <w:divsChild>
            <w:div w:id="1925648261">
              <w:marLeft w:val="0"/>
              <w:marRight w:val="0"/>
              <w:marTop w:val="0"/>
              <w:marBottom w:val="0"/>
              <w:divBdr>
                <w:top w:val="none" w:sz="0" w:space="0" w:color="auto"/>
                <w:left w:val="none" w:sz="0" w:space="0" w:color="auto"/>
                <w:bottom w:val="none" w:sz="0" w:space="0" w:color="auto"/>
                <w:right w:val="none" w:sz="0" w:space="0" w:color="auto"/>
              </w:divBdr>
              <w:divsChild>
                <w:div w:id="17679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Details/C2023C00057/Download" TargetMode="External"/><Relationship Id="rId13" Type="http://schemas.openxmlformats.org/officeDocument/2006/relationships/hyperlink" Target="http://classic.austlii.edu.au/au/legis/cth/num_act/sgeaa1984463/" TargetMode="External"/><Relationship Id="rId18" Type="http://schemas.openxmlformats.org/officeDocument/2006/relationships/hyperlink" Target="https://www.health.nsw.gov.au/careers/imagine-rural/Factsheets/allied-health-rural-hecs-help-incentive-package.pdf" TargetMode="External"/><Relationship Id="rId26" Type="http://schemas.openxmlformats.org/officeDocument/2006/relationships/hyperlink" Target="https://www.abc.net.au/news/2022-09-02/housing-property-australias-one-million-empty-homes/101396656" TargetMode="External"/><Relationship Id="rId3" Type="http://schemas.openxmlformats.org/officeDocument/2006/relationships/hyperlink" Target="https://www.legislation.gov.au/Series/C2004A01234/Enables" TargetMode="External"/><Relationship Id="rId21" Type="http://schemas.openxmlformats.org/officeDocument/2006/relationships/hyperlink" Target="https://www.batchelor.edu.au/students/courses/" TargetMode="External"/><Relationship Id="rId7" Type="http://schemas.openxmlformats.org/officeDocument/2006/relationships/hyperlink" Target="https://www.legislation.gov.au/Details/C2004A01234/Download" TargetMode="External"/><Relationship Id="rId12" Type="http://schemas.openxmlformats.org/officeDocument/2006/relationships/hyperlink" Target="http://classic.austlii.edu.au/au/legis/cth/num_act/sga1951811951357/" TargetMode="External"/><Relationship Id="rId17" Type="http://schemas.openxmlformats.org/officeDocument/2006/relationships/hyperlink" Target="https://www.health.nsw.gov.au/nursing/scholarship/Pages/undergrad_clinical.aspx" TargetMode="External"/><Relationship Id="rId25" Type="http://schemas.openxmlformats.org/officeDocument/2006/relationships/hyperlink" Target="https://www.ncsehe.edu.au/publications/equity-performance-accountability" TargetMode="External"/><Relationship Id="rId2" Type="http://schemas.openxmlformats.org/officeDocument/2006/relationships/hyperlink" Target="https://www.legislation.gov.au/Series/C2004A01234/Amendments" TargetMode="External"/><Relationship Id="rId16" Type="http://schemas.openxmlformats.org/officeDocument/2006/relationships/hyperlink" Target="https://andrewnorton.net.au/2021/04/29/new-allocations-of-money-and-student-places-in-the-university-funding-agreements/" TargetMode="External"/><Relationship Id="rId20" Type="http://schemas.openxmlformats.org/officeDocument/2006/relationships/hyperlink" Target="https://www.tandfonline.com/doi/abs/10.1080/13596748.2021.2011503" TargetMode="External"/><Relationship Id="rId29" Type="http://schemas.openxmlformats.org/officeDocument/2006/relationships/hyperlink" Target="https://compass.onlinelibrary.wiley.com/doi/10.1111/soc4.12768" TargetMode="External"/><Relationship Id="rId1" Type="http://schemas.openxmlformats.org/officeDocument/2006/relationships/hyperlink" Target="https://minerva-access.unimelb.edu.au/items/c6641e8d-f2bb-53e5-8174-518aacfdb249" TargetMode="External"/><Relationship Id="rId6" Type="http://schemas.openxmlformats.org/officeDocument/2006/relationships/hyperlink" Target="https://compass.onlinelibrary.wiley.com/doi/10.1111/soc4.12768" TargetMode="External"/><Relationship Id="rId11" Type="http://schemas.openxmlformats.org/officeDocument/2006/relationships/hyperlink" Target="https://andrewnorton.net.au/2023/03/14/is-it-helpful-to-have-so-many-helps/comment-page-1/" TargetMode="External"/><Relationship Id="rId24" Type="http://schemas.openxmlformats.org/officeDocument/2006/relationships/hyperlink" Target="https://apo.org.au/node/93376" TargetMode="External"/><Relationship Id="rId5" Type="http://schemas.openxmlformats.org/officeDocument/2006/relationships/hyperlink" Target="https://www.legislation.vic.gov.au/repealed-revoked/acts/melbourne-university-act-1958/054" TargetMode="External"/><Relationship Id="rId15" Type="http://schemas.openxmlformats.org/officeDocument/2006/relationships/hyperlink" Target="https://fbe.unimelb.edu.au/__data/assets/pdf_file/0006/775221/Australian_Universities_Moscow_on_the_Molonglo.pdf" TargetMode="External"/><Relationship Id="rId23" Type="http://schemas.openxmlformats.org/officeDocument/2006/relationships/hyperlink" Target="https://uat.herg.com.au/media/wp-content/uploads/2023/01/Inquiry-into-Funding-Australias-Research-Research-Coaching-Australia-29-Jun-2018.pdf" TargetMode="External"/><Relationship Id="rId28" Type="http://schemas.openxmlformats.org/officeDocument/2006/relationships/hyperlink" Target="http://www.ncsehe.edu.au/publications/open-textbooks-social-justice." TargetMode="External"/><Relationship Id="rId10" Type="http://schemas.openxmlformats.org/officeDocument/2006/relationships/hyperlink" Target="https://www.aph.gov.au/Parliamentary_Business/Bills_Legislation/Bills_Search_Results/Result?bId=r6991" TargetMode="External"/><Relationship Id="rId19" Type="http://schemas.openxmlformats.org/officeDocument/2006/relationships/hyperlink" Target="https://www.health.vic.gov.au/nursing-and-midwifery/undergraduate-nursing-and-midwifery-scholarships" TargetMode="External"/><Relationship Id="rId4" Type="http://schemas.openxmlformats.org/officeDocument/2006/relationships/hyperlink" Target="https://www.legislation.vic.gov.au/in-force/acts/university-melbourne-act-2009/001" TargetMode="External"/><Relationship Id="rId9" Type="http://schemas.openxmlformats.org/officeDocument/2006/relationships/hyperlink" Target="https://parlinfo.aph.gov.au/parlInfo/search/display/display.w3p;query=Id%3A%22library%2Fprspub%2F5872304%22" TargetMode="External"/><Relationship Id="rId14" Type="http://schemas.openxmlformats.org/officeDocument/2006/relationships/hyperlink" Target="https://www.legislation.gov.au/Details/C2004A03750" TargetMode="External"/><Relationship Id="rId22" Type="http://schemas.openxmlformats.org/officeDocument/2006/relationships/hyperlink" Target="https://minerva-access.unimelb.edu.au/items/c6641e8d-f2bb-53e5-8174-518aacfdb249" TargetMode="External"/><Relationship Id="rId27" Type="http://schemas.openxmlformats.org/officeDocument/2006/relationships/hyperlink" Target="https://www.ncsehe.edu.au/wp-content/uploads/2022/03/Pitman_Curtin_EquityFellowship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05912-63F6-0841-8A13-A1E889C6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6219</Words>
  <Characters>35453</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Brett</dc:creator>
  <cp:keywords/>
  <dc:description/>
  <cp:lastModifiedBy>MACKEY,Drew</cp:lastModifiedBy>
  <cp:revision>2</cp:revision>
  <dcterms:created xsi:type="dcterms:W3CDTF">2023-04-04T04:36:00Z</dcterms:created>
  <dcterms:modified xsi:type="dcterms:W3CDTF">2023-04-04T04:36:00Z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2023-04-04T04:36:43Z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76d3c7b8-06ed-4d0b-b613-1e30744b526f</vt:lpwstr>
  </property>
  <property fmtid="{D5CDD505-2E9C-101B-9397-08002B2CF9AE}" pid="8" name="MSIP_Label_79d889eb-932f-4752-8739-64d25806ef64_ContentBits">
    <vt:lpwstr>0</vt:lpwstr>
  </property>
</Properties>
</file>