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092E" w14:textId="52407854" w:rsidR="00A455E9" w:rsidRDefault="00097435">
      <w:r>
        <w:t xml:space="preserve">Good MLO bring. Thank you for the opportunity to review and comment. Higher education is a key component to </w:t>
      </w:r>
      <w:proofErr w:type="spellStart"/>
      <w:r>
        <w:t>to</w:t>
      </w:r>
      <w:proofErr w:type="spellEnd"/>
      <w:r>
        <w:t xml:space="preserve"> the future growth (economic, </w:t>
      </w:r>
      <w:proofErr w:type="gramStart"/>
      <w:r>
        <w:t>social</w:t>
      </w:r>
      <w:proofErr w:type="gramEnd"/>
      <w:r>
        <w:t xml:space="preserve"> and environmental) to Australia and it is critical that we can produce the greatest thinkers. To that end, I believe that initial degrees should be free, or nearly free, </w:t>
      </w:r>
      <w:proofErr w:type="gramStart"/>
      <w:r>
        <w:t>in order to</w:t>
      </w:r>
      <w:proofErr w:type="gramEnd"/>
      <w:r>
        <w:t xml:space="preserve"> maximise participation, and open opportunities for all. Whilst this may be expensive, I believe that the </w:t>
      </w:r>
      <w:proofErr w:type="spellStart"/>
      <w:r>
        <w:t>ROi</w:t>
      </w:r>
      <w:proofErr w:type="spellEnd"/>
      <w:r>
        <w:t xml:space="preserve"> on a national scale would be neutral or positive. Nonetheless, offset this, perhaps second and subsequent studies (other than those necessary as base qualification such as Medicine which is a secondary degree) should have higher student contributions. This would free spaces for undergraduate places (less </w:t>
      </w:r>
      <w:proofErr w:type="gramStart"/>
      <w:r>
        <w:t>second degree</w:t>
      </w:r>
      <w:proofErr w:type="gramEnd"/>
      <w:r>
        <w:t xml:space="preserve"> participants) as well as driving work participation and avoid ‘professional students’. Research projects should be similarly linked to those that promote social development and cohesion, economic or environmental growth or can otherwise be shown to have a significant return on the investment, weighted toward national rather than individual outcomes.</w:t>
      </w:r>
    </w:p>
    <w:sectPr w:rsidR="00A455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AC1A" w14:textId="77777777" w:rsidR="00097435" w:rsidRDefault="00097435" w:rsidP="00097435">
      <w:pPr>
        <w:spacing w:after="0" w:line="240" w:lineRule="auto"/>
      </w:pPr>
      <w:r>
        <w:separator/>
      </w:r>
    </w:p>
  </w:endnote>
  <w:endnote w:type="continuationSeparator" w:id="0">
    <w:p w14:paraId="2F65FEA0" w14:textId="77777777" w:rsidR="00097435" w:rsidRDefault="00097435" w:rsidP="000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8EE4" w14:textId="77777777" w:rsidR="00097435" w:rsidRDefault="00097435" w:rsidP="00097435">
      <w:pPr>
        <w:spacing w:after="0" w:line="240" w:lineRule="auto"/>
      </w:pPr>
      <w:r>
        <w:separator/>
      </w:r>
    </w:p>
  </w:footnote>
  <w:footnote w:type="continuationSeparator" w:id="0">
    <w:p w14:paraId="1CA17E40" w14:textId="77777777" w:rsidR="00097435" w:rsidRDefault="00097435" w:rsidP="00097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35"/>
    <w:rsid w:val="00097435"/>
    <w:rsid w:val="008573AC"/>
    <w:rsid w:val="00A455E9"/>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3662"/>
  <w15:chartTrackingRefBased/>
  <w15:docId w15:val="{F73BFF8F-1E9E-4D82-AEF7-E042B34B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Company>Australian Government</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2023-04-11T01:35:00Z</dcterms:created>
  <dcterms:modified xsi:type="dcterms:W3CDTF">2023-04-11T01:35:00Z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2023-04-11T01:35:20Z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4675c877-21c3-4fba-b12a-7ceeeb3d518f</vt:lpwstr>
  </property>
  <property fmtid="{D5CDD505-2E9C-101B-9397-08002B2CF9AE}" pid="8" name="MSIP_Label_79d889eb-932f-4752-8739-64d25806ef64_ContentBits">
    <vt:lpwstr>0</vt:lpwstr>
  </property>
</Properties>
</file>