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DE29" w14:textId="60B26D1A" w:rsidR="00F10680" w:rsidRPr="00F10680" w:rsidRDefault="00F10680">
      <w:pPr>
        <w:rPr>
          <w:rFonts w:ascii="Arial" w:hAnsi="Arial" w:cs="Arial"/>
          <w:sz w:val="24"/>
          <w:szCs w:val="24"/>
        </w:rPr>
      </w:pPr>
      <w:r w:rsidRPr="00F10680">
        <w:rPr>
          <w:rFonts w:ascii="Arial" w:hAnsi="Arial" w:cs="Arial"/>
          <w:sz w:val="24"/>
          <w:szCs w:val="24"/>
        </w:rPr>
        <w:t xml:space="preserve">Dear Accord Panel, </w:t>
      </w:r>
    </w:p>
    <w:p w14:paraId="346BAF67" w14:textId="77777777" w:rsidR="00FA640A" w:rsidRDefault="00F10680">
      <w:pPr>
        <w:rPr>
          <w:rFonts w:ascii="Arial" w:hAnsi="Arial" w:cs="Arial"/>
          <w:sz w:val="24"/>
          <w:szCs w:val="24"/>
        </w:rPr>
      </w:pPr>
      <w:r w:rsidRPr="00F10680">
        <w:rPr>
          <w:rFonts w:ascii="Arial" w:hAnsi="Arial" w:cs="Arial"/>
          <w:sz w:val="24"/>
          <w:szCs w:val="24"/>
        </w:rPr>
        <w:t xml:space="preserve">On behalf of the </w:t>
      </w:r>
      <w:r w:rsidR="00FA640A">
        <w:rPr>
          <w:rFonts w:ascii="Arial" w:hAnsi="Arial" w:cs="Arial"/>
          <w:sz w:val="24"/>
          <w:szCs w:val="24"/>
        </w:rPr>
        <w:t xml:space="preserve">student representatives on UNSW Academic Board, UNSW Faculty Boards and Committees </w:t>
      </w:r>
      <w:r w:rsidRPr="00F10680">
        <w:rPr>
          <w:rFonts w:ascii="Arial" w:hAnsi="Arial" w:cs="Arial"/>
          <w:sz w:val="24"/>
          <w:szCs w:val="24"/>
        </w:rPr>
        <w:t xml:space="preserve">we welcome the drafting of recommendations in the Australian Universities Accord. </w:t>
      </w:r>
    </w:p>
    <w:p w14:paraId="1BADAA2F" w14:textId="5BC59630" w:rsidR="00FA640A" w:rsidRDefault="00FA6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 Terms of Reference, we are concerned that the panel does not include a current student voice component. This is contrary to the sector best-practice </w:t>
      </w:r>
      <w:r w:rsidRPr="00FA640A">
        <w:rPr>
          <w:rFonts w:ascii="Arial" w:hAnsi="Arial" w:cs="Arial"/>
          <w:i/>
          <w:iCs/>
          <w:sz w:val="24"/>
          <w:szCs w:val="24"/>
        </w:rPr>
        <w:t>Students as Partners</w:t>
      </w:r>
      <w:r>
        <w:rPr>
          <w:rFonts w:ascii="Arial" w:hAnsi="Arial" w:cs="Arial"/>
          <w:sz w:val="24"/>
          <w:szCs w:val="24"/>
        </w:rPr>
        <w:t xml:space="preserve"> mechanisms in Australia</w:t>
      </w:r>
      <w:r w:rsidR="00E50B98">
        <w:rPr>
          <w:rFonts w:ascii="Arial" w:hAnsi="Arial" w:cs="Arial"/>
          <w:sz w:val="24"/>
          <w:szCs w:val="24"/>
        </w:rPr>
        <w:t xml:space="preserve"> (1)</w:t>
      </w:r>
      <w:r w:rsidR="005357A4">
        <w:rPr>
          <w:rFonts w:ascii="Arial" w:hAnsi="Arial" w:cs="Arial"/>
          <w:sz w:val="24"/>
          <w:szCs w:val="24"/>
        </w:rPr>
        <w:t xml:space="preserve"> and equivalent student voice mechanisms seen around the world</w:t>
      </w:r>
      <w:r w:rsidR="00E50B98">
        <w:rPr>
          <w:rFonts w:ascii="Arial" w:hAnsi="Arial" w:cs="Arial"/>
          <w:sz w:val="24"/>
          <w:szCs w:val="24"/>
        </w:rPr>
        <w:t xml:space="preserve"> (2)</w:t>
      </w:r>
      <w:r w:rsidR="005357A4">
        <w:rPr>
          <w:rFonts w:ascii="Arial" w:hAnsi="Arial" w:cs="Arial"/>
          <w:sz w:val="24"/>
          <w:szCs w:val="24"/>
        </w:rPr>
        <w:t xml:space="preserve">. </w:t>
      </w:r>
    </w:p>
    <w:p w14:paraId="6E629951" w14:textId="6E6F475F" w:rsidR="005357A4" w:rsidRDefault="00535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appreciate that student consultation will form part of the panel’s work, however without a </w:t>
      </w:r>
      <w:r w:rsidR="00E50B98">
        <w:rPr>
          <w:rFonts w:ascii="Arial" w:hAnsi="Arial" w:cs="Arial"/>
          <w:sz w:val="24"/>
          <w:szCs w:val="24"/>
        </w:rPr>
        <w:t xml:space="preserve">meaningful </w:t>
      </w:r>
      <w:r>
        <w:rPr>
          <w:rFonts w:ascii="Arial" w:hAnsi="Arial" w:cs="Arial"/>
          <w:sz w:val="24"/>
          <w:szCs w:val="24"/>
        </w:rPr>
        <w:t xml:space="preserve">seat at the table it is not sufficient inclusion of an authentic, empowered student voice. </w:t>
      </w:r>
      <w:r w:rsidR="00E50B98">
        <w:rPr>
          <w:rFonts w:ascii="Arial" w:hAnsi="Arial" w:cs="Arial"/>
          <w:sz w:val="24"/>
          <w:szCs w:val="24"/>
        </w:rPr>
        <w:t>It is our recommendation that the student voice is embedded in the Universities Accord process</w:t>
      </w:r>
      <w:r w:rsidR="0065047D">
        <w:rPr>
          <w:rFonts w:ascii="Arial" w:hAnsi="Arial" w:cs="Arial"/>
          <w:sz w:val="24"/>
          <w:szCs w:val="24"/>
        </w:rPr>
        <w:t xml:space="preserve"> in the following ways: </w:t>
      </w:r>
    </w:p>
    <w:p w14:paraId="54DBF6AE" w14:textId="08F66E56" w:rsidR="00E50B98" w:rsidRDefault="00E50B98" w:rsidP="00E50B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Extensive consultation with existing student groups at regular stages</w:t>
      </w:r>
      <w:r w:rsidR="0065047D">
        <w:rPr>
          <w:rFonts w:ascii="Arial" w:hAnsi="Arial" w:cs="Arial"/>
          <w:sz w:val="24"/>
          <w:szCs w:val="24"/>
        </w:rPr>
        <w:t xml:space="preserve"> (especially pre-position and post-position consultation)</w:t>
      </w:r>
      <w:r w:rsidR="006C018A">
        <w:rPr>
          <w:rFonts w:ascii="Arial" w:hAnsi="Arial" w:cs="Arial"/>
          <w:sz w:val="24"/>
          <w:szCs w:val="24"/>
        </w:rPr>
        <w:t xml:space="preserve"> (3)</w:t>
      </w:r>
    </w:p>
    <w:p w14:paraId="34782EC4" w14:textId="5526C4D1" w:rsidR="00E50B98" w:rsidRDefault="00E50B98" w:rsidP="00E50B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Active </w:t>
      </w:r>
      <w:r w:rsidR="0065047D">
        <w:rPr>
          <w:rFonts w:ascii="Arial" w:hAnsi="Arial" w:cs="Arial"/>
          <w:sz w:val="24"/>
          <w:szCs w:val="24"/>
        </w:rPr>
        <w:t xml:space="preserve">digital </w:t>
      </w:r>
      <w:r>
        <w:rPr>
          <w:rFonts w:ascii="Arial" w:hAnsi="Arial" w:cs="Arial"/>
          <w:sz w:val="24"/>
          <w:szCs w:val="24"/>
        </w:rPr>
        <w:t>campaign</w:t>
      </w:r>
      <w:r w:rsidR="006504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solicit student contributions/ submissions</w:t>
      </w:r>
    </w:p>
    <w:p w14:paraId="2BC61AAE" w14:textId="3AAE908A" w:rsidR="00E50B98" w:rsidRDefault="00E50B98" w:rsidP="00E50B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Formation of a meaningfully empowered Student Advisory </w:t>
      </w:r>
      <w:r w:rsidR="0065047D">
        <w:rPr>
          <w:rFonts w:ascii="Arial" w:hAnsi="Arial" w:cs="Arial"/>
          <w:sz w:val="24"/>
          <w:szCs w:val="24"/>
        </w:rPr>
        <w:t>Panel that is consulted by the Panel that is appropriately remunerated</w:t>
      </w:r>
    </w:p>
    <w:p w14:paraId="536BC3C3" w14:textId="3E11F2F6" w:rsidR="00E50B98" w:rsidRDefault="00E50B98" w:rsidP="00E50B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Transparent use of existing student data (both implicit and explicit) </w:t>
      </w:r>
    </w:p>
    <w:p w14:paraId="51A28D20" w14:textId="03DA3208" w:rsidR="0065047D" w:rsidRDefault="0065047D" w:rsidP="00E50B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Framework for student inclusion at a university-level submissions/ responses </w:t>
      </w:r>
    </w:p>
    <w:p w14:paraId="2020CA36" w14:textId="68BB65F7" w:rsidR="0065047D" w:rsidRPr="00E50B98" w:rsidRDefault="0065047D" w:rsidP="00E50B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Inclusion of at least 1 voting student member on the panel </w:t>
      </w:r>
    </w:p>
    <w:p w14:paraId="0BF19C47" w14:textId="0EF489A1" w:rsidR="00E50B98" w:rsidRDefault="00E50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be more than happy to </w:t>
      </w:r>
      <w:r w:rsidR="0065047D">
        <w:rPr>
          <w:rFonts w:ascii="Arial" w:hAnsi="Arial" w:cs="Arial"/>
          <w:sz w:val="24"/>
          <w:szCs w:val="24"/>
        </w:rPr>
        <w:t xml:space="preserve">provide additional guidance on this matter. </w:t>
      </w:r>
    </w:p>
    <w:p w14:paraId="337CE188" w14:textId="55EBD858" w:rsidR="0065047D" w:rsidRDefault="0065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we would like to see the holistic student experience given additional salience in the Terms of Reference. We believe that the co-curricular, extra-curricular and support provided adjacent to studies is critically important to the lifelong value of education. </w:t>
      </w:r>
    </w:p>
    <w:p w14:paraId="2F968B63" w14:textId="533003AA" w:rsidR="00E50B98" w:rsidRDefault="00E50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14:paraId="119B05D6" w14:textId="033B8C7B" w:rsidR="0065047D" w:rsidRDefault="0065047D">
      <w:pPr>
        <w:rPr>
          <w:rFonts w:ascii="Arial" w:hAnsi="Arial" w:cs="Arial"/>
          <w:sz w:val="24"/>
          <w:szCs w:val="24"/>
        </w:rPr>
      </w:pPr>
    </w:p>
    <w:p w14:paraId="1E8904D5" w14:textId="40B76D0F" w:rsidR="0065047D" w:rsidRDefault="0065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E1F667C" wp14:editId="50419949">
                <wp:simplePos x="0" y="0"/>
                <wp:positionH relativeFrom="column">
                  <wp:posOffset>-10160</wp:posOffset>
                </wp:positionH>
                <wp:positionV relativeFrom="paragraph">
                  <wp:posOffset>-437515</wp:posOffset>
                </wp:positionV>
                <wp:extent cx="2297430" cy="990600"/>
                <wp:effectExtent l="19050" t="57150" r="64770" b="762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297430" cy="99060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C3843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2.2pt;margin-top:-35.85pt;width:183.7pt;height:8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">
                <v:imagedata r:id="rId8" o:title=""/>
              </v:shape>
            </w:pict>
          </mc:Fallback>
        </mc:AlternateContent>
      </w:r>
    </w:p>
    <w:p w14:paraId="361B2456" w14:textId="1863FB16" w:rsidR="00E50B98" w:rsidRPr="00E50B98" w:rsidRDefault="00E50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Mitchell McBurnie</w:t>
      </w:r>
      <w:r w:rsidR="006C018A">
        <w:rPr>
          <w:rFonts w:ascii="Arial" w:hAnsi="Arial" w:cs="Arial"/>
          <w:sz w:val="24"/>
          <w:szCs w:val="24"/>
        </w:rPr>
        <w:br/>
        <w:t>Postgraduate Coursework Representative</w:t>
      </w:r>
      <w:r w:rsidR="006C018A">
        <w:rPr>
          <w:rFonts w:ascii="Arial" w:hAnsi="Arial" w:cs="Arial"/>
          <w:sz w:val="24"/>
          <w:szCs w:val="24"/>
        </w:rPr>
        <w:br/>
        <w:t>UNSW Academic Board</w:t>
      </w:r>
      <w:r w:rsidR="006C018A">
        <w:rPr>
          <w:rFonts w:ascii="Arial" w:hAnsi="Arial" w:cs="Arial"/>
          <w:sz w:val="24"/>
          <w:szCs w:val="24"/>
        </w:rPr>
        <w:br/>
      </w:r>
      <w:r w:rsidR="00936A38">
        <w:t xml:space="preserve"> </w:t>
      </w:r>
      <w:r w:rsidR="00936A38" w:rsidRPr="00936A38">
        <w:rPr>
          <w:shd w:val="clear" w:color="auto" w:fill="000000" w:themeFill="text1"/>
        </w:rPr>
        <w:t xml:space="preserve">                                                     </w:t>
      </w:r>
      <w:r w:rsidR="00936A38" w:rsidRPr="00936A38">
        <w:rPr>
          <w:color w:val="FFFFFF" w:themeColor="background1"/>
          <w:shd w:val="clear" w:color="auto" w:fill="000000" w:themeFill="text1"/>
        </w:rPr>
        <w:t xml:space="preserve"> </w:t>
      </w:r>
      <w:r w:rsidR="00936A38" w:rsidRPr="00936A38">
        <w:rPr>
          <w:color w:val="FFFFFF" w:themeColor="background1"/>
        </w:rPr>
        <w:t>.</w:t>
      </w:r>
    </w:p>
    <w:p w14:paraId="6BE8327D" w14:textId="016930B6" w:rsidR="00E50B98" w:rsidRPr="00E50B98" w:rsidRDefault="00E50B98">
      <w:pPr>
        <w:rPr>
          <w:rFonts w:ascii="Arial" w:hAnsi="Arial" w:cs="Arial"/>
          <w:sz w:val="24"/>
          <w:szCs w:val="24"/>
          <w:u w:val="single"/>
        </w:rPr>
      </w:pPr>
      <w:r w:rsidRPr="00E50B98">
        <w:rPr>
          <w:rFonts w:ascii="Arial" w:hAnsi="Arial" w:cs="Arial"/>
          <w:sz w:val="24"/>
          <w:szCs w:val="24"/>
          <w:u w:val="single"/>
        </w:rPr>
        <w:t>References</w:t>
      </w:r>
    </w:p>
    <w:p w14:paraId="0085875F" w14:textId="4C25D8E5" w:rsidR="005357A4" w:rsidRPr="00E50B98" w:rsidRDefault="00E50B98">
      <w:pPr>
        <w:rPr>
          <w:rFonts w:ascii="Arial" w:hAnsi="Arial" w:cs="Arial"/>
          <w:sz w:val="24"/>
          <w:szCs w:val="24"/>
        </w:rPr>
      </w:pPr>
      <w:r w:rsidRPr="00E50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(1) </w:t>
      </w:r>
      <w:r w:rsidR="005357A4" w:rsidRPr="00E50B98">
        <w:rPr>
          <w:rFonts w:ascii="Arial" w:hAnsi="Arial" w:cs="Arial"/>
          <w:color w:val="222222"/>
          <w:sz w:val="24"/>
          <w:szCs w:val="24"/>
          <w:shd w:val="clear" w:color="auto" w:fill="FFFFFF"/>
        </w:rPr>
        <w:t>Matthews, K.E. and Dollinger, M., 2022. Student voice in higher education: the importance of distinguishing student representation and student partnership. </w:t>
      </w:r>
      <w:r w:rsidR="005357A4" w:rsidRPr="00E50B98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Higher Education</w:t>
      </w:r>
      <w:r w:rsidR="005357A4" w:rsidRPr="00E50B98">
        <w:rPr>
          <w:rFonts w:ascii="Arial" w:hAnsi="Arial" w:cs="Arial"/>
          <w:color w:val="222222"/>
          <w:sz w:val="24"/>
          <w:szCs w:val="24"/>
          <w:shd w:val="clear" w:color="auto" w:fill="FFFFFF"/>
        </w:rPr>
        <w:t>, pp.1-16.</w:t>
      </w:r>
    </w:p>
    <w:p w14:paraId="24B86636" w14:textId="70F37E54" w:rsidR="00FA640A" w:rsidRDefault="00E50B9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50B98">
        <w:rPr>
          <w:rFonts w:ascii="Arial" w:hAnsi="Arial" w:cs="Arial"/>
          <w:sz w:val="24"/>
          <w:szCs w:val="24"/>
        </w:rPr>
        <w:t xml:space="preserve">(2) </w:t>
      </w:r>
      <w:r w:rsidRPr="00E50B98">
        <w:rPr>
          <w:rFonts w:ascii="Arial" w:hAnsi="Arial" w:cs="Arial"/>
          <w:color w:val="222222"/>
          <w:sz w:val="24"/>
          <w:szCs w:val="24"/>
          <w:shd w:val="clear" w:color="auto" w:fill="FFFFFF"/>
        </w:rPr>
        <w:t>Young, H. and Jerome, L., 2020. Student voice in higher education: Opening the loop. </w:t>
      </w:r>
      <w:r w:rsidRPr="00E50B98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British Educational Research Journal</w:t>
      </w:r>
      <w:r w:rsidRPr="00E50B98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E50B98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46</w:t>
      </w:r>
      <w:r w:rsidRPr="00E50B98">
        <w:rPr>
          <w:rFonts w:ascii="Arial" w:hAnsi="Arial" w:cs="Arial"/>
          <w:color w:val="222222"/>
          <w:sz w:val="24"/>
          <w:szCs w:val="24"/>
          <w:shd w:val="clear" w:color="auto" w:fill="FFFFFF"/>
        </w:rPr>
        <w:t>(3), pp.688-705.</w:t>
      </w:r>
    </w:p>
    <w:p w14:paraId="48425959" w14:textId="6FAA2232" w:rsidR="006C018A" w:rsidRPr="00E50B98" w:rsidRDefault="006C0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(3) </w:t>
      </w:r>
      <w:r w:rsidRPr="006C018A">
        <w:rPr>
          <w:rFonts w:ascii="Arial" w:hAnsi="Arial" w:cs="Arial"/>
          <w:color w:val="222222"/>
          <w:sz w:val="24"/>
          <w:szCs w:val="24"/>
          <w:shd w:val="clear" w:color="auto" w:fill="FFFFFF"/>
        </w:rPr>
        <w:t>Herriman, J., 2011. Local government and community engagement in Australia.</w:t>
      </w:r>
    </w:p>
    <w:sectPr w:rsidR="006C018A" w:rsidRPr="00E50B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8597" w14:textId="77777777" w:rsidR="007A2053" w:rsidRDefault="007A2053" w:rsidP="00B3439C">
      <w:pPr>
        <w:spacing w:after="0" w:line="240" w:lineRule="auto"/>
      </w:pPr>
      <w:r>
        <w:separator/>
      </w:r>
    </w:p>
  </w:endnote>
  <w:endnote w:type="continuationSeparator" w:id="0">
    <w:p w14:paraId="720769E1" w14:textId="77777777" w:rsidR="007A2053" w:rsidRDefault="007A2053" w:rsidP="00B3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3798" w14:textId="77777777" w:rsidR="007A2053" w:rsidRDefault="007A2053" w:rsidP="00B3439C">
      <w:pPr>
        <w:spacing w:after="0" w:line="240" w:lineRule="auto"/>
      </w:pPr>
      <w:r>
        <w:separator/>
      </w:r>
    </w:p>
  </w:footnote>
  <w:footnote w:type="continuationSeparator" w:id="0">
    <w:p w14:paraId="4C334F48" w14:textId="77777777" w:rsidR="007A2053" w:rsidRDefault="007A2053" w:rsidP="00B3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DFE0" w14:textId="42FD194D" w:rsidR="00B3439C" w:rsidRPr="00B3439C" w:rsidRDefault="006C018A" w:rsidP="00B3439C">
    <w:pPr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C7A49" wp14:editId="05175FBA">
          <wp:simplePos x="0" y="0"/>
          <wp:positionH relativeFrom="column">
            <wp:posOffset>4982800</wp:posOffset>
          </wp:positionH>
          <wp:positionV relativeFrom="paragraph">
            <wp:posOffset>-193985</wp:posOffset>
          </wp:positionV>
          <wp:extent cx="1225549" cy="517333"/>
          <wp:effectExtent l="0" t="0" r="0" b="0"/>
          <wp:wrapNone/>
          <wp:docPr id="9" name="Picture 9" descr="U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49" cy="517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39C" w:rsidRPr="00F10680">
      <w:rPr>
        <w:rFonts w:ascii="Arial" w:hAnsi="Arial" w:cs="Arial"/>
        <w:sz w:val="24"/>
        <w:szCs w:val="24"/>
      </w:rPr>
      <w:t xml:space="preserve">Re: </w:t>
    </w:r>
    <w:r w:rsidR="00105323">
      <w:rPr>
        <w:rFonts w:ascii="Arial" w:hAnsi="Arial" w:cs="Arial"/>
        <w:sz w:val="24"/>
        <w:szCs w:val="24"/>
      </w:rPr>
      <w:t xml:space="preserve">Submission on Terms of Reference to Australian </w:t>
    </w:r>
    <w:r w:rsidR="00B3439C" w:rsidRPr="00F10680">
      <w:rPr>
        <w:rFonts w:ascii="Arial" w:hAnsi="Arial" w:cs="Arial"/>
        <w:sz w:val="24"/>
        <w:szCs w:val="24"/>
      </w:rPr>
      <w:t>Universities Accord</w:t>
    </w:r>
    <w:r w:rsidRPr="006C01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30B"/>
    <w:multiLevelType w:val="multilevel"/>
    <w:tmpl w:val="790A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90ADC"/>
    <w:multiLevelType w:val="hybridMultilevel"/>
    <w:tmpl w:val="C1546376"/>
    <w:lvl w:ilvl="0" w:tplc="EF5E90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10D"/>
    <w:multiLevelType w:val="hybridMultilevel"/>
    <w:tmpl w:val="18D89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5DED"/>
    <w:multiLevelType w:val="hybridMultilevel"/>
    <w:tmpl w:val="1D9EA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80"/>
    <w:rsid w:val="00105323"/>
    <w:rsid w:val="002657AA"/>
    <w:rsid w:val="00350533"/>
    <w:rsid w:val="003F45CD"/>
    <w:rsid w:val="003F503E"/>
    <w:rsid w:val="00450795"/>
    <w:rsid w:val="005357A4"/>
    <w:rsid w:val="005C1930"/>
    <w:rsid w:val="005C6CCA"/>
    <w:rsid w:val="005D5623"/>
    <w:rsid w:val="0065047D"/>
    <w:rsid w:val="006527C5"/>
    <w:rsid w:val="006C018A"/>
    <w:rsid w:val="007A2053"/>
    <w:rsid w:val="008B71D7"/>
    <w:rsid w:val="00936A38"/>
    <w:rsid w:val="00985607"/>
    <w:rsid w:val="00AA40AE"/>
    <w:rsid w:val="00B3439C"/>
    <w:rsid w:val="00D75719"/>
    <w:rsid w:val="00D9400E"/>
    <w:rsid w:val="00E50B98"/>
    <w:rsid w:val="00F10680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9490B"/>
  <w15:chartTrackingRefBased/>
  <w15:docId w15:val="{D18EFFC6-30CF-489D-BD16-D813D4F7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5CD"/>
    <w:rPr>
      <w:color w:val="605E5C"/>
      <w:shd w:val="clear" w:color="auto" w:fill="E1DFDD"/>
    </w:rPr>
  </w:style>
  <w:style w:type="paragraph" w:styleId="ListParagraph">
    <w:name w:val="List Paragraph"/>
    <w:aliases w:val="Bullet Point,Bullet point,Recommendation,L,List Paragraph1,List Paragraph11,List Paragraph2,bullet point list,F5 List Paragraph,Dot pt,CV text,Table text,List Paragraph111,Medium Grid 1 - Accent 21,Numbered Paragraph,Bulleted Para,b,Bulle"/>
    <w:basedOn w:val="Normal"/>
    <w:link w:val="ListParagraphChar"/>
    <w:uiPriority w:val="34"/>
    <w:qFormat/>
    <w:rsid w:val="005C6CCA"/>
    <w:pPr>
      <w:ind w:left="720"/>
      <w:contextualSpacing/>
    </w:pPr>
  </w:style>
  <w:style w:type="character" w:customStyle="1" w:styleId="ListParagraphChar">
    <w:name w:val="List Paragraph Char"/>
    <w:aliases w:val="Bullet Point Char,Bullet point Char,Recommendation Char,L Char,List Paragraph1 Char,List Paragraph11 Char,List Paragraph2 Char,bullet point list Char,F5 List Paragraph Char,Dot pt Char,CV text Char,Table text Char,Bulleted Para Char"/>
    <w:basedOn w:val="DefaultParagraphFont"/>
    <w:link w:val="ListParagraph"/>
    <w:uiPriority w:val="34"/>
    <w:qFormat/>
    <w:locked/>
    <w:rsid w:val="005C1930"/>
  </w:style>
  <w:style w:type="paragraph" w:styleId="Header">
    <w:name w:val="header"/>
    <w:basedOn w:val="Normal"/>
    <w:link w:val="HeaderChar"/>
    <w:uiPriority w:val="99"/>
    <w:unhideWhenUsed/>
    <w:rsid w:val="00B3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9C"/>
  </w:style>
  <w:style w:type="paragraph" w:styleId="Footer">
    <w:name w:val="footer"/>
    <w:basedOn w:val="Normal"/>
    <w:link w:val="FooterChar"/>
    <w:uiPriority w:val="99"/>
    <w:unhideWhenUsed/>
    <w:rsid w:val="00B3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11:41:11.9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1770 24575,'3'-1'0,"0"0"0,-1 0 0,1 0 0,-1 0 0,1-1 0,-1 1 0,0-1 0,1 0 0,-1 1 0,0-1 0,4-4 0,10-8 0,273-164 0,-228 142 0,38-18 0,133-53 0,110-20 0,-113 43 0,-155 56 0,90-50 0,-133 60 0,0-1 0,-2-1 0,0-2 0,-1-1 0,28-31 0,-25 22 0,-2-1 0,-1-2 0,-1 0 0,-2-2 0,31-62 0,-49 87 0,-5 14 0,0 9 0,2 75 0,-4-1 0,-12 87 0,8-129 0,-19 168-512,-9-2 1,-62 215-1,89-404 510,-4 18 1,-2 0 0,-1-1 0,-2 0 1,-22 41-1,35-77 16,1 0 1,-1 0 0,1 0-1,-1-1 1,1 1-1,-1 0 1,1-1 0,-1 1-1,0 0 1,1-1-1,-1 1 1,0-1 0,0 1-1,1-1 1,-2 1-1,1-1 13,1 0 0,0 0 0,-1 0 0,1-1 0,0 1-1,-1 0 1,1 0 0,0-1 0,-1 1 0,1 0 0,0 0-1,0-1 1,-1 1 0,1 0 0,0-1 0,0 1 0,-1 0-1,1-1 1,0 1 0,0-1 0,0 1 0,0 0 0,0-1-1,0 1 1,0-1 0,0 1 0,0 0 0,0-1 0,0 1-1,0-1 1,0 1 0,0 0 0,0-1 0,0 1 0,0-1-1,2-17 12,1 0 1,0 0-1,1 0 0,1 0 0,1 1 0,8-18 0,2-7-23,148-354-16,-96 241 0,-48 109 0,1 1 0,37-56 0,-30 57 0,-3-1 0,26-62 0,29-100 0,11-28 0,101-142 0,-162 320 0,-19 35 0,18-28 0,-29 48 0,1 1 0,0-1 0,0 1 0,0 0 0,0-1 0,0 1 0,0 0 0,0 0 0,0 0 0,0 0 0,1 0 0,-1 0 0,0 0 0,1 0 0,-1 0 0,1 1 0,-1-1 0,1 0 0,-1 1 0,1 0 0,-1-1 0,1 1 0,0 0 0,-1-1 0,1 1 0,-1 0 0,1 0 0,0 1 0,-1-1 0,1 0 0,-1 0 0,1 1 0,0-1 0,-1 1 0,1-1 0,-1 1 0,1 0 0,-1 0 0,0 0 0,1 0 0,-1 0 0,0 0 0,0 0 0,1 0 0,1 2 0,4 5 0,0 1 0,0 0 0,-1 0 0,0 1 0,7 14 0,-2 0 0,-1 1 0,-1 0 0,-2 1 0,0 0 0,-2 0 0,3 31 0,1 161 0,-11-145 0,1 29 0,2-94 0,0 0 0,1 0 0,-1-1 0,2 1 0,-1 0 0,1-1 0,0 0 0,1 0 0,0 0 0,6 9 0,7 7 0,29 31 0,-37-44 0,30 31 0,1-2 0,2-1 0,56 37 0,-91-70 0,0 0 0,0-1 0,0-1 0,0 1 0,0-1 0,1 0 0,0-1 0,-1 0 0,1 0 0,0 0 0,0-1 0,13 0 0,-16-1 0,1-1 0,-1 0 0,1 0 0,0 0 0,-1-1 0,0 0 0,1 0 0,-1 0 0,0-1 0,0 0 0,0 0 0,-1 0 0,1 0 0,-1-1 0,0 0 0,0 0 0,0 0 0,4-5 0,-7 8 0,7-9 0,0 0 0,1 0 0,0 1 0,13-10 0,-22 19 0,0-1 0,1 1 0,-1 0 0,0 0 0,1-1 0,-1 1 0,1 0 0,-1 0 0,1 0 0,-1 0 0,0-1 0,1 1 0,-1 0 0,1 0 0,-1 0 0,1 0 0,-1 0 0,0 0 0,1 0 0,-1 0 0,1 0 0,-1 1 0,1-1 0,-1 0 0,0 0 0,1 0 0,-1 0 0,1 1 0,-1-1 0,0 0 0,1 0 0,-1 1 0,0-1 0,1 0 0,-1 1 0,0-1 0,1 0 0,-1 1 0,0-1 0,0 0 0,1 1 0,-1-1 0,0 1 0,0 0 0,6 23 0,-5-4 0,-1 1 0,0 0 0,-1-1 0,-2 1 0,0-1 0,-8 26 0,-45 123 0,34-108 0,-4 6 0,16-44 0,0 1 0,2 0 0,1 0 0,1 0 0,-6 43 0,12-65 0,0 0 0,0 0 0,0 1 0,0-1 0,1 0 0,-1 0 0,1 0 0,-1 0 0,1 0 0,-1 0 0,1 0 0,0-1 0,0 1 0,0 0 0,0 0 0,0-1 0,1 1 0,-1 0 0,0-1 0,1 1 0,-1-1 0,1 0 0,0 1 0,-1-1 0,1 0 0,0 0 0,0 0 0,0 0 0,0 0 0,0-1 0,0 1 0,0-1 0,0 1 0,0-1 0,0 0 0,0 1 0,0-1 0,0 0 0,2-1 0,6 1 0,-1 0 0,1-1 0,-1-1 0,1 0 0,-1 0 0,0 0 0,10-5 0,10-7 0,51-32 0,-55 30 0,1 1 0,37-16 0,-49 27 0,1 0 0,0 1 0,0 0 0,0 1 0,19 0 0,-16 2 0,1-2 0,-1 0 0,22-7 0,-14 1 0,-1-2 0,-1-1 0,0 0 0,0-2 0,41-30 0,101-96 0,-83 66 0,-26 24 0,10-9 0,87-57 0,-131 100 0,0 1 0,2 1 0,-1 1 0,2 1 0,-1 2 0,1 0 0,1 2 0,30-5 0,-39 11 0,0 0 0,-1 1 0,1 1 0,0 0 0,-1 2 0,1 0 0,-1 1 0,0 0 0,0 1 0,0 1 0,25 13 0,3 6 0,-1 2 0,70 55 0,266 257 0,-110-89 0,-96-109 0,-29-24 0,-34-13 0,-94-85 0,-1 0 0,-1 0 0,0 2 0,13 25 0,-25-38 0,1-1 0,-1 1 0,0 0 0,-1 0 0,0 0 0,0 1 0,-1-1 0,0 0 0,0 1 0,-1-1 0,0 1 0,-2 13 0,0-11 0,-1 0 0,0 0 0,-1 0 0,0 0 0,-1-1 0,0 0 0,0 1 0,-10 12 0,-3-1 0,0-1 0,-1-1 0,-1 0 0,-1-2 0,0 0 0,-45 27 0,12-14 0,-1-3 0,-2-2 0,0-3 0,-81 22 0,100-35 0,0-1 0,0-2 0,-1-1 0,0-2 0,0-2 0,0-2 0,-77-9 0,85 4 0,1-2 0,-1-1 0,2-1 0,-1-1 0,1-2 0,1-1 0,0-1 0,1-2 0,0 0 0,-33-29 0,-1-6 0,2-3 0,3-3 0,-78-100 0,108 121 0,1-2 0,2 0 0,1-1 0,3-2 0,1 0 0,1-1 0,-19-84 0,31 101 0,1 1 0,2 0 0,1-1 0,0 1 0,4-31 0,-1 38 0,1 0 0,1 0 0,0 1 0,1 0 0,1 0 0,0 0 0,1 0 0,14-21 0,0 5 0,2 0 0,2 2 0,44-44 0,-60 66 0,1 1 0,0 0 0,1 0 0,0 1 0,0 1 0,0 0 0,1 1 0,-1 0 0,1 0 0,0 1 0,0 1 0,0 0 0,18-1 0,12 2 0,-1 2 0,68 10 0,-93-9 0,24 3 0,0 1 0,54 17 0,-81-19 0,-1 1 0,1 0 0,-1 1 0,0 0 0,-1 1 0,0 0 0,0 1 0,0 1 0,-1-1 0,-1 2 0,13 13 0,-3 3 45,-1 1-1,19 39 1,19 29-1544,-42-75-5327</inkml:trace>
  <inkml:trace contextRef="#ctx0" brushRef="#br0" timeOffset="880.87">5668 380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McBurnie</dc:creator>
  <cp:keywords/>
  <dc:description/>
  <cp:lastModifiedBy>GLYNN,Olivia</cp:lastModifiedBy>
  <cp:revision>3</cp:revision>
  <dcterms:created xsi:type="dcterms:W3CDTF">2022-12-16T05:59:00Z</dcterms:created>
  <dcterms:modified xsi:type="dcterms:W3CDTF">2022-12-22T00:40:00Z</dcterms:modified>
</cp:coreProperties>
</file>