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rPr>
      </w:pPr>
      <w:r>
        <w:rPr>
          <w:b/>
          <w:bCs/>
        </w:rPr>
        <w:t>Submission to Universities Accord: Priorities for the Review process</w:t>
      </w:r>
    </w:p>
    <w:p>
      <w:pPr>
        <w:pStyle w:val="Normal"/>
        <w:bidi w:val="0"/>
        <w:jc w:val="left"/>
        <w:rPr/>
      </w:pPr>
      <w:r>
        <w:rPr/>
      </w:r>
    </w:p>
    <w:p>
      <w:pPr>
        <w:pStyle w:val="Normal"/>
        <w:bidi w:val="0"/>
        <w:jc w:val="left"/>
        <w:rPr/>
      </w:pPr>
      <w:r>
        <w:rPr/>
        <w:t>This submission is from:</w:t>
      </w:r>
    </w:p>
    <w:p>
      <w:pPr>
        <w:pStyle w:val="Normal"/>
        <w:bidi w:val="0"/>
        <w:jc w:val="left"/>
        <w:rPr/>
      </w:pPr>
      <w:r>
        <w:rPr>
          <w:rFonts w:ascii="Liberation Serif" w:hAnsi="Liberation Serif"/>
          <w:b w:val="false"/>
          <w:bCs w:val="false"/>
          <w:color w:val="000000"/>
          <w:sz w:val="24"/>
          <w:szCs w:val="24"/>
        </w:rPr>
        <w:t>Richard Heller, Emeritus Professor of Medicine, University of Newcastle, NSW and of Public Health, University of Manchester, UK.</w:t>
      </w:r>
    </w:p>
    <w:p>
      <w:pPr>
        <w:pStyle w:val="Normal"/>
        <w:bidi w:val="0"/>
        <w:jc w:val="left"/>
        <w:rPr/>
      </w:pPr>
      <w:r>
        <w:rPr>
          <w:rFonts w:ascii="Liberation Serif" w:hAnsi="Liberation Serif"/>
          <w:b w:val="false"/>
          <w:bCs w:val="false"/>
          <w:color w:val="000000"/>
          <w:sz w:val="24"/>
          <w:szCs w:val="24"/>
        </w:rPr>
        <w:t xml:space="preserve">Stephen Leeder </w:t>
      </w:r>
      <w:r>
        <w:rPr>
          <w:rFonts w:ascii="Liberation Serif" w:hAnsi="Liberation Serif"/>
          <w:b w:val="false"/>
          <w:bCs w:val="false"/>
          <w:color w:val="000000"/>
          <w:sz w:val="24"/>
          <w:szCs w:val="24"/>
        </w:rPr>
        <w:t>AO</w:t>
      </w:r>
      <w:r>
        <w:rPr>
          <w:rFonts w:ascii="Liberation Serif" w:hAnsi="Liberation Serif"/>
          <w:b w:val="false"/>
          <w:bCs w:val="false"/>
          <w:color w:val="000000"/>
          <w:sz w:val="24"/>
          <w:szCs w:val="24"/>
        </w:rPr>
        <w:t xml:space="preserve">, </w:t>
      </w:r>
      <w:bookmarkStart w:id="0" w:name="m_3107259640947762130__Hlk98319182"/>
      <w:bookmarkEnd w:id="0"/>
      <w:r>
        <w:rPr>
          <w:rFonts w:ascii="Liberation Serif" w:hAnsi="Liberation Serif"/>
          <w:b w:val="false"/>
          <w:bCs w:val="false"/>
          <w:color w:val="000000"/>
          <w:sz w:val="24"/>
          <w:szCs w:val="24"/>
        </w:rPr>
        <w:t xml:space="preserve">Emeritus Professor of Public Health and Community Medicine, University of Sydney. </w:t>
      </w:r>
    </w:p>
    <w:p>
      <w:pPr>
        <w:pStyle w:val="Normal"/>
        <w:bidi w:val="0"/>
        <w:jc w:val="left"/>
        <w:rPr/>
      </w:pPr>
      <w:r>
        <w:rPr/>
      </w:r>
    </w:p>
    <w:p>
      <w:pPr>
        <w:pStyle w:val="Normal"/>
        <w:bidi w:val="0"/>
        <w:jc w:val="left"/>
        <w:rPr/>
      </w:pPr>
      <w:r>
        <w:rPr/>
        <w:t xml:space="preserve">We propose that the Review process adopt an </w:t>
      </w:r>
      <w:r>
        <w:rPr/>
        <w:t>e</w:t>
      </w:r>
      <w:r>
        <w:rPr/>
        <w:t xml:space="preserve">thical </w:t>
      </w:r>
      <w:r>
        <w:rPr/>
        <w:t>l</w:t>
      </w:r>
      <w:r>
        <w:rPr/>
        <w:t>ens to approaching each of the key areas as outlined in the Terms of Reference.</w:t>
      </w:r>
    </w:p>
    <w:p>
      <w:pPr>
        <w:pStyle w:val="Normal"/>
        <w:bidi w:val="0"/>
        <w:jc w:val="left"/>
        <w:rPr/>
      </w:pPr>
      <w:r>
        <w:rPr/>
      </w:r>
    </w:p>
    <w:p>
      <w:pPr>
        <w:pStyle w:val="Normal"/>
        <w:bidi w:val="0"/>
        <w:jc w:val="left"/>
        <w:rPr/>
      </w:pPr>
      <w:r>
        <w:rPr/>
        <w:t xml:space="preserve">There are four major generally accepted ethical principles: </w:t>
      </w:r>
      <w:r>
        <w:rPr>
          <w:rFonts w:eastAsia="Times New Roman" w:cs="" w:cstheme="minorHAnsi"/>
        </w:rPr>
        <w:t xml:space="preserve">Beneficence: do good; Non-maleficence: do no harm; Autonomy: allow independence; </w:t>
      </w:r>
      <w:r>
        <w:rPr>
          <w:rFonts w:eastAsia="Times New Roman" w:cs="" w:cstheme="minorHAnsi"/>
          <w:color w:val="auto"/>
          <w:kern w:val="2"/>
          <w:sz w:val="24"/>
          <w:szCs w:val="24"/>
          <w:lang w:val="en-AU" w:eastAsia="zh-CN" w:bidi="hi-IN"/>
        </w:rPr>
        <w:t>J</w:t>
      </w:r>
      <w:r>
        <w:rPr>
          <w:rFonts w:eastAsia="Times New Roman" w:cs="" w:cstheme="minorHAnsi"/>
        </w:rPr>
        <w:t xml:space="preserve">ustice: ensure equality, </w:t>
      </w:r>
      <w:r>
        <w:rPr>
          <w:rFonts w:eastAsia="Times New Roman" w:cs="" w:cstheme="minorHAnsi"/>
        </w:rPr>
        <w:t>fairness</w:t>
      </w:r>
      <w:r>
        <w:rPr>
          <w:rFonts w:eastAsia="Times New Roman" w:cs="" w:cstheme="minorHAnsi"/>
        </w:rPr>
        <w:t xml:space="preserve"> and access. If the current </w:t>
      </w:r>
      <w:r>
        <w:rPr>
          <w:rFonts w:eastAsia="Times New Roman" w:cs="" w:cstheme="minorHAnsi"/>
          <w:color w:val="auto"/>
          <w:kern w:val="2"/>
          <w:sz w:val="24"/>
          <w:szCs w:val="24"/>
          <w:lang w:val="en-AU" w:eastAsia="zh-CN" w:bidi="hi-IN"/>
        </w:rPr>
        <w:t>provision</w:t>
      </w:r>
      <w:r>
        <w:rPr>
          <w:rFonts w:eastAsia="Times New Roman" w:cs="" w:cstheme="minorHAnsi"/>
        </w:rPr>
        <w:t xml:space="preserve"> of Higher Education </w:t>
      </w:r>
      <w:r>
        <w:rPr>
          <w:rFonts w:eastAsia="Times New Roman" w:cs="" w:cstheme="minorHAnsi"/>
        </w:rPr>
        <w:t xml:space="preserve">(HE) </w:t>
      </w:r>
      <w:r>
        <w:rPr>
          <w:rFonts w:eastAsia="Times New Roman" w:cs="" w:cstheme="minorHAnsi"/>
        </w:rPr>
        <w:t xml:space="preserve">in Australia is examined through </w:t>
      </w:r>
      <w:r>
        <w:rPr>
          <w:rFonts w:eastAsia="Times New Roman" w:cs="" w:cstheme="minorHAnsi"/>
          <w:color w:val="auto"/>
          <w:kern w:val="2"/>
          <w:sz w:val="24"/>
          <w:szCs w:val="24"/>
          <w:lang w:val="en-AU" w:eastAsia="zh-CN" w:bidi="hi-IN"/>
        </w:rPr>
        <w:t xml:space="preserve">an </w:t>
      </w:r>
      <w:r>
        <w:rPr>
          <w:rFonts w:eastAsia="Times New Roman" w:cs="" w:cstheme="minorHAnsi"/>
          <w:color w:val="auto"/>
          <w:kern w:val="2"/>
          <w:sz w:val="24"/>
          <w:szCs w:val="24"/>
          <w:lang w:val="en-AU" w:eastAsia="zh-CN" w:bidi="hi-IN"/>
        </w:rPr>
        <w:t>e</w:t>
      </w:r>
      <w:r>
        <w:rPr>
          <w:rFonts w:eastAsia="Times New Roman" w:cs="" w:cstheme="minorHAnsi"/>
          <w:color w:val="auto"/>
          <w:kern w:val="2"/>
          <w:sz w:val="24"/>
          <w:szCs w:val="24"/>
          <w:lang w:val="en-AU" w:eastAsia="zh-CN" w:bidi="hi-IN"/>
        </w:rPr>
        <w:t>thical</w:t>
      </w:r>
      <w:r>
        <w:rPr>
          <w:rFonts w:eastAsia="Times New Roman" w:cs="" w:cstheme="minorHAnsi"/>
        </w:rPr>
        <w:t xml:space="preserve"> </w:t>
      </w:r>
      <w:r>
        <w:rPr>
          <w:rFonts w:eastAsia="Times New Roman" w:cs="" w:cstheme="minorHAnsi"/>
        </w:rPr>
        <w:t>l</w:t>
      </w:r>
      <w:r>
        <w:rPr>
          <w:rFonts w:eastAsia="Times New Roman" w:cs="" w:cstheme="minorHAnsi"/>
        </w:rPr>
        <w:t xml:space="preserve">ens, a number of major problems become apparent, and also the scene </w:t>
      </w:r>
      <w:r>
        <w:rPr>
          <w:rFonts w:eastAsia="Times New Roman" w:cs="" w:cstheme="minorHAnsi"/>
        </w:rPr>
        <w:t xml:space="preserve">is set </w:t>
      </w:r>
      <w:r>
        <w:rPr>
          <w:rFonts w:eastAsia="Times New Roman" w:cs="" w:cstheme="minorHAnsi"/>
          <w:color w:val="auto"/>
          <w:kern w:val="2"/>
          <w:sz w:val="24"/>
          <w:szCs w:val="24"/>
          <w:lang w:val="en-AU" w:eastAsia="zh-CN" w:bidi="hi-IN"/>
        </w:rPr>
        <w:t>to identify</w:t>
      </w:r>
      <w:r>
        <w:rPr>
          <w:rFonts w:eastAsia="Times New Roman" w:cs="" w:cstheme="minorHAnsi"/>
        </w:rPr>
        <w:t xml:space="preserve"> potential solutions. </w:t>
      </w:r>
    </w:p>
    <w:p>
      <w:pPr>
        <w:pStyle w:val="Normal"/>
        <w:bidi w:val="0"/>
        <w:jc w:val="left"/>
        <w:rPr>
          <w:rFonts w:eastAsia="Times New Roman" w:cs="" w:cstheme="minorHAnsi"/>
        </w:rPr>
      </w:pPr>
      <w:r>
        <w:rPr>
          <w:rFonts w:eastAsia="Times New Roman" w:cs="" w:cstheme="minorHAnsi"/>
        </w:rPr>
      </w:r>
    </w:p>
    <w:p>
      <w:pPr>
        <w:pStyle w:val="Normal"/>
        <w:bidi w:val="0"/>
        <w:jc w:val="left"/>
        <w:rPr/>
      </w:pPr>
      <w:r>
        <w:rPr>
          <w:rFonts w:eastAsia="Times New Roman" w:cs="" w:cstheme="minorHAnsi"/>
        </w:rPr>
        <w:t>The Table below identifies these four ethical principles and indicates some examples of where the current HE system fails to meet them. It also shows how these principles can relate to the Terms of Reference for the Review.</w:t>
      </w:r>
    </w:p>
    <w:p>
      <w:pPr>
        <w:pStyle w:val="Normal"/>
        <w:bidi w:val="0"/>
        <w:jc w:val="left"/>
        <w:rPr>
          <w:rFonts w:eastAsia="Times New Roman" w:cs="" w:cstheme="minorHAnsi"/>
        </w:rPr>
      </w:pPr>
      <w:r>
        <w:rPr>
          <w:rFonts w:eastAsia="Times New Roman" w:cs="" w:cstheme="minorHAnsi"/>
        </w:rPr>
      </w:r>
    </w:p>
    <w:tbl>
      <w:tblPr>
        <w:tblW w:w="9638" w:type="dxa"/>
        <w:jc w:val="left"/>
        <w:tblInd w:w="0" w:type="dxa"/>
        <w:tblLayout w:type="fixed"/>
        <w:tblCellMar>
          <w:top w:w="0" w:type="dxa"/>
          <w:left w:w="0" w:type="dxa"/>
          <w:bottom w:w="0" w:type="dxa"/>
          <w:right w:w="0" w:type="dxa"/>
        </w:tblCellMar>
      </w:tblPr>
      <w:tblGrid>
        <w:gridCol w:w="3212"/>
        <w:gridCol w:w="3213"/>
        <w:gridCol w:w="3213"/>
      </w:tblGrid>
      <w:tr>
        <w:trPr/>
        <w:tc>
          <w:tcPr>
            <w:tcW w:w="3212" w:type="dxa"/>
            <w:tcBorders/>
          </w:tcPr>
          <w:p>
            <w:pPr>
              <w:pStyle w:val="TableContents"/>
              <w:widowControl w:val="false"/>
              <w:bidi w:val="0"/>
              <w:jc w:val="center"/>
              <w:rPr>
                <w:b/>
                <w:b/>
                <w:bCs/>
              </w:rPr>
            </w:pPr>
            <w:r>
              <w:rPr>
                <w:b/>
                <w:bCs/>
              </w:rPr>
              <w:t>Ethical principles</w:t>
            </w:r>
          </w:p>
        </w:tc>
        <w:tc>
          <w:tcPr>
            <w:tcW w:w="3213" w:type="dxa"/>
            <w:tcBorders/>
          </w:tcPr>
          <w:p>
            <w:pPr>
              <w:pStyle w:val="TableContents"/>
              <w:widowControl w:val="false"/>
              <w:bidi w:val="0"/>
              <w:jc w:val="center"/>
              <w:rPr>
                <w:b/>
                <w:b/>
                <w:bCs/>
              </w:rPr>
            </w:pPr>
            <w:r>
              <w:rPr>
                <w:b/>
                <w:bCs/>
              </w:rPr>
              <w:t>Where HE fails currently</w:t>
            </w:r>
          </w:p>
        </w:tc>
        <w:tc>
          <w:tcPr>
            <w:tcW w:w="3213" w:type="dxa"/>
            <w:tcBorders/>
          </w:tcPr>
          <w:p>
            <w:pPr>
              <w:pStyle w:val="TableContents"/>
              <w:widowControl w:val="false"/>
              <w:bidi w:val="0"/>
              <w:jc w:val="center"/>
              <w:rPr>
                <w:b/>
                <w:b/>
                <w:bCs/>
              </w:rPr>
            </w:pPr>
            <w:r>
              <w:rPr>
                <w:b/>
                <w:bCs/>
              </w:rPr>
              <w:t xml:space="preserve">Relation to </w:t>
            </w:r>
            <w:r>
              <w:rPr>
                <w:rFonts w:eastAsia="Times New Roman" w:cs="" w:cstheme="minorHAnsi"/>
                <w:b/>
                <w:bCs/>
              </w:rPr>
              <w:t xml:space="preserve">the </w:t>
            </w:r>
            <w:r>
              <w:rPr>
                <w:b/>
                <w:bCs/>
              </w:rPr>
              <w:t xml:space="preserve">Terms of Reference </w:t>
            </w:r>
            <w:r>
              <w:rPr>
                <w:rFonts w:eastAsia="Times New Roman" w:cs="" w:cstheme="minorHAnsi"/>
                <w:b/>
                <w:bCs/>
              </w:rPr>
              <w:t>for the Review</w:t>
            </w:r>
          </w:p>
        </w:tc>
      </w:tr>
      <w:tr>
        <w:trPr/>
        <w:tc>
          <w:tcPr>
            <w:tcW w:w="3212" w:type="dxa"/>
            <w:tcBorders/>
          </w:tcPr>
          <w:p>
            <w:pPr>
              <w:pStyle w:val="Normal"/>
              <w:widowControl w:val="false"/>
              <w:bidi w:val="0"/>
              <w:spacing w:lineRule="auto" w:line="240" w:before="120" w:after="160"/>
              <w:ind w:hanging="0"/>
              <w:jc w:val="left"/>
              <w:rPr>
                <w:rFonts w:eastAsia="Times New Roman" w:cs="" w:cstheme="minorHAnsi"/>
              </w:rPr>
            </w:pPr>
            <w:r>
              <w:rPr>
                <w:rFonts w:eastAsia="Times New Roman" w:cs="" w:cstheme="minorHAnsi"/>
              </w:rPr>
              <w:t>Beneficence: do good</w:t>
            </w:r>
          </w:p>
        </w:tc>
        <w:tc>
          <w:tcPr>
            <w:tcW w:w="3213" w:type="dxa"/>
            <w:tcBorders/>
          </w:tcPr>
          <w:p>
            <w:pPr>
              <w:pStyle w:val="Normal"/>
              <w:widowControl w:val="false"/>
              <w:bidi w:val="0"/>
              <w:spacing w:lineRule="auto" w:line="240" w:before="120" w:after="160"/>
              <w:ind w:hanging="0"/>
              <w:jc w:val="left"/>
              <w:rPr>
                <w:rFonts w:eastAsia="Times New Roman" w:cs="" w:cstheme="minorHAnsi"/>
              </w:rPr>
            </w:pPr>
            <w:r>
              <w:rPr>
                <w:rFonts w:eastAsia="Times New Roman" w:cs="" w:cstheme="minorHAnsi"/>
              </w:rPr>
              <w:t>The prevailing business model over-rides societal need.</w:t>
            </w:r>
          </w:p>
          <w:p>
            <w:pPr>
              <w:pStyle w:val="Normal"/>
              <w:widowControl w:val="false"/>
              <w:bidi w:val="0"/>
              <w:spacing w:lineRule="auto" w:line="240" w:before="120" w:after="160"/>
              <w:ind w:hanging="0"/>
              <w:jc w:val="left"/>
              <w:rPr>
                <w:rFonts w:eastAsia="Times New Roman" w:cs="" w:cstheme="minorHAnsi"/>
              </w:rPr>
            </w:pPr>
            <w:r>
              <w:rPr>
                <w:rFonts w:eastAsia="Times New Roman" w:cs="" w:cstheme="minorHAnsi"/>
              </w:rPr>
            </w:r>
          </w:p>
        </w:tc>
        <w:tc>
          <w:tcPr>
            <w:tcW w:w="3213" w:type="dxa"/>
            <w:tcBorders/>
          </w:tcPr>
          <w:p>
            <w:pPr>
              <w:pStyle w:val="ListParagraph"/>
              <w:widowControl w:val="false"/>
              <w:bidi w:val="0"/>
              <w:spacing w:lineRule="auto" w:line="240" w:before="120" w:after="160"/>
              <w:ind w:left="720" w:hanging="0"/>
              <w:contextualSpacing/>
              <w:jc w:val="left"/>
              <w:rPr>
                <w:rFonts w:eastAsia="Times New Roman" w:cs="" w:cstheme="minorHAnsi"/>
              </w:rPr>
            </w:pPr>
            <w:r>
              <w:rPr>
                <w:rFonts w:eastAsia="Times New Roman" w:cs="" w:cstheme="minorHAnsi"/>
              </w:rPr>
              <w:t>Meeting Australia’s knowledge and skills needs, now and in the future</w:t>
            </w:r>
          </w:p>
          <w:p>
            <w:pPr>
              <w:pStyle w:val="ListParagraph"/>
              <w:widowControl w:val="false"/>
              <w:bidi w:val="0"/>
              <w:spacing w:lineRule="auto" w:line="240" w:before="120" w:after="160"/>
              <w:ind w:left="720" w:hanging="0"/>
              <w:contextualSpacing/>
              <w:jc w:val="left"/>
              <w:rPr>
                <w:rFonts w:eastAsia="Times New Roman" w:cs="" w:cstheme="minorHAnsi"/>
              </w:rPr>
            </w:pPr>
            <w:r>
              <w:rPr>
                <w:rFonts w:eastAsia="Times New Roman" w:cs="" w:cstheme="minorHAnsi"/>
              </w:rPr>
            </w:r>
          </w:p>
          <w:p>
            <w:pPr>
              <w:pStyle w:val="ListParagraph"/>
              <w:widowControl w:val="false"/>
              <w:bidi w:val="0"/>
              <w:spacing w:lineRule="auto" w:line="240" w:before="120" w:after="160"/>
              <w:ind w:left="720" w:hanging="0"/>
              <w:contextualSpacing/>
              <w:jc w:val="left"/>
              <w:rPr>
                <w:rFonts w:eastAsia="Times New Roman" w:cs="" w:cstheme="minorHAnsi"/>
              </w:rPr>
            </w:pPr>
            <w:r>
              <w:rPr>
                <w:rFonts w:eastAsia="Times New Roman" w:cs="" w:cstheme="minorHAnsi"/>
              </w:rPr>
              <w:t>Investment and affordability</w:t>
            </w:r>
          </w:p>
        </w:tc>
      </w:tr>
      <w:tr>
        <w:trPr/>
        <w:tc>
          <w:tcPr>
            <w:tcW w:w="3212" w:type="dxa"/>
            <w:tcBorders/>
          </w:tcPr>
          <w:p>
            <w:pPr>
              <w:pStyle w:val="Normal"/>
              <w:widowControl w:val="false"/>
              <w:bidi w:val="0"/>
              <w:spacing w:lineRule="auto" w:line="240" w:before="120" w:after="160"/>
              <w:ind w:hanging="0"/>
              <w:jc w:val="left"/>
              <w:rPr>
                <w:rFonts w:eastAsia="Times New Roman" w:cs="" w:cstheme="minorHAnsi"/>
              </w:rPr>
            </w:pPr>
            <w:r>
              <w:rPr>
                <w:rFonts w:eastAsia="Times New Roman" w:cs="" w:cstheme="minorHAnsi"/>
              </w:rPr>
              <w:t>Non-maleficence: do no harm</w:t>
            </w:r>
          </w:p>
        </w:tc>
        <w:tc>
          <w:tcPr>
            <w:tcW w:w="3213" w:type="dxa"/>
            <w:tcBorders/>
          </w:tcPr>
          <w:p>
            <w:pPr>
              <w:pStyle w:val="TableContents"/>
              <w:widowControl w:val="false"/>
              <w:bidi w:val="0"/>
              <w:jc w:val="left"/>
              <w:rPr/>
            </w:pPr>
            <w:r>
              <w:rPr/>
              <w:t>High carbon footprint from buildings and travel. Educational methods can be out of date and cause intellectual damage.</w:t>
            </w:r>
          </w:p>
        </w:tc>
        <w:tc>
          <w:tcPr>
            <w:tcW w:w="3213" w:type="dxa"/>
            <w:tcBorders/>
          </w:tcPr>
          <w:p>
            <w:pPr>
              <w:pStyle w:val="ListParagraph"/>
              <w:widowControl w:val="false"/>
              <w:bidi w:val="0"/>
              <w:spacing w:lineRule="auto" w:line="240" w:before="120" w:after="160"/>
              <w:ind w:left="720" w:hanging="0"/>
              <w:contextualSpacing/>
              <w:jc w:val="left"/>
              <w:rPr>
                <w:rFonts w:eastAsia="Times New Roman" w:cs="" w:cstheme="minorHAnsi"/>
              </w:rPr>
            </w:pPr>
            <w:r>
              <w:rPr>
                <w:rFonts w:eastAsia="Times New Roman" w:cs="" w:cstheme="minorHAnsi"/>
              </w:rPr>
              <w:t>Governance, accountability and community</w:t>
            </w:r>
          </w:p>
        </w:tc>
      </w:tr>
      <w:tr>
        <w:trPr/>
        <w:tc>
          <w:tcPr>
            <w:tcW w:w="3212" w:type="dxa"/>
            <w:tcBorders/>
          </w:tcPr>
          <w:p>
            <w:pPr>
              <w:pStyle w:val="Normal"/>
              <w:widowControl w:val="false"/>
              <w:bidi w:val="0"/>
              <w:spacing w:lineRule="auto" w:line="240" w:before="120" w:after="160"/>
              <w:ind w:hanging="0"/>
              <w:jc w:val="left"/>
              <w:rPr>
                <w:rFonts w:eastAsia="Times New Roman" w:cs="" w:cstheme="minorHAnsi"/>
              </w:rPr>
            </w:pPr>
            <w:r>
              <w:rPr>
                <w:rFonts w:eastAsia="Times New Roman" w:cs="" w:cstheme="minorHAnsi"/>
              </w:rPr>
              <w:t>Autonomy: allow independence</w:t>
            </w:r>
          </w:p>
        </w:tc>
        <w:tc>
          <w:tcPr>
            <w:tcW w:w="3213" w:type="dxa"/>
            <w:tcBorders/>
          </w:tcPr>
          <w:p>
            <w:pPr>
              <w:pStyle w:val="Normal"/>
              <w:widowControl w:val="false"/>
              <w:bidi w:val="0"/>
              <w:spacing w:lineRule="auto" w:line="240" w:before="120" w:after="160"/>
              <w:ind w:hanging="0"/>
              <w:jc w:val="left"/>
              <w:rPr>
                <w:rFonts w:eastAsia="Times New Roman" w:cs="" w:cstheme="minorHAnsi"/>
              </w:rPr>
            </w:pPr>
            <w:r>
              <w:rPr>
                <w:rFonts w:eastAsia="Times New Roman" w:cs="" w:cstheme="minorHAnsi"/>
              </w:rPr>
              <w:t>Academics are over-managed by surveillance managerialism (this could also fit in the non-maleficence category as it is a failure of duty of care and major cause of stress to academics as well as stifling innovation).</w:t>
            </w:r>
          </w:p>
        </w:tc>
        <w:tc>
          <w:tcPr>
            <w:tcW w:w="3213" w:type="dxa"/>
            <w:tcBorders/>
          </w:tcPr>
          <w:p>
            <w:pPr>
              <w:pStyle w:val="ListParagraph"/>
              <w:widowControl w:val="false"/>
              <w:bidi w:val="0"/>
              <w:spacing w:lineRule="auto" w:line="240" w:before="120" w:after="160"/>
              <w:ind w:left="720" w:hanging="0"/>
              <w:contextualSpacing/>
              <w:jc w:val="left"/>
              <w:rPr>
                <w:rFonts w:eastAsia="Times New Roman" w:cs="" w:cstheme="minorHAnsi"/>
              </w:rPr>
            </w:pPr>
            <w:r>
              <w:rPr>
                <w:rFonts w:eastAsia="Times New Roman" w:cs="" w:cstheme="minorHAnsi"/>
              </w:rPr>
              <w:t>Governance, accountability and community</w:t>
            </w:r>
          </w:p>
          <w:p>
            <w:pPr>
              <w:pStyle w:val="ListParagraph"/>
              <w:widowControl w:val="false"/>
              <w:bidi w:val="0"/>
              <w:spacing w:lineRule="auto" w:line="240" w:before="120" w:after="160"/>
              <w:contextualSpacing/>
              <w:jc w:val="left"/>
              <w:rPr>
                <w:rFonts w:eastAsia="Times New Roman" w:cs="" w:cstheme="minorHAnsi"/>
              </w:rPr>
            </w:pPr>
            <w:r>
              <w:rPr>
                <w:rFonts w:eastAsia="Times New Roman" w:cs="" w:cstheme="minorHAnsi"/>
              </w:rPr>
            </w:r>
          </w:p>
          <w:p>
            <w:pPr>
              <w:pStyle w:val="ListParagraph"/>
              <w:widowControl w:val="false"/>
              <w:bidi w:val="0"/>
              <w:spacing w:lineRule="auto" w:line="240" w:before="120" w:after="160"/>
              <w:ind w:left="720" w:hanging="0"/>
              <w:contextualSpacing/>
              <w:jc w:val="left"/>
              <w:rPr>
                <w:rFonts w:eastAsia="Times New Roman" w:cs="" w:cstheme="minorHAnsi"/>
              </w:rPr>
            </w:pPr>
            <w:r>
              <w:rPr>
                <w:rFonts w:eastAsia="Times New Roman" w:cs="" w:cstheme="minorHAnsi"/>
              </w:rPr>
              <w:t>Quality and sustainability</w:t>
            </w:r>
          </w:p>
          <w:p>
            <w:pPr>
              <w:pStyle w:val="ListParagraph"/>
              <w:widowControl w:val="false"/>
              <w:bidi w:val="0"/>
              <w:spacing w:lineRule="auto" w:line="240" w:before="120" w:after="160"/>
              <w:contextualSpacing/>
              <w:jc w:val="left"/>
              <w:rPr>
                <w:rFonts w:eastAsia="Times New Roman" w:cs="" w:cstheme="minorHAnsi"/>
              </w:rPr>
            </w:pPr>
            <w:r>
              <w:rPr>
                <w:rFonts w:eastAsia="Times New Roman" w:cs="" w:cstheme="minorHAnsi"/>
              </w:rPr>
            </w:r>
          </w:p>
          <w:p>
            <w:pPr>
              <w:pStyle w:val="ListParagraph"/>
              <w:widowControl w:val="false"/>
              <w:bidi w:val="0"/>
              <w:spacing w:lineRule="auto" w:line="240" w:before="120" w:after="160"/>
              <w:ind w:left="720" w:hanging="0"/>
              <w:contextualSpacing/>
              <w:jc w:val="left"/>
              <w:rPr>
                <w:rFonts w:eastAsia="Times New Roman" w:cs="" w:cstheme="minorHAnsi"/>
              </w:rPr>
            </w:pPr>
            <w:r>
              <w:rPr>
                <w:rFonts w:eastAsia="Times New Roman" w:cs="" w:cstheme="minorHAnsi"/>
              </w:rPr>
              <w:t>Delivering new knowledge, innovation and capability</w:t>
            </w:r>
          </w:p>
        </w:tc>
      </w:tr>
      <w:tr>
        <w:trPr/>
        <w:tc>
          <w:tcPr>
            <w:tcW w:w="3212" w:type="dxa"/>
            <w:tcBorders/>
          </w:tcPr>
          <w:p>
            <w:pPr>
              <w:pStyle w:val="Normal"/>
              <w:widowControl w:val="false"/>
              <w:bidi w:val="0"/>
              <w:spacing w:lineRule="auto" w:line="240" w:before="120" w:after="160"/>
              <w:ind w:hanging="0"/>
              <w:jc w:val="left"/>
              <w:rPr>
                <w:rFonts w:eastAsia="Times New Roman" w:cs="" w:cstheme="minorHAnsi"/>
              </w:rPr>
            </w:pPr>
            <w:r>
              <w:rPr>
                <w:rFonts w:eastAsia="Times New Roman" w:cs="" w:cstheme="minorHAnsi"/>
                <w:color w:val="auto"/>
                <w:kern w:val="2"/>
                <w:sz w:val="24"/>
                <w:szCs w:val="24"/>
                <w:lang w:val="en-AU" w:eastAsia="zh-CN" w:bidi="hi-IN"/>
              </w:rPr>
              <w:t>J</w:t>
            </w:r>
            <w:r>
              <w:rPr>
                <w:rFonts w:eastAsia="Times New Roman" w:cs="" w:cstheme="minorHAnsi"/>
              </w:rPr>
              <w:t xml:space="preserve">ustice: ensure equality, </w:t>
            </w:r>
            <w:r>
              <w:rPr>
                <w:rFonts w:eastAsia="Times New Roman" w:cs="" w:cstheme="minorHAnsi"/>
              </w:rPr>
              <w:t xml:space="preserve">fairness and </w:t>
            </w:r>
            <w:r>
              <w:rPr>
                <w:rFonts w:eastAsia="Times New Roman" w:cs="" w:cstheme="minorHAnsi"/>
              </w:rPr>
              <w:t>access</w:t>
            </w:r>
          </w:p>
        </w:tc>
        <w:tc>
          <w:tcPr>
            <w:tcW w:w="3213" w:type="dxa"/>
            <w:tcBorders/>
          </w:tcPr>
          <w:p>
            <w:pPr>
              <w:pStyle w:val="TableContents"/>
              <w:widowControl w:val="false"/>
              <w:bidi w:val="0"/>
              <w:jc w:val="left"/>
              <w:rPr/>
            </w:pPr>
            <w:r>
              <w:rPr/>
              <w:t xml:space="preserve">Regional inequalities in access to HE remain. Global inequalities in access to HE are ignored in favour of income earned from international students which cross-subsidises research and teaching. Much education is not inclusive. </w:t>
            </w:r>
          </w:p>
        </w:tc>
        <w:tc>
          <w:tcPr>
            <w:tcW w:w="3213" w:type="dxa"/>
            <w:tcBorders/>
          </w:tcPr>
          <w:p>
            <w:pPr>
              <w:pStyle w:val="ListParagraph"/>
              <w:widowControl w:val="false"/>
              <w:bidi w:val="0"/>
              <w:spacing w:lineRule="auto" w:line="240" w:before="120" w:after="160"/>
              <w:ind w:left="720" w:hanging="0"/>
              <w:contextualSpacing/>
              <w:jc w:val="left"/>
              <w:rPr>
                <w:rFonts w:eastAsia="Times New Roman" w:cs="" w:cstheme="minorHAnsi"/>
              </w:rPr>
            </w:pPr>
            <w:r>
              <w:rPr>
                <w:rFonts w:eastAsia="Times New Roman" w:cs="" w:cstheme="minorHAnsi"/>
              </w:rPr>
              <w:t>Access and opportunity</w:t>
            </w:r>
          </w:p>
          <w:p>
            <w:pPr>
              <w:pStyle w:val="ListParagraph"/>
              <w:widowControl w:val="false"/>
              <w:bidi w:val="0"/>
              <w:spacing w:lineRule="auto" w:line="240" w:before="120" w:after="160"/>
              <w:ind w:left="720" w:hanging="0"/>
              <w:contextualSpacing/>
              <w:jc w:val="left"/>
              <w:rPr>
                <w:rFonts w:eastAsia="Times New Roman" w:cs="" w:cstheme="minorHAnsi"/>
              </w:rPr>
            </w:pPr>
            <w:r>
              <w:rPr>
                <w:rFonts w:eastAsia="Times New Roman" w:cs="" w:cstheme="minorHAnsi"/>
              </w:rPr>
            </w:r>
          </w:p>
          <w:p>
            <w:pPr>
              <w:pStyle w:val="ListParagraph"/>
              <w:widowControl w:val="false"/>
              <w:bidi w:val="0"/>
              <w:spacing w:lineRule="auto" w:line="240" w:before="120" w:after="160"/>
              <w:ind w:left="720" w:hanging="0"/>
              <w:contextualSpacing/>
              <w:jc w:val="left"/>
              <w:rPr>
                <w:rFonts w:eastAsia="Times New Roman" w:cs="" w:cstheme="minorHAnsi"/>
              </w:rPr>
            </w:pPr>
            <w:r>
              <w:rPr>
                <w:rFonts w:eastAsia="Times New Roman" w:cs="" w:cstheme="minorHAnsi"/>
              </w:rPr>
              <w:t>Delivering new knowledge, innovation and capability</w:t>
            </w:r>
          </w:p>
        </w:tc>
      </w:tr>
    </w:tbl>
    <w:p>
      <w:pPr>
        <w:pStyle w:val="Normal"/>
        <w:bidi w:val="0"/>
        <w:jc w:val="left"/>
        <w:rPr/>
      </w:pPr>
      <w:r>
        <w:rPr/>
      </w:r>
    </w:p>
    <w:p>
      <w:pPr>
        <w:pStyle w:val="Normal"/>
        <w:bidi w:val="0"/>
        <w:jc w:val="left"/>
        <w:rPr/>
      </w:pPr>
      <w:r>
        <w:rPr/>
        <w:t>We have deliberately kept this submission short as we understand that th</w:t>
      </w:r>
      <w:r>
        <w:rPr/>
        <w:t xml:space="preserve">e </w:t>
      </w:r>
      <w:r>
        <w:rPr/>
        <w:t xml:space="preserve">call for submissions </w:t>
      </w:r>
      <w:r>
        <w:rPr/>
        <w:t xml:space="preserve">at this time </w:t>
      </w:r>
      <w:r>
        <w:rPr/>
        <w:t xml:space="preserve">is only to identify priorities. Our priority is to suggest that university reform be seen through an </w:t>
      </w:r>
      <w:r>
        <w:rPr/>
        <w:t>e</w:t>
      </w:r>
      <w:r>
        <w:rPr/>
        <w:t xml:space="preserve">thical </w:t>
      </w:r>
      <w:r>
        <w:rPr/>
        <w:t>l</w:t>
      </w:r>
      <w:r>
        <w:rPr/>
        <w:t xml:space="preserve">ens. </w:t>
      </w:r>
      <w:r>
        <w:rPr/>
        <w:t>We would hope to have the opportunity to contribute to the Review in more detail at a later stage.</w:t>
      </w:r>
    </w:p>
    <w:p>
      <w:pPr>
        <w:pStyle w:val="Normal"/>
        <w:bidi w:val="0"/>
        <w:jc w:val="left"/>
        <w:rPr/>
      </w:pPr>
      <w:r>
        <w:rPr/>
      </w:r>
    </w:p>
    <w:p>
      <w:pPr>
        <w:pStyle w:val="Normal"/>
        <w:bidi w:val="0"/>
        <w:jc w:val="left"/>
        <w:rPr/>
      </w:pPr>
      <w:r>
        <w:rPr/>
        <w:t xml:space="preserve">We both have Emeritus Professorial appointments in Australian Universities, and each have 50 years of experience as educators, researchers and administrators to offer to the </w:t>
      </w:r>
      <w:r>
        <w:rPr/>
        <w:t>R</w:t>
      </w:r>
      <w:r>
        <w:rPr/>
        <w:t xml:space="preserve">eview. </w:t>
      </w:r>
    </w:p>
    <w:p>
      <w:pPr>
        <w:pStyle w:val="Normal"/>
        <w:bidi w:val="0"/>
        <w:jc w:val="left"/>
        <w:rPr>
          <w:rFonts w:ascii="Liberation Serif" w:hAnsi="Liberation Serif"/>
          <w:b w:val="false"/>
          <w:b w:val="false"/>
          <w:bCs w:val="false"/>
          <w:color w:val="000000"/>
          <w:sz w:val="24"/>
          <w:szCs w:val="24"/>
        </w:rPr>
      </w:pPr>
      <w:r>
        <w:rPr/>
      </w:r>
    </w:p>
    <w:p>
      <w:pPr>
        <w:pStyle w:val="Normal"/>
        <w:bidi w:val="0"/>
        <w:jc w:val="left"/>
        <w:rPr>
          <w:rFonts w:ascii="Liberation Serif" w:hAnsi="Liberation Serif"/>
          <w:b w:val="false"/>
          <w:b w:val="false"/>
          <w:bCs w:val="false"/>
          <w:color w:val="000000"/>
          <w:sz w:val="24"/>
          <w:szCs w:val="24"/>
        </w:rPr>
      </w:pPr>
      <w:r>
        <w:rPr/>
      </w:r>
    </w:p>
    <w:p>
      <w:pPr>
        <w:pStyle w:val="Normal"/>
        <w:bidi w:val="0"/>
        <w:jc w:val="left"/>
        <w:rPr>
          <w:rFonts w:ascii="Liberation Serif" w:hAnsi="Liberation Serif"/>
          <w:b w:val="false"/>
          <w:b w:val="false"/>
          <w:bCs w:val="false"/>
          <w:color w:val="000000"/>
          <w:sz w:val="24"/>
          <w:szCs w:val="24"/>
        </w:rPr>
      </w:pPr>
      <w:r>
        <w:rPr>
          <w:rFonts w:ascii="Liberation Serif" w:hAnsi="Liberation Serif"/>
          <w:b w:val="false"/>
          <w:bCs w:val="false"/>
          <w:color w:val="000000"/>
          <w:sz w:val="24"/>
          <w:szCs w:val="24"/>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Liberation Serif">
    <w:altName w:val="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A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AU"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TableContents">
    <w:name w:val="Table Contents"/>
    <w:basedOn w:val="Normal"/>
    <w:qFormat/>
    <w:pPr>
      <w:widowControl w:val="false"/>
      <w:suppressLineNumbers/>
    </w:pPr>
    <w:rPr/>
  </w:style>
  <w:style w:type="paragraph" w:styleId="ListParagraph">
    <w:name w:val="List Paragraph"/>
    <w:basedOn w:val="Normal"/>
    <w:qFormat/>
    <w:pPr>
      <w:spacing w:before="0" w:after="16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39</TotalTime>
  <Application>LibreOffice/7.2.2.2$Windows_X86_64 LibreOffice_project/02b2acce88a210515b4a5bb2e46cbfb63fe97d56</Application>
  <AppVersion>15.0000</AppVersion>
  <Pages>2</Pages>
  <Words>410</Words>
  <Characters>2339</Characters>
  <CharactersWithSpaces>2725</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2022-12-06T16:25:56Z</dcterms:created>
  <dc:creator>Richard Heller</dc:creator>
  <dc:description/>
  <dc:language>en-AU</dc:language>
  <cp:lastModifiedBy>Richard Heller</cp:lastModifiedBy>
  <dcterms:modified xsi:type="dcterms:W3CDTF">2022-12-11T11:16:43Z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