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70CA1" w14:textId="7B9BD6EC" w:rsidR="00117E37" w:rsidRPr="00117E37" w:rsidRDefault="00117E37" w:rsidP="00117E37">
      <w:pPr>
        <w:spacing w:line="259" w:lineRule="auto"/>
        <w:rPr>
          <w:sz w:val="2"/>
          <w:szCs w:val="2"/>
        </w:rPr>
      </w:pPr>
      <w:r>
        <w:rPr>
          <w:noProof/>
          <w:lang w:eastAsia="en-AU"/>
        </w:rPr>
        <mc:AlternateContent>
          <mc:Choice Requires="wps">
            <w:drawing>
              <wp:anchor distT="0" distB="0" distL="114300" distR="114300" simplePos="0" relativeHeight="251659264" behindDoc="0" locked="1" layoutInCell="1" allowOverlap="1" wp14:anchorId="249127ED" wp14:editId="0AA71A80">
                <wp:simplePos x="0" y="0"/>
                <wp:positionH relativeFrom="page">
                  <wp:posOffset>5181600</wp:posOffset>
                </wp:positionH>
                <wp:positionV relativeFrom="paragraph">
                  <wp:posOffset>-6985</wp:posOffset>
                </wp:positionV>
                <wp:extent cx="1806575" cy="180975"/>
                <wp:effectExtent l="0" t="0" r="3175" b="9525"/>
                <wp:wrapNone/>
                <wp:docPr id="7" name="Text Box 7"/>
                <wp:cNvGraphicFramePr/>
                <a:graphic xmlns:a="http://schemas.openxmlformats.org/drawingml/2006/main">
                  <a:graphicData uri="http://schemas.microsoft.com/office/word/2010/wordprocessingShape">
                    <wps:wsp>
                      <wps:cNvSpPr txBox="1"/>
                      <wps:spPr>
                        <a:xfrm>
                          <a:off x="0" y="0"/>
                          <a:ext cx="1806575" cy="180975"/>
                        </a:xfrm>
                        <a:prstGeom prst="rect">
                          <a:avLst/>
                        </a:prstGeom>
                        <a:noFill/>
                        <a:ln w="6350">
                          <a:noFill/>
                        </a:ln>
                      </wps:spPr>
                      <wps:txbx>
                        <w:txbxContent>
                          <w:p w14:paraId="5EBC5F2B" w14:textId="3191DF6B" w:rsidR="00117E37" w:rsidRPr="00684298" w:rsidRDefault="003C098B" w:rsidP="00117E37">
                            <w:pPr>
                              <w:rPr>
                                <w:b/>
                                <w:color w:val="51247A" w:themeColor="accent1"/>
                                <w:sz w:val="19"/>
                                <w:szCs w:val="19"/>
                              </w:rPr>
                            </w:pPr>
                            <w:r>
                              <w:rPr>
                                <w:b/>
                                <w:color w:val="51247A" w:themeColor="accent1"/>
                                <w:sz w:val="19"/>
                                <w:szCs w:val="19"/>
                              </w:rPr>
                              <w:t xml:space="preserve">Office of the Deputy Provost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49127ED" id="_x0000_t202" coordsize="21600,21600" o:spt="202" path="m,l,21600r21600,l21600,xe">
                <v:stroke joinstyle="miter"/>
                <v:path gradientshapeok="t" o:connecttype="rect"/>
              </v:shapetype>
              <v:shape id="Text Box 7" o:spid="_x0000_s1026" type="#_x0000_t202" style="position:absolute;margin-left:408pt;margin-top:-.55pt;width:142.25pt;height:1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" filled="f" stroked="f" strokeweight=".5pt">
                <v:textbox inset="0,0,0,0">
                  <w:txbxContent>
                    <w:p w14:paraId="5EBC5F2B" w14:textId="3191DF6B" w:rsidR="00117E37" w:rsidRPr="00684298" w:rsidRDefault="003C098B" w:rsidP="00117E37">
                      <w:pPr>
                        <w:rPr>
                          <w:b/>
                          <w:color w:val="51247A" w:themeColor="accent1"/>
                          <w:sz w:val="19"/>
                          <w:szCs w:val="19"/>
                        </w:rPr>
                      </w:pPr>
                      <w:r>
                        <w:rPr>
                          <w:b/>
                          <w:color w:val="51247A" w:themeColor="accent1"/>
                          <w:sz w:val="19"/>
                          <w:szCs w:val="19"/>
                        </w:rPr>
                        <w:t xml:space="preserve">Office of the Deputy Provost </w:t>
                      </w:r>
                    </w:p>
                  </w:txbxContent>
                </v:textbox>
                <w10:wrap anchorx="page"/>
                <w10:anchorlock/>
              </v:shape>
            </w:pict>
          </mc:Fallback>
        </mc:AlternateContent>
      </w:r>
    </w:p>
    <w:p w14:paraId="5512F467" w14:textId="44F2817A" w:rsidR="00A01181" w:rsidRDefault="00A01181" w:rsidP="00A01181">
      <w:pPr>
        <w:rPr>
          <w:rFonts w:ascii="Arial" w:eastAsia="Arial" w:hAnsi="Arial" w:cs="Times New Roman"/>
        </w:rPr>
      </w:pPr>
    </w:p>
    <w:p w14:paraId="265E0741" w14:textId="3457EAD6" w:rsidR="00DA551E" w:rsidRDefault="00DA551E" w:rsidP="00A01181">
      <w:pPr>
        <w:rPr>
          <w:rFonts w:ascii="Arial" w:eastAsia="Arial" w:hAnsi="Arial" w:cs="Times New Roman"/>
        </w:rPr>
      </w:pPr>
    </w:p>
    <w:p w14:paraId="2BD8F17B" w14:textId="77777777" w:rsidR="006F781A" w:rsidRDefault="006F781A" w:rsidP="00A01181">
      <w:pPr>
        <w:rPr>
          <w:rFonts w:ascii="Arial" w:eastAsia="Arial" w:hAnsi="Arial" w:cs="Times New Roman"/>
        </w:rPr>
      </w:pPr>
    </w:p>
    <w:p w14:paraId="1D00CD47" w14:textId="13B36207" w:rsidR="00DA551E" w:rsidRPr="00344843" w:rsidRDefault="00F55656" w:rsidP="00344843">
      <w:pPr>
        <w:pStyle w:val="Heading1"/>
      </w:pPr>
      <w:bookmarkStart w:id="0" w:name="_Hlk122338548"/>
      <w:r w:rsidRPr="00344843">
        <w:t>UQ D</w:t>
      </w:r>
      <w:r w:rsidR="009357E3" w:rsidRPr="00344843">
        <w:t>iversity and Inclusion re</w:t>
      </w:r>
      <w:r w:rsidRPr="00344843">
        <w:t>sponse to Australian Universities Accord T</w:t>
      </w:r>
      <w:r w:rsidR="009357E3" w:rsidRPr="00344843">
        <w:t>erms of Reference</w:t>
      </w:r>
    </w:p>
    <w:p w14:paraId="42CFCF86" w14:textId="77777777" w:rsidR="00DA551E" w:rsidRPr="00DA551E" w:rsidRDefault="00DA551E" w:rsidP="00DA551E">
      <w:pPr>
        <w:widowControl w:val="0"/>
        <w:autoSpaceDE w:val="0"/>
        <w:autoSpaceDN w:val="0"/>
        <w:rPr>
          <w:rFonts w:ascii="Arial" w:eastAsia="Arial" w:hAnsi="Arial" w:cs="Arial"/>
          <w:sz w:val="22"/>
        </w:rPr>
      </w:pPr>
    </w:p>
    <w:p w14:paraId="39591109" w14:textId="39B36282" w:rsidR="00DA551E" w:rsidRPr="00DA551E" w:rsidRDefault="00DA551E" w:rsidP="00330B2F">
      <w:pPr>
        <w:widowControl w:val="0"/>
        <w:autoSpaceDE w:val="0"/>
        <w:autoSpaceDN w:val="0"/>
        <w:rPr>
          <w:rFonts w:ascii="Arial" w:eastAsia="Arial" w:hAnsi="Arial" w:cs="Arial"/>
          <w:sz w:val="22"/>
        </w:rPr>
      </w:pPr>
      <w:r w:rsidRPr="00DA551E">
        <w:rPr>
          <w:rFonts w:ascii="Arial" w:eastAsia="Arial" w:hAnsi="Arial" w:cs="Arial"/>
          <w:sz w:val="22"/>
        </w:rPr>
        <w:t xml:space="preserve">We, </w:t>
      </w:r>
      <w:r w:rsidR="00070713">
        <w:rPr>
          <w:rFonts w:ascii="Arial" w:eastAsia="Arial" w:hAnsi="Arial" w:cs="Arial"/>
          <w:sz w:val="22"/>
        </w:rPr>
        <w:t xml:space="preserve">the undersigned as </w:t>
      </w:r>
      <w:r w:rsidRPr="00DA551E">
        <w:rPr>
          <w:rFonts w:ascii="Arial" w:eastAsia="Arial" w:hAnsi="Arial" w:cs="Arial"/>
          <w:sz w:val="22"/>
        </w:rPr>
        <w:t xml:space="preserve">a coalition of the University of Queensland’s Strategic Diversity and Inclusion Committees, thank you for the opportunity to provide feedback on the Review of Australia’s Higher Education System Terms of Reference. We appreciate the significant task that you have ahead, and the critical nature of it. </w:t>
      </w:r>
    </w:p>
    <w:p w14:paraId="28EF5971" w14:textId="77777777" w:rsidR="00DA551E" w:rsidRPr="00DA551E" w:rsidRDefault="00DA551E" w:rsidP="00330B2F">
      <w:pPr>
        <w:widowControl w:val="0"/>
        <w:autoSpaceDE w:val="0"/>
        <w:autoSpaceDN w:val="0"/>
        <w:rPr>
          <w:rFonts w:ascii="Arial" w:eastAsia="Arial" w:hAnsi="Arial" w:cs="Arial"/>
          <w:sz w:val="22"/>
        </w:rPr>
      </w:pPr>
    </w:p>
    <w:p w14:paraId="01470F5C" w14:textId="77777777" w:rsidR="00DA551E" w:rsidRPr="00DA551E" w:rsidRDefault="00DA551E" w:rsidP="00330B2F">
      <w:pPr>
        <w:widowControl w:val="0"/>
        <w:autoSpaceDE w:val="0"/>
        <w:autoSpaceDN w:val="0"/>
        <w:rPr>
          <w:rFonts w:ascii="Arial" w:eastAsia="Arial" w:hAnsi="Arial" w:cs="Arial"/>
          <w:sz w:val="22"/>
        </w:rPr>
      </w:pPr>
      <w:r w:rsidRPr="00DA551E">
        <w:rPr>
          <w:rFonts w:ascii="Arial" w:eastAsia="Arial" w:hAnsi="Arial" w:cs="Arial"/>
          <w:sz w:val="22"/>
        </w:rPr>
        <w:t>We also acknowledge the integral role that equity, diversity and inclusion has on the outcomes of the higher education sector, and the broader community it serves. Research tells us that diverse and inclusive teams are</w:t>
      </w:r>
      <w:r w:rsidRPr="00DA551E">
        <w:rPr>
          <w:rFonts w:ascii="Arial" w:eastAsia="Arial" w:hAnsi="Arial" w:cs="Arial"/>
          <w:sz w:val="22"/>
          <w:vertAlign w:val="superscript"/>
        </w:rPr>
        <w:footnoteReference w:id="1"/>
      </w:r>
      <w:r w:rsidRPr="00DA551E">
        <w:rPr>
          <w:rFonts w:ascii="Arial" w:eastAsia="Arial" w:hAnsi="Arial" w:cs="Arial"/>
          <w:sz w:val="22"/>
        </w:rPr>
        <w:t xml:space="preserve">: </w:t>
      </w:r>
      <w:r w:rsidRPr="00DA551E">
        <w:rPr>
          <w:rFonts w:ascii="Arial" w:eastAsia="Arial" w:hAnsi="Arial" w:cs="Arial"/>
          <w:sz w:val="22"/>
        </w:rPr>
        <w:br/>
      </w:r>
    </w:p>
    <w:p w14:paraId="1E24DE97" w14:textId="77777777" w:rsidR="00DA551E" w:rsidRPr="00DA551E" w:rsidRDefault="00DA551E" w:rsidP="00330B2F">
      <w:pPr>
        <w:widowControl w:val="0"/>
        <w:numPr>
          <w:ilvl w:val="0"/>
          <w:numId w:val="16"/>
        </w:numPr>
        <w:autoSpaceDE w:val="0"/>
        <w:autoSpaceDN w:val="0"/>
        <w:rPr>
          <w:rFonts w:ascii="Arial" w:eastAsia="Arial" w:hAnsi="Arial" w:cs="Arial"/>
          <w:sz w:val="22"/>
        </w:rPr>
      </w:pPr>
      <w:r w:rsidRPr="00DA551E">
        <w:rPr>
          <w:rFonts w:ascii="Arial" w:eastAsia="Arial" w:hAnsi="Arial" w:cs="Arial"/>
          <w:sz w:val="22"/>
        </w:rPr>
        <w:t>11 times more likely to be highly effective</w:t>
      </w:r>
    </w:p>
    <w:p w14:paraId="077C1A1B" w14:textId="77777777" w:rsidR="00DA551E" w:rsidRPr="00DA551E" w:rsidRDefault="00DA551E" w:rsidP="00330B2F">
      <w:pPr>
        <w:widowControl w:val="0"/>
        <w:numPr>
          <w:ilvl w:val="0"/>
          <w:numId w:val="16"/>
        </w:numPr>
        <w:autoSpaceDE w:val="0"/>
        <w:autoSpaceDN w:val="0"/>
        <w:rPr>
          <w:rFonts w:ascii="Arial" w:eastAsia="Arial" w:hAnsi="Arial" w:cs="Arial"/>
          <w:sz w:val="22"/>
          <w:lang w:val="en-US"/>
        </w:rPr>
      </w:pPr>
      <w:r w:rsidRPr="00DA551E">
        <w:rPr>
          <w:rFonts w:ascii="Arial" w:eastAsia="Arial" w:hAnsi="Arial" w:cs="Arial"/>
          <w:sz w:val="22"/>
        </w:rPr>
        <w:t>10 times more likely to be innovative​</w:t>
      </w:r>
    </w:p>
    <w:p w14:paraId="3F023538" w14:textId="77777777" w:rsidR="00DA551E" w:rsidRPr="00DA551E" w:rsidRDefault="00DA551E" w:rsidP="00330B2F">
      <w:pPr>
        <w:widowControl w:val="0"/>
        <w:numPr>
          <w:ilvl w:val="0"/>
          <w:numId w:val="16"/>
        </w:numPr>
        <w:autoSpaceDE w:val="0"/>
        <w:autoSpaceDN w:val="0"/>
        <w:rPr>
          <w:rFonts w:ascii="Arial" w:eastAsia="Arial" w:hAnsi="Arial" w:cs="Arial"/>
          <w:sz w:val="22"/>
          <w:lang w:val="en-US"/>
        </w:rPr>
      </w:pPr>
      <w:r w:rsidRPr="00DA551E">
        <w:rPr>
          <w:rFonts w:ascii="Arial" w:eastAsia="Arial" w:hAnsi="Arial" w:cs="Arial"/>
          <w:sz w:val="22"/>
        </w:rPr>
        <w:t>6 times more likely to provide excellent customer service​</w:t>
      </w:r>
    </w:p>
    <w:p w14:paraId="52C07867" w14:textId="77777777" w:rsidR="00DA551E" w:rsidRPr="00DA551E" w:rsidRDefault="00DA551E" w:rsidP="00330B2F">
      <w:pPr>
        <w:widowControl w:val="0"/>
        <w:numPr>
          <w:ilvl w:val="0"/>
          <w:numId w:val="16"/>
        </w:numPr>
        <w:autoSpaceDE w:val="0"/>
        <w:autoSpaceDN w:val="0"/>
        <w:rPr>
          <w:rFonts w:ascii="Arial" w:eastAsia="Arial" w:hAnsi="Arial" w:cs="Arial"/>
          <w:sz w:val="22"/>
          <w:lang w:val="en-US"/>
        </w:rPr>
      </w:pPr>
      <w:r w:rsidRPr="00DA551E">
        <w:rPr>
          <w:rFonts w:ascii="Arial" w:eastAsia="Arial" w:hAnsi="Arial" w:cs="Arial"/>
          <w:sz w:val="22"/>
        </w:rPr>
        <w:t>4 times more likely to work extra hard​</w:t>
      </w:r>
    </w:p>
    <w:p w14:paraId="3CD7DB7D" w14:textId="77777777" w:rsidR="00DA551E" w:rsidRPr="00DA551E" w:rsidRDefault="00DA551E" w:rsidP="00330B2F">
      <w:pPr>
        <w:widowControl w:val="0"/>
        <w:numPr>
          <w:ilvl w:val="0"/>
          <w:numId w:val="16"/>
        </w:numPr>
        <w:autoSpaceDE w:val="0"/>
        <w:autoSpaceDN w:val="0"/>
        <w:rPr>
          <w:rFonts w:ascii="Arial" w:eastAsia="Arial" w:hAnsi="Arial" w:cs="Arial"/>
          <w:sz w:val="22"/>
          <w:lang w:val="en-US"/>
        </w:rPr>
      </w:pPr>
      <w:r w:rsidRPr="00DA551E">
        <w:rPr>
          <w:rFonts w:ascii="Arial" w:eastAsia="Arial" w:hAnsi="Arial" w:cs="Arial"/>
          <w:sz w:val="22"/>
        </w:rPr>
        <w:t>10 times more likely to be very satisfied​</w:t>
      </w:r>
    </w:p>
    <w:p w14:paraId="400C1C9B" w14:textId="77777777" w:rsidR="00DA551E" w:rsidRPr="00DA551E" w:rsidRDefault="00DA551E" w:rsidP="00330B2F">
      <w:pPr>
        <w:widowControl w:val="0"/>
        <w:numPr>
          <w:ilvl w:val="0"/>
          <w:numId w:val="16"/>
        </w:numPr>
        <w:autoSpaceDE w:val="0"/>
        <w:autoSpaceDN w:val="0"/>
        <w:rPr>
          <w:rFonts w:ascii="Arial" w:eastAsia="Arial" w:hAnsi="Arial" w:cs="Arial"/>
          <w:sz w:val="22"/>
          <w:lang w:val="en-US"/>
        </w:rPr>
      </w:pPr>
      <w:r w:rsidRPr="00DA551E">
        <w:rPr>
          <w:rFonts w:ascii="Arial" w:eastAsia="Arial" w:hAnsi="Arial" w:cs="Arial"/>
          <w:sz w:val="22"/>
        </w:rPr>
        <w:t>4 times less likely to leave their job in the next 12 months​</w:t>
      </w:r>
    </w:p>
    <w:p w14:paraId="2BB24A1D" w14:textId="77777777" w:rsidR="00DA551E" w:rsidRPr="00DA551E" w:rsidRDefault="00DA551E" w:rsidP="00330B2F">
      <w:pPr>
        <w:widowControl w:val="0"/>
        <w:numPr>
          <w:ilvl w:val="0"/>
          <w:numId w:val="16"/>
        </w:numPr>
        <w:autoSpaceDE w:val="0"/>
        <w:autoSpaceDN w:val="0"/>
        <w:rPr>
          <w:rFonts w:ascii="Arial" w:eastAsia="Arial" w:hAnsi="Arial" w:cs="Arial"/>
          <w:sz w:val="22"/>
          <w:lang w:val="en-US"/>
        </w:rPr>
      </w:pPr>
      <w:r w:rsidRPr="00DA551E">
        <w:rPr>
          <w:rFonts w:ascii="Arial" w:eastAsia="Arial" w:hAnsi="Arial" w:cs="Arial"/>
          <w:sz w:val="22"/>
        </w:rPr>
        <w:t xml:space="preserve">4 times less likely to feel work has a negative or very negative impact on their mental health​ </w:t>
      </w:r>
    </w:p>
    <w:p w14:paraId="71D21246" w14:textId="77777777" w:rsidR="00DA551E" w:rsidRPr="00DA551E" w:rsidRDefault="00DA551E" w:rsidP="00330B2F">
      <w:pPr>
        <w:widowControl w:val="0"/>
        <w:numPr>
          <w:ilvl w:val="0"/>
          <w:numId w:val="16"/>
        </w:numPr>
        <w:autoSpaceDE w:val="0"/>
        <w:autoSpaceDN w:val="0"/>
        <w:rPr>
          <w:rFonts w:ascii="Arial" w:eastAsia="Arial" w:hAnsi="Arial" w:cs="Arial"/>
          <w:sz w:val="22"/>
          <w:lang w:val="en-US"/>
        </w:rPr>
      </w:pPr>
      <w:r w:rsidRPr="00DA551E">
        <w:rPr>
          <w:rFonts w:ascii="Arial" w:eastAsia="Arial" w:hAnsi="Arial" w:cs="Arial"/>
          <w:sz w:val="22"/>
        </w:rPr>
        <w:t>5 times less likely to experience discrimination and/or harassment​</w:t>
      </w:r>
    </w:p>
    <w:p w14:paraId="2313FC2C" w14:textId="77777777" w:rsidR="00DA551E" w:rsidRPr="00DA551E" w:rsidRDefault="00DA551E" w:rsidP="00DA551E">
      <w:pPr>
        <w:widowControl w:val="0"/>
        <w:autoSpaceDE w:val="0"/>
        <w:autoSpaceDN w:val="0"/>
        <w:rPr>
          <w:rFonts w:ascii="Arial" w:eastAsia="Arial" w:hAnsi="Arial" w:cs="Arial"/>
          <w:sz w:val="22"/>
        </w:rPr>
      </w:pPr>
    </w:p>
    <w:p w14:paraId="50BDD776" w14:textId="77777777" w:rsidR="00DA551E" w:rsidRPr="00DA551E" w:rsidRDefault="00DA551E" w:rsidP="00DA551E">
      <w:pPr>
        <w:widowControl w:val="0"/>
        <w:autoSpaceDE w:val="0"/>
        <w:autoSpaceDN w:val="0"/>
        <w:rPr>
          <w:rFonts w:ascii="Arial" w:eastAsia="Arial" w:hAnsi="Arial" w:cs="Arial"/>
          <w:sz w:val="22"/>
        </w:rPr>
      </w:pPr>
      <w:r w:rsidRPr="00DA551E">
        <w:rPr>
          <w:rFonts w:ascii="Arial" w:eastAsia="Arial" w:hAnsi="Arial" w:cs="Arial"/>
          <w:sz w:val="22"/>
        </w:rPr>
        <w:t xml:space="preserve">We make the following recommendations for the Review terms of reference based upon the principle that diversity and inclusion enhances outcomes across all aspects of a university and the community it serves: </w:t>
      </w:r>
    </w:p>
    <w:p w14:paraId="1DFF9B8B" w14:textId="77777777" w:rsidR="00DA551E" w:rsidRPr="00DA551E" w:rsidRDefault="00DA551E" w:rsidP="00DA551E">
      <w:pPr>
        <w:widowControl w:val="0"/>
        <w:autoSpaceDE w:val="0"/>
        <w:autoSpaceDN w:val="0"/>
        <w:rPr>
          <w:rFonts w:ascii="Arial" w:eastAsia="Arial" w:hAnsi="Arial" w:cs="Arial"/>
          <w:sz w:val="22"/>
        </w:rPr>
      </w:pPr>
      <w:r w:rsidRPr="00DA551E">
        <w:rPr>
          <w:rFonts w:ascii="Arial" w:eastAsia="Arial" w:hAnsi="Arial" w:cs="Arial"/>
          <w:sz w:val="22"/>
        </w:rPr>
        <w:t xml:space="preserve">  </w:t>
      </w:r>
    </w:p>
    <w:p w14:paraId="71FED685" w14:textId="77777777" w:rsidR="00DA551E" w:rsidRPr="00DA551E" w:rsidRDefault="00DA551E" w:rsidP="00DA551E">
      <w:pPr>
        <w:widowControl w:val="0"/>
        <w:numPr>
          <w:ilvl w:val="0"/>
          <w:numId w:val="17"/>
        </w:numPr>
        <w:autoSpaceDE w:val="0"/>
        <w:autoSpaceDN w:val="0"/>
        <w:rPr>
          <w:rFonts w:ascii="Arial" w:eastAsia="Arial" w:hAnsi="Arial" w:cs="Arial"/>
          <w:b/>
          <w:sz w:val="22"/>
        </w:rPr>
      </w:pPr>
      <w:r w:rsidRPr="00DA551E">
        <w:rPr>
          <w:rFonts w:ascii="Arial" w:eastAsia="Arial" w:hAnsi="Arial" w:cs="Arial"/>
          <w:sz w:val="22"/>
        </w:rPr>
        <w:t xml:space="preserve">Equity, Diversity and Inclusion should be more clearly and explicitly framed as </w:t>
      </w:r>
      <w:r w:rsidRPr="00DA551E">
        <w:rPr>
          <w:rFonts w:ascii="Arial" w:eastAsia="Arial" w:hAnsi="Arial" w:cs="Arial"/>
          <w:b/>
          <w:bCs/>
          <w:sz w:val="22"/>
        </w:rPr>
        <w:t xml:space="preserve">underpinning all Key Areas for review, </w:t>
      </w:r>
      <w:r w:rsidRPr="00DA551E">
        <w:rPr>
          <w:rFonts w:ascii="Arial" w:eastAsia="Arial" w:hAnsi="Arial" w:cs="Arial"/>
          <w:sz w:val="22"/>
        </w:rPr>
        <w:t>with identifiable actions and targets.</w:t>
      </w:r>
    </w:p>
    <w:p w14:paraId="5878A0E7" w14:textId="77777777" w:rsidR="00DA551E" w:rsidRPr="00DA551E" w:rsidRDefault="00DA551E" w:rsidP="00DA551E">
      <w:pPr>
        <w:widowControl w:val="0"/>
        <w:autoSpaceDE w:val="0"/>
        <w:autoSpaceDN w:val="0"/>
        <w:ind w:left="720"/>
        <w:rPr>
          <w:rFonts w:ascii="Arial" w:eastAsia="Arial" w:hAnsi="Arial" w:cs="Arial"/>
          <w:sz w:val="22"/>
        </w:rPr>
      </w:pPr>
    </w:p>
    <w:p w14:paraId="6F8B153F" w14:textId="77777777" w:rsidR="00DA551E" w:rsidRPr="00DA551E" w:rsidRDefault="00DA551E" w:rsidP="00A71B66">
      <w:pPr>
        <w:pStyle w:val="Heading2"/>
        <w:rPr>
          <w:rFonts w:eastAsia="Arial"/>
        </w:rPr>
      </w:pPr>
      <w:r w:rsidRPr="00DA551E">
        <w:rPr>
          <w:rFonts w:eastAsia="Arial"/>
        </w:rPr>
        <w:t>Key Area 2: Access and Opportunity</w:t>
      </w:r>
    </w:p>
    <w:p w14:paraId="45BAF2C5" w14:textId="77777777" w:rsidR="00DA551E" w:rsidRPr="00DA551E" w:rsidRDefault="00DA551E" w:rsidP="00DA551E">
      <w:pPr>
        <w:widowControl w:val="0"/>
        <w:numPr>
          <w:ilvl w:val="0"/>
          <w:numId w:val="17"/>
        </w:numPr>
        <w:autoSpaceDE w:val="0"/>
        <w:autoSpaceDN w:val="0"/>
        <w:rPr>
          <w:rFonts w:ascii="Arial" w:eastAsia="Arial" w:hAnsi="Arial" w:cs="Arial"/>
          <w:sz w:val="22"/>
        </w:rPr>
      </w:pPr>
      <w:r w:rsidRPr="00DA551E">
        <w:rPr>
          <w:rFonts w:ascii="Arial" w:eastAsia="Arial" w:hAnsi="Arial" w:cs="Arial"/>
          <w:sz w:val="22"/>
        </w:rPr>
        <w:t xml:space="preserve">Key Area 2 needs to be strengthened to ensure inclusion and equitable opportunities continue to exist throughout the student journey and not just during initial access points. </w:t>
      </w:r>
      <w:r w:rsidRPr="00DA551E">
        <w:rPr>
          <w:rFonts w:ascii="Arial" w:eastAsia="Arial" w:hAnsi="Arial" w:cs="Arial"/>
          <w:sz w:val="22"/>
        </w:rPr>
        <w:br/>
      </w:r>
    </w:p>
    <w:p w14:paraId="30004429" w14:textId="77777777" w:rsidR="00DA551E" w:rsidRPr="00DA551E" w:rsidRDefault="00DA551E" w:rsidP="00DA551E">
      <w:pPr>
        <w:widowControl w:val="0"/>
        <w:numPr>
          <w:ilvl w:val="0"/>
          <w:numId w:val="17"/>
        </w:numPr>
        <w:autoSpaceDE w:val="0"/>
        <w:autoSpaceDN w:val="0"/>
        <w:rPr>
          <w:rFonts w:ascii="Arial" w:eastAsia="Arial" w:hAnsi="Arial" w:cs="Arial"/>
          <w:sz w:val="22"/>
        </w:rPr>
      </w:pPr>
      <w:r w:rsidRPr="00DA551E">
        <w:rPr>
          <w:rFonts w:ascii="Arial" w:eastAsia="Arial" w:hAnsi="Arial" w:cs="Arial"/>
          <w:sz w:val="22"/>
        </w:rPr>
        <w:t xml:space="preserve">Widening participation to higher education is often considered through singular identity lenses / factors, but people are complex; therefore, our responses need to be equally complex. We know that cumulative disadvantage has a disproportionate impact on students looking to go to </w:t>
      </w:r>
      <w:proofErr w:type="gramStart"/>
      <w:r w:rsidRPr="00DA551E">
        <w:rPr>
          <w:rFonts w:ascii="Arial" w:eastAsia="Arial" w:hAnsi="Arial" w:cs="Arial"/>
          <w:sz w:val="22"/>
        </w:rPr>
        <w:t>University</w:t>
      </w:r>
      <w:proofErr w:type="gramEnd"/>
      <w:r w:rsidRPr="00DA551E">
        <w:rPr>
          <w:rFonts w:ascii="Arial" w:eastAsia="Arial" w:hAnsi="Arial" w:cs="Arial"/>
          <w:sz w:val="22"/>
        </w:rPr>
        <w:t>, and we need to ensure that institutions consider their widening participation efforts through an intersectional lens.</w:t>
      </w:r>
      <w:r w:rsidRPr="00DA551E">
        <w:rPr>
          <w:rFonts w:ascii="Arial" w:eastAsia="Arial" w:hAnsi="Arial" w:cs="Arial"/>
          <w:sz w:val="22"/>
          <w:vertAlign w:val="superscript"/>
        </w:rPr>
        <w:footnoteReference w:id="2"/>
      </w:r>
    </w:p>
    <w:p w14:paraId="1543B582" w14:textId="77777777" w:rsidR="00DA551E" w:rsidRPr="00DA551E" w:rsidRDefault="00DA551E" w:rsidP="00DA551E">
      <w:pPr>
        <w:widowControl w:val="0"/>
        <w:autoSpaceDE w:val="0"/>
        <w:autoSpaceDN w:val="0"/>
        <w:rPr>
          <w:rFonts w:ascii="Arial" w:eastAsia="Arial" w:hAnsi="Arial" w:cs="Arial"/>
          <w:sz w:val="22"/>
        </w:rPr>
      </w:pPr>
    </w:p>
    <w:p w14:paraId="6197032F" w14:textId="77777777" w:rsidR="00DA551E" w:rsidRPr="00DA551E" w:rsidRDefault="00DA551E" w:rsidP="00DA551E">
      <w:pPr>
        <w:widowControl w:val="0"/>
        <w:numPr>
          <w:ilvl w:val="0"/>
          <w:numId w:val="17"/>
        </w:numPr>
        <w:autoSpaceDE w:val="0"/>
        <w:autoSpaceDN w:val="0"/>
        <w:rPr>
          <w:rFonts w:ascii="Arial" w:eastAsia="Arial" w:hAnsi="Arial" w:cs="Arial"/>
          <w:sz w:val="22"/>
        </w:rPr>
      </w:pPr>
      <w:r w:rsidRPr="00DA551E">
        <w:rPr>
          <w:rFonts w:ascii="Arial" w:eastAsia="Arial" w:hAnsi="Arial" w:cs="Arial"/>
          <w:sz w:val="22"/>
        </w:rPr>
        <w:t xml:space="preserve">Outcomes from Key Area 2 should seek to identify clear targets for the access and inclusion of under-represented groups (approximately equal to the percentage of any given group in the general population). These targets will further enable universities to embed concrete goals into their strategic objectives around inclusion and provide targets that all universities should be working towards. </w:t>
      </w:r>
      <w:r w:rsidRPr="00DA551E">
        <w:rPr>
          <w:rFonts w:ascii="Arial" w:eastAsia="Arial" w:hAnsi="Arial" w:cs="Arial"/>
          <w:sz w:val="22"/>
        </w:rPr>
        <w:br/>
      </w:r>
    </w:p>
    <w:p w14:paraId="7961FC6F" w14:textId="77777777" w:rsidR="00DA551E" w:rsidRPr="00DA551E" w:rsidRDefault="00DA551E" w:rsidP="00DA551E">
      <w:pPr>
        <w:widowControl w:val="0"/>
        <w:numPr>
          <w:ilvl w:val="0"/>
          <w:numId w:val="17"/>
        </w:numPr>
        <w:autoSpaceDE w:val="0"/>
        <w:autoSpaceDN w:val="0"/>
        <w:rPr>
          <w:rFonts w:ascii="Arial" w:eastAsia="Arial" w:hAnsi="Arial" w:cs="Arial"/>
          <w:sz w:val="22"/>
        </w:rPr>
      </w:pPr>
      <w:r w:rsidRPr="00DA551E">
        <w:rPr>
          <w:rFonts w:ascii="Arial" w:eastAsia="Arial" w:hAnsi="Arial" w:cs="Arial"/>
          <w:sz w:val="22"/>
        </w:rPr>
        <w:t>LGBTQIA+ students should be specifically mentioned in this section, particularly given the context that LGBTQIA+ youth are at higher risk of experiencing homelessness, poor mental health outcomes and encounter significant and specific barriers within the education system alongside the other identities named.</w:t>
      </w:r>
      <w:r w:rsidRPr="00DA551E">
        <w:rPr>
          <w:rFonts w:ascii="Arial" w:eastAsia="Arial" w:hAnsi="Arial" w:cs="Arial"/>
          <w:sz w:val="22"/>
        </w:rPr>
        <w:br/>
      </w:r>
    </w:p>
    <w:p w14:paraId="3F1E30C6" w14:textId="77777777" w:rsidR="00DA551E" w:rsidRPr="00DA551E" w:rsidRDefault="00DA551E" w:rsidP="00DA551E">
      <w:pPr>
        <w:widowControl w:val="0"/>
        <w:numPr>
          <w:ilvl w:val="0"/>
          <w:numId w:val="17"/>
        </w:numPr>
        <w:autoSpaceDE w:val="0"/>
        <w:autoSpaceDN w:val="0"/>
        <w:rPr>
          <w:rFonts w:ascii="Arial" w:eastAsia="Arial" w:hAnsi="Arial" w:cs="Arial"/>
          <w:sz w:val="22"/>
        </w:rPr>
      </w:pPr>
      <w:r w:rsidRPr="00DA551E">
        <w:rPr>
          <w:rFonts w:ascii="Arial" w:eastAsia="Arial" w:hAnsi="Arial" w:cs="Arial"/>
          <w:sz w:val="22"/>
        </w:rPr>
        <w:t xml:space="preserve">It should also be made clear that the diversity of the staff who work in </w:t>
      </w:r>
      <w:proofErr w:type="gramStart"/>
      <w:r w:rsidRPr="00DA551E">
        <w:rPr>
          <w:rFonts w:ascii="Arial" w:eastAsia="Arial" w:hAnsi="Arial" w:cs="Arial"/>
          <w:sz w:val="22"/>
        </w:rPr>
        <w:t>Universities</w:t>
      </w:r>
      <w:proofErr w:type="gramEnd"/>
      <w:r w:rsidRPr="00DA551E">
        <w:rPr>
          <w:rFonts w:ascii="Arial" w:eastAsia="Arial" w:hAnsi="Arial" w:cs="Arial"/>
          <w:sz w:val="22"/>
        </w:rPr>
        <w:t xml:space="preserve"> must be addressed both to support success of students from under-represented groups during their study, and to have visible career pathways for them. </w:t>
      </w:r>
      <w:r w:rsidRPr="00DA551E">
        <w:rPr>
          <w:rFonts w:ascii="Arial" w:eastAsia="Arial" w:hAnsi="Arial" w:cs="Arial"/>
          <w:sz w:val="22"/>
        </w:rPr>
        <w:br/>
      </w:r>
    </w:p>
    <w:p w14:paraId="0441FEEA" w14:textId="77777777" w:rsidR="00DA551E" w:rsidRPr="00DA551E" w:rsidRDefault="00DA551E" w:rsidP="00A71B66">
      <w:pPr>
        <w:pStyle w:val="Heading2"/>
        <w:rPr>
          <w:rFonts w:eastAsia="Arial"/>
        </w:rPr>
      </w:pPr>
      <w:r w:rsidRPr="00DA551E">
        <w:rPr>
          <w:rFonts w:eastAsia="Arial"/>
        </w:rPr>
        <w:t>Key Area 4: Governance, accountability, and community</w:t>
      </w:r>
    </w:p>
    <w:p w14:paraId="72DD0875" w14:textId="77777777" w:rsidR="00DA551E" w:rsidRPr="00DA551E" w:rsidRDefault="00DA551E" w:rsidP="00DA551E">
      <w:pPr>
        <w:widowControl w:val="0"/>
        <w:numPr>
          <w:ilvl w:val="0"/>
          <w:numId w:val="17"/>
        </w:numPr>
        <w:autoSpaceDE w:val="0"/>
        <w:autoSpaceDN w:val="0"/>
        <w:rPr>
          <w:rFonts w:ascii="Arial" w:eastAsia="Arial" w:hAnsi="Arial" w:cs="Arial"/>
          <w:sz w:val="22"/>
        </w:rPr>
      </w:pPr>
      <w:r w:rsidRPr="00DA551E">
        <w:rPr>
          <w:rFonts w:ascii="Arial" w:eastAsia="Arial" w:hAnsi="Arial" w:cs="Arial"/>
          <w:sz w:val="22"/>
        </w:rPr>
        <w:t xml:space="preserve">The first point within this area, which talks about regulatory and workplace relations obligations, should include specific details around what these obligations are. For example: providing a safe learning environment that is free from discrimination. </w:t>
      </w:r>
      <w:r w:rsidRPr="00DA551E">
        <w:rPr>
          <w:rFonts w:ascii="Arial" w:eastAsia="Arial" w:hAnsi="Arial" w:cs="Arial"/>
          <w:sz w:val="22"/>
        </w:rPr>
        <w:br/>
      </w:r>
    </w:p>
    <w:p w14:paraId="249A6C36" w14:textId="77777777" w:rsidR="00DA551E" w:rsidRPr="00DA551E" w:rsidRDefault="00DA551E" w:rsidP="00A71B66">
      <w:pPr>
        <w:pStyle w:val="Heading2"/>
        <w:rPr>
          <w:rFonts w:eastAsia="Arial"/>
        </w:rPr>
      </w:pPr>
      <w:r w:rsidRPr="00DA551E">
        <w:rPr>
          <w:rFonts w:eastAsia="Arial"/>
        </w:rPr>
        <w:t>Key Area 6. Quality and sustainability</w:t>
      </w:r>
    </w:p>
    <w:p w14:paraId="53362942" w14:textId="09E9584A" w:rsidR="00DA551E" w:rsidRPr="00DA551E" w:rsidRDefault="00DA551E" w:rsidP="00DA551E">
      <w:pPr>
        <w:widowControl w:val="0"/>
        <w:numPr>
          <w:ilvl w:val="0"/>
          <w:numId w:val="17"/>
        </w:numPr>
        <w:autoSpaceDE w:val="0"/>
        <w:autoSpaceDN w:val="0"/>
        <w:rPr>
          <w:rFonts w:ascii="Arial" w:eastAsia="Arial" w:hAnsi="Arial" w:cs="Arial"/>
          <w:sz w:val="22"/>
        </w:rPr>
      </w:pPr>
      <w:r w:rsidRPr="00DA551E">
        <w:rPr>
          <w:rFonts w:ascii="Arial" w:eastAsia="Arial" w:hAnsi="Arial" w:cs="Arial"/>
          <w:sz w:val="22"/>
        </w:rPr>
        <w:t xml:space="preserve">Care should be taken not to over-commodify the valuable contribution that international education makes to </w:t>
      </w:r>
      <w:proofErr w:type="gramStart"/>
      <w:r w:rsidRPr="00DA551E">
        <w:rPr>
          <w:rFonts w:ascii="Arial" w:eastAsia="Arial" w:hAnsi="Arial" w:cs="Arial"/>
          <w:sz w:val="22"/>
        </w:rPr>
        <w:t>Universities</w:t>
      </w:r>
      <w:proofErr w:type="gramEnd"/>
      <w:r w:rsidR="006F781A">
        <w:rPr>
          <w:rFonts w:ascii="Arial" w:eastAsia="Arial" w:hAnsi="Arial" w:cs="Arial"/>
          <w:sz w:val="22"/>
        </w:rPr>
        <w:t xml:space="preserve">.  </w:t>
      </w:r>
      <w:r w:rsidRPr="00DA551E">
        <w:rPr>
          <w:rFonts w:ascii="Arial" w:eastAsia="Arial" w:hAnsi="Arial" w:cs="Arial"/>
          <w:sz w:val="22"/>
        </w:rPr>
        <w:t>This limitation also undervalues the positive impact that diversity and inclusion make</w:t>
      </w:r>
      <w:r w:rsidR="00330B2F">
        <w:rPr>
          <w:rFonts w:ascii="Arial" w:eastAsia="Arial" w:hAnsi="Arial" w:cs="Arial"/>
          <w:sz w:val="22"/>
        </w:rPr>
        <w:t xml:space="preserve"> </w:t>
      </w:r>
      <w:r w:rsidRPr="00DA551E">
        <w:rPr>
          <w:rFonts w:ascii="Arial" w:eastAsia="Arial" w:hAnsi="Arial" w:cs="Arial"/>
          <w:sz w:val="22"/>
        </w:rPr>
        <w:t xml:space="preserve">on the broader sustainability of an institution (4 times less likely to leave their job in the next 12 months). </w:t>
      </w:r>
      <w:r w:rsidRPr="00DA551E">
        <w:rPr>
          <w:rFonts w:ascii="Arial" w:eastAsia="Arial" w:hAnsi="Arial" w:cs="Arial"/>
          <w:sz w:val="22"/>
        </w:rPr>
        <w:br/>
      </w:r>
    </w:p>
    <w:p w14:paraId="5FD9BA6B" w14:textId="77777777" w:rsidR="00DA551E" w:rsidRPr="00DA551E" w:rsidRDefault="00DA551E" w:rsidP="00DA551E">
      <w:pPr>
        <w:widowControl w:val="0"/>
        <w:numPr>
          <w:ilvl w:val="0"/>
          <w:numId w:val="17"/>
        </w:numPr>
        <w:autoSpaceDE w:val="0"/>
        <w:autoSpaceDN w:val="0"/>
        <w:rPr>
          <w:rFonts w:ascii="Arial" w:eastAsia="Arial" w:hAnsi="Arial" w:cs="Arial"/>
          <w:sz w:val="22"/>
        </w:rPr>
      </w:pPr>
      <w:r w:rsidRPr="00DA551E">
        <w:rPr>
          <w:rFonts w:ascii="Arial" w:eastAsia="Arial" w:hAnsi="Arial" w:cs="Arial"/>
          <w:sz w:val="22"/>
        </w:rPr>
        <w:t xml:space="preserve">Workforce sustainability should also be expressly included. The short-term nature of research funding schemes works against the continuing employment of many Early Career Researchers and international staff. </w:t>
      </w:r>
    </w:p>
    <w:p w14:paraId="3ED174DC" w14:textId="77777777" w:rsidR="00DA551E" w:rsidRPr="00DA551E" w:rsidRDefault="00DA551E" w:rsidP="00DA551E">
      <w:pPr>
        <w:widowControl w:val="0"/>
        <w:autoSpaceDE w:val="0"/>
        <w:autoSpaceDN w:val="0"/>
        <w:ind w:left="720"/>
        <w:rPr>
          <w:rFonts w:ascii="Arial" w:eastAsia="Arial" w:hAnsi="Arial" w:cs="Arial"/>
          <w:sz w:val="22"/>
        </w:rPr>
      </w:pPr>
    </w:p>
    <w:p w14:paraId="047CFB89" w14:textId="046EB576" w:rsidR="00DA551E" w:rsidRDefault="00DA551E" w:rsidP="00DA551E">
      <w:pPr>
        <w:widowControl w:val="0"/>
        <w:numPr>
          <w:ilvl w:val="0"/>
          <w:numId w:val="17"/>
        </w:numPr>
        <w:autoSpaceDE w:val="0"/>
        <w:autoSpaceDN w:val="0"/>
        <w:rPr>
          <w:rFonts w:ascii="Arial" w:eastAsia="Arial" w:hAnsi="Arial" w:cs="Arial"/>
          <w:sz w:val="22"/>
        </w:rPr>
      </w:pPr>
      <w:r w:rsidRPr="00DA551E">
        <w:rPr>
          <w:rFonts w:ascii="Arial" w:eastAsia="Arial" w:hAnsi="Arial" w:cs="Arial"/>
          <w:sz w:val="22"/>
        </w:rPr>
        <w:t xml:space="preserve">Other aspects of sustainability should also be considered here, particularly environmental, given the fact that climate change and the subsequent need for mitigation and adaptation mechanisms will drive the teaching, research and innovation sectors in future years. </w:t>
      </w:r>
    </w:p>
    <w:p w14:paraId="3662997E" w14:textId="77777777" w:rsidR="006F781A" w:rsidRPr="00BB240B" w:rsidRDefault="006F781A" w:rsidP="006F781A">
      <w:pPr>
        <w:pStyle w:val="ListParagraph0"/>
        <w:rPr>
          <w:rFonts w:ascii="Arial" w:eastAsia="Arial" w:hAnsi="Arial" w:cs="Arial"/>
          <w:sz w:val="12"/>
          <w:szCs w:val="12"/>
        </w:rPr>
      </w:pPr>
    </w:p>
    <w:p w14:paraId="740D538F" w14:textId="77777777" w:rsidR="00DA551E" w:rsidRPr="00DA551E" w:rsidRDefault="00DA551E" w:rsidP="00A71B66">
      <w:pPr>
        <w:pStyle w:val="Heading2"/>
        <w:rPr>
          <w:rFonts w:eastAsia="Arial"/>
          <w:bCs/>
        </w:rPr>
      </w:pPr>
      <w:r w:rsidRPr="00DA551E">
        <w:rPr>
          <w:rFonts w:eastAsia="Arial"/>
          <w:bCs/>
        </w:rPr>
        <w:t xml:space="preserve">Key Area 7. Delivering new knowledge, innovation, and capability </w:t>
      </w:r>
    </w:p>
    <w:p w14:paraId="3E4B8006" w14:textId="77777777" w:rsidR="00DA551E" w:rsidRPr="00DA551E" w:rsidRDefault="00DA551E" w:rsidP="00DA551E">
      <w:pPr>
        <w:widowControl w:val="0"/>
        <w:numPr>
          <w:ilvl w:val="0"/>
          <w:numId w:val="17"/>
        </w:numPr>
        <w:autoSpaceDE w:val="0"/>
        <w:autoSpaceDN w:val="0"/>
        <w:rPr>
          <w:rFonts w:ascii="Arial" w:eastAsia="Arial" w:hAnsi="Arial" w:cs="Arial"/>
          <w:b/>
          <w:bCs/>
          <w:sz w:val="22"/>
        </w:rPr>
      </w:pPr>
      <w:r w:rsidRPr="00DA551E">
        <w:rPr>
          <w:rFonts w:ascii="Arial" w:eastAsia="Arial" w:hAnsi="Arial" w:cs="Arial"/>
          <w:sz w:val="22"/>
        </w:rPr>
        <w:t>The current wording on the first point under Key Area 7 lends significant weight to the translation of research to commercialisation, without placing value on the benefits associated with research such as pure basic, strategic basic and applied research.  It is not always known how research will be able to be applied in future, and without basic research, there are no foundations on which to build.</w:t>
      </w:r>
      <w:r w:rsidRPr="00DA551E">
        <w:rPr>
          <w:rFonts w:ascii="Arial" w:eastAsia="Arial" w:hAnsi="Arial" w:cs="Arial"/>
          <w:b/>
          <w:bCs/>
          <w:sz w:val="22"/>
        </w:rPr>
        <w:t xml:space="preserve"> </w:t>
      </w:r>
    </w:p>
    <w:p w14:paraId="717B2F62" w14:textId="77777777" w:rsidR="00DA551E" w:rsidRPr="00DA551E" w:rsidRDefault="00DA551E" w:rsidP="00DA551E">
      <w:pPr>
        <w:widowControl w:val="0"/>
        <w:autoSpaceDE w:val="0"/>
        <w:autoSpaceDN w:val="0"/>
        <w:rPr>
          <w:rFonts w:ascii="Arial" w:eastAsia="Arial" w:hAnsi="Arial" w:cs="Arial"/>
          <w:b/>
          <w:bCs/>
          <w:sz w:val="22"/>
        </w:rPr>
      </w:pPr>
    </w:p>
    <w:p w14:paraId="1DD5AE33" w14:textId="77777777" w:rsidR="00DA551E" w:rsidRPr="00DA551E" w:rsidRDefault="00DA551E" w:rsidP="00DA551E">
      <w:pPr>
        <w:widowControl w:val="0"/>
        <w:numPr>
          <w:ilvl w:val="0"/>
          <w:numId w:val="17"/>
        </w:numPr>
        <w:autoSpaceDE w:val="0"/>
        <w:autoSpaceDN w:val="0"/>
        <w:rPr>
          <w:rFonts w:ascii="Arial" w:eastAsia="Arial" w:hAnsi="Arial" w:cs="Arial"/>
          <w:b/>
          <w:bCs/>
          <w:sz w:val="22"/>
        </w:rPr>
      </w:pPr>
      <w:r w:rsidRPr="00DA551E">
        <w:rPr>
          <w:rFonts w:ascii="Arial" w:eastAsia="Arial" w:hAnsi="Arial" w:cs="Arial"/>
          <w:sz w:val="22"/>
        </w:rPr>
        <w:t>The synchronicity with the ARC review seems to have relevance to other key areas and should also be considered a cross-cutting principal.</w:t>
      </w:r>
    </w:p>
    <w:p w14:paraId="7B8AD6AE" w14:textId="77777777" w:rsidR="00DA551E" w:rsidRPr="00DA551E" w:rsidRDefault="00DA551E" w:rsidP="00A71B66">
      <w:pPr>
        <w:pStyle w:val="Heading2"/>
        <w:rPr>
          <w:rFonts w:eastAsia="Arial"/>
          <w:bCs/>
        </w:rPr>
      </w:pPr>
      <w:r w:rsidRPr="00DA551E">
        <w:rPr>
          <w:rFonts w:eastAsia="Arial"/>
          <w:bCs/>
        </w:rPr>
        <w:lastRenderedPageBreak/>
        <w:t>Consultation</w:t>
      </w:r>
    </w:p>
    <w:p w14:paraId="185AD1DE" w14:textId="77777777" w:rsidR="00DA551E" w:rsidRPr="00DA551E" w:rsidRDefault="00DA551E" w:rsidP="00DA551E">
      <w:pPr>
        <w:widowControl w:val="0"/>
        <w:numPr>
          <w:ilvl w:val="0"/>
          <w:numId w:val="17"/>
        </w:numPr>
        <w:autoSpaceDE w:val="0"/>
        <w:autoSpaceDN w:val="0"/>
        <w:rPr>
          <w:rFonts w:ascii="Arial" w:eastAsia="Arial" w:hAnsi="Arial" w:cs="Arial"/>
          <w:sz w:val="22"/>
        </w:rPr>
      </w:pPr>
      <w:r w:rsidRPr="00DA551E">
        <w:rPr>
          <w:rFonts w:ascii="Arial" w:eastAsia="Arial" w:hAnsi="Arial" w:cs="Arial"/>
          <w:sz w:val="22"/>
        </w:rPr>
        <w:t>Specific focus groups should be convened for people from diverse groups to inform and reflect on the findings of the panel.  For example, Aboriginal and Torres Strait Islander focus groups, LGBTQIA+ focus groups, People with Disability focus groups, and Culturally and Linguistically Diverse focus groups.  The voices of all</w:t>
      </w:r>
      <w:r w:rsidRPr="00DA551E" w:rsidDel="008B23CC">
        <w:rPr>
          <w:rFonts w:ascii="Arial" w:eastAsia="Arial" w:hAnsi="Arial" w:cs="Arial"/>
          <w:sz w:val="22"/>
        </w:rPr>
        <w:t xml:space="preserve"> </w:t>
      </w:r>
      <w:r w:rsidRPr="00DA551E">
        <w:rPr>
          <w:rFonts w:ascii="Arial" w:eastAsia="Arial" w:hAnsi="Arial" w:cs="Arial"/>
          <w:sz w:val="22"/>
        </w:rPr>
        <w:t>underrepresented communities should be</w:t>
      </w:r>
      <w:r w:rsidRPr="00DA551E" w:rsidDel="00885563">
        <w:rPr>
          <w:rFonts w:ascii="Arial" w:eastAsia="Arial" w:hAnsi="Arial" w:cs="Arial"/>
          <w:sz w:val="22"/>
        </w:rPr>
        <w:t xml:space="preserve"> </w:t>
      </w:r>
      <w:r w:rsidRPr="00DA551E">
        <w:rPr>
          <w:rFonts w:ascii="Arial" w:eastAsia="Arial" w:hAnsi="Arial" w:cs="Arial"/>
          <w:sz w:val="22"/>
        </w:rPr>
        <w:t xml:space="preserve">included at all stages, with multiple opportunities and formats for contribution made available (focus groups, surveys, letters etc). </w:t>
      </w:r>
    </w:p>
    <w:p w14:paraId="6F31E07A" w14:textId="77777777" w:rsidR="00DA551E" w:rsidRPr="00DA551E" w:rsidRDefault="00DA551E" w:rsidP="00DA551E">
      <w:pPr>
        <w:widowControl w:val="0"/>
        <w:autoSpaceDE w:val="0"/>
        <w:autoSpaceDN w:val="0"/>
        <w:rPr>
          <w:rFonts w:ascii="Arial" w:eastAsia="Arial" w:hAnsi="Arial" w:cs="Arial"/>
          <w:sz w:val="22"/>
        </w:rPr>
      </w:pPr>
    </w:p>
    <w:p w14:paraId="677D9650" w14:textId="77777777" w:rsidR="00DA551E" w:rsidRPr="00DA551E" w:rsidRDefault="00DA551E" w:rsidP="00DA551E">
      <w:pPr>
        <w:widowControl w:val="0"/>
        <w:autoSpaceDE w:val="0"/>
        <w:autoSpaceDN w:val="0"/>
        <w:rPr>
          <w:rFonts w:ascii="Arial" w:eastAsia="Arial" w:hAnsi="Arial" w:cs="Arial"/>
          <w:sz w:val="22"/>
        </w:rPr>
      </w:pPr>
    </w:p>
    <w:p w14:paraId="57FC6DC7" w14:textId="274B85E7" w:rsidR="00DA551E" w:rsidRPr="00330B2F" w:rsidRDefault="00070713" w:rsidP="00DA551E">
      <w:pPr>
        <w:widowControl w:val="0"/>
        <w:autoSpaceDE w:val="0"/>
        <w:autoSpaceDN w:val="0"/>
        <w:rPr>
          <w:rFonts w:ascii="Arial" w:eastAsia="Arial" w:hAnsi="Arial" w:cs="Arial"/>
          <w:sz w:val="22"/>
        </w:rPr>
      </w:pPr>
      <w:r w:rsidRPr="00330B2F">
        <w:rPr>
          <w:rFonts w:ascii="Arial" w:eastAsia="Arial" w:hAnsi="Arial" w:cs="Arial"/>
          <w:sz w:val="22"/>
        </w:rPr>
        <w:t>Yours s</w:t>
      </w:r>
      <w:r w:rsidR="00DA551E" w:rsidRPr="00DA551E">
        <w:rPr>
          <w:rFonts w:ascii="Arial" w:eastAsia="Arial" w:hAnsi="Arial" w:cs="Arial"/>
          <w:sz w:val="22"/>
        </w:rPr>
        <w:t>incerely</w:t>
      </w:r>
    </w:p>
    <w:p w14:paraId="295B6156" w14:textId="453B64BB" w:rsidR="00330B2F" w:rsidRPr="00330B2F" w:rsidRDefault="000359F8" w:rsidP="00DA551E">
      <w:pPr>
        <w:widowControl w:val="0"/>
        <w:autoSpaceDE w:val="0"/>
        <w:autoSpaceDN w:val="0"/>
        <w:rPr>
          <w:rFonts w:ascii="Arial" w:eastAsia="Arial" w:hAnsi="Arial" w:cs="Arial"/>
          <w:sz w:val="22"/>
        </w:rPr>
      </w:pPr>
      <w:r>
        <w:rPr>
          <w:noProof/>
        </w:rPr>
        <w:drawing>
          <wp:inline distT="0" distB="0" distL="0" distR="0" wp14:anchorId="0201F4CF" wp14:editId="3E6F3CAA">
            <wp:extent cx="14382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685800"/>
                    </a:xfrm>
                    <a:prstGeom prst="rect">
                      <a:avLst/>
                    </a:prstGeom>
                    <a:noFill/>
                    <a:ln>
                      <a:noFill/>
                    </a:ln>
                  </pic:spPr>
                </pic:pic>
              </a:graphicData>
            </a:graphic>
          </wp:inline>
        </w:drawing>
      </w:r>
    </w:p>
    <w:p w14:paraId="5B7C303D" w14:textId="77777777" w:rsidR="00330B2F" w:rsidRPr="00330B2F" w:rsidRDefault="00330B2F" w:rsidP="00330B2F">
      <w:pPr>
        <w:rPr>
          <w:rFonts w:ascii="Arial" w:eastAsiaTheme="minorEastAsia" w:hAnsi="Arial" w:cs="Arial"/>
          <w:b/>
          <w:bCs/>
          <w:noProof/>
          <w:color w:val="51247A"/>
          <w:sz w:val="22"/>
          <w:lang w:eastAsia="en-AU"/>
        </w:rPr>
      </w:pPr>
    </w:p>
    <w:p w14:paraId="46537C89" w14:textId="77777777" w:rsidR="00330B2F" w:rsidRPr="00330B2F" w:rsidRDefault="00330B2F" w:rsidP="00330B2F">
      <w:pPr>
        <w:rPr>
          <w:rFonts w:ascii="Arial" w:eastAsiaTheme="minorEastAsia" w:hAnsi="Arial" w:cs="Arial"/>
          <w:noProof/>
          <w:sz w:val="22"/>
          <w:lang w:eastAsia="en-AU"/>
        </w:rPr>
      </w:pPr>
      <w:r w:rsidRPr="00330B2F">
        <w:rPr>
          <w:rFonts w:ascii="Arial" w:eastAsiaTheme="minorEastAsia" w:hAnsi="Arial" w:cs="Arial"/>
          <w:noProof/>
          <w:sz w:val="22"/>
          <w:lang w:eastAsia="en-AU"/>
        </w:rPr>
        <w:t xml:space="preserve">Professor Pauline Ford </w:t>
      </w:r>
    </w:p>
    <w:p w14:paraId="48E829AA" w14:textId="6DB0E245" w:rsidR="00330B2F" w:rsidRPr="00A71B66" w:rsidRDefault="00330B2F" w:rsidP="00330B2F">
      <w:pPr>
        <w:rPr>
          <w:rFonts w:ascii="Arial" w:eastAsiaTheme="minorEastAsia" w:hAnsi="Arial" w:cs="Arial"/>
          <w:b/>
          <w:bCs/>
          <w:noProof/>
          <w:sz w:val="22"/>
          <w:lang w:eastAsia="en-AU"/>
        </w:rPr>
      </w:pPr>
      <w:r w:rsidRPr="00A71B66">
        <w:rPr>
          <w:rFonts w:ascii="Arial" w:eastAsiaTheme="minorEastAsia" w:hAnsi="Arial" w:cs="Arial"/>
          <w:b/>
          <w:bCs/>
          <w:noProof/>
          <w:sz w:val="22"/>
          <w:lang w:eastAsia="en-AU"/>
        </w:rPr>
        <w:t>Deputy Provost</w:t>
      </w:r>
      <w:r w:rsidR="00A71B66" w:rsidRPr="00A71B66">
        <w:rPr>
          <w:rFonts w:ascii="Arial" w:eastAsiaTheme="minorEastAsia" w:hAnsi="Arial" w:cs="Arial"/>
          <w:b/>
          <w:bCs/>
          <w:noProof/>
          <w:sz w:val="22"/>
          <w:lang w:eastAsia="en-AU"/>
        </w:rPr>
        <w:t xml:space="preserve"> and </w:t>
      </w:r>
    </w:p>
    <w:p w14:paraId="35E5722B" w14:textId="69407C4B" w:rsidR="00A71B66" w:rsidRPr="00A71B66" w:rsidRDefault="00A71B66" w:rsidP="00330B2F">
      <w:pPr>
        <w:rPr>
          <w:rFonts w:ascii="Arial" w:eastAsiaTheme="minorEastAsia" w:hAnsi="Arial" w:cs="Arial"/>
          <w:b/>
          <w:bCs/>
          <w:noProof/>
          <w:sz w:val="22"/>
          <w:lang w:eastAsia="en-AU"/>
        </w:rPr>
      </w:pPr>
      <w:r w:rsidRPr="00A71B66">
        <w:rPr>
          <w:rFonts w:ascii="Arial" w:eastAsiaTheme="minorEastAsia" w:hAnsi="Arial" w:cs="Arial"/>
          <w:b/>
          <w:bCs/>
          <w:noProof/>
          <w:sz w:val="22"/>
          <w:lang w:eastAsia="en-AU"/>
        </w:rPr>
        <w:t>Chair, UQ Gender Steering Committee</w:t>
      </w:r>
    </w:p>
    <w:p w14:paraId="26454F66" w14:textId="77777777" w:rsidR="00A71B66" w:rsidRDefault="00A71B66" w:rsidP="00330B2F">
      <w:pPr>
        <w:rPr>
          <w:rFonts w:ascii="Arial" w:eastAsiaTheme="minorEastAsia" w:hAnsi="Arial" w:cs="Arial"/>
          <w:b/>
          <w:bCs/>
          <w:noProof/>
          <w:sz w:val="22"/>
          <w:lang w:eastAsia="en-AU"/>
        </w:rPr>
      </w:pPr>
    </w:p>
    <w:p w14:paraId="08CBEFCB" w14:textId="01D34C34" w:rsidR="00330B2F" w:rsidRDefault="00330B2F" w:rsidP="00330B2F">
      <w:pPr>
        <w:rPr>
          <w:rFonts w:ascii="Arial" w:eastAsiaTheme="minorEastAsia" w:hAnsi="Arial" w:cs="Arial"/>
          <w:noProof/>
          <w:sz w:val="22"/>
          <w:lang w:eastAsia="en-AU"/>
        </w:rPr>
      </w:pPr>
      <w:r>
        <w:rPr>
          <w:rFonts w:ascii="Arial" w:eastAsiaTheme="minorEastAsia" w:hAnsi="Arial" w:cs="Arial"/>
          <w:noProof/>
          <w:sz w:val="22"/>
          <w:lang w:eastAsia="en-AU"/>
        </w:rPr>
        <w:t>This submission is supported by</w:t>
      </w:r>
      <w:r w:rsidR="00A71B66">
        <w:rPr>
          <w:rFonts w:ascii="Arial" w:eastAsiaTheme="minorEastAsia" w:hAnsi="Arial" w:cs="Arial"/>
          <w:noProof/>
          <w:sz w:val="22"/>
          <w:lang w:eastAsia="en-AU"/>
        </w:rPr>
        <w:t>:</w:t>
      </w:r>
    </w:p>
    <w:p w14:paraId="221F15DF" w14:textId="1D96E196" w:rsidR="00A71B66" w:rsidRDefault="00A71B66" w:rsidP="00330B2F">
      <w:pPr>
        <w:rPr>
          <w:rFonts w:ascii="Arial" w:eastAsiaTheme="minorEastAsia" w:hAnsi="Arial" w:cs="Arial"/>
          <w:noProof/>
          <w:sz w:val="22"/>
          <w:lang w:eastAsia="en-AU"/>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3"/>
      </w:tblGrid>
      <w:tr w:rsidR="00A71B66" w14:paraId="428A6652" w14:textId="77777777" w:rsidTr="00A71B66">
        <w:trPr>
          <w:trHeight w:val="298"/>
        </w:trPr>
        <w:tc>
          <w:tcPr>
            <w:tcW w:w="3397" w:type="dxa"/>
          </w:tcPr>
          <w:p w14:paraId="17A6B321" w14:textId="00323790" w:rsidR="00A71B66" w:rsidRDefault="00A71B66" w:rsidP="00BB240B">
            <w:pPr>
              <w:spacing w:line="276" w:lineRule="auto"/>
              <w:rPr>
                <w:rFonts w:ascii="Arial" w:eastAsiaTheme="minorEastAsia" w:hAnsi="Arial" w:cs="Arial"/>
                <w:noProof/>
                <w:sz w:val="22"/>
                <w:lang w:eastAsia="en-AU"/>
              </w:rPr>
            </w:pPr>
            <w:r>
              <w:rPr>
                <w:rFonts w:ascii="Arial" w:eastAsia="Arial" w:hAnsi="Arial" w:cs="Arial"/>
                <w:sz w:val="22"/>
              </w:rPr>
              <w:t xml:space="preserve">Ms </w:t>
            </w:r>
            <w:r w:rsidRPr="00DA551E">
              <w:rPr>
                <w:rFonts w:ascii="Arial" w:eastAsia="Arial" w:hAnsi="Arial" w:cs="Arial"/>
                <w:sz w:val="22"/>
              </w:rPr>
              <w:t>Tanya Lutvey</w:t>
            </w:r>
          </w:p>
        </w:tc>
        <w:tc>
          <w:tcPr>
            <w:tcW w:w="5663" w:type="dxa"/>
          </w:tcPr>
          <w:p w14:paraId="7132BD05" w14:textId="51143CB8" w:rsidR="00A71B66" w:rsidRDefault="00A71B66" w:rsidP="00BB240B">
            <w:pPr>
              <w:widowControl w:val="0"/>
              <w:autoSpaceDE w:val="0"/>
              <w:autoSpaceDN w:val="0"/>
              <w:spacing w:line="276" w:lineRule="auto"/>
              <w:rPr>
                <w:rFonts w:ascii="Arial" w:eastAsiaTheme="minorEastAsia" w:hAnsi="Arial" w:cs="Arial"/>
                <w:noProof/>
                <w:sz w:val="22"/>
                <w:lang w:eastAsia="en-AU"/>
              </w:rPr>
            </w:pPr>
            <w:r w:rsidRPr="00DA551E">
              <w:rPr>
                <w:rFonts w:ascii="Arial" w:eastAsia="Arial" w:hAnsi="Arial" w:cs="Arial"/>
                <w:sz w:val="22"/>
              </w:rPr>
              <w:t>Senior Manager UQ Workplace Diversity and Inclusion</w:t>
            </w:r>
          </w:p>
        </w:tc>
      </w:tr>
      <w:tr w:rsidR="00A71B66" w14:paraId="1E061DFA" w14:textId="77777777" w:rsidTr="00A71B66">
        <w:tc>
          <w:tcPr>
            <w:tcW w:w="3397" w:type="dxa"/>
          </w:tcPr>
          <w:p w14:paraId="447FF816" w14:textId="54C891DC" w:rsidR="00A71B66" w:rsidRDefault="00A71B66" w:rsidP="00BB240B">
            <w:pPr>
              <w:spacing w:line="276" w:lineRule="auto"/>
              <w:rPr>
                <w:rFonts w:ascii="Arial" w:eastAsiaTheme="minorEastAsia" w:hAnsi="Arial" w:cs="Arial"/>
                <w:noProof/>
                <w:sz w:val="22"/>
                <w:lang w:eastAsia="en-AU"/>
              </w:rPr>
            </w:pPr>
            <w:r>
              <w:rPr>
                <w:rFonts w:ascii="Arial" w:eastAsia="Arial" w:hAnsi="Arial" w:cs="Arial"/>
                <w:sz w:val="22"/>
              </w:rPr>
              <w:t xml:space="preserve">Mr </w:t>
            </w:r>
            <w:r w:rsidRPr="00DA551E">
              <w:rPr>
                <w:rFonts w:ascii="Arial" w:eastAsia="Arial" w:hAnsi="Arial" w:cs="Arial"/>
                <w:sz w:val="22"/>
              </w:rPr>
              <w:t xml:space="preserve">Krystian </w:t>
            </w:r>
            <w:proofErr w:type="spellStart"/>
            <w:r w:rsidRPr="00DA551E">
              <w:rPr>
                <w:rFonts w:ascii="Arial" w:eastAsia="Arial" w:hAnsi="Arial" w:cs="Arial"/>
                <w:sz w:val="22"/>
              </w:rPr>
              <w:t>Choros</w:t>
            </w:r>
            <w:proofErr w:type="spellEnd"/>
          </w:p>
        </w:tc>
        <w:tc>
          <w:tcPr>
            <w:tcW w:w="5663" w:type="dxa"/>
          </w:tcPr>
          <w:p w14:paraId="7C5D2FF7" w14:textId="12216A97" w:rsidR="00A71B66" w:rsidRDefault="00A71B66" w:rsidP="00BB240B">
            <w:pPr>
              <w:widowControl w:val="0"/>
              <w:autoSpaceDE w:val="0"/>
              <w:autoSpaceDN w:val="0"/>
              <w:spacing w:line="276" w:lineRule="auto"/>
              <w:rPr>
                <w:rFonts w:ascii="Arial" w:eastAsiaTheme="minorEastAsia" w:hAnsi="Arial" w:cs="Arial"/>
                <w:noProof/>
                <w:sz w:val="22"/>
                <w:lang w:eastAsia="en-AU"/>
              </w:rPr>
            </w:pPr>
            <w:r w:rsidRPr="00DA551E">
              <w:rPr>
                <w:rFonts w:ascii="Arial" w:eastAsia="Arial" w:hAnsi="Arial" w:cs="Arial"/>
                <w:sz w:val="22"/>
              </w:rPr>
              <w:t>(Acting) Chair of UQ Ally Action Committee</w:t>
            </w:r>
          </w:p>
        </w:tc>
      </w:tr>
      <w:tr w:rsidR="00A71B66" w14:paraId="03761CFF" w14:textId="77777777" w:rsidTr="00A71B66">
        <w:tc>
          <w:tcPr>
            <w:tcW w:w="3397" w:type="dxa"/>
          </w:tcPr>
          <w:p w14:paraId="6D7F4337" w14:textId="493C0705" w:rsidR="00A71B66" w:rsidRDefault="00A71B66" w:rsidP="00BB240B">
            <w:pPr>
              <w:spacing w:line="276" w:lineRule="auto"/>
              <w:rPr>
                <w:rFonts w:ascii="Arial" w:eastAsiaTheme="minorEastAsia" w:hAnsi="Arial" w:cs="Arial"/>
                <w:noProof/>
                <w:sz w:val="22"/>
                <w:lang w:eastAsia="en-AU"/>
              </w:rPr>
            </w:pPr>
            <w:r w:rsidRPr="00DA551E">
              <w:rPr>
                <w:rFonts w:ascii="Arial" w:eastAsia="Arial" w:hAnsi="Arial" w:cs="Arial"/>
                <w:sz w:val="22"/>
              </w:rPr>
              <w:t>Associate Professor Paul Harpur</w:t>
            </w:r>
          </w:p>
        </w:tc>
        <w:tc>
          <w:tcPr>
            <w:tcW w:w="5663" w:type="dxa"/>
          </w:tcPr>
          <w:p w14:paraId="464295B5" w14:textId="0B42E045" w:rsidR="00A71B66" w:rsidRDefault="00A71B66" w:rsidP="00BB240B">
            <w:pPr>
              <w:spacing w:line="276" w:lineRule="auto"/>
              <w:rPr>
                <w:rFonts w:ascii="Arial" w:eastAsiaTheme="minorEastAsia" w:hAnsi="Arial" w:cs="Arial"/>
                <w:noProof/>
                <w:sz w:val="22"/>
                <w:lang w:eastAsia="en-AU"/>
              </w:rPr>
            </w:pPr>
            <w:r w:rsidRPr="00DA551E">
              <w:rPr>
                <w:rFonts w:ascii="Arial" w:eastAsia="Arial" w:hAnsi="Arial" w:cs="Arial"/>
                <w:sz w:val="22"/>
              </w:rPr>
              <w:t>Chair of UQ Disability Inclusion Group</w:t>
            </w:r>
          </w:p>
        </w:tc>
      </w:tr>
      <w:tr w:rsidR="00A71B66" w14:paraId="055290BC" w14:textId="77777777" w:rsidTr="00A71B66">
        <w:tc>
          <w:tcPr>
            <w:tcW w:w="3397" w:type="dxa"/>
          </w:tcPr>
          <w:p w14:paraId="2114870F" w14:textId="0EB74763" w:rsidR="00A71B66" w:rsidRDefault="00A71B66" w:rsidP="00BB240B">
            <w:pPr>
              <w:spacing w:line="276" w:lineRule="auto"/>
              <w:rPr>
                <w:rFonts w:ascii="Arial" w:eastAsiaTheme="minorEastAsia" w:hAnsi="Arial" w:cs="Arial"/>
                <w:noProof/>
                <w:sz w:val="22"/>
                <w:lang w:eastAsia="en-AU"/>
              </w:rPr>
            </w:pPr>
            <w:r w:rsidRPr="00DA551E">
              <w:rPr>
                <w:rFonts w:ascii="Arial" w:eastAsia="Arial" w:hAnsi="Arial" w:cs="Arial"/>
                <w:sz w:val="22"/>
              </w:rPr>
              <w:t>Professor Nancy Pachana</w:t>
            </w:r>
          </w:p>
        </w:tc>
        <w:tc>
          <w:tcPr>
            <w:tcW w:w="5663" w:type="dxa"/>
          </w:tcPr>
          <w:p w14:paraId="2B8E189A" w14:textId="1C3959A5" w:rsidR="00A71B66" w:rsidRDefault="00A71B66" w:rsidP="00BB240B">
            <w:pPr>
              <w:widowControl w:val="0"/>
              <w:autoSpaceDE w:val="0"/>
              <w:autoSpaceDN w:val="0"/>
              <w:spacing w:line="276" w:lineRule="auto"/>
              <w:rPr>
                <w:rFonts w:ascii="Arial" w:eastAsiaTheme="minorEastAsia" w:hAnsi="Arial" w:cs="Arial"/>
                <w:noProof/>
                <w:sz w:val="22"/>
                <w:lang w:eastAsia="en-AU"/>
              </w:rPr>
            </w:pPr>
            <w:r w:rsidRPr="00DA551E">
              <w:rPr>
                <w:rFonts w:ascii="Arial" w:eastAsia="Arial" w:hAnsi="Arial" w:cs="Arial"/>
                <w:sz w:val="22"/>
              </w:rPr>
              <w:t>Chair of UQ Age Friendly Committee</w:t>
            </w:r>
          </w:p>
        </w:tc>
      </w:tr>
      <w:tr w:rsidR="00A71B66" w14:paraId="3BFD9B87" w14:textId="77777777" w:rsidTr="00A71B66">
        <w:tc>
          <w:tcPr>
            <w:tcW w:w="3397" w:type="dxa"/>
          </w:tcPr>
          <w:p w14:paraId="7436778C" w14:textId="4F1C12F7" w:rsidR="00A71B66" w:rsidRDefault="00A71B66" w:rsidP="00BB240B">
            <w:pPr>
              <w:spacing w:line="276" w:lineRule="auto"/>
              <w:rPr>
                <w:rFonts w:ascii="Arial" w:eastAsiaTheme="minorEastAsia" w:hAnsi="Arial" w:cs="Arial"/>
                <w:noProof/>
                <w:sz w:val="22"/>
                <w:lang w:eastAsia="en-AU"/>
              </w:rPr>
            </w:pPr>
            <w:r w:rsidRPr="00DA551E">
              <w:rPr>
                <w:rFonts w:ascii="Arial" w:eastAsia="Arial" w:hAnsi="Arial" w:cs="Arial"/>
                <w:sz w:val="22"/>
              </w:rPr>
              <w:t xml:space="preserve">Professor </w:t>
            </w:r>
            <w:proofErr w:type="spellStart"/>
            <w:r w:rsidRPr="00DA551E">
              <w:rPr>
                <w:rFonts w:ascii="Arial" w:eastAsia="Arial" w:hAnsi="Arial" w:cs="Arial"/>
                <w:sz w:val="22"/>
              </w:rPr>
              <w:t>Neena</w:t>
            </w:r>
            <w:proofErr w:type="spellEnd"/>
            <w:r w:rsidRPr="00DA551E">
              <w:rPr>
                <w:rFonts w:ascii="Arial" w:eastAsia="Arial" w:hAnsi="Arial" w:cs="Arial"/>
                <w:sz w:val="22"/>
              </w:rPr>
              <w:t xml:space="preserve"> </w:t>
            </w:r>
            <w:proofErr w:type="spellStart"/>
            <w:r w:rsidRPr="00DA551E">
              <w:rPr>
                <w:rFonts w:ascii="Arial" w:eastAsia="Arial" w:hAnsi="Arial" w:cs="Arial"/>
                <w:sz w:val="22"/>
              </w:rPr>
              <w:t>Mitter</w:t>
            </w:r>
            <w:proofErr w:type="spellEnd"/>
          </w:p>
        </w:tc>
        <w:tc>
          <w:tcPr>
            <w:tcW w:w="5663" w:type="dxa"/>
          </w:tcPr>
          <w:p w14:paraId="6895201B" w14:textId="28F72D1D" w:rsidR="00A71B66" w:rsidRDefault="00A71B66" w:rsidP="00BB240B">
            <w:pPr>
              <w:spacing w:line="276" w:lineRule="auto"/>
              <w:rPr>
                <w:rFonts w:ascii="Arial" w:eastAsiaTheme="minorEastAsia" w:hAnsi="Arial" w:cs="Arial"/>
                <w:noProof/>
                <w:sz w:val="22"/>
                <w:lang w:eastAsia="en-AU"/>
              </w:rPr>
            </w:pPr>
            <w:r w:rsidRPr="00DA551E">
              <w:rPr>
                <w:rFonts w:ascii="Arial" w:eastAsia="Arial" w:hAnsi="Arial" w:cs="Arial"/>
                <w:sz w:val="22"/>
              </w:rPr>
              <w:t>Chair of UQ Cultural Inclusion Council</w:t>
            </w:r>
          </w:p>
        </w:tc>
      </w:tr>
      <w:tr w:rsidR="00A71B66" w14:paraId="26AEE85E" w14:textId="77777777" w:rsidTr="00A71B66">
        <w:tc>
          <w:tcPr>
            <w:tcW w:w="3397" w:type="dxa"/>
          </w:tcPr>
          <w:p w14:paraId="4568030D" w14:textId="4B4A94CE" w:rsidR="00A71B66" w:rsidRDefault="00A71B66" w:rsidP="00BB240B">
            <w:pPr>
              <w:spacing w:line="276" w:lineRule="auto"/>
              <w:rPr>
                <w:rFonts w:ascii="Arial" w:eastAsiaTheme="minorEastAsia" w:hAnsi="Arial" w:cs="Arial"/>
                <w:noProof/>
                <w:sz w:val="22"/>
                <w:lang w:eastAsia="en-AU"/>
              </w:rPr>
            </w:pPr>
            <w:r w:rsidRPr="00DA551E">
              <w:rPr>
                <w:rFonts w:ascii="Arial" w:eastAsia="Arial" w:hAnsi="Arial" w:cs="Arial"/>
                <w:sz w:val="22"/>
              </w:rPr>
              <w:t>Dr Dino Willox</w:t>
            </w:r>
          </w:p>
        </w:tc>
        <w:tc>
          <w:tcPr>
            <w:tcW w:w="5663" w:type="dxa"/>
          </w:tcPr>
          <w:p w14:paraId="4249DCF8" w14:textId="5CAEC2D5" w:rsidR="00A71B66" w:rsidRDefault="00A71B66" w:rsidP="00BB240B">
            <w:pPr>
              <w:widowControl w:val="0"/>
              <w:autoSpaceDE w:val="0"/>
              <w:autoSpaceDN w:val="0"/>
              <w:spacing w:line="276" w:lineRule="auto"/>
              <w:rPr>
                <w:rFonts w:ascii="Arial" w:eastAsiaTheme="minorEastAsia" w:hAnsi="Arial" w:cs="Arial"/>
                <w:noProof/>
                <w:sz w:val="22"/>
                <w:lang w:eastAsia="en-AU"/>
              </w:rPr>
            </w:pPr>
            <w:r w:rsidRPr="00DA551E">
              <w:rPr>
                <w:rFonts w:ascii="Arial" w:eastAsia="Arial" w:hAnsi="Arial" w:cs="Arial"/>
                <w:sz w:val="22"/>
              </w:rPr>
              <w:t>Enrichment and Employability Development</w:t>
            </w:r>
          </w:p>
        </w:tc>
      </w:tr>
      <w:bookmarkEnd w:id="0"/>
    </w:tbl>
    <w:p w14:paraId="39F71F4E" w14:textId="77777777" w:rsidR="00DA551E" w:rsidRPr="00DA551E" w:rsidRDefault="00DA551E" w:rsidP="00BB240B">
      <w:pPr>
        <w:widowControl w:val="0"/>
        <w:autoSpaceDE w:val="0"/>
        <w:autoSpaceDN w:val="0"/>
        <w:spacing w:line="276" w:lineRule="auto"/>
        <w:rPr>
          <w:rFonts w:ascii="Arial" w:eastAsia="Arial" w:hAnsi="Arial" w:cs="Arial"/>
          <w:i/>
          <w:iCs/>
          <w:sz w:val="22"/>
        </w:rPr>
      </w:pPr>
    </w:p>
    <w:p w14:paraId="23BD9276" w14:textId="77777777" w:rsidR="00DA551E" w:rsidRPr="00A01181" w:rsidRDefault="00DA551E" w:rsidP="00A01181">
      <w:pPr>
        <w:rPr>
          <w:rFonts w:ascii="Arial" w:eastAsia="Arial" w:hAnsi="Arial" w:cs="Times New Roman"/>
        </w:rPr>
      </w:pPr>
    </w:p>
    <w:sectPr w:rsidR="00DA551E" w:rsidRPr="00A01181" w:rsidSect="00A01181">
      <w:headerReference w:type="default" r:id="rId9"/>
      <w:footerReference w:type="default" r:id="rId10"/>
      <w:headerReference w:type="first" r:id="rId11"/>
      <w:footerReference w:type="first" r:id="rId12"/>
      <w:pgSz w:w="11906" w:h="16838" w:code="9"/>
      <w:pgMar w:top="2381" w:right="1418" w:bottom="1134" w:left="1418"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13442" w14:textId="77777777" w:rsidR="00953467" w:rsidRDefault="00953467" w:rsidP="00C20C17">
      <w:r>
        <w:separator/>
      </w:r>
    </w:p>
  </w:endnote>
  <w:endnote w:type="continuationSeparator" w:id="0">
    <w:p w14:paraId="6B040FBB" w14:textId="77777777" w:rsidR="00953467" w:rsidRDefault="00953467" w:rsidP="00C2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Gotham Light">
    <w:panose1 w:val="00000000000000000000"/>
    <w:charset w:val="00"/>
    <w:family w:val="modern"/>
    <w:notTrueType/>
    <w:pitch w:val="variable"/>
    <w:sig w:usb0="A00002FF" w:usb1="40000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ook w:val="0600" w:firstRow="0" w:lastRow="0" w:firstColumn="0" w:lastColumn="0" w:noHBand="1" w:noVBand="1"/>
    </w:tblPr>
    <w:tblGrid>
      <w:gridCol w:w="8542"/>
      <w:gridCol w:w="528"/>
    </w:tblGrid>
    <w:tr w:rsidR="00B042DF" w14:paraId="48601E17" w14:textId="77777777" w:rsidTr="00B042DF">
      <w:tc>
        <w:tcPr>
          <w:tcW w:w="9072" w:type="dxa"/>
          <w:vAlign w:val="bottom"/>
        </w:tcPr>
        <w:p w14:paraId="2388DE11" w14:textId="77777777" w:rsidR="00B042DF" w:rsidRDefault="00B042DF" w:rsidP="00B042DF">
          <w:pPr>
            <w:pStyle w:val="Footer"/>
            <w:jc w:val="right"/>
          </w:pPr>
        </w:p>
      </w:tc>
      <w:tc>
        <w:tcPr>
          <w:tcW w:w="556" w:type="dxa"/>
          <w:vAlign w:val="bottom"/>
        </w:tcPr>
        <w:p w14:paraId="54BBEC2B" w14:textId="77777777" w:rsidR="00B042DF" w:rsidRPr="00FD71B8" w:rsidRDefault="00B042DF" w:rsidP="00B042DF">
          <w:pPr>
            <w:pStyle w:val="Footer"/>
            <w:jc w:val="right"/>
            <w:rPr>
              <w:szCs w:val="15"/>
            </w:rPr>
          </w:pPr>
          <w:r w:rsidRPr="00FD71B8">
            <w:rPr>
              <w:b/>
              <w:szCs w:val="15"/>
            </w:rPr>
            <w:fldChar w:fldCharType="begin"/>
          </w:r>
          <w:r w:rsidRPr="00FD71B8">
            <w:rPr>
              <w:b/>
              <w:szCs w:val="15"/>
            </w:rPr>
            <w:instrText xml:space="preserve"> PAGE   \* MERGEFORMAT </w:instrText>
          </w:r>
          <w:r w:rsidRPr="00FD71B8">
            <w:rPr>
              <w:b/>
              <w:szCs w:val="15"/>
            </w:rPr>
            <w:fldChar w:fldCharType="separate"/>
          </w:r>
          <w:r w:rsidRPr="00FD71B8">
            <w:rPr>
              <w:b/>
              <w:szCs w:val="15"/>
            </w:rPr>
            <w:t>13</w:t>
          </w:r>
          <w:r w:rsidRPr="00FD71B8">
            <w:rPr>
              <w:b/>
              <w:szCs w:val="15"/>
            </w:rPr>
            <w:fldChar w:fldCharType="end"/>
          </w:r>
        </w:p>
      </w:tc>
    </w:tr>
  </w:tbl>
  <w:p w14:paraId="2A6F247C" w14:textId="77777777" w:rsidR="00716942" w:rsidRPr="00B042DF" w:rsidRDefault="00716942" w:rsidP="00B042DF">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600" w:firstRow="0" w:lastRow="0" w:firstColumn="0" w:lastColumn="0" w:noHBand="1" w:noVBand="1"/>
    </w:tblPr>
    <w:tblGrid>
      <w:gridCol w:w="2548"/>
      <w:gridCol w:w="1778"/>
      <w:gridCol w:w="2547"/>
      <w:gridCol w:w="2188"/>
    </w:tblGrid>
    <w:tr w:rsidR="006873AE" w14:paraId="0433B58F" w14:textId="77777777" w:rsidTr="0016241C">
      <w:tc>
        <w:tcPr>
          <w:tcW w:w="2548" w:type="dxa"/>
        </w:tcPr>
        <w:p w14:paraId="5E0C516A" w14:textId="77777777" w:rsidR="006873AE" w:rsidRPr="0016241C" w:rsidRDefault="006873AE" w:rsidP="0016241C">
          <w:pPr>
            <w:pStyle w:val="Footer"/>
          </w:pPr>
          <w:r w:rsidRPr="0016241C">
            <w:t>The University of Queensland Brisbane QLD 4072 Australia</w:t>
          </w:r>
        </w:p>
      </w:tc>
      <w:tc>
        <w:tcPr>
          <w:tcW w:w="1778" w:type="dxa"/>
        </w:tcPr>
        <w:p w14:paraId="199C32DE" w14:textId="48159C2A" w:rsidR="0016241C" w:rsidRPr="0016241C" w:rsidRDefault="0016241C" w:rsidP="0016241C">
          <w:pPr>
            <w:pStyle w:val="Footer"/>
          </w:pPr>
          <w:r>
            <w:rPr>
              <w:b/>
              <w:color w:val="51247A" w:themeColor="accent1"/>
              <w:sz w:val="11"/>
              <w:szCs w:val="11"/>
            </w:rPr>
            <w:t>T</w:t>
          </w:r>
          <w:r w:rsidRPr="0016241C">
            <w:tab/>
            <w:t xml:space="preserve">+61 </w:t>
          </w:r>
          <w:r w:rsidR="00FB3028" w:rsidRPr="00FB3028">
            <w:rPr>
              <w:shd w:val="clear" w:color="auto" w:fill="000000" w:themeFill="text1"/>
            </w:rPr>
            <w:t xml:space="preserve">                    </w:t>
          </w:r>
          <w:r w:rsidR="00FB3028" w:rsidRPr="00FB3028">
            <w:rPr>
              <w:color w:val="FFFFFF" w:themeColor="background1"/>
            </w:rPr>
            <w:t>.</w:t>
          </w:r>
          <w:r w:rsidR="00FB3028">
            <w:t xml:space="preserve"> </w:t>
          </w:r>
        </w:p>
        <w:p w14:paraId="18581C95" w14:textId="0F83B1EF" w:rsidR="006873AE" w:rsidRPr="0016241C" w:rsidRDefault="006873AE" w:rsidP="0016241C">
          <w:pPr>
            <w:pStyle w:val="Footer"/>
          </w:pPr>
        </w:p>
      </w:tc>
      <w:tc>
        <w:tcPr>
          <w:tcW w:w="2547" w:type="dxa"/>
        </w:tcPr>
        <w:p w14:paraId="074D40DF" w14:textId="60C1B32F" w:rsidR="0016241C" w:rsidRPr="0016241C" w:rsidRDefault="0016241C" w:rsidP="0016241C">
          <w:pPr>
            <w:pStyle w:val="Footer"/>
          </w:pPr>
          <w:r w:rsidRPr="0016241C">
            <w:rPr>
              <w:b/>
              <w:color w:val="51247A" w:themeColor="accent1"/>
              <w:sz w:val="11"/>
              <w:szCs w:val="11"/>
            </w:rPr>
            <w:t>E</w:t>
          </w:r>
          <w:r w:rsidRPr="0016241C">
            <w:tab/>
          </w:r>
          <w:r w:rsidR="00FB3028" w:rsidRPr="00FB3028">
            <w:rPr>
              <w:shd w:val="clear" w:color="auto" w:fill="000000" w:themeFill="text1"/>
            </w:rPr>
            <w:t xml:space="preserve">                               </w:t>
          </w:r>
          <w:r w:rsidR="00FB3028">
            <w:t xml:space="preserve"> </w:t>
          </w:r>
          <w:r w:rsidR="00FB3028" w:rsidRPr="00FB3028">
            <w:rPr>
              <w:color w:val="FFFFFF" w:themeColor="background1"/>
            </w:rPr>
            <w:t>.</w:t>
          </w:r>
        </w:p>
        <w:p w14:paraId="39BE5C17" w14:textId="77777777" w:rsidR="006873AE" w:rsidRPr="0016241C" w:rsidRDefault="0016241C" w:rsidP="0016241C">
          <w:pPr>
            <w:pStyle w:val="Footer"/>
          </w:pPr>
          <w:r>
            <w:rPr>
              <w:b/>
              <w:color w:val="51247A" w:themeColor="accent1"/>
              <w:sz w:val="11"/>
              <w:szCs w:val="11"/>
            </w:rPr>
            <w:t>W</w:t>
          </w:r>
          <w:r w:rsidRPr="0016241C">
            <w:tab/>
          </w:r>
          <w:hyperlink r:id="rId1" w:history="1">
            <w:r w:rsidRPr="0016241C">
              <w:t>uq.edu.au</w:t>
            </w:r>
          </w:hyperlink>
        </w:p>
      </w:tc>
      <w:tc>
        <w:tcPr>
          <w:tcW w:w="2188" w:type="dxa"/>
          <w:vAlign w:val="bottom"/>
        </w:tcPr>
        <w:p w14:paraId="56DFB738" w14:textId="77777777" w:rsidR="0016241C" w:rsidRPr="0016241C" w:rsidRDefault="0016241C" w:rsidP="0016241C">
          <w:pPr>
            <w:pStyle w:val="Footer"/>
            <w:tabs>
              <w:tab w:val="left" w:pos="851"/>
            </w:tabs>
            <w:rPr>
              <w:sz w:val="11"/>
              <w:szCs w:val="11"/>
            </w:rPr>
          </w:pPr>
          <w:r w:rsidRPr="0016241C">
            <w:rPr>
              <w:sz w:val="11"/>
              <w:szCs w:val="11"/>
            </w:rPr>
            <w:t>ABN: 63 942 912 684</w:t>
          </w:r>
        </w:p>
        <w:p w14:paraId="5F84C984" w14:textId="68810DF1" w:rsidR="006873AE" w:rsidRPr="0016241C" w:rsidRDefault="0016241C" w:rsidP="00051D7C">
          <w:pPr>
            <w:pStyle w:val="Footer"/>
            <w:rPr>
              <w:sz w:val="11"/>
              <w:szCs w:val="11"/>
            </w:rPr>
          </w:pPr>
          <w:r w:rsidRPr="0016241C">
            <w:rPr>
              <w:sz w:val="11"/>
              <w:szCs w:val="11"/>
            </w:rPr>
            <w:t xml:space="preserve">CRICOS </w:t>
          </w:r>
          <w:r w:rsidR="00051D7C">
            <w:rPr>
              <w:sz w:val="11"/>
              <w:szCs w:val="11"/>
            </w:rPr>
            <w:t xml:space="preserve">Provider </w:t>
          </w:r>
          <w:r w:rsidRPr="0016241C">
            <w:rPr>
              <w:sz w:val="11"/>
              <w:szCs w:val="11"/>
            </w:rPr>
            <w:t>00025B</w:t>
          </w:r>
        </w:p>
      </w:tc>
    </w:tr>
  </w:tbl>
  <w:p w14:paraId="4EC8D1F1" w14:textId="77777777" w:rsidR="006873AE" w:rsidRPr="0016241C" w:rsidRDefault="006873AE">
    <w:pPr>
      <w:pStyle w:val="Foote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4D6D0" w14:textId="77777777" w:rsidR="00953467" w:rsidRDefault="00953467" w:rsidP="00C20C17">
      <w:r>
        <w:separator/>
      </w:r>
    </w:p>
  </w:footnote>
  <w:footnote w:type="continuationSeparator" w:id="0">
    <w:p w14:paraId="37F689F4" w14:textId="77777777" w:rsidR="00953467" w:rsidRDefault="00953467" w:rsidP="00C20C17">
      <w:r>
        <w:continuationSeparator/>
      </w:r>
    </w:p>
  </w:footnote>
  <w:footnote w:id="1">
    <w:p w14:paraId="5878D09F" w14:textId="77777777" w:rsidR="00DA551E" w:rsidRDefault="00DA551E" w:rsidP="00DA551E">
      <w:pPr>
        <w:pStyle w:val="FootnoteText"/>
      </w:pPr>
      <w:r>
        <w:rPr>
          <w:rStyle w:val="FootnoteReference"/>
        </w:rPr>
        <w:footnoteRef/>
      </w:r>
      <w:r>
        <w:t xml:space="preserve"> </w:t>
      </w:r>
      <w:r w:rsidRPr="00E445AF">
        <w:rPr>
          <w:szCs w:val="16"/>
        </w:rPr>
        <w:t>Adapted from Diversity Council Australia (O’Leary, J. and </w:t>
      </w:r>
      <w:proofErr w:type="spellStart"/>
      <w:r w:rsidRPr="00E445AF">
        <w:rPr>
          <w:szCs w:val="16"/>
        </w:rPr>
        <w:t>D’Almada</w:t>
      </w:r>
      <w:proofErr w:type="spellEnd"/>
      <w:r w:rsidRPr="00E445AF">
        <w:rPr>
          <w:szCs w:val="16"/>
        </w:rPr>
        <w:t>-Remedios, R.) DCA </w:t>
      </w:r>
      <w:proofErr w:type="spellStart"/>
      <w:r w:rsidRPr="00E445AF">
        <w:rPr>
          <w:szCs w:val="16"/>
        </w:rPr>
        <w:t>Inclusion@Work</w:t>
      </w:r>
      <w:proofErr w:type="spellEnd"/>
      <w:r w:rsidRPr="00E445AF">
        <w:rPr>
          <w:szCs w:val="16"/>
        </w:rPr>
        <w:t> Index 2021-2022: Mapping the State of Inclusion in the Australian Workforce, (Infographic) Sydney, Diversity Council Australia, 2021.</w:t>
      </w:r>
    </w:p>
  </w:footnote>
  <w:footnote w:id="2">
    <w:p w14:paraId="2DE84312" w14:textId="77777777" w:rsidR="00DA551E" w:rsidRPr="00A3551E" w:rsidRDefault="00DA551E" w:rsidP="00DA551E">
      <w:r w:rsidRPr="47333CAA">
        <w:rPr>
          <w:rStyle w:val="FootnoteReference"/>
        </w:rPr>
        <w:footnoteRef/>
      </w:r>
      <w:r>
        <w:t xml:space="preserve"> </w:t>
      </w:r>
      <w:r w:rsidRPr="000A01AF">
        <w:rPr>
          <w:sz w:val="16"/>
          <w:szCs w:val="16"/>
        </w:rPr>
        <w:t>References:</w:t>
      </w:r>
      <w:r>
        <w:rPr>
          <w:sz w:val="16"/>
          <w:szCs w:val="16"/>
        </w:rPr>
        <w:t xml:space="preserve"> </w:t>
      </w:r>
      <w:hyperlink r:id="rId1" w:history="1">
        <w:r w:rsidRPr="00A3551E">
          <w:rPr>
            <w:rStyle w:val="Hyperlink"/>
            <w:sz w:val="16"/>
            <w:szCs w:val="16"/>
          </w:rPr>
          <w:t>https://issr.uq.edu.au/case-study-investigating-effects-cumulative-factors-disadvantage</w:t>
        </w:r>
      </w:hyperlink>
      <w:r>
        <w:rPr>
          <w:sz w:val="16"/>
          <w:szCs w:val="16"/>
        </w:rPr>
        <w:t xml:space="preserve"> and </w:t>
      </w:r>
    </w:p>
    <w:p w14:paraId="4261E52D" w14:textId="77777777" w:rsidR="00DA551E" w:rsidRPr="00BF0E9C" w:rsidRDefault="00FB3028" w:rsidP="00DA551E">
      <w:pPr>
        <w:rPr>
          <w:sz w:val="16"/>
          <w:szCs w:val="16"/>
        </w:rPr>
      </w:pPr>
      <w:hyperlink r:id="rId2" w:history="1">
        <w:r w:rsidR="00DA551E" w:rsidRPr="00FB27C4">
          <w:rPr>
            <w:rStyle w:val="Hyperlink"/>
            <w:sz w:val="16"/>
            <w:szCs w:val="16"/>
          </w:rPr>
          <w:t>https://doi.org/10.1080/07294360.2019.1638348</w:t>
        </w:r>
      </w:hyperlink>
    </w:p>
    <w:p w14:paraId="40A1CECE" w14:textId="77777777" w:rsidR="00DA551E" w:rsidRDefault="00DA551E" w:rsidP="00DA551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BBC7" w14:textId="77777777" w:rsidR="00AA5928" w:rsidRDefault="00AA5928" w:rsidP="00AA5928">
    <w:pPr>
      <w:pStyle w:val="Header"/>
    </w:pPr>
    <w:r>
      <w:rPr>
        <w:noProof/>
        <w:lang w:eastAsia="en-AU"/>
      </w:rPr>
      <w:drawing>
        <wp:anchor distT="0" distB="0" distL="114300" distR="114300" simplePos="0" relativeHeight="251666432" behindDoc="0" locked="0" layoutInCell="1" allowOverlap="1" wp14:anchorId="059CA69A" wp14:editId="65B0053C">
          <wp:simplePos x="0" y="0"/>
          <wp:positionH relativeFrom="page">
            <wp:posOffset>5184775</wp:posOffset>
          </wp:positionH>
          <wp:positionV relativeFrom="page">
            <wp:posOffset>521970</wp:posOffset>
          </wp:positionV>
          <wp:extent cx="1825200" cy="529200"/>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rotWithShape="1">
                  <a:blip r:embed="rId1" cstate="print">
                    <a:extLst>
                      <a:ext uri="{28A0092B-C50C-407E-A947-70E740481C1C}">
                        <a14:useLocalDpi xmlns:a14="http://schemas.microsoft.com/office/drawing/2010/main"/>
                      </a:ext>
                    </a:extLst>
                  </a:blip>
                  <a:srcRect l="-1" r="639" b="30149"/>
                  <a:stretch/>
                </pic:blipFill>
                <pic:spPr bwMode="auto">
                  <a:xfrm>
                    <a:off x="0" y="0"/>
                    <a:ext cx="1825200" cy="52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90451" w14:textId="7D907386" w:rsidR="00356EFB" w:rsidRDefault="00356EFB" w:rsidP="00AA5928">
    <w:pPr>
      <w:pStyle w:val="Header"/>
    </w:pPr>
    <w:r>
      <w:rPr>
        <w:noProof/>
        <w:lang w:eastAsia="en-AU"/>
      </w:rPr>
      <w:drawing>
        <wp:anchor distT="0" distB="0" distL="114300" distR="114300" simplePos="0" relativeHeight="251664384" behindDoc="0" locked="0" layoutInCell="1" allowOverlap="1" wp14:anchorId="4291D85F" wp14:editId="724C7852">
          <wp:simplePos x="0" y="0"/>
          <wp:positionH relativeFrom="page">
            <wp:posOffset>5184775</wp:posOffset>
          </wp:positionH>
          <wp:positionV relativeFrom="page">
            <wp:posOffset>521970</wp:posOffset>
          </wp:positionV>
          <wp:extent cx="1825200" cy="529200"/>
          <wp:effectExtent l="0" t="0" r="381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rotWithShape="1">
                  <a:blip r:embed="rId1" cstate="print">
                    <a:extLst>
                      <a:ext uri="{28A0092B-C50C-407E-A947-70E740481C1C}">
                        <a14:useLocalDpi xmlns:a14="http://schemas.microsoft.com/office/drawing/2010/main"/>
                      </a:ext>
                    </a:extLst>
                  </a:blip>
                  <a:srcRect l="-1" r="639" b="30149"/>
                  <a:stretch/>
                </pic:blipFill>
                <pic:spPr bwMode="auto">
                  <a:xfrm>
                    <a:off x="0" y="0"/>
                    <a:ext cx="1825200" cy="52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0F0"/>
    <w:multiLevelType w:val="multilevel"/>
    <w:tmpl w:val="8752BC70"/>
    <w:styleLink w:val="ListSectionTitle"/>
    <w:lvl w:ilvl="0">
      <w:start w:val="1"/>
      <w:numFmt w:val="decimal"/>
      <w:pStyle w:val="SectionTitleNumbered"/>
      <w:lvlText w:val="%1"/>
      <w:lvlJc w:val="left"/>
      <w:pPr>
        <w:tabs>
          <w:tab w:val="num" w:pos="1134"/>
        </w:tabs>
        <w:ind w:left="1134" w:hanging="1134"/>
      </w:pPr>
      <w:rPr>
        <w:rFonts w:ascii="Arial" w:hAnsi="Arial" w:hint="default"/>
        <w:b/>
        <w:i w:val="0"/>
        <w:caps w:val="0"/>
        <w:strike w:val="0"/>
        <w:dstrike w:val="0"/>
        <w:vanish w:val="0"/>
        <w:color w:val="51247A" w:themeColor="accent1"/>
        <w:sz w:val="48"/>
        <w:vertAlign w:val="baseline"/>
      </w:rPr>
    </w:lvl>
    <w:lvl w:ilvl="1">
      <w:start w:val="1"/>
      <w:numFmt w:val="decimal"/>
      <w:lvlRestart w:val="0"/>
      <w:pStyle w:val="SectionNumberOnly"/>
      <w:suff w:val="nothing"/>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97510D7"/>
    <w:multiLevelType w:val="multilevel"/>
    <w:tmpl w:val="2F6CA4A0"/>
    <w:numStyleLink w:val="ListBullet"/>
  </w:abstractNum>
  <w:abstractNum w:abstractNumId="2" w15:restartNumberingAfterBreak="0">
    <w:nsid w:val="0DD726A9"/>
    <w:multiLevelType w:val="multilevel"/>
    <w:tmpl w:val="B5BC7C40"/>
    <w:styleLink w:val="ListAppendix"/>
    <w:lvl w:ilvl="0">
      <w:start w:val="1"/>
      <w:numFmt w:val="upperLetter"/>
      <w:pStyle w:val="Heading9"/>
      <w:lvlText w:val="Appendix %1"/>
      <w:lvlJc w:val="left"/>
      <w:pPr>
        <w:tabs>
          <w:tab w:val="num" w:pos="0"/>
        </w:tabs>
        <w:ind w:left="0" w:firstLine="0"/>
      </w:pPr>
      <w:rPr>
        <w:rFonts w:hint="default"/>
        <w:b w:val="0"/>
        <w:color w:val="51247A" w:themeColor="accent1"/>
      </w:rPr>
    </w:lvl>
    <w:lvl w:ilvl="1">
      <w:start w:val="1"/>
      <w:numFmt w:val="decimal"/>
      <w:pStyle w:val="AppendixH2"/>
      <w:lvlText w:val="%1-%2"/>
      <w:lvlJc w:val="left"/>
      <w:pPr>
        <w:tabs>
          <w:tab w:val="num" w:pos="1134"/>
        </w:tabs>
        <w:ind w:left="1134" w:hanging="1134"/>
      </w:pPr>
      <w:rPr>
        <w:rFonts w:hint="default"/>
        <w:color w:val="51247A" w:themeColor="accent1"/>
      </w:rPr>
    </w:lvl>
    <w:lvl w:ilvl="2">
      <w:start w:val="1"/>
      <w:numFmt w:val="decimal"/>
      <w:pStyle w:val="AppendixH3"/>
      <w:lvlText w:val="%1-%2-%3"/>
      <w:lvlJc w:val="left"/>
      <w:pPr>
        <w:tabs>
          <w:tab w:val="num" w:pos="1134"/>
        </w:tabs>
        <w:ind w:left="1134" w:hanging="1134"/>
      </w:pPr>
      <w:rPr>
        <w:rFonts w:hint="default"/>
        <w:color w:val="51247A"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 w15:restartNumberingAfterBreak="0">
    <w:nsid w:val="144D7B92"/>
    <w:multiLevelType w:val="hybridMultilevel"/>
    <w:tmpl w:val="D1E835B4"/>
    <w:lvl w:ilvl="0" w:tplc="B368464C">
      <w:start w:val="1"/>
      <w:numFmt w:val="decimal"/>
      <w:lvlText w:val="%1."/>
      <w:lvlJc w:val="left"/>
      <w:pPr>
        <w:ind w:left="720" w:hanging="360"/>
      </w:pPr>
      <w:rPr>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4E610B"/>
    <w:multiLevelType w:val="multilevel"/>
    <w:tmpl w:val="0B76EB08"/>
    <w:styleLink w:val="ListNumber"/>
    <w:lvl w:ilvl="0">
      <w:start w:val="1"/>
      <w:numFmt w:val="decimal"/>
      <w:pStyle w:val="ListNumber0"/>
      <w:lvlText w:val="%1."/>
      <w:lvlJc w:val="left"/>
      <w:pPr>
        <w:tabs>
          <w:tab w:val="num" w:pos="0"/>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pStyle w:val="ListNumber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6" w15:restartNumberingAfterBreak="0">
    <w:nsid w:val="1D737170"/>
    <w:multiLevelType w:val="multilevel"/>
    <w:tmpl w:val="794003F6"/>
    <w:styleLink w:val="ListNbrHeading"/>
    <w:lvl w:ilvl="0">
      <w:start w:val="1"/>
      <w:numFmt w:val="decimal"/>
      <w:pStyle w:val="NbrHeading1"/>
      <w:lvlText w:val="%1."/>
      <w:lvlJc w:val="left"/>
      <w:pPr>
        <w:tabs>
          <w:tab w:val="num" w:pos="1134"/>
        </w:tabs>
        <w:ind w:left="1134" w:hanging="1134"/>
      </w:pPr>
      <w:rPr>
        <w:rFonts w:hint="default"/>
      </w:rPr>
    </w:lvl>
    <w:lvl w:ilvl="1">
      <w:start w:val="1"/>
      <w:numFmt w:val="decimal"/>
      <w:pStyle w:val="NbrHeading2"/>
      <w:lvlText w:val="%1.%2"/>
      <w:lvlJc w:val="left"/>
      <w:pPr>
        <w:tabs>
          <w:tab w:val="num" w:pos="1134"/>
        </w:tabs>
        <w:ind w:left="1134" w:hanging="1134"/>
      </w:pPr>
      <w:rPr>
        <w:rFonts w:hint="default"/>
      </w:rPr>
    </w:lvl>
    <w:lvl w:ilvl="2">
      <w:start w:val="1"/>
      <w:numFmt w:val="decimal"/>
      <w:pStyle w:val="NbrHeading3"/>
      <w:lvlText w:val="%1.%2.%3"/>
      <w:lvlJc w:val="left"/>
      <w:pPr>
        <w:tabs>
          <w:tab w:val="num" w:pos="1134"/>
        </w:tabs>
        <w:ind w:left="1134" w:hanging="1134"/>
      </w:pPr>
      <w:rPr>
        <w:rFonts w:hint="default"/>
      </w:rPr>
    </w:lvl>
    <w:lvl w:ilvl="3">
      <w:start w:val="1"/>
      <w:numFmt w:val="decimal"/>
      <w:pStyle w:val="NbrHeading4"/>
      <w:lvlText w:val="%1.%2.%3.%4"/>
      <w:lvlJc w:val="left"/>
      <w:pPr>
        <w:tabs>
          <w:tab w:val="num" w:pos="1134"/>
        </w:tabs>
        <w:ind w:left="1134" w:hanging="1134"/>
      </w:pPr>
      <w:rPr>
        <w:rFonts w:hint="default"/>
      </w:rPr>
    </w:lvl>
    <w:lvl w:ilvl="4">
      <w:start w:val="1"/>
      <w:numFmt w:val="decimal"/>
      <w:pStyle w:val="Nbr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27B57907"/>
    <w:multiLevelType w:val="multilevel"/>
    <w:tmpl w:val="A906D87A"/>
    <w:styleLink w:val="ListTableBullet"/>
    <w:lvl w:ilvl="0">
      <w:start w:val="1"/>
      <w:numFmt w:val="bullet"/>
      <w:pStyle w:val="TableBullet"/>
      <w:lvlText w:val=""/>
      <w:lvlJc w:val="left"/>
      <w:pPr>
        <w:tabs>
          <w:tab w:val="num" w:pos="397"/>
        </w:tabs>
        <w:ind w:left="397" w:hanging="284"/>
      </w:pPr>
      <w:rPr>
        <w:rFonts w:ascii="Symbol" w:hAnsi="Symbol" w:hint="default"/>
      </w:rPr>
    </w:lvl>
    <w:lvl w:ilvl="1">
      <w:start w:val="1"/>
      <w:numFmt w:val="bullet"/>
      <w:pStyle w:val="TableBullet2"/>
      <w:lvlText w:val="–"/>
      <w:lvlJc w:val="left"/>
      <w:pPr>
        <w:tabs>
          <w:tab w:val="num" w:pos="680"/>
        </w:tabs>
        <w:ind w:left="680" w:hanging="283"/>
      </w:pPr>
      <w:rPr>
        <w:rFonts w:ascii="Arial Rounded MT" w:hAnsi="Arial Rounded MT"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29973E80"/>
    <w:multiLevelType w:val="multilevel"/>
    <w:tmpl w:val="D442603C"/>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3BF26A71"/>
    <w:multiLevelType w:val="multilevel"/>
    <w:tmpl w:val="E9B44B6A"/>
    <w:styleLink w:val="ListParagraph"/>
    <w:lvl w:ilvl="0">
      <w:start w:val="1"/>
      <w:numFmt w:val="none"/>
      <w:pStyle w:val="BackCoverDetails"/>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0071FAE"/>
    <w:multiLevelType w:val="multilevel"/>
    <w:tmpl w:val="9D625AA6"/>
    <w:styleLink w:val="ListNumberedHeadings"/>
    <w:lvl w:ilvl="0">
      <w:start w:val="1"/>
      <w:numFmt w:val="decimal"/>
      <w:lvlText w:val="%1"/>
      <w:lvlJc w:val="left"/>
      <w:pPr>
        <w:tabs>
          <w:tab w:val="num" w:pos="1134"/>
        </w:tabs>
        <w:ind w:left="1134" w:hanging="1134"/>
      </w:pPr>
      <w:rPr>
        <w:rFonts w:asciiTheme="majorHAnsi" w:hAnsiTheme="majorHAnsi" w:hint="default"/>
        <w:color w:val="E62645" w:themeColor="accent2"/>
      </w:rPr>
    </w:lvl>
    <w:lvl w:ilvl="1">
      <w:start w:val="1"/>
      <w:numFmt w:val="decimal"/>
      <w:lvlText w:val="%1.%2"/>
      <w:lvlJc w:val="left"/>
      <w:pPr>
        <w:tabs>
          <w:tab w:val="num" w:pos="1134"/>
        </w:tabs>
        <w:ind w:left="1134" w:hanging="1134"/>
      </w:pPr>
      <w:rPr>
        <w:rFonts w:ascii="Gotham Light" w:hAnsi="Gotham Light" w:hint="default"/>
        <w:color w:val="999490" w:themeColor="accent3"/>
      </w:rPr>
    </w:lvl>
    <w:lvl w:ilvl="2">
      <w:start w:val="1"/>
      <w:numFmt w:val="decimal"/>
      <w:lvlText w:val="%1.%2.%3"/>
      <w:lvlJc w:val="left"/>
      <w:pPr>
        <w:tabs>
          <w:tab w:val="num" w:pos="1134"/>
        </w:tabs>
        <w:ind w:left="1134" w:hanging="1134"/>
      </w:pPr>
      <w:rPr>
        <w:rFonts w:asciiTheme="majorHAnsi" w:hAnsiTheme="majorHAnsi" w:hint="default"/>
        <w:color w:val="51247A" w:themeColor="accent1"/>
      </w:rPr>
    </w:lvl>
    <w:lvl w:ilvl="3">
      <w:start w:val="1"/>
      <w:numFmt w:val="decimal"/>
      <w:lvlText w:val="%1.%2.%3.%4"/>
      <w:lvlJc w:val="left"/>
      <w:pPr>
        <w:tabs>
          <w:tab w:val="num" w:pos="1134"/>
        </w:tabs>
        <w:ind w:left="1134" w:hanging="1134"/>
      </w:pPr>
      <w:rPr>
        <w:rFonts w:asciiTheme="majorHAnsi" w:hAnsiTheme="majorHAnsi" w:hint="default"/>
        <w:color w:val="auto"/>
        <w:sz w:val="18"/>
      </w:rPr>
    </w:lvl>
    <w:lvl w:ilvl="4">
      <w:start w:val="1"/>
      <w:numFmt w:val="decimal"/>
      <w:lvlText w:val="%1.%2.%3.%4.%5"/>
      <w:lvlJc w:val="left"/>
      <w:pPr>
        <w:tabs>
          <w:tab w:val="num" w:pos="1134"/>
        </w:tabs>
        <w:ind w:left="1134" w:hanging="1134"/>
      </w:pPr>
      <w:rPr>
        <w:rFonts w:asciiTheme="majorHAnsi" w:hAnsiTheme="majorHAnsi" w:hint="default"/>
        <w:color w:val="E62645" w:themeColor="accent2"/>
        <w:sz w:val="18"/>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1" w15:restartNumberingAfterBreak="0">
    <w:nsid w:val="48C90D8A"/>
    <w:multiLevelType w:val="multilevel"/>
    <w:tmpl w:val="8752BC70"/>
    <w:numStyleLink w:val="ListSectionTitle"/>
  </w:abstractNum>
  <w:abstractNum w:abstractNumId="12" w15:restartNumberingAfterBreak="0">
    <w:nsid w:val="52AA0A7D"/>
    <w:multiLevelType w:val="multilevel"/>
    <w:tmpl w:val="E9B44B6A"/>
    <w:numStyleLink w:val="ListParagraph"/>
  </w:abstractNum>
  <w:abstractNum w:abstractNumId="13" w15:restartNumberingAfterBreak="0">
    <w:nsid w:val="53FE7795"/>
    <w:multiLevelType w:val="multilevel"/>
    <w:tmpl w:val="B5BC7C40"/>
    <w:numStyleLink w:val="ListAppendix"/>
  </w:abstractNum>
  <w:abstractNum w:abstractNumId="14" w15:restartNumberingAfterBreak="0">
    <w:nsid w:val="725B532E"/>
    <w:multiLevelType w:val="multilevel"/>
    <w:tmpl w:val="2F6CA4A0"/>
    <w:styleLink w:val="ListBullet"/>
    <w:lvl w:ilvl="0">
      <w:start w:val="1"/>
      <w:numFmt w:val="bullet"/>
      <w:pStyle w:val="ListBullet0"/>
      <w:lvlText w:val=""/>
      <w:lvlJc w:val="left"/>
      <w:pPr>
        <w:tabs>
          <w:tab w:val="num" w:pos="425"/>
        </w:tabs>
        <w:ind w:left="425" w:hanging="425"/>
      </w:pPr>
      <w:rPr>
        <w:rFonts w:ascii="Symbol" w:hAnsi="Symbol" w:hint="default"/>
      </w:rPr>
    </w:lvl>
    <w:lvl w:ilvl="1">
      <w:start w:val="1"/>
      <w:numFmt w:val="bullet"/>
      <w:pStyle w:val="ListBullet2"/>
      <w:lvlText w:val="–"/>
      <w:lvlJc w:val="left"/>
      <w:pPr>
        <w:tabs>
          <w:tab w:val="num" w:pos="850"/>
        </w:tabs>
        <w:ind w:left="850" w:hanging="425"/>
      </w:pPr>
      <w:rPr>
        <w:rFonts w:ascii="Arial Rounded MT" w:hAnsi="Arial Rounded MT" w:hint="default"/>
        <w:color w:val="auto"/>
      </w:rPr>
    </w:lvl>
    <w:lvl w:ilvl="2">
      <w:start w:val="1"/>
      <w:numFmt w:val="bullet"/>
      <w:pStyle w:val="ListBullet3"/>
      <w:lvlText w:val=""/>
      <w:lvlJc w:val="left"/>
      <w:pPr>
        <w:tabs>
          <w:tab w:val="num" w:pos="1275"/>
        </w:tabs>
        <w:ind w:left="1275" w:hanging="425"/>
      </w:pPr>
      <w:rPr>
        <w:rFonts w:ascii="Symbol" w:hAnsi="Symbol" w:hint="default"/>
      </w:rPr>
    </w:lvl>
    <w:lvl w:ilvl="3">
      <w:start w:val="1"/>
      <w:numFmt w:val="bullet"/>
      <w:pStyle w:val="ListBullet4"/>
      <w:lvlText w:val="–"/>
      <w:lvlJc w:val="left"/>
      <w:pPr>
        <w:tabs>
          <w:tab w:val="num" w:pos="1700"/>
        </w:tabs>
        <w:ind w:left="1700" w:hanging="425"/>
      </w:pPr>
      <w:rPr>
        <w:rFonts w:ascii="Arial Rounded MT" w:hAnsi="Arial Rounded MT" w:hint="default"/>
      </w:rPr>
    </w:lvl>
    <w:lvl w:ilvl="4">
      <w:start w:val="1"/>
      <w:numFmt w:val="bullet"/>
      <w:pStyle w:val="ListBullet5"/>
      <w:lvlText w:val=""/>
      <w:lvlJc w:val="left"/>
      <w:pPr>
        <w:tabs>
          <w:tab w:val="num" w:pos="2125"/>
        </w:tabs>
        <w:ind w:left="2125" w:hanging="425"/>
      </w:pPr>
      <w:rPr>
        <w:rFonts w:ascii="Symbol" w:hAnsi="Symbol" w:hint="default"/>
        <w:color w:val="auto"/>
      </w:rPr>
    </w:lvl>
    <w:lvl w:ilvl="5">
      <w:start w:val="1"/>
      <w:numFmt w:val="bullet"/>
      <w:pStyle w:val="ListBullet6"/>
      <w:lvlText w:val="–"/>
      <w:lvlJc w:val="left"/>
      <w:pPr>
        <w:tabs>
          <w:tab w:val="num" w:pos="2550"/>
        </w:tabs>
        <w:ind w:left="2550" w:hanging="425"/>
      </w:pPr>
      <w:rPr>
        <w:rFonts w:ascii="Arial Rounded MT" w:hAnsi="Arial Rounded MT" w:hint="default"/>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5" w15:restartNumberingAfterBreak="0">
    <w:nsid w:val="7F26369B"/>
    <w:multiLevelType w:val="hybridMultilevel"/>
    <w:tmpl w:val="495471A8"/>
    <w:lvl w:ilvl="0" w:tplc="3C98FAD2">
      <w:start w:val="1"/>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9"/>
  </w:num>
  <w:num w:numId="4">
    <w:abstractNumId w:val="3"/>
  </w:num>
  <w:num w:numId="5">
    <w:abstractNumId w:val="12"/>
  </w:num>
  <w:num w:numId="6">
    <w:abstractNumId w:val="6"/>
  </w:num>
  <w:num w:numId="7">
    <w:abstractNumId w:val="7"/>
  </w:num>
  <w:num w:numId="8">
    <w:abstractNumId w:val="8"/>
  </w:num>
  <w:num w:numId="9">
    <w:abstractNumId w:val="2"/>
  </w:num>
  <w:num w:numId="10">
    <w:abstractNumId w:val="10"/>
  </w:num>
  <w:num w:numId="11">
    <w:abstractNumId w:val="1"/>
  </w:num>
  <w:num w:numId="12">
    <w:abstractNumId w:val="0"/>
  </w:num>
  <w:num w:numId="13">
    <w:abstractNumId w:val="11"/>
  </w:num>
  <w:num w:numId="14">
    <w:abstractNumId w:val="13"/>
  </w:num>
  <w:num w:numId="15">
    <w:abstractNumId w:val="11"/>
  </w:num>
  <w:num w:numId="16">
    <w:abstractNumId w:val="15"/>
  </w:num>
  <w:num w:numId="17">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EA4"/>
    <w:rsid w:val="000300D4"/>
    <w:rsid w:val="000359F8"/>
    <w:rsid w:val="00051D7C"/>
    <w:rsid w:val="000634C3"/>
    <w:rsid w:val="000640F4"/>
    <w:rsid w:val="00070713"/>
    <w:rsid w:val="0007625B"/>
    <w:rsid w:val="000A7AFE"/>
    <w:rsid w:val="000B3E75"/>
    <w:rsid w:val="00117E37"/>
    <w:rsid w:val="0016241C"/>
    <w:rsid w:val="001741BF"/>
    <w:rsid w:val="00193459"/>
    <w:rsid w:val="00196C64"/>
    <w:rsid w:val="001B6A57"/>
    <w:rsid w:val="001E544B"/>
    <w:rsid w:val="002142AC"/>
    <w:rsid w:val="00241DF1"/>
    <w:rsid w:val="002846DB"/>
    <w:rsid w:val="00287293"/>
    <w:rsid w:val="00292EDB"/>
    <w:rsid w:val="002D6CD3"/>
    <w:rsid w:val="002F612F"/>
    <w:rsid w:val="00310B79"/>
    <w:rsid w:val="00330B2F"/>
    <w:rsid w:val="00344843"/>
    <w:rsid w:val="00356EFB"/>
    <w:rsid w:val="003C098B"/>
    <w:rsid w:val="00416FF4"/>
    <w:rsid w:val="00445521"/>
    <w:rsid w:val="00463D08"/>
    <w:rsid w:val="004713C5"/>
    <w:rsid w:val="004972A0"/>
    <w:rsid w:val="00571944"/>
    <w:rsid w:val="005B54F0"/>
    <w:rsid w:val="005D0167"/>
    <w:rsid w:val="005D4250"/>
    <w:rsid w:val="005E7363"/>
    <w:rsid w:val="00614669"/>
    <w:rsid w:val="006377A2"/>
    <w:rsid w:val="00670B05"/>
    <w:rsid w:val="00684298"/>
    <w:rsid w:val="006873AE"/>
    <w:rsid w:val="006C0E44"/>
    <w:rsid w:val="006E495E"/>
    <w:rsid w:val="006E71A4"/>
    <w:rsid w:val="006F781A"/>
    <w:rsid w:val="0071246C"/>
    <w:rsid w:val="00716942"/>
    <w:rsid w:val="00742324"/>
    <w:rsid w:val="007B215D"/>
    <w:rsid w:val="007C38B8"/>
    <w:rsid w:val="007F5557"/>
    <w:rsid w:val="00834296"/>
    <w:rsid w:val="00862690"/>
    <w:rsid w:val="008B0D7D"/>
    <w:rsid w:val="008E2EA4"/>
    <w:rsid w:val="009357E3"/>
    <w:rsid w:val="00944DDB"/>
    <w:rsid w:val="00953467"/>
    <w:rsid w:val="009774DC"/>
    <w:rsid w:val="009D6143"/>
    <w:rsid w:val="009D7F71"/>
    <w:rsid w:val="009E3486"/>
    <w:rsid w:val="009E3FDE"/>
    <w:rsid w:val="009E6379"/>
    <w:rsid w:val="009F3881"/>
    <w:rsid w:val="00A01181"/>
    <w:rsid w:val="00A12421"/>
    <w:rsid w:val="00A34437"/>
    <w:rsid w:val="00A71B66"/>
    <w:rsid w:val="00A77D53"/>
    <w:rsid w:val="00AA5928"/>
    <w:rsid w:val="00AE34ED"/>
    <w:rsid w:val="00B025B0"/>
    <w:rsid w:val="00B042DF"/>
    <w:rsid w:val="00B13955"/>
    <w:rsid w:val="00B36FCC"/>
    <w:rsid w:val="00B742E4"/>
    <w:rsid w:val="00BB240B"/>
    <w:rsid w:val="00BC0E71"/>
    <w:rsid w:val="00C03157"/>
    <w:rsid w:val="00C20C17"/>
    <w:rsid w:val="00C33B32"/>
    <w:rsid w:val="00C474B7"/>
    <w:rsid w:val="00C960ED"/>
    <w:rsid w:val="00D13C7F"/>
    <w:rsid w:val="00D32971"/>
    <w:rsid w:val="00D8242B"/>
    <w:rsid w:val="00DA551E"/>
    <w:rsid w:val="00DA5594"/>
    <w:rsid w:val="00DD0AFE"/>
    <w:rsid w:val="00DD3FBD"/>
    <w:rsid w:val="00E03C14"/>
    <w:rsid w:val="00E7261C"/>
    <w:rsid w:val="00E87A8D"/>
    <w:rsid w:val="00EE473C"/>
    <w:rsid w:val="00F55656"/>
    <w:rsid w:val="00FB3028"/>
    <w:rsid w:val="00FC0BC3"/>
    <w:rsid w:val="00FD1621"/>
    <w:rsid w:val="00FD71B8"/>
    <w:rsid w:val="00FE049C"/>
    <w:rsid w:val="00FE73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AD53C24"/>
  <w15:chartTrackingRefBased/>
  <w15:docId w15:val="{2D422CDB-DC06-40D2-9B0C-4382C7E5E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qFormat="1"/>
    <w:lsdException w:name="heading 7" w:semiHidden="1" w:qFormat="1"/>
    <w:lsdException w:name="heading 8" w:semiHidden="1"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uiPriority="39"/>
    <w:lsdException w:name="toc 9" w:semiHidden="1"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lsdException w:name="List Bullet 3" w:uiPriority="19"/>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uiPriority="14"/>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5"/>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8"/>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41C"/>
    <w:pPr>
      <w:spacing w:after="0" w:line="240" w:lineRule="auto"/>
    </w:pPr>
    <w:rPr>
      <w:sz w:val="20"/>
    </w:rPr>
  </w:style>
  <w:style w:type="paragraph" w:styleId="Heading1">
    <w:name w:val="heading 1"/>
    <w:basedOn w:val="Normal"/>
    <w:next w:val="BodyText"/>
    <w:link w:val="Heading1Char"/>
    <w:uiPriority w:val="1"/>
    <w:qFormat/>
    <w:rsid w:val="00944DDB"/>
    <w:pPr>
      <w:keepNext/>
      <w:keepLines/>
      <w:spacing w:before="360" w:after="240"/>
      <w:outlineLvl w:val="0"/>
    </w:pPr>
    <w:rPr>
      <w:rFonts w:asciiTheme="majorHAnsi" w:eastAsiaTheme="majorEastAsia" w:hAnsiTheme="majorHAnsi" w:cstheme="majorBidi"/>
      <w:color w:val="51247A" w:themeColor="accent1"/>
      <w:sz w:val="36"/>
      <w:szCs w:val="32"/>
    </w:rPr>
  </w:style>
  <w:style w:type="paragraph" w:styleId="Heading2">
    <w:name w:val="heading 2"/>
    <w:basedOn w:val="Normal"/>
    <w:next w:val="BodyText"/>
    <w:link w:val="Heading2Char"/>
    <w:uiPriority w:val="1"/>
    <w:qFormat/>
    <w:rsid w:val="00944DDB"/>
    <w:pPr>
      <w:keepNext/>
      <w:keepLines/>
      <w:spacing w:before="240" w:after="120"/>
      <w:outlineLvl w:val="1"/>
    </w:pPr>
    <w:rPr>
      <w:rFonts w:asciiTheme="majorHAnsi" w:eastAsiaTheme="majorEastAsia" w:hAnsiTheme="majorHAnsi" w:cstheme="majorBidi"/>
      <w:b/>
      <w:color w:val="51247A" w:themeColor="accent1"/>
      <w:sz w:val="28"/>
      <w:szCs w:val="26"/>
    </w:rPr>
  </w:style>
  <w:style w:type="paragraph" w:styleId="Heading3">
    <w:name w:val="heading 3"/>
    <w:basedOn w:val="Normal"/>
    <w:next w:val="BodyText"/>
    <w:link w:val="Heading3Char"/>
    <w:uiPriority w:val="1"/>
    <w:qFormat/>
    <w:rsid w:val="00944DDB"/>
    <w:pPr>
      <w:keepNext/>
      <w:keepLines/>
      <w:spacing w:before="240" w:after="120"/>
      <w:outlineLvl w:val="2"/>
    </w:pPr>
    <w:rPr>
      <w:rFonts w:asciiTheme="majorHAnsi" w:eastAsiaTheme="majorEastAsia" w:hAnsiTheme="majorHAnsi" w:cstheme="majorBidi"/>
      <w:color w:val="51247A" w:themeColor="accent1"/>
      <w:sz w:val="24"/>
      <w:szCs w:val="24"/>
    </w:rPr>
  </w:style>
  <w:style w:type="paragraph" w:styleId="Heading4">
    <w:name w:val="heading 4"/>
    <w:basedOn w:val="Normal"/>
    <w:next w:val="BodyText"/>
    <w:link w:val="Heading4Char"/>
    <w:uiPriority w:val="1"/>
    <w:qFormat/>
    <w:rsid w:val="00944DDB"/>
    <w:pPr>
      <w:keepNext/>
      <w:keepLines/>
      <w:spacing w:before="240" w:after="120"/>
      <w:outlineLvl w:val="3"/>
    </w:pPr>
    <w:rPr>
      <w:rFonts w:asciiTheme="majorHAnsi" w:eastAsiaTheme="majorEastAsia" w:hAnsiTheme="majorHAnsi" w:cstheme="majorBidi"/>
      <w:b/>
      <w:iCs/>
      <w:color w:val="51247A" w:themeColor="accent1"/>
    </w:rPr>
  </w:style>
  <w:style w:type="paragraph" w:styleId="Heading5">
    <w:name w:val="heading 5"/>
    <w:basedOn w:val="Normal"/>
    <w:next w:val="BodyText"/>
    <w:link w:val="Heading5Char"/>
    <w:uiPriority w:val="1"/>
    <w:qFormat/>
    <w:rsid w:val="00944DDB"/>
    <w:pPr>
      <w:keepNext/>
      <w:keepLines/>
      <w:spacing w:before="240" w:after="120"/>
      <w:outlineLvl w:val="4"/>
    </w:pPr>
    <w:rPr>
      <w:rFonts w:asciiTheme="majorHAnsi" w:eastAsiaTheme="majorEastAsia" w:hAnsiTheme="majorHAnsi" w:cstheme="majorBidi"/>
      <w:i/>
      <w:color w:val="51247A" w:themeColor="accent1"/>
    </w:rPr>
  </w:style>
  <w:style w:type="paragraph" w:styleId="Heading9">
    <w:name w:val="heading 9"/>
    <w:aliases w:val="Appendix H11"/>
    <w:basedOn w:val="Normal"/>
    <w:next w:val="BodyText"/>
    <w:link w:val="Heading9Char"/>
    <w:uiPriority w:val="12"/>
    <w:semiHidden/>
    <w:qFormat/>
    <w:rsid w:val="00C474B7"/>
    <w:pPr>
      <w:pageBreakBefore/>
      <w:numPr>
        <w:numId w:val="14"/>
      </w:numPr>
      <w:outlineLvl w:val="8"/>
    </w:pPr>
    <w:rPr>
      <w:b/>
      <w:iCs/>
      <w:color w:val="51247A" w:themeColor="accent1"/>
      <w:sz w:val="6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0">
    <w:name w:val="List Paragraph"/>
    <w:basedOn w:val="BodyText"/>
    <w:uiPriority w:val="2"/>
    <w:qFormat/>
    <w:rsid w:val="005E7363"/>
    <w:pPr>
      <w:ind w:left="425"/>
    </w:pPr>
  </w:style>
  <w:style w:type="paragraph" w:customStyle="1" w:styleId="ListParagraph2">
    <w:name w:val="List Paragraph 2"/>
    <w:basedOn w:val="ListParagraph0"/>
    <w:uiPriority w:val="19"/>
    <w:rsid w:val="005E7363"/>
    <w:pPr>
      <w:numPr>
        <w:ilvl w:val="1"/>
      </w:numPr>
      <w:ind w:left="425"/>
    </w:pPr>
  </w:style>
  <w:style w:type="paragraph" w:customStyle="1" w:styleId="ListParagraph3">
    <w:name w:val="List Paragraph 3"/>
    <w:basedOn w:val="ListParagraph0"/>
    <w:uiPriority w:val="19"/>
    <w:rsid w:val="005E7363"/>
    <w:pPr>
      <w:numPr>
        <w:ilvl w:val="2"/>
      </w:numPr>
      <w:ind w:left="425"/>
    </w:pPr>
  </w:style>
  <w:style w:type="paragraph" w:customStyle="1" w:styleId="ListParagraph4">
    <w:name w:val="List Paragraph 4"/>
    <w:basedOn w:val="ListParagraph0"/>
    <w:uiPriority w:val="19"/>
    <w:rsid w:val="005E7363"/>
    <w:pPr>
      <w:numPr>
        <w:ilvl w:val="3"/>
      </w:numPr>
      <w:ind w:left="425"/>
    </w:pPr>
  </w:style>
  <w:style w:type="paragraph" w:customStyle="1" w:styleId="ListParagraph5">
    <w:name w:val="List Paragraph 5"/>
    <w:basedOn w:val="ListParagraph0"/>
    <w:uiPriority w:val="19"/>
    <w:rsid w:val="005E7363"/>
    <w:pPr>
      <w:numPr>
        <w:ilvl w:val="4"/>
      </w:numPr>
      <w:ind w:left="425"/>
    </w:pPr>
  </w:style>
  <w:style w:type="character" w:customStyle="1" w:styleId="Heading1Char">
    <w:name w:val="Heading 1 Char"/>
    <w:basedOn w:val="DefaultParagraphFont"/>
    <w:link w:val="Heading1"/>
    <w:uiPriority w:val="1"/>
    <w:rsid w:val="00944DDB"/>
    <w:rPr>
      <w:rFonts w:asciiTheme="majorHAnsi" w:eastAsiaTheme="majorEastAsia" w:hAnsiTheme="majorHAnsi" w:cstheme="majorBidi"/>
      <w:color w:val="51247A" w:themeColor="accent1"/>
      <w:sz w:val="36"/>
      <w:szCs w:val="32"/>
    </w:rPr>
  </w:style>
  <w:style w:type="paragraph" w:customStyle="1" w:styleId="NbrHeading1">
    <w:name w:val="Nbr Heading 1"/>
    <w:basedOn w:val="Heading1"/>
    <w:next w:val="BodyText"/>
    <w:uiPriority w:val="1"/>
    <w:qFormat/>
    <w:rsid w:val="00834296"/>
    <w:pPr>
      <w:numPr>
        <w:numId w:val="6"/>
      </w:numPr>
    </w:pPr>
  </w:style>
  <w:style w:type="character" w:customStyle="1" w:styleId="Heading2Char">
    <w:name w:val="Heading 2 Char"/>
    <w:basedOn w:val="DefaultParagraphFont"/>
    <w:link w:val="Heading2"/>
    <w:uiPriority w:val="1"/>
    <w:rsid w:val="00944DDB"/>
    <w:rPr>
      <w:rFonts w:asciiTheme="majorHAnsi" w:eastAsiaTheme="majorEastAsia" w:hAnsiTheme="majorHAnsi" w:cstheme="majorBidi"/>
      <w:b/>
      <w:color w:val="51247A" w:themeColor="accent1"/>
      <w:sz w:val="28"/>
      <w:szCs w:val="26"/>
    </w:rPr>
  </w:style>
  <w:style w:type="paragraph" w:customStyle="1" w:styleId="NbrHeading2">
    <w:name w:val="Nbr Heading 2"/>
    <w:basedOn w:val="Heading2"/>
    <w:next w:val="BodyText"/>
    <w:uiPriority w:val="1"/>
    <w:qFormat/>
    <w:rsid w:val="00834296"/>
    <w:pPr>
      <w:numPr>
        <w:ilvl w:val="1"/>
        <w:numId w:val="6"/>
      </w:numPr>
    </w:pPr>
  </w:style>
  <w:style w:type="character" w:customStyle="1" w:styleId="Heading3Char">
    <w:name w:val="Heading 3 Char"/>
    <w:basedOn w:val="DefaultParagraphFont"/>
    <w:link w:val="Heading3"/>
    <w:uiPriority w:val="1"/>
    <w:rsid w:val="00944DDB"/>
    <w:rPr>
      <w:rFonts w:asciiTheme="majorHAnsi" w:eastAsiaTheme="majorEastAsia" w:hAnsiTheme="majorHAnsi" w:cstheme="majorBidi"/>
      <w:color w:val="51247A" w:themeColor="accent1"/>
      <w:sz w:val="24"/>
      <w:szCs w:val="24"/>
    </w:rPr>
  </w:style>
  <w:style w:type="paragraph" w:customStyle="1" w:styleId="NbrHeading3">
    <w:name w:val="Nbr Heading 3"/>
    <w:basedOn w:val="Heading3"/>
    <w:next w:val="BodyText"/>
    <w:uiPriority w:val="1"/>
    <w:qFormat/>
    <w:rsid w:val="00834296"/>
    <w:pPr>
      <w:numPr>
        <w:ilvl w:val="2"/>
        <w:numId w:val="6"/>
      </w:numPr>
    </w:pPr>
  </w:style>
  <w:style w:type="character" w:customStyle="1" w:styleId="Heading4Char">
    <w:name w:val="Heading 4 Char"/>
    <w:basedOn w:val="DefaultParagraphFont"/>
    <w:link w:val="Heading4"/>
    <w:uiPriority w:val="1"/>
    <w:rsid w:val="00944DDB"/>
    <w:rPr>
      <w:rFonts w:asciiTheme="majorHAnsi" w:eastAsiaTheme="majorEastAsia" w:hAnsiTheme="majorHAnsi" w:cstheme="majorBidi"/>
      <w:b/>
      <w:iCs/>
      <w:color w:val="51247A" w:themeColor="accent1"/>
    </w:rPr>
  </w:style>
  <w:style w:type="paragraph" w:customStyle="1" w:styleId="NbrHeading4">
    <w:name w:val="Nbr Heading 4"/>
    <w:basedOn w:val="Heading4"/>
    <w:next w:val="BodyText"/>
    <w:uiPriority w:val="1"/>
    <w:qFormat/>
    <w:rsid w:val="00834296"/>
    <w:pPr>
      <w:numPr>
        <w:ilvl w:val="3"/>
        <w:numId w:val="6"/>
      </w:numPr>
    </w:pPr>
  </w:style>
  <w:style w:type="character" w:customStyle="1" w:styleId="Heading5Char">
    <w:name w:val="Heading 5 Char"/>
    <w:basedOn w:val="DefaultParagraphFont"/>
    <w:link w:val="Heading5"/>
    <w:uiPriority w:val="1"/>
    <w:rsid w:val="00944DDB"/>
    <w:rPr>
      <w:rFonts w:asciiTheme="majorHAnsi" w:eastAsiaTheme="majorEastAsia" w:hAnsiTheme="majorHAnsi" w:cstheme="majorBidi"/>
      <w:i/>
      <w:color w:val="51247A" w:themeColor="accent1"/>
    </w:rPr>
  </w:style>
  <w:style w:type="paragraph" w:customStyle="1" w:styleId="NbrHeading5">
    <w:name w:val="Nbr Heading 5"/>
    <w:basedOn w:val="Heading5"/>
    <w:next w:val="BodyText"/>
    <w:uiPriority w:val="1"/>
    <w:qFormat/>
    <w:rsid w:val="00834296"/>
    <w:pPr>
      <w:numPr>
        <w:ilvl w:val="4"/>
        <w:numId w:val="6"/>
      </w:numPr>
    </w:pPr>
  </w:style>
  <w:style w:type="paragraph" w:styleId="Caption">
    <w:name w:val="caption"/>
    <w:basedOn w:val="Normal"/>
    <w:next w:val="FigureStyle"/>
    <w:uiPriority w:val="6"/>
    <w:qFormat/>
    <w:rsid w:val="00416FF4"/>
    <w:pPr>
      <w:keepNext/>
      <w:tabs>
        <w:tab w:val="left" w:pos="1134"/>
      </w:tabs>
      <w:spacing w:before="240" w:after="120"/>
      <w:ind w:left="1134" w:hanging="1134"/>
    </w:pPr>
    <w:rPr>
      <w:i/>
      <w:iCs/>
      <w:color w:val="44546A" w:themeColor="text2"/>
      <w:szCs w:val="18"/>
    </w:rPr>
  </w:style>
  <w:style w:type="paragraph" w:customStyle="1" w:styleId="TableCaption">
    <w:name w:val="Table Caption"/>
    <w:basedOn w:val="BodyText"/>
    <w:next w:val="BodyText"/>
    <w:uiPriority w:val="6"/>
    <w:qFormat/>
    <w:rsid w:val="00416FF4"/>
    <w:pPr>
      <w:keepNext/>
      <w:tabs>
        <w:tab w:val="left" w:pos="1134"/>
      </w:tabs>
      <w:spacing w:before="240"/>
      <w:ind w:left="1134" w:hanging="1134"/>
    </w:pPr>
    <w:rPr>
      <w:i/>
      <w:color w:val="44546A" w:themeColor="text2"/>
    </w:rPr>
  </w:style>
  <w:style w:type="character" w:styleId="PlaceholderText">
    <w:name w:val="Placeholder Text"/>
    <w:basedOn w:val="DefaultParagraphFont"/>
    <w:uiPriority w:val="99"/>
    <w:semiHidden/>
    <w:rsid w:val="00834296"/>
    <w:rPr>
      <w:color w:val="808080"/>
    </w:rPr>
  </w:style>
  <w:style w:type="paragraph" w:styleId="BodyText">
    <w:name w:val="Body Text"/>
    <w:basedOn w:val="Normal"/>
    <w:link w:val="BodyTextChar"/>
    <w:qFormat/>
    <w:rsid w:val="00A01181"/>
    <w:pPr>
      <w:spacing w:before="120" w:after="120"/>
    </w:pPr>
  </w:style>
  <w:style w:type="character" w:customStyle="1" w:styleId="BodyTextChar">
    <w:name w:val="Body Text Char"/>
    <w:basedOn w:val="DefaultParagraphFont"/>
    <w:link w:val="BodyText"/>
    <w:rsid w:val="00A01181"/>
    <w:rPr>
      <w:sz w:val="20"/>
    </w:rPr>
  </w:style>
  <w:style w:type="paragraph" w:customStyle="1" w:styleId="FigureStyle">
    <w:name w:val="Figure Style"/>
    <w:basedOn w:val="Normal"/>
    <w:next w:val="BodyText"/>
    <w:uiPriority w:val="6"/>
    <w:qFormat/>
    <w:rsid w:val="00834296"/>
    <w:pPr>
      <w:spacing w:before="120" w:after="240"/>
      <w:jc w:val="center"/>
    </w:pPr>
  </w:style>
  <w:style w:type="paragraph" w:styleId="ListBullet0">
    <w:name w:val="List Bullet"/>
    <w:basedOn w:val="BodyText"/>
    <w:uiPriority w:val="2"/>
    <w:qFormat/>
    <w:rsid w:val="001E544B"/>
    <w:pPr>
      <w:numPr>
        <w:numId w:val="11"/>
      </w:numPr>
    </w:pPr>
  </w:style>
  <w:style w:type="numbering" w:customStyle="1" w:styleId="ListBullet">
    <w:name w:val="List_Bullet"/>
    <w:uiPriority w:val="99"/>
    <w:rsid w:val="001E544B"/>
    <w:pPr>
      <w:numPr>
        <w:numId w:val="1"/>
      </w:numPr>
    </w:pPr>
  </w:style>
  <w:style w:type="paragraph" w:customStyle="1" w:styleId="ListBullet6">
    <w:name w:val="List Bullet 6"/>
    <w:basedOn w:val="ListBullet0"/>
    <w:uiPriority w:val="19"/>
    <w:rsid w:val="006C0E44"/>
    <w:pPr>
      <w:numPr>
        <w:ilvl w:val="5"/>
      </w:numPr>
    </w:pPr>
  </w:style>
  <w:style w:type="paragraph" w:styleId="ListBullet2">
    <w:name w:val="List Bullet 2"/>
    <w:basedOn w:val="ListBullet0"/>
    <w:uiPriority w:val="19"/>
    <w:rsid w:val="006C0E44"/>
    <w:pPr>
      <w:numPr>
        <w:ilvl w:val="1"/>
      </w:numPr>
    </w:pPr>
  </w:style>
  <w:style w:type="paragraph" w:styleId="ListBullet3">
    <w:name w:val="List Bullet 3"/>
    <w:basedOn w:val="ListBullet0"/>
    <w:uiPriority w:val="19"/>
    <w:rsid w:val="006C0E44"/>
    <w:pPr>
      <w:numPr>
        <w:ilvl w:val="2"/>
      </w:numPr>
    </w:pPr>
  </w:style>
  <w:style w:type="paragraph" w:styleId="ListBullet4">
    <w:name w:val="List Bullet 4"/>
    <w:basedOn w:val="ListBullet0"/>
    <w:uiPriority w:val="19"/>
    <w:rsid w:val="006C0E44"/>
    <w:pPr>
      <w:numPr>
        <w:ilvl w:val="3"/>
      </w:numPr>
    </w:pPr>
  </w:style>
  <w:style w:type="paragraph" w:styleId="ListBullet5">
    <w:name w:val="List Bullet 5"/>
    <w:basedOn w:val="ListBullet0"/>
    <w:uiPriority w:val="19"/>
    <w:rsid w:val="006C0E44"/>
    <w:pPr>
      <w:numPr>
        <w:ilvl w:val="4"/>
      </w:numPr>
    </w:pPr>
  </w:style>
  <w:style w:type="paragraph" w:styleId="ListNumber0">
    <w:name w:val="List Number"/>
    <w:basedOn w:val="BodyText"/>
    <w:uiPriority w:val="2"/>
    <w:qFormat/>
    <w:rsid w:val="00834296"/>
    <w:pPr>
      <w:numPr>
        <w:numId w:val="2"/>
      </w:numPr>
    </w:pPr>
  </w:style>
  <w:style w:type="paragraph" w:customStyle="1" w:styleId="ListNumber6">
    <w:name w:val="List Number 6"/>
    <w:basedOn w:val="ListNumber0"/>
    <w:uiPriority w:val="19"/>
    <w:rsid w:val="00834296"/>
    <w:pPr>
      <w:numPr>
        <w:ilvl w:val="5"/>
      </w:numPr>
    </w:pPr>
  </w:style>
  <w:style w:type="paragraph" w:customStyle="1" w:styleId="ListParagraph6">
    <w:name w:val="List Paragraph 6"/>
    <w:basedOn w:val="ListParagraph0"/>
    <w:uiPriority w:val="19"/>
    <w:rsid w:val="005E7363"/>
    <w:pPr>
      <w:numPr>
        <w:ilvl w:val="5"/>
      </w:numPr>
      <w:ind w:left="425"/>
    </w:pPr>
  </w:style>
  <w:style w:type="paragraph" w:styleId="ListNumber2">
    <w:name w:val="List Number 2"/>
    <w:basedOn w:val="ListNumber0"/>
    <w:uiPriority w:val="19"/>
    <w:rsid w:val="00834296"/>
    <w:pPr>
      <w:numPr>
        <w:ilvl w:val="1"/>
      </w:numPr>
    </w:pPr>
  </w:style>
  <w:style w:type="paragraph" w:styleId="ListNumber3">
    <w:name w:val="List Number 3"/>
    <w:basedOn w:val="ListNumber0"/>
    <w:uiPriority w:val="19"/>
    <w:rsid w:val="00834296"/>
    <w:pPr>
      <w:numPr>
        <w:ilvl w:val="2"/>
      </w:numPr>
    </w:pPr>
  </w:style>
  <w:style w:type="paragraph" w:styleId="ListNumber4">
    <w:name w:val="List Number 4"/>
    <w:basedOn w:val="ListNumber0"/>
    <w:uiPriority w:val="19"/>
    <w:rsid w:val="00834296"/>
    <w:pPr>
      <w:numPr>
        <w:ilvl w:val="3"/>
      </w:numPr>
    </w:pPr>
  </w:style>
  <w:style w:type="paragraph" w:styleId="ListNumber5">
    <w:name w:val="List Number 5"/>
    <w:basedOn w:val="ListNumber0"/>
    <w:uiPriority w:val="19"/>
    <w:rsid w:val="00834296"/>
    <w:pPr>
      <w:numPr>
        <w:ilvl w:val="4"/>
      </w:numPr>
    </w:pPr>
  </w:style>
  <w:style w:type="numbering" w:customStyle="1" w:styleId="ListNumber">
    <w:name w:val="List_Number"/>
    <w:uiPriority w:val="99"/>
    <w:rsid w:val="00834296"/>
    <w:pPr>
      <w:numPr>
        <w:numId w:val="2"/>
      </w:numPr>
    </w:pPr>
  </w:style>
  <w:style w:type="numbering" w:customStyle="1" w:styleId="ListParagraph">
    <w:name w:val="List_Paragraph"/>
    <w:uiPriority w:val="99"/>
    <w:rsid w:val="005E7363"/>
    <w:pPr>
      <w:numPr>
        <w:numId w:val="3"/>
      </w:numPr>
    </w:pPr>
  </w:style>
  <w:style w:type="paragraph" w:customStyle="1" w:styleId="ListAlpha0">
    <w:name w:val="List Alpha"/>
    <w:basedOn w:val="BodyText"/>
    <w:uiPriority w:val="2"/>
    <w:qFormat/>
    <w:rsid w:val="007C38B8"/>
    <w:pPr>
      <w:numPr>
        <w:numId w:val="4"/>
      </w:numPr>
    </w:pPr>
  </w:style>
  <w:style w:type="paragraph" w:customStyle="1" w:styleId="ListAlpha2">
    <w:name w:val="List Alpha 2"/>
    <w:basedOn w:val="ListAlpha0"/>
    <w:uiPriority w:val="19"/>
    <w:rsid w:val="007C38B8"/>
    <w:pPr>
      <w:numPr>
        <w:ilvl w:val="1"/>
      </w:numPr>
    </w:pPr>
  </w:style>
  <w:style w:type="paragraph" w:customStyle="1" w:styleId="ListAlpha3">
    <w:name w:val="List Alpha 3"/>
    <w:basedOn w:val="ListAlpha0"/>
    <w:uiPriority w:val="19"/>
    <w:rsid w:val="007C38B8"/>
    <w:pPr>
      <w:numPr>
        <w:ilvl w:val="2"/>
      </w:numPr>
    </w:pPr>
  </w:style>
  <w:style w:type="paragraph" w:customStyle="1" w:styleId="ListAlpha4">
    <w:name w:val="List Alpha 4"/>
    <w:basedOn w:val="ListAlpha0"/>
    <w:uiPriority w:val="19"/>
    <w:rsid w:val="007C38B8"/>
    <w:pPr>
      <w:numPr>
        <w:ilvl w:val="3"/>
      </w:numPr>
    </w:pPr>
  </w:style>
  <w:style w:type="paragraph" w:customStyle="1" w:styleId="ListAlpha5">
    <w:name w:val="List Alpha 5"/>
    <w:basedOn w:val="ListAlpha0"/>
    <w:uiPriority w:val="19"/>
    <w:rsid w:val="007C38B8"/>
    <w:pPr>
      <w:numPr>
        <w:ilvl w:val="4"/>
      </w:numPr>
    </w:pPr>
  </w:style>
  <w:style w:type="paragraph" w:customStyle="1" w:styleId="ListAlpha6">
    <w:name w:val="List Alpha 6"/>
    <w:basedOn w:val="ListAlpha0"/>
    <w:uiPriority w:val="19"/>
    <w:rsid w:val="007C38B8"/>
    <w:pPr>
      <w:numPr>
        <w:ilvl w:val="5"/>
      </w:numPr>
    </w:pPr>
  </w:style>
  <w:style w:type="numbering" w:customStyle="1" w:styleId="ListAlpha">
    <w:name w:val="List_Alpha"/>
    <w:uiPriority w:val="99"/>
    <w:rsid w:val="007C38B8"/>
    <w:pPr>
      <w:numPr>
        <w:numId w:val="4"/>
      </w:numPr>
    </w:pPr>
  </w:style>
  <w:style w:type="numbering" w:customStyle="1" w:styleId="ListNbrHeading">
    <w:name w:val="List_NbrHeading"/>
    <w:uiPriority w:val="99"/>
    <w:rsid w:val="005E7363"/>
    <w:pPr>
      <w:numPr>
        <w:numId w:val="6"/>
      </w:numPr>
    </w:pPr>
  </w:style>
  <w:style w:type="paragraph" w:styleId="Title">
    <w:name w:val="Title"/>
    <w:basedOn w:val="Normal"/>
    <w:next w:val="BodyText"/>
    <w:link w:val="TitleChar"/>
    <w:uiPriority w:val="14"/>
    <w:rsid w:val="005D4250"/>
    <w:rPr>
      <w:rFonts w:asciiTheme="majorHAnsi" w:eastAsiaTheme="majorEastAsia" w:hAnsiTheme="majorHAnsi" w:cstheme="majorBidi"/>
      <w:b/>
      <w:color w:val="51247A" w:themeColor="accent1"/>
      <w:sz w:val="72"/>
      <w:szCs w:val="56"/>
    </w:rPr>
  </w:style>
  <w:style w:type="character" w:customStyle="1" w:styleId="TitleChar">
    <w:name w:val="Title Char"/>
    <w:basedOn w:val="DefaultParagraphFont"/>
    <w:link w:val="Title"/>
    <w:uiPriority w:val="14"/>
    <w:rsid w:val="0016241C"/>
    <w:rPr>
      <w:rFonts w:asciiTheme="majorHAnsi" w:eastAsiaTheme="majorEastAsia" w:hAnsiTheme="majorHAnsi" w:cstheme="majorBidi"/>
      <w:b/>
      <w:color w:val="51247A" w:themeColor="accent1"/>
      <w:sz w:val="72"/>
      <w:szCs w:val="56"/>
    </w:rPr>
  </w:style>
  <w:style w:type="paragraph" w:styleId="Subtitle">
    <w:name w:val="Subtitle"/>
    <w:basedOn w:val="Normal"/>
    <w:next w:val="BodyText"/>
    <w:link w:val="SubtitleChar"/>
    <w:uiPriority w:val="11"/>
    <w:semiHidden/>
    <w:rsid w:val="005D4250"/>
    <w:pPr>
      <w:numPr>
        <w:ilvl w:val="1"/>
      </w:numPr>
    </w:pPr>
    <w:rPr>
      <w:rFonts w:eastAsiaTheme="minorEastAsia"/>
      <w:color w:val="51247A" w:themeColor="accent1"/>
      <w:sz w:val="28"/>
    </w:rPr>
  </w:style>
  <w:style w:type="character" w:customStyle="1" w:styleId="SubtitleChar">
    <w:name w:val="Subtitle Char"/>
    <w:basedOn w:val="DefaultParagraphFont"/>
    <w:link w:val="Subtitle"/>
    <w:uiPriority w:val="11"/>
    <w:semiHidden/>
    <w:rsid w:val="0016241C"/>
    <w:rPr>
      <w:rFonts w:eastAsiaTheme="minorEastAsia"/>
      <w:color w:val="51247A" w:themeColor="accent1"/>
      <w:sz w:val="28"/>
    </w:rPr>
  </w:style>
  <w:style w:type="paragraph" w:styleId="TOCHeading">
    <w:name w:val="TOC Heading"/>
    <w:basedOn w:val="Normal"/>
    <w:next w:val="Normal"/>
    <w:uiPriority w:val="39"/>
    <w:semiHidden/>
    <w:rsid w:val="00C474B7"/>
    <w:pPr>
      <w:spacing w:before="360" w:after="240"/>
    </w:pPr>
    <w:rPr>
      <w:color w:val="51247A" w:themeColor="accent1"/>
      <w:sz w:val="36"/>
    </w:rPr>
  </w:style>
  <w:style w:type="paragraph" w:styleId="TOC4">
    <w:name w:val="toc 4"/>
    <w:basedOn w:val="TOC1"/>
    <w:next w:val="Normal"/>
    <w:uiPriority w:val="39"/>
    <w:semiHidden/>
    <w:rsid w:val="00670B05"/>
    <w:pPr>
      <w:tabs>
        <w:tab w:val="left" w:pos="851"/>
      </w:tabs>
      <w:ind w:left="851" w:hanging="851"/>
    </w:pPr>
  </w:style>
  <w:style w:type="paragraph" w:styleId="TOC5">
    <w:name w:val="toc 5"/>
    <w:basedOn w:val="TOC2"/>
    <w:next w:val="Normal"/>
    <w:uiPriority w:val="39"/>
    <w:semiHidden/>
    <w:rsid w:val="00670B05"/>
    <w:pPr>
      <w:tabs>
        <w:tab w:val="left" w:pos="851"/>
      </w:tabs>
      <w:ind w:left="851" w:hanging="851"/>
    </w:pPr>
  </w:style>
  <w:style w:type="paragraph" w:styleId="TOC1">
    <w:name w:val="toc 1"/>
    <w:basedOn w:val="Normal"/>
    <w:next w:val="Normal"/>
    <w:uiPriority w:val="39"/>
    <w:semiHidden/>
    <w:rsid w:val="00B742E4"/>
    <w:pPr>
      <w:tabs>
        <w:tab w:val="right" w:leader="dot" w:pos="9639"/>
      </w:tabs>
      <w:spacing w:before="120" w:after="60"/>
    </w:pPr>
    <w:rPr>
      <w:b/>
    </w:rPr>
  </w:style>
  <w:style w:type="paragraph" w:styleId="TOC6">
    <w:name w:val="toc 6"/>
    <w:basedOn w:val="TOC3"/>
    <w:next w:val="Normal"/>
    <w:uiPriority w:val="39"/>
    <w:semiHidden/>
    <w:rsid w:val="00670B05"/>
    <w:pPr>
      <w:tabs>
        <w:tab w:val="left" w:pos="851"/>
      </w:tabs>
      <w:ind w:left="851" w:hanging="851"/>
    </w:pPr>
  </w:style>
  <w:style w:type="paragraph" w:styleId="Quote">
    <w:name w:val="Quote"/>
    <w:basedOn w:val="BodyText"/>
    <w:next w:val="Normal"/>
    <w:link w:val="QuoteChar"/>
    <w:uiPriority w:val="8"/>
    <w:rsid w:val="00A34437"/>
    <w:pPr>
      <w:spacing w:before="240" w:after="240"/>
      <w:ind w:left="567" w:right="567"/>
    </w:pPr>
    <w:rPr>
      <w:i/>
      <w:iCs/>
      <w:color w:val="51247A" w:themeColor="accent1"/>
    </w:rPr>
  </w:style>
  <w:style w:type="paragraph" w:styleId="TOC2">
    <w:name w:val="toc 2"/>
    <w:basedOn w:val="Normal"/>
    <w:next w:val="Normal"/>
    <w:uiPriority w:val="39"/>
    <w:semiHidden/>
    <w:rsid w:val="00B742E4"/>
    <w:pPr>
      <w:tabs>
        <w:tab w:val="right" w:leader="dot" w:pos="9639"/>
      </w:tabs>
      <w:spacing w:before="60" w:after="60"/>
    </w:pPr>
  </w:style>
  <w:style w:type="paragraph" w:styleId="TOC3">
    <w:name w:val="toc 3"/>
    <w:basedOn w:val="Normal"/>
    <w:next w:val="Normal"/>
    <w:uiPriority w:val="39"/>
    <w:semiHidden/>
    <w:rsid w:val="00B742E4"/>
    <w:pPr>
      <w:tabs>
        <w:tab w:val="right" w:leader="dot" w:pos="9639"/>
      </w:tabs>
      <w:spacing w:before="20" w:after="20"/>
    </w:pPr>
  </w:style>
  <w:style w:type="character" w:customStyle="1" w:styleId="QuoteChar">
    <w:name w:val="Quote Char"/>
    <w:basedOn w:val="DefaultParagraphFont"/>
    <w:link w:val="Quote"/>
    <w:uiPriority w:val="8"/>
    <w:rsid w:val="00A34437"/>
    <w:rPr>
      <w:i/>
      <w:iCs/>
      <w:color w:val="51247A" w:themeColor="accent1"/>
    </w:rPr>
  </w:style>
  <w:style w:type="paragraph" w:styleId="Footer">
    <w:name w:val="footer"/>
    <w:basedOn w:val="Normal"/>
    <w:link w:val="FooterChar"/>
    <w:uiPriority w:val="99"/>
    <w:rsid w:val="0016241C"/>
    <w:pPr>
      <w:tabs>
        <w:tab w:val="left" w:pos="284"/>
      </w:tabs>
    </w:pPr>
    <w:rPr>
      <w:sz w:val="15"/>
    </w:rPr>
  </w:style>
  <w:style w:type="character" w:customStyle="1" w:styleId="FooterChar">
    <w:name w:val="Footer Char"/>
    <w:basedOn w:val="DefaultParagraphFont"/>
    <w:link w:val="Footer"/>
    <w:uiPriority w:val="99"/>
    <w:rsid w:val="0016241C"/>
    <w:rPr>
      <w:sz w:val="15"/>
    </w:rPr>
  </w:style>
  <w:style w:type="paragraph" w:styleId="Header">
    <w:name w:val="header"/>
    <w:basedOn w:val="Normal"/>
    <w:link w:val="HeaderChar"/>
    <w:uiPriority w:val="99"/>
    <w:rsid w:val="00C20C17"/>
    <w:rPr>
      <w:sz w:val="18"/>
    </w:rPr>
  </w:style>
  <w:style w:type="character" w:customStyle="1" w:styleId="HeaderChar">
    <w:name w:val="Header Char"/>
    <w:basedOn w:val="DefaultParagraphFont"/>
    <w:link w:val="Header"/>
    <w:uiPriority w:val="99"/>
    <w:rsid w:val="00C20C17"/>
    <w:rPr>
      <w:sz w:val="18"/>
    </w:rPr>
  </w:style>
  <w:style w:type="table" w:styleId="TableGrid">
    <w:name w:val="Table Grid"/>
    <w:aliases w:val="Table No Border"/>
    <w:basedOn w:val="TableNormal"/>
    <w:uiPriority w:val="39"/>
    <w:rsid w:val="00A34437"/>
    <w:pPr>
      <w:spacing w:after="0" w:line="240" w:lineRule="auto"/>
    </w:pPr>
    <w:tblPr>
      <w:tblCellMar>
        <w:left w:w="0" w:type="dxa"/>
        <w:right w:w="0" w:type="dxa"/>
      </w:tblCellMar>
    </w:tblPr>
  </w:style>
  <w:style w:type="table" w:customStyle="1" w:styleId="TableUQ">
    <w:name w:val="Table UQ"/>
    <w:basedOn w:val="TableNormal"/>
    <w:uiPriority w:val="99"/>
    <w:rsid w:val="009E3FDE"/>
    <w:pPr>
      <w:spacing w:after="0" w:line="240" w:lineRule="auto"/>
    </w:pPr>
    <w:tblPr>
      <w:tblStyleRowBandSize w:val="1"/>
      <w:tblStyleColBandSize w:val="1"/>
      <w:tblBorders>
        <w:top w:val="single" w:sz="4" w:space="0" w:color="51247A" w:themeColor="accent1"/>
        <w:bottom w:val="single" w:sz="4" w:space="0" w:color="51247A" w:themeColor="accent1"/>
        <w:insideH w:val="single" w:sz="4" w:space="0" w:color="51247A" w:themeColor="accent1"/>
      </w:tblBorders>
      <w:tblCellMar>
        <w:left w:w="0" w:type="dxa"/>
        <w:right w:w="0" w:type="dxa"/>
      </w:tblCellMar>
    </w:tblPr>
    <w:tblStylePr w:type="firstRow">
      <w:rPr>
        <w:color w:val="FFFFFF" w:themeColor="background1"/>
      </w:rPr>
      <w:tblPr/>
      <w:tcPr>
        <w:tcBorders>
          <w:top w:val="single" w:sz="4" w:space="0" w:color="51247A" w:themeColor="accent1"/>
          <w:left w:val="single" w:sz="4" w:space="0" w:color="51247A" w:themeColor="accent1"/>
          <w:bottom w:val="single" w:sz="4" w:space="0" w:color="51247A" w:themeColor="accent1"/>
          <w:right w:val="single" w:sz="4" w:space="0" w:color="51247A" w:themeColor="accent1"/>
          <w:insideH w:val="nil"/>
          <w:insideV w:val="single" w:sz="4" w:space="0" w:color="51247A" w:themeColor="accent1"/>
          <w:tl2br w:val="nil"/>
          <w:tr2bl w:val="nil"/>
        </w:tcBorders>
        <w:shd w:val="clear" w:color="auto" w:fill="51247A" w:themeFill="accent1"/>
      </w:tcPr>
    </w:tblStylePr>
    <w:tblStylePr w:type="lastRow">
      <w:tblPr/>
      <w:tcPr>
        <w:shd w:val="clear" w:color="auto" w:fill="F7F5F4" w:themeFill="accent6" w:themeFillTint="33"/>
      </w:tcPr>
    </w:tblStylePr>
    <w:tblStylePr w:type="firstCol">
      <w:rPr>
        <w:color w:val="FFFFFF" w:themeColor="background1"/>
      </w:rPr>
      <w:tblPr/>
      <w:tcPr>
        <w:tcBorders>
          <w:insideH w:val="single" w:sz="4" w:space="0" w:color="FFFFFF" w:themeColor="background1"/>
        </w:tcBorders>
        <w:shd w:val="clear" w:color="auto" w:fill="51247A" w:themeFill="accent1"/>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table" w:customStyle="1" w:styleId="TableUQLined">
    <w:name w:val="Table UQ Lined"/>
    <w:basedOn w:val="TableNormal"/>
    <w:uiPriority w:val="99"/>
    <w:rsid w:val="009E3FDE"/>
    <w:pPr>
      <w:spacing w:after="0" w:line="240" w:lineRule="auto"/>
    </w:pPr>
    <w:tblPr>
      <w:tblStyleRowBandSize w:val="1"/>
      <w:tblStyleColBandSize w:val="1"/>
      <w:tblBorders>
        <w:top w:val="single" w:sz="4" w:space="0" w:color="51247A" w:themeColor="accent1"/>
        <w:bottom w:val="single" w:sz="18" w:space="0" w:color="51247A" w:themeColor="accent1"/>
        <w:insideH w:val="single" w:sz="4" w:space="0" w:color="51247A" w:themeColor="accent1"/>
      </w:tblBorders>
      <w:tblCellMar>
        <w:left w:w="0" w:type="dxa"/>
        <w:right w:w="0" w:type="dxa"/>
      </w:tblCellMar>
    </w:tblPr>
    <w:tblStylePr w:type="firstRow">
      <w:tblPr/>
      <w:tcPr>
        <w:tcBorders>
          <w:top w:val="single" w:sz="18" w:space="0" w:color="51247A" w:themeColor="accent1"/>
          <w:left w:val="nil"/>
          <w:bottom w:val="single" w:sz="18" w:space="0" w:color="51247A" w:themeColor="accent1"/>
          <w:right w:val="nil"/>
          <w:insideH w:val="nil"/>
          <w:insideV w:val="nil"/>
          <w:tl2br w:val="nil"/>
          <w:tr2bl w:val="nil"/>
        </w:tcBorders>
      </w:tcPr>
    </w:tblStylePr>
    <w:tblStylePr w:type="lastRow">
      <w:rPr>
        <w:b/>
      </w:rPr>
      <w:tblPr/>
      <w:tcPr>
        <w:shd w:val="clear" w:color="auto" w:fill="F7F5F4" w:themeFill="accent6" w:themeFillTint="33"/>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paragraph" w:customStyle="1" w:styleId="TableText">
    <w:name w:val="Table Text"/>
    <w:basedOn w:val="Normal"/>
    <w:uiPriority w:val="3"/>
    <w:qFormat/>
    <w:rsid w:val="00B025B0"/>
    <w:pPr>
      <w:spacing w:before="60" w:after="60"/>
      <w:ind w:left="113" w:right="113"/>
    </w:pPr>
  </w:style>
  <w:style w:type="paragraph" w:customStyle="1" w:styleId="TableHeading">
    <w:name w:val="Table Heading"/>
    <w:basedOn w:val="TableText"/>
    <w:uiPriority w:val="3"/>
    <w:qFormat/>
    <w:rsid w:val="00B025B0"/>
    <w:rPr>
      <w:b/>
    </w:rPr>
  </w:style>
  <w:style w:type="paragraph" w:customStyle="1" w:styleId="TableBullet">
    <w:name w:val="Table Bullet"/>
    <w:basedOn w:val="TableText"/>
    <w:uiPriority w:val="4"/>
    <w:qFormat/>
    <w:rsid w:val="00B025B0"/>
    <w:pPr>
      <w:numPr>
        <w:numId w:val="7"/>
      </w:numPr>
    </w:pPr>
  </w:style>
  <w:style w:type="paragraph" w:customStyle="1" w:styleId="TableBullet2">
    <w:name w:val="Table Bullet 2"/>
    <w:basedOn w:val="TableBullet"/>
    <w:uiPriority w:val="19"/>
    <w:rsid w:val="00B025B0"/>
    <w:pPr>
      <w:numPr>
        <w:ilvl w:val="1"/>
      </w:numPr>
    </w:pPr>
  </w:style>
  <w:style w:type="paragraph" w:customStyle="1" w:styleId="TableNumber">
    <w:name w:val="Table Number"/>
    <w:basedOn w:val="TableText"/>
    <w:uiPriority w:val="4"/>
    <w:qFormat/>
    <w:rsid w:val="00B025B0"/>
    <w:pPr>
      <w:numPr>
        <w:numId w:val="8"/>
      </w:numPr>
    </w:pPr>
  </w:style>
  <w:style w:type="paragraph" w:customStyle="1" w:styleId="TableNumber2">
    <w:name w:val="Table Number 2"/>
    <w:basedOn w:val="TableNumber"/>
    <w:uiPriority w:val="19"/>
    <w:rsid w:val="00B025B0"/>
    <w:pPr>
      <w:numPr>
        <w:ilvl w:val="1"/>
      </w:numPr>
    </w:pPr>
  </w:style>
  <w:style w:type="numbering" w:customStyle="1" w:styleId="ListTableBullet">
    <w:name w:val="List_TableBullet"/>
    <w:uiPriority w:val="99"/>
    <w:rsid w:val="00B025B0"/>
    <w:pPr>
      <w:numPr>
        <w:numId w:val="7"/>
      </w:numPr>
    </w:pPr>
  </w:style>
  <w:style w:type="numbering" w:customStyle="1" w:styleId="ListTableNumber">
    <w:name w:val="List_TableNumber"/>
    <w:uiPriority w:val="99"/>
    <w:rsid w:val="00B025B0"/>
    <w:pPr>
      <w:numPr>
        <w:numId w:val="8"/>
      </w:numPr>
    </w:pPr>
  </w:style>
  <w:style w:type="paragraph" w:customStyle="1" w:styleId="CoverDetails">
    <w:name w:val="Cover Details"/>
    <w:basedOn w:val="Normal"/>
    <w:next w:val="BodyText"/>
    <w:uiPriority w:val="12"/>
    <w:semiHidden/>
    <w:rsid w:val="005D4250"/>
    <w:rPr>
      <w:b/>
      <w:color w:val="51247A" w:themeColor="accent1"/>
      <w:sz w:val="28"/>
    </w:rPr>
  </w:style>
  <w:style w:type="paragraph" w:customStyle="1" w:styleId="AppendixH2">
    <w:name w:val="Appendix H2"/>
    <w:basedOn w:val="Heading2"/>
    <w:next w:val="BodyText"/>
    <w:uiPriority w:val="14"/>
    <w:semiHidden/>
    <w:qFormat/>
    <w:rsid w:val="00C474B7"/>
    <w:pPr>
      <w:numPr>
        <w:ilvl w:val="1"/>
        <w:numId w:val="14"/>
      </w:numPr>
    </w:pPr>
  </w:style>
  <w:style w:type="paragraph" w:customStyle="1" w:styleId="AppendixH3">
    <w:name w:val="Appendix H3"/>
    <w:basedOn w:val="Heading3"/>
    <w:next w:val="BodyText"/>
    <w:uiPriority w:val="14"/>
    <w:semiHidden/>
    <w:qFormat/>
    <w:rsid w:val="00C474B7"/>
    <w:pPr>
      <w:numPr>
        <w:ilvl w:val="2"/>
        <w:numId w:val="14"/>
      </w:numPr>
    </w:pPr>
  </w:style>
  <w:style w:type="numbering" w:customStyle="1" w:styleId="ListAppendix">
    <w:name w:val="List_Appendix"/>
    <w:uiPriority w:val="99"/>
    <w:rsid w:val="00C474B7"/>
    <w:pPr>
      <w:numPr>
        <w:numId w:val="9"/>
      </w:numPr>
    </w:pPr>
  </w:style>
  <w:style w:type="paragraph" w:styleId="TOC8">
    <w:name w:val="toc 8"/>
    <w:basedOn w:val="TOC2"/>
    <w:next w:val="Normal"/>
    <w:uiPriority w:val="39"/>
    <w:semiHidden/>
    <w:rsid w:val="00B742E4"/>
    <w:pPr>
      <w:tabs>
        <w:tab w:val="left" w:pos="1701"/>
      </w:tabs>
    </w:pPr>
  </w:style>
  <w:style w:type="paragraph" w:styleId="TableofFigures">
    <w:name w:val="table of figures"/>
    <w:basedOn w:val="Normal"/>
    <w:next w:val="Normal"/>
    <w:uiPriority w:val="99"/>
    <w:semiHidden/>
    <w:rsid w:val="00B742E4"/>
    <w:pPr>
      <w:tabs>
        <w:tab w:val="left" w:pos="1134"/>
        <w:tab w:val="right" w:leader="dot" w:pos="9628"/>
      </w:tabs>
      <w:spacing w:before="60" w:after="60"/>
      <w:ind w:left="1134" w:hanging="1134"/>
    </w:pPr>
  </w:style>
  <w:style w:type="character" w:styleId="Hyperlink">
    <w:name w:val="Hyperlink"/>
    <w:basedOn w:val="DefaultParagraphFont"/>
    <w:uiPriority w:val="99"/>
    <w:rsid w:val="00B742E4"/>
    <w:rPr>
      <w:color w:val="51247A" w:themeColor="hyperlink"/>
      <w:u w:val="single"/>
    </w:rPr>
  </w:style>
  <w:style w:type="numbering" w:customStyle="1" w:styleId="ListNumberedHeadings">
    <w:name w:val="List_NumberedHeadings"/>
    <w:uiPriority w:val="99"/>
    <w:rsid w:val="006C0E44"/>
    <w:pPr>
      <w:numPr>
        <w:numId w:val="10"/>
      </w:numPr>
    </w:pPr>
  </w:style>
  <w:style w:type="character" w:customStyle="1" w:styleId="Heading9Char">
    <w:name w:val="Heading 9 Char"/>
    <w:aliases w:val="Appendix H11 Char"/>
    <w:basedOn w:val="DefaultParagraphFont"/>
    <w:link w:val="Heading9"/>
    <w:uiPriority w:val="12"/>
    <w:semiHidden/>
    <w:rsid w:val="0016241C"/>
    <w:rPr>
      <w:b/>
      <w:iCs/>
      <w:color w:val="51247A" w:themeColor="accent1"/>
      <w:sz w:val="64"/>
      <w:szCs w:val="21"/>
    </w:rPr>
  </w:style>
  <w:style w:type="paragraph" w:styleId="FootnoteText">
    <w:name w:val="footnote text"/>
    <w:basedOn w:val="Normal"/>
    <w:link w:val="FootnoteTextChar"/>
    <w:uiPriority w:val="99"/>
    <w:rsid w:val="00B13955"/>
    <w:pPr>
      <w:tabs>
        <w:tab w:val="left" w:pos="284"/>
      </w:tabs>
      <w:ind w:left="284" w:hanging="284"/>
    </w:pPr>
    <w:rPr>
      <w:sz w:val="16"/>
      <w:szCs w:val="20"/>
    </w:rPr>
  </w:style>
  <w:style w:type="character" w:customStyle="1" w:styleId="FootnoteTextChar">
    <w:name w:val="Footnote Text Char"/>
    <w:basedOn w:val="DefaultParagraphFont"/>
    <w:link w:val="FootnoteText"/>
    <w:uiPriority w:val="99"/>
    <w:rsid w:val="00B13955"/>
    <w:rPr>
      <w:sz w:val="16"/>
      <w:szCs w:val="20"/>
    </w:rPr>
  </w:style>
  <w:style w:type="character" w:styleId="FootnoteReference">
    <w:name w:val="footnote reference"/>
    <w:basedOn w:val="DefaultParagraphFont"/>
    <w:uiPriority w:val="99"/>
    <w:semiHidden/>
    <w:rsid w:val="00C20C17"/>
    <w:rPr>
      <w:vertAlign w:val="superscript"/>
    </w:rPr>
  </w:style>
  <w:style w:type="character" w:styleId="FollowedHyperlink">
    <w:name w:val="FollowedHyperlink"/>
    <w:basedOn w:val="DefaultParagraphFont"/>
    <w:uiPriority w:val="15"/>
    <w:rsid w:val="00670B05"/>
    <w:rPr>
      <w:color w:val="51247A" w:themeColor="followedHyperlink"/>
      <w:u w:val="single"/>
    </w:rPr>
  </w:style>
  <w:style w:type="paragraph" w:customStyle="1" w:styleId="DividerTitle">
    <w:name w:val="Divider Title"/>
    <w:basedOn w:val="Normal"/>
    <w:uiPriority w:val="19"/>
    <w:semiHidden/>
    <w:qFormat/>
    <w:rsid w:val="00716942"/>
    <w:pPr>
      <w:spacing w:line="216" w:lineRule="auto"/>
    </w:pPr>
    <w:rPr>
      <w:color w:val="51247A" w:themeColor="accent1"/>
      <w:sz w:val="60"/>
    </w:rPr>
  </w:style>
  <w:style w:type="paragraph" w:customStyle="1" w:styleId="SectionTitleNumbered">
    <w:name w:val="Section Title Numbered"/>
    <w:basedOn w:val="Normal"/>
    <w:uiPriority w:val="19"/>
    <w:semiHidden/>
    <w:qFormat/>
    <w:rsid w:val="00614669"/>
    <w:pPr>
      <w:numPr>
        <w:numId w:val="13"/>
      </w:numPr>
      <w:spacing w:before="120"/>
    </w:pPr>
    <w:rPr>
      <w:color w:val="51247A" w:themeColor="accent1"/>
      <w:sz w:val="48"/>
    </w:rPr>
  </w:style>
  <w:style w:type="numbering" w:customStyle="1" w:styleId="ListSectionTitle">
    <w:name w:val="List_SectionTitle"/>
    <w:uiPriority w:val="99"/>
    <w:rsid w:val="00614669"/>
    <w:pPr>
      <w:numPr>
        <w:numId w:val="12"/>
      </w:numPr>
    </w:pPr>
  </w:style>
  <w:style w:type="paragraph" w:customStyle="1" w:styleId="Sectiontext">
    <w:name w:val="Section text"/>
    <w:basedOn w:val="Normal"/>
    <w:uiPriority w:val="19"/>
    <w:semiHidden/>
    <w:qFormat/>
    <w:rsid w:val="004972A0"/>
    <w:pPr>
      <w:spacing w:after="120" w:line="252" w:lineRule="auto"/>
      <w:ind w:right="7795"/>
    </w:pPr>
    <w:rPr>
      <w:sz w:val="18"/>
    </w:rPr>
  </w:style>
  <w:style w:type="paragraph" w:customStyle="1" w:styleId="DividerSectionTitle">
    <w:name w:val="Divider Section Title"/>
    <w:basedOn w:val="Normal"/>
    <w:uiPriority w:val="19"/>
    <w:semiHidden/>
    <w:qFormat/>
    <w:rsid w:val="00614669"/>
    <w:rPr>
      <w:b/>
      <w:color w:val="51247A" w:themeColor="accent1"/>
      <w:sz w:val="48"/>
    </w:rPr>
  </w:style>
  <w:style w:type="paragraph" w:customStyle="1" w:styleId="SectionNumberOnly">
    <w:name w:val="Section Number Only"/>
    <w:basedOn w:val="Normal"/>
    <w:uiPriority w:val="19"/>
    <w:semiHidden/>
    <w:qFormat/>
    <w:rsid w:val="00614669"/>
    <w:pPr>
      <w:numPr>
        <w:ilvl w:val="1"/>
        <w:numId w:val="13"/>
      </w:numPr>
      <w:spacing w:after="120"/>
    </w:pPr>
    <w:rPr>
      <w:color w:val="E62645" w:themeColor="accent2"/>
      <w:sz w:val="72"/>
    </w:rPr>
  </w:style>
  <w:style w:type="character" w:styleId="CommentReference">
    <w:name w:val="annotation reference"/>
    <w:basedOn w:val="DefaultParagraphFont"/>
    <w:uiPriority w:val="99"/>
    <w:semiHidden/>
    <w:unhideWhenUsed/>
    <w:rsid w:val="000B3E75"/>
    <w:rPr>
      <w:sz w:val="16"/>
      <w:szCs w:val="16"/>
    </w:rPr>
  </w:style>
  <w:style w:type="paragraph" w:styleId="CommentText">
    <w:name w:val="annotation text"/>
    <w:basedOn w:val="Normal"/>
    <w:link w:val="CommentTextChar"/>
    <w:uiPriority w:val="99"/>
    <w:semiHidden/>
    <w:unhideWhenUsed/>
    <w:rsid w:val="000B3E75"/>
    <w:rPr>
      <w:szCs w:val="20"/>
    </w:rPr>
  </w:style>
  <w:style w:type="character" w:customStyle="1" w:styleId="CommentTextChar">
    <w:name w:val="Comment Text Char"/>
    <w:basedOn w:val="DefaultParagraphFont"/>
    <w:link w:val="CommentText"/>
    <w:uiPriority w:val="99"/>
    <w:semiHidden/>
    <w:rsid w:val="000B3E75"/>
    <w:rPr>
      <w:sz w:val="20"/>
      <w:szCs w:val="20"/>
    </w:rPr>
  </w:style>
  <w:style w:type="paragraph" w:styleId="CommentSubject">
    <w:name w:val="annotation subject"/>
    <w:basedOn w:val="CommentText"/>
    <w:next w:val="CommentText"/>
    <w:link w:val="CommentSubjectChar"/>
    <w:uiPriority w:val="99"/>
    <w:semiHidden/>
    <w:unhideWhenUsed/>
    <w:rsid w:val="000B3E75"/>
    <w:rPr>
      <w:b/>
      <w:bCs/>
    </w:rPr>
  </w:style>
  <w:style w:type="character" w:customStyle="1" w:styleId="CommentSubjectChar">
    <w:name w:val="Comment Subject Char"/>
    <w:basedOn w:val="CommentTextChar"/>
    <w:link w:val="CommentSubject"/>
    <w:uiPriority w:val="99"/>
    <w:semiHidden/>
    <w:rsid w:val="000B3E75"/>
    <w:rPr>
      <w:b/>
      <w:bCs/>
      <w:sz w:val="20"/>
      <w:szCs w:val="20"/>
    </w:rPr>
  </w:style>
  <w:style w:type="paragraph" w:styleId="BalloonText">
    <w:name w:val="Balloon Text"/>
    <w:basedOn w:val="Normal"/>
    <w:link w:val="BalloonTextChar"/>
    <w:uiPriority w:val="99"/>
    <w:semiHidden/>
    <w:unhideWhenUsed/>
    <w:rsid w:val="000B3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E75"/>
    <w:rPr>
      <w:rFonts w:ascii="Segoe UI" w:hAnsi="Segoe UI" w:cs="Segoe UI"/>
      <w:sz w:val="18"/>
      <w:szCs w:val="18"/>
    </w:rPr>
  </w:style>
  <w:style w:type="paragraph" w:customStyle="1" w:styleId="BackCoverDetails">
    <w:name w:val="Back Cover Details"/>
    <w:basedOn w:val="Normal"/>
    <w:uiPriority w:val="20"/>
    <w:semiHidden/>
    <w:qFormat/>
    <w:rsid w:val="00D32971"/>
    <w:pPr>
      <w:numPr>
        <w:numId w:val="5"/>
      </w:numPr>
      <w:tabs>
        <w:tab w:val="left" w:pos="851"/>
      </w:tabs>
      <w:spacing w:before="240" w:after="240"/>
    </w:pPr>
    <w:rPr>
      <w:bCs/>
      <w:color w:val="FFFFFF" w:themeColor="background1"/>
      <w:sz w:val="24"/>
      <w:lang w:val="en-US"/>
    </w:rPr>
  </w:style>
  <w:style w:type="character" w:customStyle="1" w:styleId="UnresolvedMention1">
    <w:name w:val="Unresolved Mention1"/>
    <w:basedOn w:val="DefaultParagraphFont"/>
    <w:uiPriority w:val="99"/>
    <w:semiHidden/>
    <w:unhideWhenUsed/>
    <w:rsid w:val="00D32971"/>
    <w:rPr>
      <w:color w:val="605E5C"/>
      <w:shd w:val="clear" w:color="auto" w:fill="E1DFDD"/>
    </w:rPr>
  </w:style>
  <w:style w:type="paragraph" w:customStyle="1" w:styleId="ReferenceText">
    <w:name w:val="Reference Text"/>
    <w:basedOn w:val="Normal"/>
    <w:uiPriority w:val="8"/>
    <w:qFormat/>
    <w:rsid w:val="006E71A4"/>
    <w:pPr>
      <w:spacing w:before="120" w:after="120" w:line="264" w:lineRule="auto"/>
      <w:ind w:left="425" w:hanging="425"/>
    </w:pPr>
    <w:rPr>
      <w:lang w:eastAsia="en-AU"/>
    </w:rPr>
  </w:style>
  <w:style w:type="paragraph" w:customStyle="1" w:styleId="Entity">
    <w:name w:val="Entity"/>
    <w:basedOn w:val="Title"/>
    <w:uiPriority w:val="7"/>
    <w:qFormat/>
    <w:rsid w:val="00356EFB"/>
    <w:pPr>
      <w:spacing w:after="120"/>
      <w:ind w:left="6509"/>
    </w:pPr>
    <w:rPr>
      <w:sz w:val="19"/>
      <w:szCs w:val="19"/>
    </w:rPr>
  </w:style>
  <w:style w:type="paragraph" w:styleId="Revision">
    <w:name w:val="Revision"/>
    <w:hidden/>
    <w:uiPriority w:val="99"/>
    <w:semiHidden/>
    <w:rsid w:val="00330B2F"/>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862222">
      <w:bodyDiv w:val="1"/>
      <w:marLeft w:val="0"/>
      <w:marRight w:val="0"/>
      <w:marTop w:val="0"/>
      <w:marBottom w:val="0"/>
      <w:divBdr>
        <w:top w:val="none" w:sz="0" w:space="0" w:color="auto"/>
        <w:left w:val="none" w:sz="0" w:space="0" w:color="auto"/>
        <w:bottom w:val="none" w:sz="0" w:space="0" w:color="auto"/>
        <w:right w:val="none" w:sz="0" w:space="0" w:color="auto"/>
      </w:divBdr>
    </w:div>
    <w:div w:id="374162362">
      <w:bodyDiv w:val="1"/>
      <w:marLeft w:val="0"/>
      <w:marRight w:val="0"/>
      <w:marTop w:val="0"/>
      <w:marBottom w:val="0"/>
      <w:divBdr>
        <w:top w:val="none" w:sz="0" w:space="0" w:color="auto"/>
        <w:left w:val="none" w:sz="0" w:space="0" w:color="auto"/>
        <w:bottom w:val="none" w:sz="0" w:space="0" w:color="auto"/>
        <w:right w:val="none" w:sz="0" w:space="0" w:color="auto"/>
      </w:divBdr>
    </w:div>
    <w:div w:id="851724441">
      <w:bodyDiv w:val="1"/>
      <w:marLeft w:val="0"/>
      <w:marRight w:val="0"/>
      <w:marTop w:val="0"/>
      <w:marBottom w:val="0"/>
      <w:divBdr>
        <w:top w:val="none" w:sz="0" w:space="0" w:color="auto"/>
        <w:left w:val="none" w:sz="0" w:space="0" w:color="auto"/>
        <w:bottom w:val="none" w:sz="0" w:space="0" w:color="auto"/>
        <w:right w:val="none" w:sz="0" w:space="0" w:color="auto"/>
      </w:divBdr>
    </w:div>
    <w:div w:id="1148209821">
      <w:bodyDiv w:val="1"/>
      <w:marLeft w:val="0"/>
      <w:marRight w:val="0"/>
      <w:marTop w:val="0"/>
      <w:marBottom w:val="0"/>
      <w:divBdr>
        <w:top w:val="none" w:sz="0" w:space="0" w:color="auto"/>
        <w:left w:val="none" w:sz="0" w:space="0" w:color="auto"/>
        <w:bottom w:val="none" w:sz="0" w:space="0" w:color="auto"/>
        <w:right w:val="none" w:sz="0" w:space="0" w:color="auto"/>
      </w:divBdr>
    </w:div>
    <w:div w:id="1478453672">
      <w:bodyDiv w:val="1"/>
      <w:marLeft w:val="0"/>
      <w:marRight w:val="0"/>
      <w:marTop w:val="0"/>
      <w:marBottom w:val="0"/>
      <w:divBdr>
        <w:top w:val="none" w:sz="0" w:space="0" w:color="auto"/>
        <w:left w:val="none" w:sz="0" w:space="0" w:color="auto"/>
        <w:bottom w:val="none" w:sz="0" w:space="0" w:color="auto"/>
        <w:right w:val="none" w:sz="0" w:space="0" w:color="auto"/>
      </w:divBdr>
    </w:div>
    <w:div w:id="209840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uq.edu.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i.org/10.1080/07294360.2019.1638348" TargetMode="External"/><Relationship Id="rId1" Type="http://schemas.openxmlformats.org/officeDocument/2006/relationships/hyperlink" Target="https://issr.uq.edu.au/case-study-investigating-effects-cumulative-factors-disadvant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20(kboodl)\kboodl%20Team%20Folder\_Clients\University%20of%20Queensland\UQ%20Letterhead%20template.dotx" TargetMode="External"/></Relationships>
</file>

<file path=word/theme/theme1.xml><?xml version="1.0" encoding="utf-8"?>
<a:theme xmlns:a="http://schemas.openxmlformats.org/drawingml/2006/main" name="Office Theme">
  <a:themeElements>
    <a:clrScheme name="UQ with Neutral">
      <a:dk1>
        <a:sysClr val="windowText" lastClr="000000"/>
      </a:dk1>
      <a:lt1>
        <a:sysClr val="window" lastClr="FFFFFF"/>
      </a:lt1>
      <a:dk2>
        <a:srgbClr val="44546A"/>
      </a:dk2>
      <a:lt2>
        <a:srgbClr val="D9AC6D"/>
      </a:lt2>
      <a:accent1>
        <a:srgbClr val="51247A"/>
      </a:accent1>
      <a:accent2>
        <a:srgbClr val="E62645"/>
      </a:accent2>
      <a:accent3>
        <a:srgbClr val="999490"/>
      </a:accent3>
      <a:accent4>
        <a:srgbClr val="EB602B"/>
      </a:accent4>
      <a:accent5>
        <a:srgbClr val="4085C6"/>
      </a:accent5>
      <a:accent6>
        <a:srgbClr val="D7D1CC"/>
      </a:accent6>
      <a:hlink>
        <a:srgbClr val="51247A"/>
      </a:hlink>
      <a:folHlink>
        <a:srgbClr val="51247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a:gsLst>
            <a:gs pos="0">
              <a:schemeClr val="accent1"/>
            </a:gs>
            <a:gs pos="80000">
              <a:srgbClr val="913493"/>
            </a:gs>
          </a:gsLst>
          <a:lin ang="5400000" scaled="1"/>
        </a:gradFill>
        <a:ln w="17432" cap="flat">
          <a:noFill/>
          <a:prstDash val="solid"/>
          <a:miter/>
        </a:ln>
      </a:spPr>
      <a:bodyPr rtlCol="0" anchor="t"/>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2BE00-A7E2-4B94-A9BA-D26589938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UQ Letterhead template.dotx</Template>
  <TotalTime>8</TotalTime>
  <Pages>3</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GLYNN,Olivia</cp:lastModifiedBy>
  <cp:revision>3</cp:revision>
  <cp:lastPrinted>2022-12-19T02:24:00Z</cp:lastPrinted>
  <dcterms:created xsi:type="dcterms:W3CDTF">2022-12-19T03:13:00Z</dcterms:created>
  <dcterms:modified xsi:type="dcterms:W3CDTF">2022-12-21T05:43:00Z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2022-12-19T00:50:27Z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85f236da-1862-458d-9d0b-6e021519e72a</vt:lpwstr>
  </property>
  <property fmtid="{D5CDD505-2E9C-101B-9397-08002B2CF9AE}" pid="8" name="MSIP_Label_0f488380-630a-4f55-a077-a19445e3f360_ContentBits">
    <vt:lpwstr>0</vt:lpwstr>
  </property>
</Properties>
</file>