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03B7" w14:textId="10E8AFF9" w:rsidR="001C72DB" w:rsidRPr="00E171DF" w:rsidRDefault="00B246E8" w:rsidP="001C72DB">
      <w:pPr>
        <w:pStyle w:val="NSAustraliaBodyText"/>
        <w:spacing w:after="0" w:line="240" w:lineRule="auto"/>
        <w:rPr>
          <w:rFonts w:asciiTheme="minorHAnsi" w:hAnsiTheme="minorHAnsi" w:cstheme="minorHAnsi"/>
        </w:rPr>
      </w:pPr>
      <w:r>
        <w:rPr>
          <w:rFonts w:asciiTheme="minorHAnsi" w:hAnsiTheme="minorHAnsi" w:cstheme="minorHAnsi"/>
        </w:rPr>
        <w:t>19 December 2022</w:t>
      </w:r>
    </w:p>
    <w:p w14:paraId="37F95108" w14:textId="77777777" w:rsidR="001C72DB" w:rsidRPr="00E171DF" w:rsidRDefault="001C72DB" w:rsidP="001C72DB">
      <w:pPr>
        <w:pStyle w:val="NSAustraliaBodyText"/>
        <w:spacing w:after="0" w:line="240" w:lineRule="auto"/>
        <w:rPr>
          <w:rFonts w:asciiTheme="minorHAnsi" w:hAnsiTheme="minorHAnsi" w:cstheme="minorHAnsi"/>
        </w:rPr>
      </w:pPr>
    </w:p>
    <w:p w14:paraId="72A679AB" w14:textId="77777777" w:rsidR="00E22DBA" w:rsidRPr="00E171DF" w:rsidRDefault="00E22DBA" w:rsidP="001C72DB">
      <w:pPr>
        <w:pStyle w:val="NSAustraliaBodyText"/>
        <w:spacing w:after="0" w:line="240" w:lineRule="auto"/>
        <w:rPr>
          <w:rFonts w:asciiTheme="minorHAnsi" w:hAnsiTheme="minorHAnsi" w:cstheme="minorHAnsi"/>
        </w:rPr>
      </w:pPr>
    </w:p>
    <w:p w14:paraId="7796862F" w14:textId="77777777" w:rsidR="00E22DBA" w:rsidRPr="00E171DF" w:rsidRDefault="00E22DBA" w:rsidP="001C72DB">
      <w:pPr>
        <w:pStyle w:val="NSAustraliaBodyText"/>
        <w:spacing w:after="0" w:line="240" w:lineRule="auto"/>
        <w:rPr>
          <w:rFonts w:asciiTheme="minorHAnsi" w:hAnsiTheme="minorHAnsi" w:cstheme="minorHAnsi"/>
        </w:rPr>
      </w:pPr>
    </w:p>
    <w:p w14:paraId="6BAE6412" w14:textId="6571CFA4" w:rsidR="00791393" w:rsidRPr="00E171DF" w:rsidRDefault="0014001C" w:rsidP="001C72DB">
      <w:pPr>
        <w:pStyle w:val="NSAustraliaBodyText"/>
        <w:spacing w:after="0" w:line="240" w:lineRule="auto"/>
        <w:rPr>
          <w:rFonts w:asciiTheme="minorHAnsi" w:hAnsiTheme="minorHAnsi" w:cstheme="minorHAnsi"/>
        </w:rPr>
      </w:pPr>
      <w:r w:rsidRPr="0014001C">
        <w:rPr>
          <w:rFonts w:asciiTheme="minorHAnsi" w:hAnsiTheme="minorHAnsi" w:cstheme="minorHAnsi"/>
        </w:rPr>
        <w:t>Australian Universities Accord Panel</w:t>
      </w:r>
    </w:p>
    <w:p w14:paraId="1C41FF07" w14:textId="1A1652C3" w:rsidR="001C72DB" w:rsidRPr="00E171DF" w:rsidRDefault="0007354B" w:rsidP="001C72DB">
      <w:pPr>
        <w:pStyle w:val="NSAustraliaBodyText"/>
        <w:spacing w:after="0" w:line="240" w:lineRule="auto"/>
        <w:rPr>
          <w:rFonts w:asciiTheme="minorHAnsi" w:hAnsiTheme="minorHAnsi" w:cstheme="minorHAnsi"/>
        </w:rPr>
      </w:pPr>
      <w:r>
        <w:rPr>
          <w:rFonts w:asciiTheme="minorHAnsi" w:hAnsiTheme="minorHAnsi" w:cstheme="minorHAnsi"/>
        </w:rPr>
        <w:t>Australian Government Department of Education</w:t>
      </w:r>
    </w:p>
    <w:p w14:paraId="2AE16604" w14:textId="77777777" w:rsidR="00E22DBA" w:rsidRDefault="00E22DBA" w:rsidP="001C72DB">
      <w:pPr>
        <w:pStyle w:val="NSAustraliaBodyText"/>
        <w:spacing w:after="0" w:line="240" w:lineRule="auto"/>
        <w:rPr>
          <w:rFonts w:asciiTheme="minorHAnsi" w:hAnsiTheme="minorHAnsi" w:cstheme="minorHAnsi"/>
        </w:rPr>
      </w:pPr>
    </w:p>
    <w:p w14:paraId="2E536AFE" w14:textId="77777777" w:rsidR="0007354B" w:rsidRDefault="0007354B" w:rsidP="001C72DB">
      <w:pPr>
        <w:pStyle w:val="NSAustraliaBodyText"/>
        <w:spacing w:after="0" w:line="240" w:lineRule="auto"/>
        <w:rPr>
          <w:rFonts w:asciiTheme="minorHAnsi" w:hAnsiTheme="minorHAnsi" w:cstheme="minorHAnsi"/>
        </w:rPr>
      </w:pPr>
    </w:p>
    <w:p w14:paraId="7FB9710E" w14:textId="77777777" w:rsidR="0007354B" w:rsidRPr="00E171DF" w:rsidRDefault="0007354B" w:rsidP="001C72DB">
      <w:pPr>
        <w:pStyle w:val="NSAustraliaBodyText"/>
        <w:spacing w:after="0" w:line="240" w:lineRule="auto"/>
        <w:rPr>
          <w:rFonts w:asciiTheme="minorHAnsi" w:hAnsiTheme="minorHAnsi" w:cstheme="minorHAnsi"/>
        </w:rPr>
      </w:pPr>
    </w:p>
    <w:p w14:paraId="24138351" w14:textId="3A3E69B6" w:rsidR="00791393" w:rsidRPr="00E171DF" w:rsidRDefault="00791393" w:rsidP="00791393">
      <w:pPr>
        <w:pStyle w:val="NSAustraliaBodyText"/>
        <w:spacing w:after="0" w:line="240" w:lineRule="auto"/>
        <w:rPr>
          <w:rFonts w:asciiTheme="minorHAnsi" w:hAnsiTheme="minorHAnsi" w:cstheme="minorHAnsi"/>
        </w:rPr>
      </w:pPr>
      <w:r w:rsidRPr="00E171DF">
        <w:rPr>
          <w:rFonts w:asciiTheme="minorHAnsi" w:hAnsiTheme="minorHAnsi" w:cstheme="minorHAnsi"/>
        </w:rPr>
        <w:t xml:space="preserve">Dear </w:t>
      </w:r>
      <w:r w:rsidR="00C96CDF">
        <w:rPr>
          <w:rFonts w:asciiTheme="minorHAnsi" w:hAnsiTheme="minorHAnsi" w:cstheme="minorHAnsi"/>
        </w:rPr>
        <w:t>Accord Panel</w:t>
      </w:r>
    </w:p>
    <w:p w14:paraId="1BA1886E" w14:textId="77777777" w:rsidR="00791393" w:rsidRPr="00E171DF" w:rsidRDefault="00791393" w:rsidP="00791393">
      <w:pPr>
        <w:pStyle w:val="NSAustraliaBodyText"/>
        <w:spacing w:after="0" w:line="240" w:lineRule="auto"/>
        <w:rPr>
          <w:rFonts w:asciiTheme="minorHAnsi" w:hAnsiTheme="minorHAnsi" w:cstheme="minorHAnsi"/>
        </w:rPr>
      </w:pPr>
    </w:p>
    <w:p w14:paraId="356ECF8A" w14:textId="2869C87A" w:rsidR="00791393" w:rsidRPr="008377E5" w:rsidRDefault="009D703E" w:rsidP="008377E5">
      <w:pPr>
        <w:pStyle w:val="NSAustraliaBodyText"/>
        <w:spacing w:after="0" w:line="240" w:lineRule="auto"/>
        <w:jc w:val="center"/>
        <w:rPr>
          <w:rFonts w:asciiTheme="minorHAnsi" w:hAnsiTheme="minorHAnsi" w:cstheme="minorHAnsi"/>
          <w:b/>
          <w:bCs/>
        </w:rPr>
      </w:pPr>
      <w:r>
        <w:rPr>
          <w:rFonts w:asciiTheme="minorHAnsi" w:hAnsiTheme="minorHAnsi" w:cstheme="minorHAnsi"/>
          <w:b/>
          <w:bCs/>
        </w:rPr>
        <w:t>Accord Terms of Reference</w:t>
      </w:r>
    </w:p>
    <w:p w14:paraId="2089801D" w14:textId="77777777" w:rsidR="008377E5" w:rsidRPr="00E171DF" w:rsidRDefault="008377E5" w:rsidP="00791393">
      <w:pPr>
        <w:pStyle w:val="NSAustraliaBodyText"/>
        <w:spacing w:after="0" w:line="240" w:lineRule="auto"/>
        <w:rPr>
          <w:rFonts w:asciiTheme="minorHAnsi" w:hAnsiTheme="minorHAnsi" w:cstheme="minorHAnsi"/>
        </w:rPr>
      </w:pPr>
    </w:p>
    <w:p w14:paraId="5B071EE5" w14:textId="2F5AA768" w:rsidR="008377E5" w:rsidRPr="008377E5" w:rsidRDefault="008377E5" w:rsidP="008377E5">
      <w:pPr>
        <w:pStyle w:val="NSAustraliaBodyText"/>
        <w:rPr>
          <w:rFonts w:asciiTheme="minorHAnsi" w:hAnsiTheme="minorHAnsi" w:cstheme="minorHAnsi"/>
        </w:rPr>
      </w:pPr>
      <w:r w:rsidRPr="008377E5">
        <w:rPr>
          <w:rFonts w:asciiTheme="minorHAnsi" w:hAnsiTheme="minorHAnsi" w:cstheme="minorHAnsi"/>
        </w:rPr>
        <w:t xml:space="preserve">National Seniors Australia welcomes the opportunity to comment on the </w:t>
      </w:r>
      <w:r w:rsidR="00B24F08">
        <w:rPr>
          <w:rFonts w:asciiTheme="minorHAnsi" w:hAnsiTheme="minorHAnsi" w:cstheme="minorHAnsi"/>
        </w:rPr>
        <w:t xml:space="preserve">Accord </w:t>
      </w:r>
      <w:r w:rsidRPr="008377E5">
        <w:rPr>
          <w:rFonts w:asciiTheme="minorHAnsi" w:hAnsiTheme="minorHAnsi" w:cstheme="minorHAnsi"/>
        </w:rPr>
        <w:t>Terms of Reference of the Review of Australia’s Higher Education System, and to indicate our priorities for the outcomes of the Review.</w:t>
      </w:r>
    </w:p>
    <w:p w14:paraId="3B39233D" w14:textId="28DB67B8" w:rsidR="008377E5" w:rsidRPr="008377E5" w:rsidRDefault="008377E5" w:rsidP="008377E5">
      <w:pPr>
        <w:pStyle w:val="NSAustraliaBodyText"/>
        <w:rPr>
          <w:rFonts w:asciiTheme="minorHAnsi" w:hAnsiTheme="minorHAnsi" w:cstheme="minorHAnsi"/>
        </w:rPr>
      </w:pPr>
      <w:r w:rsidRPr="008377E5">
        <w:rPr>
          <w:rFonts w:asciiTheme="minorHAnsi" w:hAnsiTheme="minorHAnsi" w:cstheme="minorHAnsi"/>
        </w:rPr>
        <w:t xml:space="preserve">As the leading organisation representing the interests of older Australians, we </w:t>
      </w:r>
      <w:r w:rsidR="00BF4AE3">
        <w:rPr>
          <w:rFonts w:asciiTheme="minorHAnsi" w:hAnsiTheme="minorHAnsi" w:cstheme="minorHAnsi"/>
        </w:rPr>
        <w:t xml:space="preserve">would like to highlight the importance of </w:t>
      </w:r>
      <w:r w:rsidRPr="008377E5">
        <w:rPr>
          <w:rFonts w:asciiTheme="minorHAnsi" w:hAnsiTheme="minorHAnsi" w:cstheme="minorHAnsi"/>
        </w:rPr>
        <w:t>older Australians continuing to learn throughout life</w:t>
      </w:r>
      <w:r w:rsidR="00F526A5">
        <w:rPr>
          <w:rFonts w:asciiTheme="minorHAnsi" w:hAnsiTheme="minorHAnsi" w:cstheme="minorHAnsi"/>
        </w:rPr>
        <w:t>.</w:t>
      </w:r>
      <w:r w:rsidRPr="008377E5">
        <w:rPr>
          <w:rFonts w:asciiTheme="minorHAnsi" w:hAnsiTheme="minorHAnsi" w:cstheme="minorHAnsi"/>
        </w:rPr>
        <w:t xml:space="preserve"> </w:t>
      </w:r>
      <w:r w:rsidR="00F526A5">
        <w:rPr>
          <w:rFonts w:asciiTheme="minorHAnsi" w:hAnsiTheme="minorHAnsi" w:cstheme="minorHAnsi"/>
        </w:rPr>
        <w:t xml:space="preserve">It is vitally important </w:t>
      </w:r>
      <w:r w:rsidR="00F526A5" w:rsidRPr="008377E5">
        <w:rPr>
          <w:rFonts w:asciiTheme="minorHAnsi" w:hAnsiTheme="minorHAnsi" w:cstheme="minorHAnsi"/>
        </w:rPr>
        <w:t xml:space="preserve">Australia’s tertiary education system </w:t>
      </w:r>
      <w:r w:rsidR="00734D66">
        <w:rPr>
          <w:rFonts w:asciiTheme="minorHAnsi" w:hAnsiTheme="minorHAnsi" w:cstheme="minorHAnsi"/>
        </w:rPr>
        <w:t xml:space="preserve">supports lifelong learning </w:t>
      </w:r>
      <w:r w:rsidR="00497D0F">
        <w:rPr>
          <w:rFonts w:asciiTheme="minorHAnsi" w:hAnsiTheme="minorHAnsi" w:cstheme="minorHAnsi"/>
        </w:rPr>
        <w:t xml:space="preserve">to enhance </w:t>
      </w:r>
      <w:r w:rsidRPr="008377E5">
        <w:rPr>
          <w:rFonts w:asciiTheme="minorHAnsi" w:hAnsiTheme="minorHAnsi" w:cstheme="minorHAnsi"/>
        </w:rPr>
        <w:t xml:space="preserve">social, economic, and cultural </w:t>
      </w:r>
      <w:r w:rsidR="00497D0F">
        <w:rPr>
          <w:rFonts w:asciiTheme="minorHAnsi" w:hAnsiTheme="minorHAnsi" w:cstheme="minorHAnsi"/>
        </w:rPr>
        <w:t>outcomes</w:t>
      </w:r>
      <w:r w:rsidRPr="008377E5">
        <w:rPr>
          <w:rFonts w:asciiTheme="minorHAnsi" w:hAnsiTheme="minorHAnsi" w:cstheme="minorHAnsi"/>
        </w:rPr>
        <w:t>. We regard the Accord as a step in Australia’s path towards becoming a just,</w:t>
      </w:r>
      <w:r>
        <w:rPr>
          <w:rFonts w:asciiTheme="minorHAnsi" w:hAnsiTheme="minorHAnsi" w:cstheme="minorHAnsi"/>
        </w:rPr>
        <w:t xml:space="preserve"> </w:t>
      </w:r>
      <w:r w:rsidRPr="008377E5">
        <w:rPr>
          <w:rFonts w:asciiTheme="minorHAnsi" w:hAnsiTheme="minorHAnsi" w:cstheme="minorHAnsi"/>
        </w:rPr>
        <w:t>learning society.</w:t>
      </w:r>
    </w:p>
    <w:p w14:paraId="1A09B228" w14:textId="3347CEDC" w:rsidR="008377E5" w:rsidRPr="008377E5" w:rsidRDefault="008377E5" w:rsidP="008377E5">
      <w:pPr>
        <w:pStyle w:val="NSAustraliaBodyText"/>
        <w:rPr>
          <w:rFonts w:asciiTheme="minorHAnsi" w:hAnsiTheme="minorHAnsi" w:cstheme="minorHAnsi"/>
        </w:rPr>
      </w:pPr>
      <w:r w:rsidRPr="008377E5">
        <w:rPr>
          <w:rFonts w:asciiTheme="minorHAnsi" w:hAnsiTheme="minorHAnsi" w:cstheme="minorHAnsi"/>
        </w:rPr>
        <w:t xml:space="preserve">While we regard the </w:t>
      </w:r>
      <w:r w:rsidR="00497D0F">
        <w:rPr>
          <w:rFonts w:asciiTheme="minorHAnsi" w:hAnsiTheme="minorHAnsi" w:cstheme="minorHAnsi"/>
        </w:rPr>
        <w:t xml:space="preserve">Accord’s </w:t>
      </w:r>
      <w:r w:rsidRPr="008377E5">
        <w:rPr>
          <w:rFonts w:asciiTheme="minorHAnsi" w:hAnsiTheme="minorHAnsi" w:cstheme="minorHAnsi"/>
        </w:rPr>
        <w:t>Terms of Reference as appropriate, we are concerned at the absence of any reference to the demographic changes Australia is currently experiencing with an ageing population in what has been termed the “era of the hundred</w:t>
      </w:r>
      <w:r>
        <w:rPr>
          <w:rFonts w:asciiTheme="minorHAnsi" w:hAnsiTheme="minorHAnsi" w:cstheme="minorHAnsi"/>
        </w:rPr>
        <w:t>-</w:t>
      </w:r>
      <w:r w:rsidRPr="008377E5">
        <w:rPr>
          <w:rFonts w:asciiTheme="minorHAnsi" w:hAnsiTheme="minorHAnsi" w:cstheme="minorHAnsi"/>
        </w:rPr>
        <w:t>year life”.</w:t>
      </w:r>
    </w:p>
    <w:p w14:paraId="50A042CF" w14:textId="77777777" w:rsidR="003A59C9" w:rsidRDefault="008377E5" w:rsidP="008377E5">
      <w:pPr>
        <w:pStyle w:val="NSAustraliaBodyText"/>
        <w:rPr>
          <w:rFonts w:asciiTheme="minorHAnsi" w:hAnsiTheme="minorHAnsi" w:cstheme="minorHAnsi"/>
        </w:rPr>
      </w:pPr>
      <w:r w:rsidRPr="008377E5">
        <w:rPr>
          <w:rFonts w:asciiTheme="minorHAnsi" w:hAnsiTheme="minorHAnsi" w:cstheme="minorHAnsi"/>
        </w:rPr>
        <w:t xml:space="preserve">It is not clear from the Terms of Reference what role higher education </w:t>
      </w:r>
      <w:r w:rsidR="003A59C9">
        <w:rPr>
          <w:rFonts w:asciiTheme="minorHAnsi" w:hAnsiTheme="minorHAnsi" w:cstheme="minorHAnsi"/>
        </w:rPr>
        <w:t xml:space="preserve">plays </w:t>
      </w:r>
      <w:r w:rsidRPr="008377E5">
        <w:rPr>
          <w:rFonts w:asciiTheme="minorHAnsi" w:hAnsiTheme="minorHAnsi" w:cstheme="minorHAnsi"/>
        </w:rPr>
        <w:t xml:space="preserve">in promoting lifelong learning. </w:t>
      </w:r>
    </w:p>
    <w:p w14:paraId="01045797" w14:textId="4FDF2697" w:rsidR="008377E5" w:rsidRPr="008377E5" w:rsidRDefault="008377E5" w:rsidP="008377E5">
      <w:pPr>
        <w:pStyle w:val="NSAustraliaBodyText"/>
        <w:rPr>
          <w:rFonts w:asciiTheme="minorHAnsi" w:hAnsiTheme="minorHAnsi" w:cstheme="minorHAnsi"/>
        </w:rPr>
      </w:pPr>
      <w:r w:rsidRPr="008377E5">
        <w:rPr>
          <w:rFonts w:asciiTheme="minorHAnsi" w:hAnsiTheme="minorHAnsi" w:cstheme="minorHAnsi"/>
        </w:rPr>
        <w:t>This contrasts with the situation in Europe where the Bergen Communique from the Bologna process, for example, is directed at embedding lifelong leaning in higher education. The absence of such objectives in Australia is perhaps the result of the weak</w:t>
      </w:r>
      <w:r w:rsidR="00B82071">
        <w:rPr>
          <w:rFonts w:asciiTheme="minorHAnsi" w:hAnsiTheme="minorHAnsi" w:cstheme="minorHAnsi"/>
        </w:rPr>
        <w:t>ness</w:t>
      </w:r>
      <w:r w:rsidRPr="008377E5">
        <w:rPr>
          <w:rFonts w:asciiTheme="minorHAnsi" w:hAnsiTheme="minorHAnsi" w:cstheme="minorHAnsi"/>
        </w:rPr>
        <w:t xml:space="preserve"> of lifelong learning policy in Australia, which is reflected in the low participation of vulnerable groups in tertiary education.</w:t>
      </w:r>
    </w:p>
    <w:p w14:paraId="1EA0F208" w14:textId="4E110CB9" w:rsidR="008377E5" w:rsidRPr="008377E5" w:rsidRDefault="008377E5" w:rsidP="008377E5">
      <w:pPr>
        <w:pStyle w:val="NSAustraliaBodyText"/>
        <w:rPr>
          <w:rFonts w:asciiTheme="minorHAnsi" w:hAnsiTheme="minorHAnsi" w:cstheme="minorHAnsi"/>
        </w:rPr>
      </w:pPr>
      <w:r w:rsidRPr="008377E5">
        <w:rPr>
          <w:rFonts w:asciiTheme="minorHAnsi" w:hAnsiTheme="minorHAnsi" w:cstheme="minorHAnsi"/>
        </w:rPr>
        <w:t xml:space="preserve">The stronger position of lifelong learning in European universities, is also reflected in such documents as the European University Charter on Lifelong Learning. The consequence is that Europe has Lifelong Learning Universities, as well as Lifelong Learning </w:t>
      </w:r>
      <w:r w:rsidR="00A64D34">
        <w:rPr>
          <w:rFonts w:asciiTheme="minorHAnsi" w:hAnsiTheme="minorHAnsi" w:cstheme="minorHAnsi"/>
        </w:rPr>
        <w:t>embedded with</w:t>
      </w:r>
      <w:r w:rsidRPr="008377E5">
        <w:rPr>
          <w:rFonts w:asciiTheme="minorHAnsi" w:hAnsiTheme="minorHAnsi" w:cstheme="minorHAnsi"/>
        </w:rPr>
        <w:t xml:space="preserve">in </w:t>
      </w:r>
      <w:r w:rsidR="00A64D34" w:rsidRPr="008377E5">
        <w:rPr>
          <w:rFonts w:asciiTheme="minorHAnsi" w:hAnsiTheme="minorHAnsi" w:cstheme="minorHAnsi"/>
        </w:rPr>
        <w:t>universities</w:t>
      </w:r>
      <w:r w:rsidRPr="008377E5">
        <w:rPr>
          <w:rFonts w:asciiTheme="minorHAnsi" w:hAnsiTheme="minorHAnsi" w:cstheme="minorHAnsi"/>
        </w:rPr>
        <w:t xml:space="preserve"> to drive innovation in adapting to changing socio-economic conditions.</w:t>
      </w:r>
    </w:p>
    <w:p w14:paraId="291D2424" w14:textId="5511A0FB" w:rsidR="00B725CD" w:rsidRDefault="008377E5" w:rsidP="008377E5">
      <w:pPr>
        <w:pStyle w:val="NSAustraliaBodyText"/>
        <w:rPr>
          <w:rFonts w:asciiTheme="minorHAnsi" w:hAnsiTheme="minorHAnsi" w:cstheme="minorHAnsi"/>
        </w:rPr>
      </w:pPr>
      <w:r w:rsidRPr="008377E5">
        <w:rPr>
          <w:rFonts w:asciiTheme="minorHAnsi" w:hAnsiTheme="minorHAnsi" w:cstheme="minorHAnsi"/>
        </w:rPr>
        <w:t>While Australian universities generally welcome older students, the reality is many older Australians exclude themselves from higher education in later life because of cultural and other barriers.</w:t>
      </w:r>
      <w:r w:rsidR="00B725CD">
        <w:rPr>
          <w:rFonts w:asciiTheme="minorHAnsi" w:hAnsiTheme="minorHAnsi" w:cstheme="minorHAnsi"/>
        </w:rPr>
        <w:t xml:space="preserve"> These </w:t>
      </w:r>
      <w:r w:rsidRPr="008377E5">
        <w:rPr>
          <w:rFonts w:asciiTheme="minorHAnsi" w:hAnsiTheme="minorHAnsi" w:cstheme="minorHAnsi"/>
        </w:rPr>
        <w:t xml:space="preserve">ageist barriers need to be addressed. </w:t>
      </w:r>
    </w:p>
    <w:p w14:paraId="1F71DCE6" w14:textId="0A4F05E6" w:rsidR="008377E5" w:rsidRPr="008377E5" w:rsidRDefault="00FD6CF1" w:rsidP="008377E5">
      <w:pPr>
        <w:pStyle w:val="NSAustraliaBodyText"/>
        <w:rPr>
          <w:rFonts w:asciiTheme="minorHAnsi" w:hAnsiTheme="minorHAnsi" w:cstheme="minorHAnsi"/>
        </w:rPr>
      </w:pPr>
      <w:r>
        <w:rPr>
          <w:rFonts w:asciiTheme="minorHAnsi" w:hAnsiTheme="minorHAnsi" w:cstheme="minorHAnsi"/>
        </w:rPr>
        <w:t xml:space="preserve">As a </w:t>
      </w:r>
      <w:r w:rsidR="008377E5" w:rsidRPr="008377E5">
        <w:rPr>
          <w:rFonts w:asciiTheme="minorHAnsi" w:hAnsiTheme="minorHAnsi" w:cstheme="minorHAnsi"/>
        </w:rPr>
        <w:t>result</w:t>
      </w:r>
      <w:r>
        <w:rPr>
          <w:rFonts w:asciiTheme="minorHAnsi" w:hAnsiTheme="minorHAnsi" w:cstheme="minorHAnsi"/>
        </w:rPr>
        <w:t>,</w:t>
      </w:r>
      <w:r w:rsidR="008377E5" w:rsidRPr="008377E5">
        <w:rPr>
          <w:rFonts w:asciiTheme="minorHAnsi" w:hAnsiTheme="minorHAnsi" w:cstheme="minorHAnsi"/>
        </w:rPr>
        <w:t xml:space="preserve"> participation by older Australians in tertiary education is low and </w:t>
      </w:r>
      <w:r>
        <w:rPr>
          <w:rFonts w:asciiTheme="minorHAnsi" w:hAnsiTheme="minorHAnsi" w:cstheme="minorHAnsi"/>
        </w:rPr>
        <w:t xml:space="preserve">should </w:t>
      </w:r>
      <w:r w:rsidR="008377E5" w:rsidRPr="008377E5">
        <w:rPr>
          <w:rFonts w:asciiTheme="minorHAnsi" w:hAnsiTheme="minorHAnsi" w:cstheme="minorHAnsi"/>
        </w:rPr>
        <w:t>be improved. OECD data shows that a</w:t>
      </w:r>
      <w:r>
        <w:rPr>
          <w:rFonts w:asciiTheme="minorHAnsi" w:hAnsiTheme="minorHAnsi" w:cstheme="minorHAnsi"/>
        </w:rPr>
        <w:t>t</w:t>
      </w:r>
      <w:r w:rsidR="008377E5" w:rsidRPr="008377E5">
        <w:rPr>
          <w:rFonts w:asciiTheme="minorHAnsi" w:hAnsiTheme="minorHAnsi" w:cstheme="minorHAnsi"/>
        </w:rPr>
        <w:t xml:space="preserve"> most </w:t>
      </w:r>
      <w:r>
        <w:rPr>
          <w:rFonts w:asciiTheme="minorHAnsi" w:hAnsiTheme="minorHAnsi" w:cstheme="minorHAnsi"/>
        </w:rPr>
        <w:t>three per cent</w:t>
      </w:r>
      <w:r w:rsidR="008377E5" w:rsidRPr="008377E5">
        <w:rPr>
          <w:rFonts w:asciiTheme="minorHAnsi" w:hAnsiTheme="minorHAnsi" w:cstheme="minorHAnsi"/>
        </w:rPr>
        <w:t xml:space="preserve"> of </w:t>
      </w:r>
      <w:r w:rsidR="00147E0D" w:rsidRPr="008377E5">
        <w:rPr>
          <w:rFonts w:asciiTheme="minorHAnsi" w:hAnsiTheme="minorHAnsi" w:cstheme="minorHAnsi"/>
        </w:rPr>
        <w:t>40</w:t>
      </w:r>
      <w:r w:rsidR="00147E0D">
        <w:rPr>
          <w:rFonts w:asciiTheme="minorHAnsi" w:hAnsiTheme="minorHAnsi" w:cstheme="minorHAnsi"/>
        </w:rPr>
        <w:t>- to 64-year-olds</w:t>
      </w:r>
      <w:r w:rsidR="008377E5" w:rsidRPr="008377E5">
        <w:rPr>
          <w:rFonts w:asciiTheme="minorHAnsi" w:hAnsiTheme="minorHAnsi" w:cstheme="minorHAnsi"/>
        </w:rPr>
        <w:t xml:space="preserve"> are enrolled in formal tertiary education in Australia, much the same as other OECD countries such as Greece, Iceland, and Turkey.</w:t>
      </w:r>
    </w:p>
    <w:p w14:paraId="6E34272D" w14:textId="471A5FA3" w:rsidR="008377E5" w:rsidRPr="008377E5" w:rsidRDefault="008377E5" w:rsidP="008377E5">
      <w:pPr>
        <w:pStyle w:val="NSAustraliaBodyText"/>
        <w:rPr>
          <w:rFonts w:asciiTheme="minorHAnsi" w:hAnsiTheme="minorHAnsi" w:cstheme="minorHAnsi"/>
        </w:rPr>
      </w:pPr>
      <w:r w:rsidRPr="008377E5">
        <w:rPr>
          <w:rFonts w:asciiTheme="minorHAnsi" w:hAnsiTheme="minorHAnsi" w:cstheme="minorHAnsi"/>
        </w:rPr>
        <w:lastRenderedPageBreak/>
        <w:t>It is widely recognised</w:t>
      </w:r>
      <w:r w:rsidR="00BC555E">
        <w:rPr>
          <w:rFonts w:asciiTheme="minorHAnsi" w:hAnsiTheme="minorHAnsi" w:cstheme="minorHAnsi"/>
        </w:rPr>
        <w:t xml:space="preserve"> </w:t>
      </w:r>
      <w:r w:rsidRPr="008377E5">
        <w:rPr>
          <w:rFonts w:asciiTheme="minorHAnsi" w:hAnsiTheme="minorHAnsi" w:cstheme="minorHAnsi"/>
        </w:rPr>
        <w:t>by international universities</w:t>
      </w:r>
      <w:r w:rsidR="00BC555E">
        <w:rPr>
          <w:rFonts w:asciiTheme="minorHAnsi" w:hAnsiTheme="minorHAnsi" w:cstheme="minorHAnsi"/>
        </w:rPr>
        <w:t>,</w:t>
      </w:r>
      <w:r w:rsidRPr="008377E5">
        <w:rPr>
          <w:rFonts w:asciiTheme="minorHAnsi" w:hAnsiTheme="minorHAnsi" w:cstheme="minorHAnsi"/>
        </w:rPr>
        <w:t xml:space="preserve"> such as Stanford, </w:t>
      </w:r>
      <w:proofErr w:type="gramStart"/>
      <w:r w:rsidRPr="008377E5">
        <w:rPr>
          <w:rFonts w:asciiTheme="minorHAnsi" w:hAnsiTheme="minorHAnsi" w:cstheme="minorHAnsi"/>
        </w:rPr>
        <w:t>MIT</w:t>
      </w:r>
      <w:proofErr w:type="gramEnd"/>
      <w:r w:rsidRPr="008377E5">
        <w:rPr>
          <w:rFonts w:asciiTheme="minorHAnsi" w:hAnsiTheme="minorHAnsi" w:cstheme="minorHAnsi"/>
        </w:rPr>
        <w:t xml:space="preserve"> and Oxford, that demographic change impacts society more broadly</w:t>
      </w:r>
      <w:r w:rsidR="0096091B">
        <w:rPr>
          <w:rFonts w:asciiTheme="minorHAnsi" w:hAnsiTheme="minorHAnsi" w:cstheme="minorHAnsi"/>
        </w:rPr>
        <w:t xml:space="preserve"> –</w:t>
      </w:r>
      <w:r w:rsidRPr="008377E5">
        <w:rPr>
          <w:rFonts w:asciiTheme="minorHAnsi" w:hAnsiTheme="minorHAnsi" w:cstheme="minorHAnsi"/>
        </w:rPr>
        <w:t xml:space="preserve"> in</w:t>
      </w:r>
      <w:r w:rsidR="0096091B">
        <w:rPr>
          <w:rFonts w:asciiTheme="minorHAnsi" w:hAnsiTheme="minorHAnsi" w:cstheme="minorHAnsi"/>
        </w:rPr>
        <w:t xml:space="preserve"> </w:t>
      </w:r>
      <w:r w:rsidRPr="008377E5">
        <w:rPr>
          <w:rFonts w:asciiTheme="minorHAnsi" w:hAnsiTheme="minorHAnsi" w:cstheme="minorHAnsi"/>
        </w:rPr>
        <w:t>what is commonly termed a longevity society. Australia is currently confronted by the issues thrown up by an emerging longevity society, so the Review is particularly timely</w:t>
      </w:r>
      <w:r w:rsidR="0096091B">
        <w:rPr>
          <w:rFonts w:asciiTheme="minorHAnsi" w:hAnsiTheme="minorHAnsi" w:cstheme="minorHAnsi"/>
        </w:rPr>
        <w:t>.</w:t>
      </w:r>
      <w:r w:rsidRPr="008377E5">
        <w:rPr>
          <w:rFonts w:asciiTheme="minorHAnsi" w:hAnsiTheme="minorHAnsi" w:cstheme="minorHAnsi"/>
        </w:rPr>
        <w:t xml:space="preserve"> </w:t>
      </w:r>
      <w:r w:rsidR="007B6414">
        <w:rPr>
          <w:rFonts w:asciiTheme="minorHAnsi" w:hAnsiTheme="minorHAnsi" w:cstheme="minorHAnsi"/>
        </w:rPr>
        <w:t xml:space="preserve">It provides an </w:t>
      </w:r>
      <w:r w:rsidRPr="008377E5">
        <w:rPr>
          <w:rFonts w:asciiTheme="minorHAnsi" w:hAnsiTheme="minorHAnsi" w:cstheme="minorHAnsi"/>
        </w:rPr>
        <w:t>opportunity to rethink the roles and relationships of the institutions comprising Australia’s tertiary education system in this context.</w:t>
      </w:r>
    </w:p>
    <w:p w14:paraId="61CFD3B5" w14:textId="0E730F01" w:rsidR="008377E5" w:rsidRPr="008377E5" w:rsidRDefault="003D0FAA" w:rsidP="008377E5">
      <w:pPr>
        <w:pStyle w:val="NSAustraliaBodyText"/>
        <w:rPr>
          <w:rFonts w:asciiTheme="minorHAnsi" w:hAnsiTheme="minorHAnsi" w:cstheme="minorHAnsi"/>
        </w:rPr>
      </w:pPr>
      <w:r>
        <w:rPr>
          <w:rFonts w:asciiTheme="minorHAnsi" w:hAnsiTheme="minorHAnsi" w:cstheme="minorHAnsi"/>
        </w:rPr>
        <w:t>National Seniors</w:t>
      </w:r>
      <w:r w:rsidR="008377E5" w:rsidRPr="008377E5">
        <w:rPr>
          <w:rFonts w:asciiTheme="minorHAnsi" w:hAnsiTheme="minorHAnsi" w:cstheme="minorHAnsi"/>
        </w:rPr>
        <w:t xml:space="preserve"> hope</w:t>
      </w:r>
      <w:r>
        <w:rPr>
          <w:rFonts w:asciiTheme="minorHAnsi" w:hAnsiTheme="minorHAnsi" w:cstheme="minorHAnsi"/>
        </w:rPr>
        <w:t>s</w:t>
      </w:r>
      <w:r w:rsidR="008377E5" w:rsidRPr="008377E5">
        <w:rPr>
          <w:rFonts w:asciiTheme="minorHAnsi" w:hAnsiTheme="minorHAnsi" w:cstheme="minorHAnsi"/>
        </w:rPr>
        <w:t xml:space="preserve"> the Accord will lead to </w:t>
      </w:r>
      <w:r w:rsidR="007B6414">
        <w:rPr>
          <w:rFonts w:asciiTheme="minorHAnsi" w:hAnsiTheme="minorHAnsi" w:cstheme="minorHAnsi"/>
        </w:rPr>
        <w:t xml:space="preserve">greater </w:t>
      </w:r>
      <w:r w:rsidR="008377E5" w:rsidRPr="008377E5">
        <w:rPr>
          <w:rFonts w:asciiTheme="minorHAnsi" w:hAnsiTheme="minorHAnsi" w:cstheme="minorHAnsi"/>
        </w:rPr>
        <w:t xml:space="preserve">access </w:t>
      </w:r>
      <w:r w:rsidR="007B6414">
        <w:rPr>
          <w:rFonts w:asciiTheme="minorHAnsi" w:hAnsiTheme="minorHAnsi" w:cstheme="minorHAnsi"/>
        </w:rPr>
        <w:t xml:space="preserve">to </w:t>
      </w:r>
      <w:r w:rsidR="008377E5" w:rsidRPr="008377E5">
        <w:rPr>
          <w:rFonts w:asciiTheme="minorHAnsi" w:hAnsiTheme="minorHAnsi" w:cstheme="minorHAnsi"/>
        </w:rPr>
        <w:t>TAFE and higher education institutions</w:t>
      </w:r>
      <w:r w:rsidR="008F45F2">
        <w:rPr>
          <w:rFonts w:asciiTheme="minorHAnsi" w:hAnsiTheme="minorHAnsi" w:cstheme="minorHAnsi"/>
        </w:rPr>
        <w:t xml:space="preserve"> among older Australians. W</w:t>
      </w:r>
      <w:r w:rsidR="008377E5" w:rsidRPr="008377E5">
        <w:rPr>
          <w:rFonts w:asciiTheme="minorHAnsi" w:hAnsiTheme="minorHAnsi" w:cstheme="minorHAnsi"/>
        </w:rPr>
        <w:t>e hope the Accord will lead to a better understanding of demographic change</w:t>
      </w:r>
      <w:r w:rsidR="007B289C">
        <w:rPr>
          <w:rFonts w:asciiTheme="minorHAnsi" w:hAnsiTheme="minorHAnsi" w:cstheme="minorHAnsi"/>
        </w:rPr>
        <w:t>,</w:t>
      </w:r>
      <w:r w:rsidR="008377E5" w:rsidRPr="008377E5">
        <w:rPr>
          <w:rFonts w:asciiTheme="minorHAnsi" w:hAnsiTheme="minorHAnsi" w:cstheme="minorHAnsi"/>
        </w:rPr>
        <w:t xml:space="preserve"> facilitat</w:t>
      </w:r>
      <w:r w:rsidR="007B289C">
        <w:rPr>
          <w:rFonts w:asciiTheme="minorHAnsi" w:hAnsiTheme="minorHAnsi" w:cstheme="minorHAnsi"/>
        </w:rPr>
        <w:t>ing</w:t>
      </w:r>
      <w:r w:rsidR="008377E5" w:rsidRPr="008377E5">
        <w:rPr>
          <w:rFonts w:asciiTheme="minorHAnsi" w:hAnsiTheme="minorHAnsi" w:cstheme="minorHAnsi"/>
        </w:rPr>
        <w:t xml:space="preserve"> </w:t>
      </w:r>
      <w:r w:rsidR="007B289C">
        <w:rPr>
          <w:rFonts w:asciiTheme="minorHAnsi" w:hAnsiTheme="minorHAnsi" w:cstheme="minorHAnsi"/>
        </w:rPr>
        <w:t xml:space="preserve">stronger </w:t>
      </w:r>
      <w:r w:rsidR="008377E5" w:rsidRPr="008377E5">
        <w:rPr>
          <w:rFonts w:asciiTheme="minorHAnsi" w:hAnsiTheme="minorHAnsi" w:cstheme="minorHAnsi"/>
        </w:rPr>
        <w:t xml:space="preserve">intergenerational </w:t>
      </w:r>
      <w:r w:rsidR="007B289C">
        <w:rPr>
          <w:rFonts w:asciiTheme="minorHAnsi" w:hAnsiTheme="minorHAnsi" w:cstheme="minorHAnsi"/>
        </w:rPr>
        <w:t xml:space="preserve">connections </w:t>
      </w:r>
      <w:r w:rsidR="008377E5" w:rsidRPr="008377E5">
        <w:rPr>
          <w:rFonts w:asciiTheme="minorHAnsi" w:hAnsiTheme="minorHAnsi" w:cstheme="minorHAnsi"/>
        </w:rPr>
        <w:t xml:space="preserve">and </w:t>
      </w:r>
      <w:r w:rsidR="00491125">
        <w:rPr>
          <w:rFonts w:asciiTheme="minorHAnsi" w:hAnsiTheme="minorHAnsi" w:cstheme="minorHAnsi"/>
        </w:rPr>
        <w:t xml:space="preserve">better understanding </w:t>
      </w:r>
      <w:r w:rsidR="008377E5" w:rsidRPr="008377E5">
        <w:rPr>
          <w:rFonts w:asciiTheme="minorHAnsi" w:hAnsiTheme="minorHAnsi" w:cstheme="minorHAnsi"/>
        </w:rPr>
        <w:t xml:space="preserve">of the contribution </w:t>
      </w:r>
      <w:r w:rsidR="00491125">
        <w:rPr>
          <w:rFonts w:asciiTheme="minorHAnsi" w:hAnsiTheme="minorHAnsi" w:cstheme="minorHAnsi"/>
        </w:rPr>
        <w:t xml:space="preserve">of </w:t>
      </w:r>
      <w:r w:rsidR="008377E5" w:rsidRPr="008377E5">
        <w:rPr>
          <w:rFonts w:asciiTheme="minorHAnsi" w:hAnsiTheme="minorHAnsi" w:cstheme="minorHAnsi"/>
        </w:rPr>
        <w:t xml:space="preserve">older Australians to </w:t>
      </w:r>
      <w:r w:rsidR="00491125">
        <w:rPr>
          <w:rFonts w:asciiTheme="minorHAnsi" w:hAnsiTheme="minorHAnsi" w:cstheme="minorHAnsi"/>
        </w:rPr>
        <w:t xml:space="preserve">our </w:t>
      </w:r>
      <w:r w:rsidR="008377E5" w:rsidRPr="008377E5">
        <w:rPr>
          <w:rFonts w:asciiTheme="minorHAnsi" w:hAnsiTheme="minorHAnsi" w:cstheme="minorHAnsi"/>
        </w:rPr>
        <w:t>society.</w:t>
      </w:r>
    </w:p>
    <w:p w14:paraId="7CF9ADA1" w14:textId="74C3A40A" w:rsidR="008377E5" w:rsidRPr="008377E5" w:rsidRDefault="00D45AA1" w:rsidP="008377E5">
      <w:pPr>
        <w:pStyle w:val="NSAustraliaBodyText"/>
        <w:rPr>
          <w:rFonts w:asciiTheme="minorHAnsi" w:hAnsiTheme="minorHAnsi" w:cstheme="minorHAnsi"/>
        </w:rPr>
      </w:pPr>
      <w:r>
        <w:rPr>
          <w:rFonts w:asciiTheme="minorHAnsi" w:hAnsiTheme="minorHAnsi" w:cstheme="minorHAnsi"/>
        </w:rPr>
        <w:t>T</w:t>
      </w:r>
      <w:r w:rsidR="008B716F" w:rsidRPr="008377E5">
        <w:rPr>
          <w:rFonts w:asciiTheme="minorHAnsi" w:hAnsiTheme="minorHAnsi" w:cstheme="minorHAnsi"/>
        </w:rPr>
        <w:t xml:space="preserve">he Accord </w:t>
      </w:r>
      <w:r>
        <w:rPr>
          <w:rFonts w:asciiTheme="minorHAnsi" w:hAnsiTheme="minorHAnsi" w:cstheme="minorHAnsi"/>
        </w:rPr>
        <w:t>sh</w:t>
      </w:r>
      <w:r w:rsidR="008B716F" w:rsidRPr="008377E5">
        <w:rPr>
          <w:rFonts w:asciiTheme="minorHAnsi" w:hAnsiTheme="minorHAnsi" w:cstheme="minorHAnsi"/>
        </w:rPr>
        <w:t>ould lead to innovations enabl</w:t>
      </w:r>
      <w:r w:rsidR="0079700D">
        <w:rPr>
          <w:rFonts w:asciiTheme="minorHAnsi" w:hAnsiTheme="minorHAnsi" w:cstheme="minorHAnsi"/>
        </w:rPr>
        <w:t>ing</w:t>
      </w:r>
      <w:r w:rsidR="008B716F" w:rsidRPr="008377E5">
        <w:rPr>
          <w:rFonts w:asciiTheme="minorHAnsi" w:hAnsiTheme="minorHAnsi" w:cstheme="minorHAnsi"/>
        </w:rPr>
        <w:t xml:space="preserve"> access to tertiary education in ways that enhance both the employability and quality of life and well-being of older Australians and other underrepresented groups.</w:t>
      </w:r>
      <w:r w:rsidR="008B716F">
        <w:rPr>
          <w:rFonts w:asciiTheme="minorHAnsi" w:hAnsiTheme="minorHAnsi" w:cstheme="minorHAnsi"/>
        </w:rPr>
        <w:t xml:space="preserve"> In this regard, w</w:t>
      </w:r>
      <w:r w:rsidR="008377E5" w:rsidRPr="008377E5">
        <w:rPr>
          <w:rFonts w:asciiTheme="minorHAnsi" w:hAnsiTheme="minorHAnsi" w:cstheme="minorHAnsi"/>
        </w:rPr>
        <w:t xml:space="preserve">e recognise the growing role of digital platforms </w:t>
      </w:r>
      <w:r w:rsidR="003F37D0">
        <w:rPr>
          <w:rFonts w:asciiTheme="minorHAnsi" w:hAnsiTheme="minorHAnsi" w:cstheme="minorHAnsi"/>
        </w:rPr>
        <w:t xml:space="preserve">in </w:t>
      </w:r>
      <w:r w:rsidR="008377E5" w:rsidRPr="008377E5">
        <w:rPr>
          <w:rFonts w:asciiTheme="minorHAnsi" w:hAnsiTheme="minorHAnsi" w:cstheme="minorHAnsi"/>
        </w:rPr>
        <w:t>offer</w:t>
      </w:r>
      <w:r w:rsidR="003F37D0">
        <w:rPr>
          <w:rFonts w:asciiTheme="minorHAnsi" w:hAnsiTheme="minorHAnsi" w:cstheme="minorHAnsi"/>
        </w:rPr>
        <w:t>ing</w:t>
      </w:r>
      <w:r w:rsidR="008377E5" w:rsidRPr="008377E5">
        <w:rPr>
          <w:rFonts w:asciiTheme="minorHAnsi" w:hAnsiTheme="minorHAnsi" w:cstheme="minorHAnsi"/>
        </w:rPr>
        <w:t xml:space="preserve"> new ways to </w:t>
      </w:r>
      <w:r w:rsidR="008B716F">
        <w:rPr>
          <w:rFonts w:asciiTheme="minorHAnsi" w:hAnsiTheme="minorHAnsi" w:cstheme="minorHAnsi"/>
        </w:rPr>
        <w:t xml:space="preserve">facilitate </w:t>
      </w:r>
      <w:r w:rsidR="008377E5" w:rsidRPr="008377E5">
        <w:rPr>
          <w:rFonts w:asciiTheme="minorHAnsi" w:hAnsiTheme="minorHAnsi" w:cstheme="minorHAnsi"/>
        </w:rPr>
        <w:t>access and opportunity.</w:t>
      </w:r>
    </w:p>
    <w:p w14:paraId="3E0E5B9A" w14:textId="77777777" w:rsidR="00300458" w:rsidRDefault="008377E5" w:rsidP="008377E5">
      <w:pPr>
        <w:pStyle w:val="NSAustraliaBodyText"/>
        <w:rPr>
          <w:rFonts w:asciiTheme="minorHAnsi" w:hAnsiTheme="minorHAnsi" w:cstheme="minorHAnsi"/>
        </w:rPr>
      </w:pPr>
      <w:r w:rsidRPr="008377E5">
        <w:rPr>
          <w:rFonts w:asciiTheme="minorHAnsi" w:hAnsiTheme="minorHAnsi" w:cstheme="minorHAnsi"/>
        </w:rPr>
        <w:t>TOR 5 is a key aspect of the Accord</w:t>
      </w:r>
      <w:r w:rsidR="00FD62E8">
        <w:rPr>
          <w:rFonts w:asciiTheme="minorHAnsi" w:hAnsiTheme="minorHAnsi" w:cstheme="minorHAnsi"/>
        </w:rPr>
        <w:t>.</w:t>
      </w:r>
      <w:r w:rsidRPr="008377E5">
        <w:rPr>
          <w:rFonts w:asciiTheme="minorHAnsi" w:hAnsiTheme="minorHAnsi" w:cstheme="minorHAnsi"/>
        </w:rPr>
        <w:t xml:space="preserve"> </w:t>
      </w:r>
      <w:r w:rsidR="00FD62E8">
        <w:rPr>
          <w:rFonts w:asciiTheme="minorHAnsi" w:hAnsiTheme="minorHAnsi" w:cstheme="minorHAnsi"/>
        </w:rPr>
        <w:t>P</w:t>
      </w:r>
      <w:r w:rsidRPr="008377E5">
        <w:rPr>
          <w:rFonts w:asciiTheme="minorHAnsi" w:hAnsiTheme="minorHAnsi" w:cstheme="minorHAnsi"/>
        </w:rPr>
        <w:t xml:space="preserve">rogress will be needed to enhance access and opportunities for older Australians, and other under-represented groups. The present weak integration between TAFE and higher education reflects the history and dominant concept of each sector. </w:t>
      </w:r>
    </w:p>
    <w:p w14:paraId="1186E264" w14:textId="6E062A22" w:rsidR="008377E5" w:rsidRPr="008377E5" w:rsidRDefault="008377E5" w:rsidP="008377E5">
      <w:pPr>
        <w:pStyle w:val="NSAustraliaBodyText"/>
        <w:rPr>
          <w:rFonts w:asciiTheme="minorHAnsi" w:hAnsiTheme="minorHAnsi" w:cstheme="minorHAnsi"/>
        </w:rPr>
      </w:pPr>
      <w:r w:rsidRPr="008377E5">
        <w:rPr>
          <w:rFonts w:asciiTheme="minorHAnsi" w:hAnsiTheme="minorHAnsi" w:cstheme="minorHAnsi"/>
        </w:rPr>
        <w:t xml:space="preserve">However, the need exists for bold action as </w:t>
      </w:r>
      <w:r w:rsidR="00F5239A">
        <w:rPr>
          <w:rFonts w:asciiTheme="minorHAnsi" w:hAnsiTheme="minorHAnsi" w:cstheme="minorHAnsi"/>
        </w:rPr>
        <w:t xml:space="preserve">occurred </w:t>
      </w:r>
      <w:r w:rsidRPr="008377E5">
        <w:rPr>
          <w:rFonts w:asciiTheme="minorHAnsi" w:hAnsiTheme="minorHAnsi" w:cstheme="minorHAnsi"/>
        </w:rPr>
        <w:t xml:space="preserve">following the </w:t>
      </w:r>
      <w:proofErr w:type="spellStart"/>
      <w:r w:rsidRPr="008377E5">
        <w:rPr>
          <w:rFonts w:asciiTheme="minorHAnsi" w:hAnsiTheme="minorHAnsi" w:cstheme="minorHAnsi"/>
        </w:rPr>
        <w:t>Kangan</w:t>
      </w:r>
      <w:proofErr w:type="spellEnd"/>
      <w:r w:rsidRPr="008377E5">
        <w:rPr>
          <w:rFonts w:asciiTheme="minorHAnsi" w:hAnsiTheme="minorHAnsi" w:cstheme="minorHAnsi"/>
        </w:rPr>
        <w:t xml:space="preserve"> Commission</w:t>
      </w:r>
      <w:r w:rsidR="00F5239A">
        <w:rPr>
          <w:rFonts w:asciiTheme="minorHAnsi" w:hAnsiTheme="minorHAnsi" w:cstheme="minorHAnsi"/>
        </w:rPr>
        <w:t>,</w:t>
      </w:r>
      <w:r w:rsidRPr="008377E5">
        <w:rPr>
          <w:rFonts w:asciiTheme="minorHAnsi" w:hAnsiTheme="minorHAnsi" w:cstheme="minorHAnsi"/>
        </w:rPr>
        <w:t xml:space="preserve"> which developed the concept of connect</w:t>
      </w:r>
      <w:r w:rsidR="002C0A9E">
        <w:rPr>
          <w:rFonts w:asciiTheme="minorHAnsi" w:hAnsiTheme="minorHAnsi" w:cstheme="minorHAnsi"/>
        </w:rPr>
        <w:t>ing</w:t>
      </w:r>
      <w:r w:rsidRPr="008377E5">
        <w:rPr>
          <w:rFonts w:asciiTheme="minorHAnsi" w:hAnsiTheme="minorHAnsi" w:cstheme="minorHAnsi"/>
        </w:rPr>
        <w:t xml:space="preserve"> technical and further education in new institutional ways. A similar innovative vision is needed now to connect TAFE and higher education.</w:t>
      </w:r>
    </w:p>
    <w:p w14:paraId="7EA7D531" w14:textId="75F926B4" w:rsidR="008377E5" w:rsidRPr="008377E5" w:rsidRDefault="008377E5" w:rsidP="008377E5">
      <w:pPr>
        <w:pStyle w:val="NSAustraliaBodyText"/>
        <w:rPr>
          <w:rFonts w:asciiTheme="minorHAnsi" w:hAnsiTheme="minorHAnsi" w:cstheme="minorHAnsi"/>
        </w:rPr>
      </w:pPr>
      <w:r w:rsidRPr="008377E5">
        <w:rPr>
          <w:rFonts w:asciiTheme="minorHAnsi" w:hAnsiTheme="minorHAnsi" w:cstheme="minorHAnsi"/>
        </w:rPr>
        <w:t xml:space="preserve">It is helpful, we believe, to look at developments in other countries that are more advanced than Australia in addressing the social and cultural implications of ageing populations. This is particularly the case in leading East Asian countries such as Japan, China, Singapore, Republic of </w:t>
      </w:r>
      <w:r w:rsidR="002C0A9E" w:rsidRPr="008377E5">
        <w:rPr>
          <w:rFonts w:asciiTheme="minorHAnsi" w:hAnsiTheme="minorHAnsi" w:cstheme="minorHAnsi"/>
        </w:rPr>
        <w:t>Korea,</w:t>
      </w:r>
      <w:r w:rsidRPr="008377E5">
        <w:rPr>
          <w:rFonts w:asciiTheme="minorHAnsi" w:hAnsiTheme="minorHAnsi" w:cstheme="minorHAnsi"/>
        </w:rPr>
        <w:t xml:space="preserve"> and Taiwan.</w:t>
      </w:r>
    </w:p>
    <w:p w14:paraId="2520C9EA" w14:textId="260F24CF" w:rsidR="00E22DBA" w:rsidRPr="00E171DF" w:rsidRDefault="008377E5" w:rsidP="008377E5">
      <w:pPr>
        <w:pStyle w:val="NSAustraliaBodyText"/>
        <w:spacing w:after="0" w:line="240" w:lineRule="auto"/>
        <w:rPr>
          <w:rFonts w:asciiTheme="minorHAnsi" w:hAnsiTheme="minorHAnsi" w:cstheme="minorHAnsi"/>
        </w:rPr>
      </w:pPr>
      <w:r w:rsidRPr="008377E5">
        <w:rPr>
          <w:rFonts w:asciiTheme="minorHAnsi" w:hAnsiTheme="minorHAnsi" w:cstheme="minorHAnsi"/>
        </w:rPr>
        <w:t>The President of China, for example, recently announced that China is developing a network of Elderly Universities connected to the Open University of China. We give this as an example of the kind of innovation that we hope will happen in Australia as an outcome of the Accord</w:t>
      </w:r>
      <w:r w:rsidR="00AD0DF3">
        <w:rPr>
          <w:rFonts w:asciiTheme="minorHAnsi" w:hAnsiTheme="minorHAnsi" w:cstheme="minorHAnsi"/>
        </w:rPr>
        <w:t xml:space="preserve"> and </w:t>
      </w:r>
      <w:r w:rsidRPr="008377E5">
        <w:rPr>
          <w:rFonts w:asciiTheme="minorHAnsi" w:hAnsiTheme="minorHAnsi" w:cstheme="minorHAnsi"/>
        </w:rPr>
        <w:t>will comment on such options in a later submission.</w:t>
      </w:r>
    </w:p>
    <w:p w14:paraId="2C65BB1C" w14:textId="77777777" w:rsidR="00AD0DF3" w:rsidRDefault="00AD0DF3" w:rsidP="00791393">
      <w:pPr>
        <w:pStyle w:val="NSAustraliaBodyText"/>
        <w:spacing w:after="0" w:line="240" w:lineRule="auto"/>
        <w:rPr>
          <w:rFonts w:asciiTheme="minorHAnsi" w:hAnsiTheme="minorHAnsi" w:cstheme="minorHAnsi"/>
        </w:rPr>
      </w:pPr>
    </w:p>
    <w:p w14:paraId="75EEDCD0" w14:textId="44E1FAF7" w:rsidR="00791393" w:rsidRPr="00E171DF" w:rsidRDefault="00791393" w:rsidP="00791393">
      <w:pPr>
        <w:pStyle w:val="NSAustraliaBodyText"/>
        <w:spacing w:after="0" w:line="240" w:lineRule="auto"/>
        <w:rPr>
          <w:rFonts w:asciiTheme="minorHAnsi" w:hAnsiTheme="minorHAnsi" w:cstheme="minorHAnsi"/>
        </w:rPr>
      </w:pPr>
      <w:r w:rsidRPr="00E171DF">
        <w:rPr>
          <w:rFonts w:asciiTheme="minorHAnsi" w:hAnsiTheme="minorHAnsi" w:cstheme="minorHAnsi"/>
        </w:rPr>
        <w:t>Yours sincerely</w:t>
      </w:r>
    </w:p>
    <w:p w14:paraId="679A0A5A" w14:textId="77777777" w:rsidR="00791393" w:rsidRPr="00E171DF" w:rsidRDefault="00791393" w:rsidP="00791393">
      <w:pPr>
        <w:pStyle w:val="NSAustraliaBodyText"/>
        <w:spacing w:after="0" w:line="240" w:lineRule="auto"/>
        <w:rPr>
          <w:rFonts w:asciiTheme="minorHAnsi" w:hAnsiTheme="minorHAnsi" w:cstheme="minorHAnsi"/>
        </w:rPr>
      </w:pPr>
    </w:p>
    <w:p w14:paraId="1B8C0307" w14:textId="64D12696" w:rsidR="00791393" w:rsidRPr="00E171DF" w:rsidRDefault="007760BE" w:rsidP="00791393">
      <w:pPr>
        <w:pStyle w:val="NSAustraliaBodyText"/>
        <w:spacing w:after="0" w:line="240" w:lineRule="auto"/>
        <w:rPr>
          <w:rFonts w:asciiTheme="minorHAnsi" w:hAnsiTheme="minorHAnsi" w:cstheme="minorHAnsi"/>
        </w:rPr>
      </w:pPr>
      <w:r>
        <w:rPr>
          <w:rFonts w:asciiTheme="minorHAnsi" w:hAnsiTheme="minorHAnsi" w:cstheme="minorHAnsi"/>
          <w:noProof/>
        </w:rPr>
        <w:drawing>
          <wp:inline distT="0" distB="0" distL="0" distR="0" wp14:anchorId="46C23703" wp14:editId="02B0CA44">
            <wp:extent cx="1828800" cy="975360"/>
            <wp:effectExtent l="0" t="0" r="0" b="0"/>
            <wp:docPr id="3" name="Picture 3" descr="A black and white drawing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drawing of a handwritten not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829064" cy="975501"/>
                    </a:xfrm>
                    <a:prstGeom prst="rect">
                      <a:avLst/>
                    </a:prstGeom>
                  </pic:spPr>
                </pic:pic>
              </a:graphicData>
            </a:graphic>
          </wp:inline>
        </w:drawing>
      </w:r>
    </w:p>
    <w:p w14:paraId="655CDF55" w14:textId="77777777" w:rsidR="00791393" w:rsidRPr="00E171DF" w:rsidRDefault="00791393" w:rsidP="00791393">
      <w:pPr>
        <w:pStyle w:val="NSAustraliaBodyText"/>
        <w:spacing w:after="0" w:line="240" w:lineRule="auto"/>
        <w:rPr>
          <w:rFonts w:asciiTheme="minorHAnsi" w:hAnsiTheme="minorHAnsi" w:cstheme="minorHAnsi"/>
          <w:b/>
        </w:rPr>
      </w:pPr>
    </w:p>
    <w:p w14:paraId="36F0BE22" w14:textId="192F9916" w:rsidR="00791393" w:rsidRPr="00E171DF" w:rsidRDefault="007760BE" w:rsidP="00791393">
      <w:pPr>
        <w:pStyle w:val="NSAustraliaBodyText"/>
        <w:spacing w:after="0" w:line="240" w:lineRule="auto"/>
        <w:rPr>
          <w:rFonts w:asciiTheme="minorHAnsi" w:hAnsiTheme="minorHAnsi" w:cstheme="minorHAnsi"/>
          <w:b/>
        </w:rPr>
      </w:pPr>
      <w:r>
        <w:rPr>
          <w:rFonts w:asciiTheme="minorHAnsi" w:hAnsiTheme="minorHAnsi" w:cstheme="minorHAnsi"/>
          <w:b/>
        </w:rPr>
        <w:t>John McCallum</w:t>
      </w:r>
    </w:p>
    <w:p w14:paraId="4CBAFAAA" w14:textId="244F7F67" w:rsidR="005652DB" w:rsidRPr="00E171DF" w:rsidRDefault="00791393" w:rsidP="001C72DB">
      <w:pPr>
        <w:pStyle w:val="NSAustraliaBodyText"/>
        <w:spacing w:after="0" w:line="240" w:lineRule="auto"/>
        <w:rPr>
          <w:rFonts w:asciiTheme="minorHAnsi" w:hAnsiTheme="minorHAnsi" w:cstheme="minorHAnsi"/>
          <w:b/>
        </w:rPr>
      </w:pPr>
      <w:r w:rsidRPr="00E171DF">
        <w:rPr>
          <w:rFonts w:asciiTheme="minorHAnsi" w:hAnsiTheme="minorHAnsi" w:cstheme="minorHAnsi"/>
          <w:b/>
        </w:rPr>
        <w:t xml:space="preserve">Chief </w:t>
      </w:r>
      <w:r w:rsidR="007760BE">
        <w:rPr>
          <w:rFonts w:asciiTheme="minorHAnsi" w:hAnsiTheme="minorHAnsi" w:cstheme="minorHAnsi"/>
          <w:b/>
        </w:rPr>
        <w:t>Executive Officer</w:t>
      </w:r>
    </w:p>
    <w:sectPr w:rsidR="005652DB" w:rsidRPr="00E171DF" w:rsidSect="006F7B83">
      <w:headerReference w:type="default" r:id="rId8"/>
      <w:footerReference w:type="default" r:id="rId9"/>
      <w:pgSz w:w="11901" w:h="16817"/>
      <w:pgMar w:top="2552" w:right="1021" w:bottom="1985" w:left="1021" w:header="198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D60B" w14:textId="77777777" w:rsidR="002F73BA" w:rsidRDefault="002F73BA" w:rsidP="006F7B83">
      <w:r>
        <w:separator/>
      </w:r>
    </w:p>
  </w:endnote>
  <w:endnote w:type="continuationSeparator" w:id="0">
    <w:p w14:paraId="10CACBFD" w14:textId="77777777" w:rsidR="002F73BA" w:rsidRDefault="002F73BA" w:rsidP="006F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68F5" w14:textId="77777777" w:rsidR="006F7B83" w:rsidRDefault="006F7B83">
    <w:r>
      <w:rPr>
        <w:noProof/>
      </w:rPr>
      <w:drawing>
        <wp:anchor distT="0" distB="0" distL="114300" distR="114300" simplePos="0" relativeHeight="251659264" behindDoc="1" locked="0" layoutInCell="1" allowOverlap="1" wp14:anchorId="029ACC65" wp14:editId="079FECED">
          <wp:simplePos x="0" y="0"/>
          <wp:positionH relativeFrom="page">
            <wp:posOffset>0</wp:posOffset>
          </wp:positionH>
          <wp:positionV relativeFrom="page">
            <wp:posOffset>9613265</wp:posOffset>
          </wp:positionV>
          <wp:extent cx="7549200" cy="10656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 Australia_Foot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380E" w14:textId="77777777" w:rsidR="002F73BA" w:rsidRDefault="002F73BA" w:rsidP="006F7B83">
      <w:r>
        <w:separator/>
      </w:r>
    </w:p>
  </w:footnote>
  <w:footnote w:type="continuationSeparator" w:id="0">
    <w:p w14:paraId="21EB8399" w14:textId="77777777" w:rsidR="002F73BA" w:rsidRDefault="002F73BA" w:rsidP="006F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3EBC" w14:textId="77777777" w:rsidR="006F7B83" w:rsidRDefault="006F7B83">
    <w:r>
      <w:rPr>
        <w:noProof/>
      </w:rPr>
      <w:drawing>
        <wp:anchor distT="0" distB="0" distL="114300" distR="114300" simplePos="0" relativeHeight="251658240" behindDoc="1" locked="0" layoutInCell="1" allowOverlap="1" wp14:anchorId="14B7ADA7" wp14:editId="658D8E59">
          <wp:simplePos x="0" y="0"/>
          <wp:positionH relativeFrom="page">
            <wp:posOffset>0</wp:posOffset>
          </wp:positionH>
          <wp:positionV relativeFrom="page">
            <wp:posOffset>0</wp:posOffset>
          </wp:positionV>
          <wp:extent cx="7545600" cy="11412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 Australia_Header.jpg"/>
                  <pic:cNvPicPr/>
                </pic:nvPicPr>
                <pic:blipFill>
                  <a:blip r:embed="rId1">
                    <a:extLst>
                      <a:ext uri="{28A0092B-C50C-407E-A947-70E740481C1C}">
                        <a14:useLocalDpi xmlns:a14="http://schemas.microsoft.com/office/drawing/2010/main" val="0"/>
                      </a:ext>
                    </a:extLst>
                  </a:blip>
                  <a:stretch>
                    <a:fillRect/>
                  </a:stretch>
                </pic:blipFill>
                <pic:spPr>
                  <a:xfrm>
                    <a:off x="0" y="0"/>
                    <a:ext cx="7545600" cy="114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1E0"/>
    <w:multiLevelType w:val="hybridMultilevel"/>
    <w:tmpl w:val="CA86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B09AD"/>
    <w:multiLevelType w:val="multilevel"/>
    <w:tmpl w:val="A4AE5798"/>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cs="Times New Roman" w:hint="default"/>
        <w:sz w:val="20"/>
      </w:rPr>
    </w:lvl>
    <w:lvl w:ilvl="2">
      <w:start w:val="1"/>
      <w:numFmt w:val="bullet"/>
      <w:lvlText w:val=""/>
      <w:lvlJc w:val="left"/>
      <w:pPr>
        <w:tabs>
          <w:tab w:val="num" w:pos="2400"/>
        </w:tabs>
        <w:ind w:left="2400" w:hanging="360"/>
      </w:pPr>
      <w:rPr>
        <w:rFonts w:ascii="Wingdings" w:hAnsi="Wingdings" w:hint="default"/>
        <w:sz w:val="20"/>
      </w:rPr>
    </w:lvl>
    <w:lvl w:ilvl="3">
      <w:start w:val="1"/>
      <w:numFmt w:val="bullet"/>
      <w:lvlText w:val=""/>
      <w:lvlJc w:val="left"/>
      <w:pPr>
        <w:tabs>
          <w:tab w:val="num" w:pos="3120"/>
        </w:tabs>
        <w:ind w:left="3120" w:hanging="360"/>
      </w:pPr>
      <w:rPr>
        <w:rFonts w:ascii="Wingdings" w:hAnsi="Wingdings" w:hint="default"/>
        <w:sz w:val="20"/>
      </w:rPr>
    </w:lvl>
    <w:lvl w:ilvl="4">
      <w:start w:val="1"/>
      <w:numFmt w:val="bullet"/>
      <w:lvlText w:val=""/>
      <w:lvlJc w:val="left"/>
      <w:pPr>
        <w:tabs>
          <w:tab w:val="num" w:pos="3840"/>
        </w:tabs>
        <w:ind w:left="3840" w:hanging="360"/>
      </w:pPr>
      <w:rPr>
        <w:rFonts w:ascii="Wingdings" w:hAnsi="Wingdings" w:hint="default"/>
        <w:sz w:val="20"/>
      </w:rPr>
    </w:lvl>
    <w:lvl w:ilvl="5">
      <w:start w:val="1"/>
      <w:numFmt w:val="bullet"/>
      <w:lvlText w:val=""/>
      <w:lvlJc w:val="left"/>
      <w:pPr>
        <w:tabs>
          <w:tab w:val="num" w:pos="4560"/>
        </w:tabs>
        <w:ind w:left="4560" w:hanging="360"/>
      </w:pPr>
      <w:rPr>
        <w:rFonts w:ascii="Wingdings" w:hAnsi="Wingdings" w:hint="default"/>
        <w:sz w:val="20"/>
      </w:rPr>
    </w:lvl>
    <w:lvl w:ilvl="6">
      <w:start w:val="1"/>
      <w:numFmt w:val="bullet"/>
      <w:lvlText w:val=""/>
      <w:lvlJc w:val="left"/>
      <w:pPr>
        <w:tabs>
          <w:tab w:val="num" w:pos="5280"/>
        </w:tabs>
        <w:ind w:left="5280" w:hanging="360"/>
      </w:pPr>
      <w:rPr>
        <w:rFonts w:ascii="Wingdings" w:hAnsi="Wingdings" w:hint="default"/>
        <w:sz w:val="20"/>
      </w:rPr>
    </w:lvl>
    <w:lvl w:ilvl="7">
      <w:start w:val="1"/>
      <w:numFmt w:val="bullet"/>
      <w:lvlText w:val=""/>
      <w:lvlJc w:val="left"/>
      <w:pPr>
        <w:tabs>
          <w:tab w:val="num" w:pos="6000"/>
        </w:tabs>
        <w:ind w:left="6000" w:hanging="360"/>
      </w:pPr>
      <w:rPr>
        <w:rFonts w:ascii="Wingdings" w:hAnsi="Wingdings" w:hint="default"/>
        <w:sz w:val="20"/>
      </w:rPr>
    </w:lvl>
    <w:lvl w:ilvl="8">
      <w:start w:val="1"/>
      <w:numFmt w:val="bullet"/>
      <w:lvlText w:val=""/>
      <w:lvlJc w:val="left"/>
      <w:pPr>
        <w:tabs>
          <w:tab w:val="num" w:pos="6720"/>
        </w:tabs>
        <w:ind w:left="6720" w:hanging="360"/>
      </w:pPr>
      <w:rPr>
        <w:rFonts w:ascii="Wingdings" w:hAnsi="Wingdings" w:hint="default"/>
        <w:sz w:val="20"/>
      </w:rPr>
    </w:lvl>
  </w:abstractNum>
  <w:abstractNum w:abstractNumId="2" w15:restartNumberingAfterBreak="0">
    <w:nsid w:val="21226022"/>
    <w:multiLevelType w:val="hybridMultilevel"/>
    <w:tmpl w:val="AB78C8E0"/>
    <w:lvl w:ilvl="0" w:tplc="F3B890B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93520"/>
    <w:multiLevelType w:val="hybridMultilevel"/>
    <w:tmpl w:val="5506621C"/>
    <w:lvl w:ilvl="0" w:tplc="F3B890B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A777F5"/>
    <w:multiLevelType w:val="multilevel"/>
    <w:tmpl w:val="ADBEF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21B8F"/>
    <w:multiLevelType w:val="multilevel"/>
    <w:tmpl w:val="D66CA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8E04CC"/>
    <w:multiLevelType w:val="hybridMultilevel"/>
    <w:tmpl w:val="63DC6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83"/>
    <w:rsid w:val="00010A40"/>
    <w:rsid w:val="00021F5E"/>
    <w:rsid w:val="0007354B"/>
    <w:rsid w:val="000E53DC"/>
    <w:rsid w:val="000F4038"/>
    <w:rsid w:val="0014001C"/>
    <w:rsid w:val="001400E4"/>
    <w:rsid w:val="00147E0D"/>
    <w:rsid w:val="001C72DB"/>
    <w:rsid w:val="001E7B1E"/>
    <w:rsid w:val="002510DE"/>
    <w:rsid w:val="002963BE"/>
    <w:rsid w:val="002C0A9E"/>
    <w:rsid w:val="002C771B"/>
    <w:rsid w:val="002D53BE"/>
    <w:rsid w:val="002F73BA"/>
    <w:rsid w:val="00300458"/>
    <w:rsid w:val="003366A0"/>
    <w:rsid w:val="003A59C9"/>
    <w:rsid w:val="003C390E"/>
    <w:rsid w:val="003D0FAA"/>
    <w:rsid w:val="003F37D0"/>
    <w:rsid w:val="003F6D51"/>
    <w:rsid w:val="00491125"/>
    <w:rsid w:val="00497D0F"/>
    <w:rsid w:val="00523633"/>
    <w:rsid w:val="005652DB"/>
    <w:rsid w:val="005C3BB7"/>
    <w:rsid w:val="005C6C85"/>
    <w:rsid w:val="006E54D6"/>
    <w:rsid w:val="006F00A1"/>
    <w:rsid w:val="006F7B83"/>
    <w:rsid w:val="00734D66"/>
    <w:rsid w:val="007760BE"/>
    <w:rsid w:val="00791393"/>
    <w:rsid w:val="0079700D"/>
    <w:rsid w:val="007B289C"/>
    <w:rsid w:val="007B4848"/>
    <w:rsid w:val="007B6414"/>
    <w:rsid w:val="007F070F"/>
    <w:rsid w:val="008377E5"/>
    <w:rsid w:val="008B716F"/>
    <w:rsid w:val="008F45F2"/>
    <w:rsid w:val="00953DC0"/>
    <w:rsid w:val="0096091B"/>
    <w:rsid w:val="00980AC3"/>
    <w:rsid w:val="009D703E"/>
    <w:rsid w:val="009E2B57"/>
    <w:rsid w:val="00A5166A"/>
    <w:rsid w:val="00A64D34"/>
    <w:rsid w:val="00A731C0"/>
    <w:rsid w:val="00A96A48"/>
    <w:rsid w:val="00AD0DF3"/>
    <w:rsid w:val="00B246E8"/>
    <w:rsid w:val="00B24F08"/>
    <w:rsid w:val="00B725CD"/>
    <w:rsid w:val="00B82071"/>
    <w:rsid w:val="00BC555E"/>
    <w:rsid w:val="00BF4AE3"/>
    <w:rsid w:val="00C96CDF"/>
    <w:rsid w:val="00D23583"/>
    <w:rsid w:val="00D45AA1"/>
    <w:rsid w:val="00D538F1"/>
    <w:rsid w:val="00D813BD"/>
    <w:rsid w:val="00DA551D"/>
    <w:rsid w:val="00E1482D"/>
    <w:rsid w:val="00E171DF"/>
    <w:rsid w:val="00E22DBA"/>
    <w:rsid w:val="00EA54F4"/>
    <w:rsid w:val="00F5239A"/>
    <w:rsid w:val="00F526A5"/>
    <w:rsid w:val="00FD62E8"/>
    <w:rsid w:val="00FD6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85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SAustraliaBodyText">
    <w:name w:val="NS Australia – Body Text"/>
    <w:basedOn w:val="Normal"/>
    <w:qFormat/>
    <w:rsid w:val="006F7B83"/>
    <w:pPr>
      <w:snapToGrid w:val="0"/>
      <w:spacing w:after="240" w:line="280" w:lineRule="exact"/>
    </w:pPr>
    <w:rPr>
      <w:rFonts w:ascii="Calibri" w:hAnsi="Calibri" w:cs="Calibri"/>
      <w:sz w:val="22"/>
      <w:szCs w:val="22"/>
    </w:rPr>
  </w:style>
  <w:style w:type="paragraph" w:styleId="NoSpacing">
    <w:name w:val="No Spacing"/>
    <w:basedOn w:val="Normal"/>
    <w:uiPriority w:val="1"/>
    <w:qFormat/>
    <w:rsid w:val="00980AC3"/>
    <w:pPr>
      <w:spacing w:before="100" w:beforeAutospacing="1" w:after="100" w:afterAutospacing="1"/>
    </w:pPr>
    <w:rPr>
      <w:rFonts w:ascii="Calibri" w:hAnsi="Calibri" w:cs="Calibri"/>
      <w:sz w:val="22"/>
      <w:szCs w:val="22"/>
      <w:lang w:eastAsia="en-AU"/>
    </w:rPr>
  </w:style>
  <w:style w:type="character" w:styleId="Strong">
    <w:name w:val="Strong"/>
    <w:basedOn w:val="DefaultParagraphFont"/>
    <w:uiPriority w:val="22"/>
    <w:qFormat/>
    <w:rsid w:val="00980AC3"/>
    <w:rPr>
      <w:b/>
      <w:bCs/>
    </w:rPr>
  </w:style>
  <w:style w:type="paragraph" w:styleId="Title">
    <w:name w:val="Title"/>
    <w:basedOn w:val="Normal"/>
    <w:next w:val="Normal"/>
    <w:link w:val="TitleChar"/>
    <w:uiPriority w:val="10"/>
    <w:qFormat/>
    <w:rsid w:val="0098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AC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F4038"/>
    <w:pPr>
      <w:ind w:left="720"/>
      <w:contextualSpacing/>
    </w:pPr>
  </w:style>
  <w:style w:type="paragraph" w:styleId="BalloonText">
    <w:name w:val="Balloon Text"/>
    <w:basedOn w:val="Normal"/>
    <w:link w:val="BalloonTextChar"/>
    <w:uiPriority w:val="99"/>
    <w:semiHidden/>
    <w:unhideWhenUsed/>
    <w:rsid w:val="00791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393"/>
    <w:rPr>
      <w:rFonts w:ascii="Segoe UI" w:hAnsi="Segoe UI" w:cs="Segoe UI"/>
      <w:sz w:val="18"/>
      <w:szCs w:val="18"/>
    </w:rPr>
  </w:style>
  <w:style w:type="paragraph" w:styleId="Header">
    <w:name w:val="header"/>
    <w:basedOn w:val="Normal"/>
    <w:link w:val="HeaderChar"/>
    <w:uiPriority w:val="99"/>
    <w:unhideWhenUsed/>
    <w:rsid w:val="005C3BB7"/>
    <w:pPr>
      <w:tabs>
        <w:tab w:val="center" w:pos="4680"/>
        <w:tab w:val="right" w:pos="9360"/>
      </w:tabs>
    </w:pPr>
  </w:style>
  <w:style w:type="character" w:customStyle="1" w:styleId="HeaderChar">
    <w:name w:val="Header Char"/>
    <w:basedOn w:val="DefaultParagraphFont"/>
    <w:link w:val="Header"/>
    <w:uiPriority w:val="99"/>
    <w:rsid w:val="005C3BB7"/>
  </w:style>
  <w:style w:type="paragraph" w:styleId="Footer">
    <w:name w:val="footer"/>
    <w:basedOn w:val="Normal"/>
    <w:link w:val="FooterChar"/>
    <w:uiPriority w:val="99"/>
    <w:unhideWhenUsed/>
    <w:rsid w:val="005C3BB7"/>
    <w:pPr>
      <w:tabs>
        <w:tab w:val="center" w:pos="4680"/>
        <w:tab w:val="right" w:pos="9360"/>
      </w:tabs>
    </w:pPr>
  </w:style>
  <w:style w:type="character" w:customStyle="1" w:styleId="FooterChar">
    <w:name w:val="Footer Char"/>
    <w:basedOn w:val="DefaultParagraphFont"/>
    <w:link w:val="Footer"/>
    <w:uiPriority w:val="99"/>
    <w:rsid w:val="005C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004">
      <w:bodyDiv w:val="1"/>
      <w:marLeft w:val="0"/>
      <w:marRight w:val="0"/>
      <w:marTop w:val="0"/>
      <w:marBottom w:val="0"/>
      <w:divBdr>
        <w:top w:val="none" w:sz="0" w:space="0" w:color="auto"/>
        <w:left w:val="none" w:sz="0" w:space="0" w:color="auto"/>
        <w:bottom w:val="none" w:sz="0" w:space="0" w:color="auto"/>
        <w:right w:val="none" w:sz="0" w:space="0" w:color="auto"/>
      </w:divBdr>
    </w:div>
    <w:div w:id="362051221">
      <w:bodyDiv w:val="1"/>
      <w:marLeft w:val="0"/>
      <w:marRight w:val="0"/>
      <w:marTop w:val="0"/>
      <w:marBottom w:val="0"/>
      <w:divBdr>
        <w:top w:val="none" w:sz="0" w:space="0" w:color="auto"/>
        <w:left w:val="none" w:sz="0" w:space="0" w:color="auto"/>
        <w:bottom w:val="none" w:sz="0" w:space="0" w:color="auto"/>
        <w:right w:val="none" w:sz="0" w:space="0" w:color="auto"/>
      </w:divBdr>
    </w:div>
    <w:div w:id="378559009">
      <w:bodyDiv w:val="1"/>
      <w:marLeft w:val="0"/>
      <w:marRight w:val="0"/>
      <w:marTop w:val="0"/>
      <w:marBottom w:val="0"/>
      <w:divBdr>
        <w:top w:val="none" w:sz="0" w:space="0" w:color="auto"/>
        <w:left w:val="none" w:sz="0" w:space="0" w:color="auto"/>
        <w:bottom w:val="none" w:sz="0" w:space="0" w:color="auto"/>
        <w:right w:val="none" w:sz="0" w:space="0" w:color="auto"/>
      </w:divBdr>
    </w:div>
    <w:div w:id="439570396">
      <w:bodyDiv w:val="1"/>
      <w:marLeft w:val="0"/>
      <w:marRight w:val="0"/>
      <w:marTop w:val="0"/>
      <w:marBottom w:val="0"/>
      <w:divBdr>
        <w:top w:val="none" w:sz="0" w:space="0" w:color="auto"/>
        <w:left w:val="none" w:sz="0" w:space="0" w:color="auto"/>
        <w:bottom w:val="none" w:sz="0" w:space="0" w:color="auto"/>
        <w:right w:val="none" w:sz="0" w:space="0" w:color="auto"/>
      </w:divBdr>
    </w:div>
    <w:div w:id="1092164157">
      <w:bodyDiv w:val="1"/>
      <w:marLeft w:val="0"/>
      <w:marRight w:val="0"/>
      <w:marTop w:val="0"/>
      <w:marBottom w:val="0"/>
      <w:divBdr>
        <w:top w:val="none" w:sz="0" w:space="0" w:color="auto"/>
        <w:left w:val="none" w:sz="0" w:space="0" w:color="auto"/>
        <w:bottom w:val="none" w:sz="0" w:space="0" w:color="auto"/>
        <w:right w:val="none" w:sz="0" w:space="0" w:color="auto"/>
      </w:divBdr>
    </w:div>
    <w:div w:id="16534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2023-01-30T22:29:00Z</dcterms:created>
  <dcterms:modified xsi:type="dcterms:W3CDTF">2023-01-30T22:29:00Z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2023-01-30T22:29:25Z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12914a51-220c-425c-aaba-c4abf93031ff</vt:lpwstr>
  </property>
  <property fmtid="{D5CDD505-2E9C-101B-9397-08002B2CF9AE}" pid="8" name="MSIP_Label_79d889eb-932f-4752-8739-64d25806ef64_ContentBits">
    <vt:lpwstr>0</vt:lpwstr>
  </property>
</Properties>
</file>