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B6FC" w14:textId="77777777" w:rsidR="00627829" w:rsidRDefault="00627829" w:rsidP="00627829">
      <w:pPr>
        <w:jc w:val="center"/>
        <w:rPr>
          <w:rFonts w:cstheme="minorHAnsi"/>
          <w:b/>
        </w:rPr>
      </w:pPr>
      <w:r w:rsidRPr="000A6D34">
        <w:rPr>
          <w:noProof/>
          <w:lang w:eastAsia="en-AU"/>
        </w:rPr>
        <w:drawing>
          <wp:inline distT="0" distB="0" distL="0" distR="0" wp14:anchorId="469B0810" wp14:editId="5995AD97">
            <wp:extent cx="3539490" cy="1250983"/>
            <wp:effectExtent l="0" t="0" r="3810" b="6350"/>
            <wp:docPr id="1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139" cy="135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B495" w14:textId="122F906C" w:rsidR="00627829" w:rsidRDefault="00627829" w:rsidP="00627829">
      <w:pPr>
        <w:jc w:val="center"/>
        <w:rPr>
          <w:rFonts w:cstheme="minorHAnsi"/>
          <w:b/>
        </w:rPr>
      </w:pPr>
    </w:p>
    <w:p w14:paraId="45C4443E" w14:textId="77777777" w:rsidR="00627829" w:rsidRDefault="00627829" w:rsidP="00627829">
      <w:pPr>
        <w:jc w:val="center"/>
        <w:rPr>
          <w:rFonts w:cstheme="minorHAnsi"/>
          <w:b/>
        </w:rPr>
      </w:pPr>
    </w:p>
    <w:p w14:paraId="127AB100" w14:textId="3CBF8659" w:rsidR="008E48E1" w:rsidRPr="00627829" w:rsidRDefault="008E48E1" w:rsidP="008E48E1">
      <w:pPr>
        <w:jc w:val="center"/>
        <w:rPr>
          <w:rFonts w:cstheme="minorHAnsi"/>
          <w:b/>
          <w:color w:val="2E74B5" w:themeColor="accent1" w:themeShade="BF"/>
          <w:sz w:val="60"/>
          <w:szCs w:val="60"/>
        </w:rPr>
      </w:pPr>
      <w:r>
        <w:rPr>
          <w:rFonts w:cstheme="minorHAnsi"/>
          <w:b/>
          <w:color w:val="2E74B5" w:themeColor="accent1" w:themeShade="BF"/>
          <w:sz w:val="60"/>
          <w:szCs w:val="60"/>
        </w:rPr>
        <w:t xml:space="preserve">Feedback on priority issues for the </w:t>
      </w:r>
      <w:r w:rsidRPr="008E48E1">
        <w:rPr>
          <w:rFonts w:cstheme="minorHAnsi"/>
          <w:b/>
          <w:i/>
          <w:color w:val="2E74B5" w:themeColor="accent1" w:themeShade="BF"/>
          <w:sz w:val="60"/>
          <w:szCs w:val="60"/>
        </w:rPr>
        <w:t>Review of Australia’s Higher Education System</w:t>
      </w:r>
    </w:p>
    <w:p w14:paraId="53C8D226" w14:textId="62F97984" w:rsidR="00627829" w:rsidRPr="00627829" w:rsidRDefault="00AD306C" w:rsidP="00627829">
      <w:pPr>
        <w:jc w:val="center"/>
        <w:rPr>
          <w:rFonts w:cstheme="minorHAnsi"/>
          <w:b/>
          <w:color w:val="2E74B5" w:themeColor="accent1" w:themeShade="BF"/>
          <w:sz w:val="60"/>
          <w:szCs w:val="60"/>
        </w:rPr>
      </w:pPr>
      <w:r>
        <w:rPr>
          <w:rFonts w:cstheme="minorHAnsi"/>
          <w:b/>
          <w:color w:val="2E74B5" w:themeColor="accent1" w:themeShade="BF"/>
          <w:sz w:val="60"/>
          <w:szCs w:val="60"/>
        </w:rPr>
        <w:t>A scholarship program for the Pacific</w:t>
      </w:r>
    </w:p>
    <w:p w14:paraId="57B4F286" w14:textId="5A32E2FB" w:rsidR="00627829" w:rsidRPr="00627829" w:rsidRDefault="00627829" w:rsidP="00627829">
      <w:pPr>
        <w:jc w:val="center"/>
        <w:rPr>
          <w:rFonts w:cstheme="minorHAnsi"/>
          <w:b/>
          <w:color w:val="2E74B5" w:themeColor="accent1" w:themeShade="BF"/>
          <w:sz w:val="60"/>
          <w:szCs w:val="60"/>
        </w:rPr>
      </w:pPr>
    </w:p>
    <w:p w14:paraId="72DC217B" w14:textId="77777777" w:rsidR="0062782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01FD7182" w14:textId="77777777" w:rsidR="0062782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72F84B96" w14:textId="77777777" w:rsidR="0062782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3A789EA6" w14:textId="77777777" w:rsidR="0062782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406B191A" w14:textId="77777777" w:rsidR="0062782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67AEC945" w14:textId="77777777" w:rsidR="0062782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376C3934" w14:textId="50328653" w:rsidR="00627829" w:rsidRPr="002970D9" w:rsidRDefault="002E5CBF" w:rsidP="00627829">
      <w:pPr>
        <w:spacing w:after="0"/>
        <w:rPr>
          <w:color w:val="2E74B5" w:themeColor="accent1" w:themeShade="BF"/>
          <w:sz w:val="26"/>
          <w:szCs w:val="26"/>
        </w:rPr>
      </w:pPr>
      <w:r>
        <w:rPr>
          <w:color w:val="2E74B5" w:themeColor="accent1" w:themeShade="BF"/>
          <w:sz w:val="26"/>
          <w:szCs w:val="26"/>
        </w:rPr>
        <w:t xml:space="preserve">Bruce Mackenzie and </w:t>
      </w:r>
      <w:r w:rsidR="00627829" w:rsidRPr="002970D9">
        <w:rPr>
          <w:color w:val="2E74B5" w:themeColor="accent1" w:themeShade="BF"/>
          <w:sz w:val="26"/>
          <w:szCs w:val="26"/>
        </w:rPr>
        <w:t xml:space="preserve">Tom </w:t>
      </w:r>
      <w:proofErr w:type="spellStart"/>
      <w:r w:rsidR="00627829" w:rsidRPr="002970D9">
        <w:rPr>
          <w:color w:val="2E74B5" w:themeColor="accent1" w:themeShade="BF"/>
          <w:sz w:val="26"/>
          <w:szCs w:val="26"/>
        </w:rPr>
        <w:t>Karmel</w:t>
      </w:r>
      <w:proofErr w:type="spellEnd"/>
    </w:p>
    <w:p w14:paraId="4DDB5143" w14:textId="5FF5AF00" w:rsidR="00627829" w:rsidRPr="002970D9" w:rsidRDefault="008E48E1" w:rsidP="00627829">
      <w:pPr>
        <w:spacing w:after="0"/>
        <w:rPr>
          <w:color w:val="2E74B5" w:themeColor="accent1" w:themeShade="BF"/>
          <w:sz w:val="26"/>
          <w:szCs w:val="26"/>
        </w:rPr>
      </w:pPr>
      <w:r>
        <w:rPr>
          <w:color w:val="2E74B5" w:themeColor="accent1" w:themeShade="BF"/>
          <w:sz w:val="26"/>
          <w:szCs w:val="26"/>
        </w:rPr>
        <w:t>December</w:t>
      </w:r>
      <w:r w:rsidR="00627829">
        <w:rPr>
          <w:color w:val="2E74B5" w:themeColor="accent1" w:themeShade="BF"/>
          <w:sz w:val="26"/>
          <w:szCs w:val="26"/>
        </w:rPr>
        <w:t xml:space="preserve"> 2022</w:t>
      </w:r>
    </w:p>
    <w:p w14:paraId="71C95B37" w14:textId="77777777" w:rsidR="00627829" w:rsidRPr="002970D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54BD520D" w14:textId="77777777" w:rsidR="00627829" w:rsidRPr="002970D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</w:p>
    <w:p w14:paraId="7E01AD56" w14:textId="77777777" w:rsidR="00627829" w:rsidRPr="002970D9" w:rsidRDefault="00627829" w:rsidP="00627829">
      <w:pPr>
        <w:spacing w:after="0"/>
        <w:rPr>
          <w:color w:val="2E74B5" w:themeColor="accent1" w:themeShade="BF"/>
          <w:sz w:val="26"/>
          <w:szCs w:val="26"/>
        </w:rPr>
      </w:pPr>
      <w:r w:rsidRPr="00522D51">
        <w:rPr>
          <w:color w:val="2E74B5" w:themeColor="accent1" w:themeShade="BF"/>
          <w:sz w:val="26"/>
          <w:szCs w:val="26"/>
        </w:rPr>
        <w:t>Mack</w:t>
      </w:r>
      <w:r w:rsidRPr="002970D9">
        <w:rPr>
          <w:color w:val="2E74B5" w:themeColor="accent1" w:themeShade="BF"/>
          <w:sz w:val="26"/>
          <w:szCs w:val="26"/>
        </w:rPr>
        <w:t>enzie Research Institute</w:t>
      </w:r>
    </w:p>
    <w:p w14:paraId="2163BCAC" w14:textId="7DA61763" w:rsidR="00627829" w:rsidRPr="002970D9" w:rsidRDefault="00627829" w:rsidP="00627829">
      <w:pPr>
        <w:tabs>
          <w:tab w:val="left" w:pos="426"/>
        </w:tabs>
        <w:spacing w:after="0"/>
        <w:rPr>
          <w:color w:val="2E74B5" w:themeColor="accent1" w:themeShade="BF"/>
          <w:sz w:val="26"/>
          <w:szCs w:val="26"/>
        </w:rPr>
      </w:pPr>
      <w:r w:rsidRPr="002970D9">
        <w:rPr>
          <w:color w:val="2E74B5" w:themeColor="accent1" w:themeShade="BF"/>
          <w:sz w:val="26"/>
          <w:szCs w:val="26"/>
        </w:rPr>
        <w:t xml:space="preserve">E:  </w:t>
      </w:r>
      <w:r w:rsidRPr="002970D9">
        <w:rPr>
          <w:color w:val="2E74B5" w:themeColor="accent1" w:themeShade="BF"/>
          <w:sz w:val="26"/>
          <w:szCs w:val="26"/>
        </w:rPr>
        <w:tab/>
      </w:r>
      <w:r w:rsidR="00235EBF" w:rsidRPr="00235EBF">
        <w:rPr>
          <w:sz w:val="26"/>
          <w:szCs w:val="26"/>
          <w:shd w:val="clear" w:color="auto" w:fill="000000" w:themeFill="text1"/>
        </w:rPr>
        <w:t xml:space="preserve">                                         </w:t>
      </w:r>
      <w:proofErr w:type="gramStart"/>
      <w:r w:rsidR="00235EBF" w:rsidRPr="00235EBF">
        <w:rPr>
          <w:sz w:val="26"/>
          <w:szCs w:val="26"/>
          <w:shd w:val="clear" w:color="auto" w:fill="000000" w:themeFill="text1"/>
        </w:rPr>
        <w:t xml:space="preserve">  </w:t>
      </w:r>
      <w:r w:rsidR="00235EBF" w:rsidRPr="00235EBF">
        <w:rPr>
          <w:color w:val="FFFFFF" w:themeColor="background1"/>
          <w:sz w:val="26"/>
          <w:szCs w:val="26"/>
        </w:rPr>
        <w:t>.</w:t>
      </w:r>
      <w:proofErr w:type="gramEnd"/>
    </w:p>
    <w:p w14:paraId="6D3A9597" w14:textId="4A1529B6" w:rsidR="00627829" w:rsidRDefault="00627829" w:rsidP="00B5051D">
      <w:pPr>
        <w:tabs>
          <w:tab w:val="left" w:pos="426"/>
        </w:tabs>
        <w:spacing w:after="0"/>
        <w:rPr>
          <w:rFonts w:cstheme="minorHAnsi"/>
          <w:b/>
        </w:rPr>
      </w:pPr>
      <w:r w:rsidRPr="002970D9">
        <w:rPr>
          <w:color w:val="2E74B5" w:themeColor="accent1" w:themeShade="BF"/>
          <w:sz w:val="26"/>
          <w:szCs w:val="26"/>
        </w:rPr>
        <w:tab/>
      </w:r>
      <w:hyperlink r:id="rId9" w:history="1">
        <w:r w:rsidRPr="002970D9">
          <w:rPr>
            <w:rStyle w:val="Hyperlink"/>
            <w:color w:val="2E74B5" w:themeColor="accent1" w:themeShade="BF"/>
            <w:sz w:val="26"/>
            <w:szCs w:val="26"/>
          </w:rPr>
          <w:t>info@mri.edu.au</w:t>
        </w:r>
      </w:hyperlink>
    </w:p>
    <w:p w14:paraId="12108958" w14:textId="0688B3BA" w:rsidR="00627829" w:rsidRDefault="00627829" w:rsidP="00627829">
      <w:pPr>
        <w:jc w:val="center"/>
        <w:rPr>
          <w:rFonts w:cstheme="minorHAnsi"/>
          <w:b/>
        </w:rPr>
      </w:pPr>
    </w:p>
    <w:p w14:paraId="055CA7B2" w14:textId="77777777" w:rsidR="009F3336" w:rsidRDefault="009F3336">
      <w:pPr>
        <w:rPr>
          <w:rFonts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br w:type="page"/>
      </w:r>
    </w:p>
    <w:p w14:paraId="711C5C8C" w14:textId="5899A578" w:rsidR="00EC043F" w:rsidRPr="00894C33" w:rsidRDefault="008E48E1">
      <w:pPr>
        <w:rPr>
          <w:rFonts w:cstheme="minorHAnsi"/>
          <w:b/>
          <w:i/>
          <w:iCs/>
          <w:color w:val="2E74B5" w:themeColor="accent1" w:themeShade="BF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lastRenderedPageBreak/>
        <w:t>Feedback on priority issues for the Review of Australia’s Higher Education System</w:t>
      </w:r>
      <w:r w:rsidR="00AD306C">
        <w:rPr>
          <w:rFonts w:cstheme="minorHAnsi"/>
          <w:b/>
          <w:color w:val="2E74B5" w:themeColor="accent1" w:themeShade="BF"/>
          <w:sz w:val="28"/>
          <w:szCs w:val="28"/>
        </w:rPr>
        <w:t>: a scholarship program for the Pacific</w:t>
      </w:r>
      <w:r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</w:p>
    <w:p w14:paraId="7E6AFC51" w14:textId="5D37E4BC" w:rsidR="00627829" w:rsidRPr="00627829" w:rsidRDefault="002E5CBF" w:rsidP="00627829">
      <w:pPr>
        <w:spacing w:after="0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 xml:space="preserve">Bruce Mackenzie and </w:t>
      </w:r>
      <w:r w:rsidR="00627829" w:rsidRPr="00627829">
        <w:rPr>
          <w:rFonts w:cstheme="minorHAnsi"/>
          <w:b/>
          <w:color w:val="2E74B5" w:themeColor="accent1" w:themeShade="BF"/>
        </w:rPr>
        <w:t xml:space="preserve">Tom </w:t>
      </w:r>
      <w:proofErr w:type="spellStart"/>
      <w:r w:rsidR="00627829" w:rsidRPr="00627829">
        <w:rPr>
          <w:rFonts w:cstheme="minorHAnsi"/>
          <w:b/>
          <w:color w:val="2E74B5" w:themeColor="accent1" w:themeShade="BF"/>
        </w:rPr>
        <w:t>Karmel</w:t>
      </w:r>
      <w:proofErr w:type="spellEnd"/>
      <w:r w:rsidR="00627829" w:rsidRPr="00627829">
        <w:rPr>
          <w:rFonts w:cstheme="minorHAnsi"/>
          <w:b/>
          <w:color w:val="2E74B5" w:themeColor="accent1" w:themeShade="BF"/>
        </w:rPr>
        <w:t>, Mackenzie Research Institute</w:t>
      </w:r>
    </w:p>
    <w:p w14:paraId="695EBD1D" w14:textId="6D8D2960" w:rsidR="00627829" w:rsidRPr="00627829" w:rsidRDefault="008E48E1" w:rsidP="00627829">
      <w:pPr>
        <w:spacing w:after="0"/>
        <w:rPr>
          <w:rFonts w:cstheme="minorHAnsi"/>
          <w:b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>December</w:t>
      </w:r>
      <w:r w:rsidR="00627829" w:rsidRPr="00627829">
        <w:rPr>
          <w:rFonts w:cstheme="minorHAnsi"/>
          <w:b/>
          <w:color w:val="2E74B5" w:themeColor="accent1" w:themeShade="BF"/>
        </w:rPr>
        <w:t xml:space="preserve"> 2022</w:t>
      </w:r>
    </w:p>
    <w:p w14:paraId="3E4F2C80" w14:textId="77777777" w:rsidR="00627829" w:rsidRPr="00627829" w:rsidRDefault="00627829">
      <w:pPr>
        <w:rPr>
          <w:rFonts w:cstheme="minorHAnsi"/>
          <w:b/>
          <w:color w:val="2E74B5" w:themeColor="accent1" w:themeShade="BF"/>
          <w:sz w:val="28"/>
          <w:szCs w:val="28"/>
        </w:rPr>
      </w:pPr>
    </w:p>
    <w:p w14:paraId="3B3776C9" w14:textId="77777777" w:rsidR="008E48E1" w:rsidRDefault="008E48E1">
      <w:pPr>
        <w:rPr>
          <w:rFonts w:cstheme="minorHAnsi"/>
          <w:b/>
          <w:color w:val="2E74B5" w:themeColor="accent1" w:themeShade="BF"/>
          <w:sz w:val="26"/>
          <w:szCs w:val="26"/>
        </w:rPr>
      </w:pPr>
      <w:r w:rsidRPr="0018147A">
        <w:rPr>
          <w:rFonts w:cstheme="minorHAnsi"/>
          <w:b/>
          <w:color w:val="2E74B5" w:themeColor="accent1" w:themeShade="BF"/>
          <w:sz w:val="26"/>
          <w:szCs w:val="26"/>
        </w:rPr>
        <w:t>Introduction</w:t>
      </w:r>
    </w:p>
    <w:p w14:paraId="1509DB7A" w14:textId="0DDE5F9B" w:rsidR="002E5CBF" w:rsidRDefault="002E5CBF">
      <w:pPr>
        <w:rPr>
          <w:rFonts w:cstheme="minorHAnsi"/>
        </w:rPr>
      </w:pPr>
      <w:r>
        <w:rPr>
          <w:rFonts w:cstheme="minorHAnsi"/>
        </w:rPr>
        <w:t xml:space="preserve">One of the terms of reference for the Review (6. Quality and sustainability) </w:t>
      </w:r>
      <w:proofErr w:type="gramStart"/>
      <w:r>
        <w:rPr>
          <w:rFonts w:cstheme="minorHAnsi"/>
        </w:rPr>
        <w:t>refers</w:t>
      </w:r>
      <w:proofErr w:type="gramEnd"/>
      <w:r>
        <w:rPr>
          <w:rFonts w:cstheme="minorHAnsi"/>
        </w:rPr>
        <w:t xml:space="preserve"> specifically to </w:t>
      </w:r>
      <w:r w:rsidR="00AD306C">
        <w:rPr>
          <w:rFonts w:cstheme="minorHAnsi"/>
        </w:rPr>
        <w:t>an</w:t>
      </w:r>
      <w:r>
        <w:rPr>
          <w:rFonts w:cstheme="minorHAnsi"/>
        </w:rPr>
        <w:t xml:space="preserve"> international education sector ‘reflecting the important role international students play in our society and economy, and Australia’s interest in deepening partnerships abroad’.</w:t>
      </w:r>
    </w:p>
    <w:p w14:paraId="130C1547" w14:textId="6FD5938A" w:rsidR="005E445C" w:rsidRPr="005E445C" w:rsidRDefault="002E5CBF" w:rsidP="002E5CBF">
      <w:pPr>
        <w:rPr>
          <w:rFonts w:cstheme="minorHAnsi"/>
          <w:bCs/>
        </w:rPr>
      </w:pPr>
      <w:r>
        <w:rPr>
          <w:rFonts w:cstheme="minorHAnsi"/>
        </w:rPr>
        <w:t>In this submission we propose a new initiative, with a suggested title of the Pacific scholarships program</w:t>
      </w:r>
      <w:r w:rsidR="00356A95">
        <w:rPr>
          <w:rFonts w:cstheme="minorHAnsi"/>
        </w:rPr>
        <w:t>, aimed at deepening the partnership with Pacific nations</w:t>
      </w:r>
      <w:r>
        <w:rPr>
          <w:rFonts w:cstheme="minorHAnsi"/>
        </w:rPr>
        <w:t>.</w:t>
      </w:r>
    </w:p>
    <w:p w14:paraId="5198FE57" w14:textId="329D17A2" w:rsidR="005E445C" w:rsidRPr="0018147A" w:rsidRDefault="002E5CBF" w:rsidP="00AF1FC3">
      <w:pPr>
        <w:rPr>
          <w:color w:val="4472C4" w:themeColor="accent5"/>
          <w:sz w:val="26"/>
          <w:szCs w:val="26"/>
        </w:rPr>
      </w:pPr>
      <w:r w:rsidRPr="0018147A">
        <w:rPr>
          <w:b/>
          <w:bCs/>
          <w:color w:val="4472C4" w:themeColor="accent5"/>
          <w:sz w:val="26"/>
          <w:szCs w:val="26"/>
        </w:rPr>
        <w:t>Background</w:t>
      </w:r>
    </w:p>
    <w:p w14:paraId="37E40B41" w14:textId="29EF8F0B" w:rsidR="002E5CBF" w:rsidRDefault="002E5CBF" w:rsidP="002E5CBF">
      <w:r>
        <w:t xml:space="preserve">China’s growing influence in the Pacific region has highlighted the importance of Australia developing strategic initiatives that advance Australia’s interests. Australia has </w:t>
      </w:r>
      <w:r w:rsidR="009E399B">
        <w:t>tended</w:t>
      </w:r>
      <w:r>
        <w:t xml:space="preserve"> to regard the Pacific as a source of labour </w:t>
      </w:r>
      <w:r w:rsidR="00AD306C">
        <w:t xml:space="preserve">for </w:t>
      </w:r>
      <w:r>
        <w:t>low skilled jobs such as fruit picking. The pandemic disrupted this arrangement</w:t>
      </w:r>
      <w:r w:rsidR="00B40876">
        <w:t>,</w:t>
      </w:r>
      <w:r>
        <w:t xml:space="preserve"> but it did highlight the paucity of educational initiatives at the tertiary level in the Pacific region.</w:t>
      </w:r>
      <w:r w:rsidR="009E399B">
        <w:t xml:space="preserve"> Our proposal is </w:t>
      </w:r>
      <w:r w:rsidR="00B40876">
        <w:t xml:space="preserve">to </w:t>
      </w:r>
      <w:r w:rsidR="009E399B">
        <w:t xml:space="preserve">provide </w:t>
      </w:r>
      <w:r w:rsidR="00356A95">
        <w:t xml:space="preserve">vocational </w:t>
      </w:r>
      <w:r w:rsidR="009E399B">
        <w:t xml:space="preserve">education to people from the </w:t>
      </w:r>
      <w:r w:rsidR="0018147A">
        <w:t>Pacific</w:t>
      </w:r>
      <w:r w:rsidR="009E399B">
        <w:t xml:space="preserve"> which would enable them to work in Australia at a higher skill level</w:t>
      </w:r>
      <w:r w:rsidR="00E600F0">
        <w:t>.</w:t>
      </w:r>
    </w:p>
    <w:p w14:paraId="42909375" w14:textId="28EDF5D3" w:rsidR="002E5CBF" w:rsidRDefault="002E5CBF" w:rsidP="002E5CBF">
      <w:r>
        <w:t>Australia</w:t>
      </w:r>
      <w:r w:rsidR="009E399B">
        <w:t>, of course, has a long history of providing education as a way of building links with other cou</w:t>
      </w:r>
      <w:r w:rsidR="00B5051D">
        <w:t>n</w:t>
      </w:r>
      <w:r w:rsidR="009E399B">
        <w:t>tries. Notable is the</w:t>
      </w:r>
      <w:r>
        <w:t xml:space="preserve"> Colombo plan. This program </w:t>
      </w:r>
      <w:r w:rsidR="009E399B">
        <w:t>allowed</w:t>
      </w:r>
      <w:r>
        <w:t xml:space="preserve"> students from south-east Asian countries to obtain a scholarship to study in Australia and on completion return home. This plan operated from the mid-1</w:t>
      </w:r>
      <w:r w:rsidR="009E399B">
        <w:t>950s until the 1970s</w:t>
      </w:r>
      <w:r>
        <w:t>. It was the forerunner to fee paying international students studying in Australia.</w:t>
      </w:r>
    </w:p>
    <w:p w14:paraId="3F75B6FC" w14:textId="45F6D50C" w:rsidR="002E5CBF" w:rsidRDefault="009E399B" w:rsidP="002E5CBF">
      <w:r>
        <w:t>It is widely accepted that t</w:t>
      </w:r>
      <w:r w:rsidR="002E5CBF">
        <w:t>he Colombo plan has been</w:t>
      </w:r>
      <w:r>
        <w:t xml:space="preserve"> one of</w:t>
      </w:r>
      <w:r w:rsidR="002E5CBF">
        <w:t xml:space="preserve"> Australia’s most successful soft power initiative</w:t>
      </w:r>
      <w:r w:rsidR="00B40876">
        <w:t>s</w:t>
      </w:r>
      <w:r>
        <w:t>.</w:t>
      </w:r>
      <w:r w:rsidR="002E5CBF">
        <w:t xml:space="preserve"> The plan was not only designed to build an Asian academic elite and influence their value</w:t>
      </w:r>
      <w:r w:rsidR="00356A95">
        <w:t xml:space="preserve">s but also </w:t>
      </w:r>
      <w:r w:rsidR="002E5CBF">
        <w:t>to secure diplomatic and commercial relationships with Asia.</w:t>
      </w:r>
    </w:p>
    <w:p w14:paraId="21F9C654" w14:textId="51C17997" w:rsidR="002E5CBF" w:rsidRDefault="009E399B" w:rsidP="002E5CBF">
      <w:r>
        <w:t xml:space="preserve">A more recent program, </w:t>
      </w:r>
      <w:r w:rsidR="002E5CBF">
        <w:t>the New Colombo plan</w:t>
      </w:r>
      <w:r>
        <w:t>, was introduced in 2013</w:t>
      </w:r>
      <w:r w:rsidR="002E5CBF">
        <w:t>. This plan enables University graduates to undertake internships in a diverse range of countries</w:t>
      </w:r>
      <w:r>
        <w:t>, again designed to build links internationally</w:t>
      </w:r>
      <w:r w:rsidR="002E5CBF">
        <w:t>.</w:t>
      </w:r>
    </w:p>
    <w:p w14:paraId="7CD1543E" w14:textId="5FB26DDF" w:rsidR="00CD6DA1" w:rsidRPr="0018147A" w:rsidRDefault="002E5CBF" w:rsidP="00CD6DA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147A">
        <w:rPr>
          <w:rFonts w:asciiTheme="minorHAnsi" w:hAnsiTheme="minorHAnsi" w:cstheme="minorHAnsi"/>
          <w:sz w:val="22"/>
          <w:szCs w:val="22"/>
        </w:rPr>
        <w:t>The only other major educational initiative</w:t>
      </w:r>
      <w:r w:rsidR="009E399B" w:rsidRPr="0018147A">
        <w:rPr>
          <w:rFonts w:asciiTheme="minorHAnsi" w:hAnsiTheme="minorHAnsi" w:cstheme="minorHAnsi"/>
          <w:sz w:val="22"/>
          <w:szCs w:val="22"/>
        </w:rPr>
        <w:t xml:space="preserve"> </w:t>
      </w:r>
      <w:r w:rsidRPr="0018147A">
        <w:rPr>
          <w:rFonts w:asciiTheme="minorHAnsi" w:hAnsiTheme="minorHAnsi" w:cstheme="minorHAnsi"/>
          <w:sz w:val="22"/>
          <w:szCs w:val="22"/>
        </w:rPr>
        <w:t>is the</w:t>
      </w:r>
      <w:r w:rsidR="00CD6DA1"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 Australia Pacific Training Coalition (APTC</w:t>
      </w:r>
      <w:r w:rsidR="00FB2C02">
        <w:rPr>
          <w:rFonts w:asciiTheme="minorHAnsi" w:hAnsiTheme="minorHAnsi" w:cstheme="minorHAnsi"/>
          <w:color w:val="333333"/>
          <w:sz w:val="22"/>
          <w:szCs w:val="22"/>
        </w:rPr>
        <w:t xml:space="preserve"> – formerly the Australia-Pacific Technical College</w:t>
      </w:r>
      <w:r w:rsidR="00CD6DA1"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) which was announced as an Australian Government initiative at the Pacific Islands Forum in 2006. It is administered by Queensland TAFE and provides Australian qualifications from </w:t>
      </w:r>
      <w:r w:rsidR="00B40876" w:rsidRPr="0018147A">
        <w:rPr>
          <w:rFonts w:asciiTheme="minorHAnsi" w:hAnsiTheme="minorHAnsi" w:cstheme="minorHAnsi"/>
          <w:color w:val="333333"/>
          <w:sz w:val="22"/>
          <w:szCs w:val="22"/>
        </w:rPr>
        <w:t>lower-level</w:t>
      </w:r>
      <w:r w:rsidR="00CD6DA1"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 certificates to diplomas in </w:t>
      </w:r>
      <w:r w:rsidR="0018147A" w:rsidRPr="0018147A">
        <w:rPr>
          <w:rFonts w:asciiTheme="minorHAnsi" w:hAnsiTheme="minorHAnsi" w:cstheme="minorHAnsi"/>
          <w:color w:val="333333"/>
          <w:sz w:val="22"/>
          <w:szCs w:val="22"/>
        </w:rPr>
        <w:t>selected</w:t>
      </w:r>
      <w:r w:rsidR="00CD6DA1"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 vocational areas</w:t>
      </w:r>
      <w:r w:rsidR="0018147A"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 in country</w:t>
      </w:r>
      <w:r w:rsidR="00CD6DA1" w:rsidRPr="0018147A">
        <w:rPr>
          <w:rFonts w:asciiTheme="minorHAnsi" w:hAnsiTheme="minorHAnsi" w:cstheme="minorHAnsi"/>
          <w:color w:val="333333"/>
          <w:sz w:val="22"/>
          <w:szCs w:val="22"/>
        </w:rPr>
        <w:t>. Countries involved include Fiji, Kiribati, Nauru, Papua New Guinea, Samoa, Solomon Islands, Timor-Leste, Tonga, Tuvalu</w:t>
      </w:r>
      <w:r w:rsidR="00B40876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CD6DA1"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 and Vanuatu.  </w:t>
      </w:r>
    </w:p>
    <w:p w14:paraId="044628A5" w14:textId="1F80E781" w:rsidR="002E5CBF" w:rsidRPr="0018147A" w:rsidRDefault="00CD6DA1" w:rsidP="0018147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147A">
        <w:rPr>
          <w:rFonts w:asciiTheme="minorHAnsi" w:hAnsiTheme="minorHAnsi" w:cstheme="minorHAnsi"/>
          <w:color w:val="333333"/>
          <w:sz w:val="22"/>
          <w:szCs w:val="22"/>
        </w:rPr>
        <w:t xml:space="preserve">One motivation of the scheme was that </w:t>
      </w:r>
      <w:r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Australian-standard skills and qualifications </w:t>
      </w:r>
      <w:r w:rsidR="0018147A"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would </w:t>
      </w:r>
      <w:r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open doors to employment in the wider Pacific region for APTC graduates who are interested in migrating. </w:t>
      </w:r>
      <w:r w:rsidR="0018147A"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lastRenderedPageBreak/>
        <w:t xml:space="preserve">However, it seems that outcomes in this regard are very modest. </w:t>
      </w:r>
      <w:r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According to the </w:t>
      </w:r>
      <w:r w:rsidR="0018147A"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2019</w:t>
      </w:r>
      <w:r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Graduate Down </w:t>
      </w:r>
      <w:r w:rsidR="00356A9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</w:t>
      </w:r>
      <w:r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he Track Survey, 5% of sampled graduates reported to have migrated from their home country</w:t>
      </w:r>
      <w:r w:rsidR="0018147A"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(according to the APTC website)</w:t>
      </w:r>
      <w:r w:rsidRPr="0018147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  <w:r w:rsidR="002E5CBF" w:rsidRPr="0018147A">
        <w:rPr>
          <w:rFonts w:asciiTheme="minorHAnsi" w:hAnsiTheme="minorHAnsi" w:cstheme="minorHAnsi"/>
          <w:sz w:val="22"/>
          <w:szCs w:val="22"/>
        </w:rPr>
        <w:t xml:space="preserve"> To date only a handful graduates have found skilled employment in Australia.</w:t>
      </w:r>
    </w:p>
    <w:p w14:paraId="1291FA24" w14:textId="464F0DD4" w:rsidR="002E5CBF" w:rsidRDefault="000D78DD" w:rsidP="002E5CBF">
      <w:r>
        <w:t xml:space="preserve">An issue for the initiative is that </w:t>
      </w:r>
      <w:r w:rsidR="002E5CBF">
        <w:t xml:space="preserve">it offers Australian </w:t>
      </w:r>
      <w:r w:rsidR="00B5051D">
        <w:t xml:space="preserve">training package </w:t>
      </w:r>
      <w:r w:rsidR="002E5CBF">
        <w:t>qualification</w:t>
      </w:r>
      <w:r w:rsidR="00B5051D">
        <w:t>s</w:t>
      </w:r>
      <w:r w:rsidR="002E5CBF">
        <w:t xml:space="preserve"> designed</w:t>
      </w:r>
      <w:r w:rsidR="00B5051D">
        <w:t xml:space="preserve"> specifically</w:t>
      </w:r>
      <w:r w:rsidR="002E5CBF">
        <w:t xml:space="preserve"> for Australian conditions</w:t>
      </w:r>
      <w:r>
        <w:t>. The training packages can be difficult to transfer to</w:t>
      </w:r>
      <w:r w:rsidR="002E5CBF">
        <w:t xml:space="preserve"> local conditions. In addition there are very few programs that are relevant to women’s employment in Pacific countries.</w:t>
      </w:r>
    </w:p>
    <w:p w14:paraId="0535F366" w14:textId="3D07EE43" w:rsidR="002E5CBF" w:rsidRPr="005705EA" w:rsidRDefault="002E5CBF" w:rsidP="002E5CBF">
      <w:pPr>
        <w:rPr>
          <w:b/>
          <w:bCs/>
          <w:color w:val="4472C4" w:themeColor="accent5"/>
          <w:sz w:val="26"/>
          <w:szCs w:val="26"/>
        </w:rPr>
      </w:pPr>
      <w:r w:rsidRPr="005705EA">
        <w:rPr>
          <w:b/>
          <w:bCs/>
          <w:color w:val="4472C4" w:themeColor="accent5"/>
          <w:sz w:val="26"/>
          <w:szCs w:val="26"/>
        </w:rPr>
        <w:t>A scholarship program for the Pacific</w:t>
      </w:r>
    </w:p>
    <w:p w14:paraId="01C74C00" w14:textId="3B7FAA17" w:rsidR="002E5CBF" w:rsidRDefault="00F73D90" w:rsidP="002E5CBF">
      <w:r>
        <w:t>We argue</w:t>
      </w:r>
      <w:r w:rsidR="002E5CBF">
        <w:t xml:space="preserve"> there are benefits for Australia in developing a scholarship program which locates students in Australia </w:t>
      </w:r>
      <w:r w:rsidR="00B40876">
        <w:t>to undertake</w:t>
      </w:r>
      <w:r w:rsidR="002E5CBF">
        <w:t xml:space="preserve"> applied tertiary studies. </w:t>
      </w:r>
      <w:r>
        <w:t xml:space="preserve">These benefits are </w:t>
      </w:r>
      <w:r w:rsidR="000D78DD">
        <w:t>not only</w:t>
      </w:r>
      <w:r>
        <w:t xml:space="preserve"> </w:t>
      </w:r>
      <w:proofErr w:type="gramStart"/>
      <w:r>
        <w:t>diplomatic  but</w:t>
      </w:r>
      <w:proofErr w:type="gramEnd"/>
      <w:r>
        <w:t xml:space="preserve"> also economic</w:t>
      </w:r>
      <w:r w:rsidR="008C4F7B">
        <w:t xml:space="preserve">, both for Australia and the Pacific countries which are the target of the program. </w:t>
      </w:r>
      <w:r>
        <w:t xml:space="preserve"> </w:t>
      </w:r>
      <w:r w:rsidR="002E5CBF">
        <w:t xml:space="preserve">The programs offered could be linked </w:t>
      </w:r>
      <w:r w:rsidR="008C4F7B">
        <w:t xml:space="preserve">to </w:t>
      </w:r>
      <w:r w:rsidR="002E5CBF">
        <w:t>areas where both Australia and the Pacific Islands have skill shortages</w:t>
      </w:r>
      <w:r w:rsidR="008C4F7B">
        <w:t xml:space="preserve"> such as h</w:t>
      </w:r>
      <w:r w:rsidR="002E5CBF">
        <w:t xml:space="preserve">ealth, </w:t>
      </w:r>
      <w:r w:rsidR="00D86479">
        <w:t xml:space="preserve">community care, </w:t>
      </w:r>
      <w:r w:rsidR="002E5CBF">
        <w:t>engineering, agriculture, construction supervision</w:t>
      </w:r>
      <w:r w:rsidR="008C4F7B">
        <w:t xml:space="preserve"> and </w:t>
      </w:r>
      <w:r w:rsidR="002E5CBF">
        <w:t>project management</w:t>
      </w:r>
      <w:r w:rsidR="008C4F7B">
        <w:t>. It is envisaged that graduates would have employment opportunities in Australia or in the home country.</w:t>
      </w:r>
    </w:p>
    <w:p w14:paraId="55BB5B77" w14:textId="24CBE474" w:rsidR="002E5CBF" w:rsidRDefault="002E5CBF" w:rsidP="002E5CBF">
      <w:r>
        <w:t xml:space="preserve">It is </w:t>
      </w:r>
      <w:r w:rsidR="008C4F7B">
        <w:t>likely</w:t>
      </w:r>
      <w:r>
        <w:t xml:space="preserve"> that the scholarship program would need to have an orientation year </w:t>
      </w:r>
      <w:proofErr w:type="gramStart"/>
      <w:r>
        <w:t>in order to</w:t>
      </w:r>
      <w:proofErr w:type="gramEnd"/>
      <w:r>
        <w:t xml:space="preserve"> build foundation skills in literacy, numeracy and digital competence before the</w:t>
      </w:r>
      <w:r w:rsidR="008C4F7B">
        <w:t xml:space="preserve"> students</w:t>
      </w:r>
      <w:r>
        <w:t xml:space="preserve"> embark on mainstream studies. </w:t>
      </w:r>
      <w:r w:rsidR="008C4F7B">
        <w:t>The orientation year would emphasise general education skills</w:t>
      </w:r>
      <w:r w:rsidR="00B5051D">
        <w:t xml:space="preserve"> within an applied context</w:t>
      </w:r>
      <w:r w:rsidR="008C4F7B">
        <w:t xml:space="preserve">. </w:t>
      </w:r>
      <w:r w:rsidR="000D78DD">
        <w:t>T</w:t>
      </w:r>
      <w:r>
        <w:t xml:space="preserve">raining packages with their narrow orientation </w:t>
      </w:r>
      <w:r w:rsidR="008C4F7B">
        <w:t>w</w:t>
      </w:r>
      <w:r>
        <w:t>ould not be used.</w:t>
      </w:r>
    </w:p>
    <w:p w14:paraId="37820880" w14:textId="040B8CED" w:rsidR="00D86479" w:rsidRDefault="008C4F7B" w:rsidP="002E5CBF">
      <w:r>
        <w:t>We also envisage that the mainstream study would have a clear practical orientation and would involve a placement in Australian industry. The placement is key to ensuring good employment outcomes</w:t>
      </w:r>
      <w:r w:rsidR="000D78DD">
        <w:t xml:space="preserve"> and would have to be substantive, as is the case for nursing, for example. Apprenticeships and internships come to mind, depending on the vocational area.</w:t>
      </w:r>
    </w:p>
    <w:p w14:paraId="1DED4A3B" w14:textId="3ADCEE16" w:rsidR="002E5CBF" w:rsidRDefault="002E5CBF" w:rsidP="002E5CBF">
      <w:r>
        <w:t xml:space="preserve">The benefits of scholarship program </w:t>
      </w:r>
      <w:r w:rsidR="00D86479">
        <w:t>offering education and training</w:t>
      </w:r>
      <w:r>
        <w:t xml:space="preserve"> in Australia targeted at Pacific nations are:</w:t>
      </w:r>
    </w:p>
    <w:p w14:paraId="33458856" w14:textId="696F15DB" w:rsidR="002E5CBF" w:rsidRDefault="002E5CBF" w:rsidP="002E5CBF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students studying in Australia often work casually and send back </w:t>
      </w:r>
      <w:r w:rsidR="005705EA">
        <w:t xml:space="preserve">remittances </w:t>
      </w:r>
      <w:r>
        <w:t>to their families.</w:t>
      </w:r>
    </w:p>
    <w:p w14:paraId="0D8C08FD" w14:textId="0E612F67" w:rsidR="002E5CBF" w:rsidRDefault="005705EA" w:rsidP="002E5CBF">
      <w:pPr>
        <w:pStyle w:val="ListParagraph"/>
        <w:numPr>
          <w:ilvl w:val="0"/>
          <w:numId w:val="3"/>
        </w:numPr>
        <w:spacing w:after="200" w:line="276" w:lineRule="auto"/>
      </w:pPr>
      <w:r>
        <w:t>substantive placements with employers</w:t>
      </w:r>
      <w:r w:rsidR="002E5CBF">
        <w:t xml:space="preserve"> often lead to future employment. Unlike the original Colombo plan students will be</w:t>
      </w:r>
      <w:r w:rsidR="00D86479">
        <w:t xml:space="preserve"> </w:t>
      </w:r>
      <w:r w:rsidR="002E5CBF">
        <w:t>able to stay in Australia at the completion of their qualification</w:t>
      </w:r>
      <w:r>
        <w:t>.</w:t>
      </w:r>
    </w:p>
    <w:p w14:paraId="3B13E7C9" w14:textId="2F3E0C5E" w:rsidR="00D86479" w:rsidRDefault="00D86479" w:rsidP="002E5CBF">
      <w:pPr>
        <w:pStyle w:val="ListParagraph"/>
        <w:numPr>
          <w:ilvl w:val="0"/>
          <w:numId w:val="3"/>
        </w:numPr>
        <w:spacing w:after="200" w:line="276" w:lineRule="auto"/>
      </w:pPr>
      <w:r>
        <w:t>the program would address areas where there are skill shortages in both Australia and the Pacific</w:t>
      </w:r>
      <w:r w:rsidR="00356A95">
        <w:t>.</w:t>
      </w:r>
    </w:p>
    <w:p w14:paraId="504178CC" w14:textId="6421CF00" w:rsidR="002E5CBF" w:rsidRDefault="00D86479" w:rsidP="002E5CBF">
      <w:pPr>
        <w:pStyle w:val="ListParagraph"/>
        <w:numPr>
          <w:ilvl w:val="0"/>
          <w:numId w:val="3"/>
        </w:numPr>
        <w:spacing w:after="200" w:line="276" w:lineRule="auto"/>
      </w:pPr>
      <w:r>
        <w:t>the program can focus on</w:t>
      </w:r>
      <w:r w:rsidR="002E5CBF">
        <w:t xml:space="preserve"> areas in which Australia’s infrastructure aid programs in the Pacific are being undertaken</w:t>
      </w:r>
      <w:r>
        <w:t>,</w:t>
      </w:r>
      <w:r w:rsidR="002E5CBF">
        <w:t xml:space="preserve"> thus providing source of skills at the upper and lower intermediate middle level workforce.</w:t>
      </w:r>
    </w:p>
    <w:p w14:paraId="7AC40E5C" w14:textId="61FF8E55" w:rsidR="002E5CBF" w:rsidRDefault="002E5CBF" w:rsidP="002E5CBF">
      <w:r>
        <w:t>We are not suggesting that any existing initiatives should be replaced by this scholarship program</w:t>
      </w:r>
      <w:r w:rsidR="00B97162">
        <w:t>,</w:t>
      </w:r>
      <w:r>
        <w:t xml:space="preserve"> but we are suggesting a very tangible means of </w:t>
      </w:r>
      <w:r w:rsidR="00B97162">
        <w:t>contributing to</w:t>
      </w:r>
      <w:r>
        <w:t xml:space="preserve"> a skilled workforce for both Australia and Pacific nations.</w:t>
      </w:r>
      <w:r w:rsidR="00D86479">
        <w:t xml:space="preserve"> It would provide long lasting benefits to all parties and</w:t>
      </w:r>
      <w:r>
        <w:t xml:space="preserve"> send a strong signal that </w:t>
      </w:r>
      <w:r>
        <w:lastRenderedPageBreak/>
        <w:t>Australia supports Pacific nations educationally</w:t>
      </w:r>
      <w:r w:rsidR="005705EA">
        <w:t xml:space="preserve"> and through the labour market</w:t>
      </w:r>
      <w:r w:rsidR="00D86479">
        <w:t>.</w:t>
      </w:r>
      <w:r>
        <w:t xml:space="preserve"> </w:t>
      </w:r>
      <w:r w:rsidR="005705EA">
        <w:t>It would demonstrate that Australia sees the Pacific as a value</w:t>
      </w:r>
      <w:r w:rsidR="00B5051D">
        <w:t>d partner in meeting regional and Australian skill needs and supporting growth in the region, and not just a source of</w:t>
      </w:r>
      <w:r w:rsidR="005705EA">
        <w:t xml:space="preserve"> relatively low skilled labour </w:t>
      </w:r>
      <w:r w:rsidR="00B5051D">
        <w:t xml:space="preserve">such as is </w:t>
      </w:r>
      <w:r w:rsidR="005705EA">
        <w:t>required for fruit picking.</w:t>
      </w:r>
    </w:p>
    <w:p w14:paraId="4FA06F1A" w14:textId="489F9AB1" w:rsidR="002E5CBF" w:rsidRDefault="002E5CBF" w:rsidP="00AF1FC3">
      <w:pPr>
        <w:rPr>
          <w:sz w:val="24"/>
          <w:szCs w:val="24"/>
        </w:rPr>
      </w:pPr>
    </w:p>
    <w:p w14:paraId="2DFE5297" w14:textId="10B33FFA" w:rsidR="00D86479" w:rsidRDefault="00D86479" w:rsidP="00AF1FC3">
      <w:pPr>
        <w:rPr>
          <w:sz w:val="24"/>
          <w:szCs w:val="24"/>
        </w:rPr>
      </w:pPr>
    </w:p>
    <w:p w14:paraId="47AA1A7C" w14:textId="63C6D785" w:rsidR="00D86479" w:rsidRDefault="00D86479" w:rsidP="00AF1FC3">
      <w:pPr>
        <w:rPr>
          <w:sz w:val="24"/>
          <w:szCs w:val="24"/>
        </w:rPr>
      </w:pPr>
    </w:p>
    <w:p w14:paraId="5E46E64D" w14:textId="60FE01C5" w:rsidR="00D86479" w:rsidRDefault="00D86479" w:rsidP="00AF1FC3">
      <w:pPr>
        <w:rPr>
          <w:sz w:val="24"/>
          <w:szCs w:val="24"/>
        </w:rPr>
      </w:pPr>
    </w:p>
    <w:p w14:paraId="0B96CEB1" w14:textId="77777777" w:rsidR="00D86479" w:rsidRPr="00AF1FC3" w:rsidRDefault="00D86479" w:rsidP="00AF1FC3">
      <w:pPr>
        <w:rPr>
          <w:sz w:val="24"/>
          <w:szCs w:val="24"/>
        </w:rPr>
      </w:pPr>
    </w:p>
    <w:sectPr w:rsidR="00D86479" w:rsidRPr="00AF1FC3" w:rsidSect="006278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E931" w14:textId="77777777" w:rsidR="00997AA1" w:rsidRDefault="00997AA1" w:rsidP="00162556">
      <w:pPr>
        <w:spacing w:after="0" w:line="240" w:lineRule="auto"/>
      </w:pPr>
      <w:r>
        <w:separator/>
      </w:r>
    </w:p>
  </w:endnote>
  <w:endnote w:type="continuationSeparator" w:id="0">
    <w:p w14:paraId="2F39CD44" w14:textId="77777777" w:rsidR="00997AA1" w:rsidRDefault="00997AA1" w:rsidP="0016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773" w14:textId="52C555F1" w:rsidR="00CB374F" w:rsidRDefault="00CB374F" w:rsidP="00CB374F">
    <w:pPr>
      <w:pStyle w:val="Footer"/>
      <w:tabs>
        <w:tab w:val="clear" w:pos="4513"/>
      </w:tabs>
    </w:pPr>
  </w:p>
  <w:sdt>
    <w:sdtPr>
      <w:id w:val="189007520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2E74B5" w:themeColor="accent1" w:themeShade="BF"/>
            <w:sz w:val="18"/>
            <w:szCs w:val="18"/>
          </w:rPr>
          <w:id w:val="-149296424"/>
          <w:docPartObj>
            <w:docPartGallery w:val="Page Numbers (Bottom of Page)"/>
            <w:docPartUnique/>
          </w:docPartObj>
        </w:sdtPr>
        <w:sdtEndPr/>
        <w:sdtContent>
          <w:p w14:paraId="589EF6A1" w14:textId="13E1B016" w:rsidR="00CB374F" w:rsidRDefault="00CB374F" w:rsidP="00CB374F">
            <w:pPr>
              <w:pStyle w:val="Footer"/>
              <w:tabs>
                <w:tab w:val="clear" w:pos="4513"/>
              </w:tabs>
              <w:rPr>
                <w:color w:val="2E74B5" w:themeColor="accent1" w:themeShade="BF"/>
                <w:sz w:val="18"/>
                <w:szCs w:val="18"/>
              </w:rPr>
            </w:pPr>
          </w:p>
          <w:p w14:paraId="141D249D" w14:textId="626FC301" w:rsidR="00B90573" w:rsidRDefault="00BD1657" w:rsidP="00B90573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cstheme="minorHAnsi"/>
                <w:bCs/>
                <w:color w:val="2E74B5" w:themeColor="accent1" w:themeShade="BF"/>
                <w:sz w:val="18"/>
                <w:szCs w:val="18"/>
              </w:rPr>
              <w:t>Submission to the Review of Australia’s Higher Education System</w:t>
            </w:r>
          </w:p>
          <w:p w14:paraId="60B99EA1" w14:textId="7BDCE631" w:rsidR="00CB374F" w:rsidRDefault="00CB374F" w:rsidP="00B90573">
            <w:pPr>
              <w:jc w:val="right"/>
              <w:rPr>
                <w:color w:val="2E74B5" w:themeColor="accent1" w:themeShade="BF"/>
                <w:sz w:val="18"/>
                <w:szCs w:val="18"/>
              </w:rPr>
            </w:pPr>
            <w:r w:rsidRPr="00B851EC">
              <w:rPr>
                <w:color w:val="2E74B5" w:themeColor="accent1" w:themeShade="BF"/>
                <w:sz w:val="18"/>
                <w:szCs w:val="18"/>
              </w:rPr>
              <w:t xml:space="preserve">Page | </w:t>
            </w:r>
            <w:r w:rsidRPr="00B851EC">
              <w:rPr>
                <w:color w:val="2E74B5" w:themeColor="accent1" w:themeShade="BF"/>
                <w:sz w:val="18"/>
                <w:szCs w:val="18"/>
              </w:rPr>
              <w:fldChar w:fldCharType="begin"/>
            </w:r>
            <w:r w:rsidRPr="00B851EC">
              <w:rPr>
                <w:color w:val="2E74B5" w:themeColor="accent1" w:themeShade="BF"/>
                <w:sz w:val="18"/>
                <w:szCs w:val="18"/>
              </w:rPr>
              <w:instrText xml:space="preserve"> PAGE   \* MERGEFORMAT </w:instrText>
            </w:r>
            <w:r w:rsidRPr="00B851EC">
              <w:rPr>
                <w:color w:val="2E74B5" w:themeColor="accent1" w:themeShade="BF"/>
                <w:sz w:val="18"/>
                <w:szCs w:val="18"/>
              </w:rPr>
              <w:fldChar w:fldCharType="separate"/>
            </w:r>
            <w:r w:rsidR="009E399B">
              <w:rPr>
                <w:noProof/>
                <w:color w:val="2E74B5" w:themeColor="accent1" w:themeShade="BF"/>
                <w:sz w:val="18"/>
                <w:szCs w:val="18"/>
              </w:rPr>
              <w:t>3</w:t>
            </w:r>
            <w:r w:rsidRPr="00B851EC">
              <w:rPr>
                <w:noProof/>
                <w:color w:val="2E74B5" w:themeColor="accent1" w:themeShade="BF"/>
                <w:sz w:val="18"/>
                <w:szCs w:val="18"/>
              </w:rPr>
              <w:fldChar w:fldCharType="end"/>
            </w:r>
          </w:p>
        </w:sdtContent>
      </w:sdt>
      <w:p w14:paraId="5274584C" w14:textId="4C076832" w:rsidR="00162556" w:rsidRDefault="008F4F54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3CE9" w14:textId="77777777" w:rsidR="00997AA1" w:rsidRDefault="00997AA1" w:rsidP="00162556">
      <w:pPr>
        <w:spacing w:after="0" w:line="240" w:lineRule="auto"/>
      </w:pPr>
      <w:r>
        <w:separator/>
      </w:r>
    </w:p>
  </w:footnote>
  <w:footnote w:type="continuationSeparator" w:id="0">
    <w:p w14:paraId="1642E564" w14:textId="77777777" w:rsidR="00997AA1" w:rsidRDefault="00997AA1" w:rsidP="0016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6F98" w14:textId="057F86BE" w:rsidR="00627829" w:rsidRDefault="00627829" w:rsidP="00627829">
    <w:pPr>
      <w:pStyle w:val="Header"/>
      <w:jc w:val="right"/>
    </w:pPr>
    <w:r w:rsidRPr="00C00F84">
      <w:rPr>
        <w:noProof/>
        <w:lang w:eastAsia="en-AU"/>
      </w:rPr>
      <w:drawing>
        <wp:inline distT="0" distB="0" distL="0" distR="0" wp14:anchorId="629D7B31" wp14:editId="4E8BE715">
          <wp:extent cx="1292225" cy="456565"/>
          <wp:effectExtent l="0" t="0" r="3175" b="635"/>
          <wp:docPr id="42" name="Picture 42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, company name&#10;&#10;Description automatically generated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0D99B" w14:textId="77777777" w:rsidR="00627829" w:rsidRDefault="00627829" w:rsidP="006278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F7203"/>
    <w:multiLevelType w:val="hybridMultilevel"/>
    <w:tmpl w:val="713EF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71439"/>
    <w:multiLevelType w:val="hybridMultilevel"/>
    <w:tmpl w:val="FB6C0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03FC"/>
    <w:multiLevelType w:val="hybridMultilevel"/>
    <w:tmpl w:val="0A98A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8D"/>
    <w:rsid w:val="00032108"/>
    <w:rsid w:val="00037A1E"/>
    <w:rsid w:val="0006146E"/>
    <w:rsid w:val="00096F43"/>
    <w:rsid w:val="000C43C2"/>
    <w:rsid w:val="000D0C28"/>
    <w:rsid w:val="000D78DD"/>
    <w:rsid w:val="00162556"/>
    <w:rsid w:val="00167B3C"/>
    <w:rsid w:val="0018147A"/>
    <w:rsid w:val="001A3110"/>
    <w:rsid w:val="00221B75"/>
    <w:rsid w:val="0023591B"/>
    <w:rsid w:val="00235EBF"/>
    <w:rsid w:val="002515B5"/>
    <w:rsid w:val="002C1F2F"/>
    <w:rsid w:val="002D5247"/>
    <w:rsid w:val="002E5CBF"/>
    <w:rsid w:val="0031624D"/>
    <w:rsid w:val="00331F6A"/>
    <w:rsid w:val="00343125"/>
    <w:rsid w:val="003555AF"/>
    <w:rsid w:val="00356A95"/>
    <w:rsid w:val="003610D2"/>
    <w:rsid w:val="0036231D"/>
    <w:rsid w:val="00381906"/>
    <w:rsid w:val="0040088E"/>
    <w:rsid w:val="00415161"/>
    <w:rsid w:val="004415CA"/>
    <w:rsid w:val="0049378D"/>
    <w:rsid w:val="004A4C1C"/>
    <w:rsid w:val="0053799A"/>
    <w:rsid w:val="00540EA0"/>
    <w:rsid w:val="005705EA"/>
    <w:rsid w:val="005B365B"/>
    <w:rsid w:val="005E445C"/>
    <w:rsid w:val="00606318"/>
    <w:rsid w:val="00627829"/>
    <w:rsid w:val="006F15C8"/>
    <w:rsid w:val="00711D48"/>
    <w:rsid w:val="00747583"/>
    <w:rsid w:val="00751A1B"/>
    <w:rsid w:val="007966C1"/>
    <w:rsid w:val="007A22C2"/>
    <w:rsid w:val="007B4F71"/>
    <w:rsid w:val="007C7A0C"/>
    <w:rsid w:val="007E7887"/>
    <w:rsid w:val="007F36B6"/>
    <w:rsid w:val="007F40EB"/>
    <w:rsid w:val="00816E60"/>
    <w:rsid w:val="00866901"/>
    <w:rsid w:val="00894C33"/>
    <w:rsid w:val="008A61A9"/>
    <w:rsid w:val="008C4F7B"/>
    <w:rsid w:val="008E48E1"/>
    <w:rsid w:val="008F4F54"/>
    <w:rsid w:val="009752AB"/>
    <w:rsid w:val="00983CF1"/>
    <w:rsid w:val="00997AA1"/>
    <w:rsid w:val="009E399B"/>
    <w:rsid w:val="009F3336"/>
    <w:rsid w:val="00A25393"/>
    <w:rsid w:val="00A56A44"/>
    <w:rsid w:val="00AA6D55"/>
    <w:rsid w:val="00AD306C"/>
    <w:rsid w:val="00AF1FC3"/>
    <w:rsid w:val="00B1057F"/>
    <w:rsid w:val="00B20179"/>
    <w:rsid w:val="00B3028C"/>
    <w:rsid w:val="00B40876"/>
    <w:rsid w:val="00B40C32"/>
    <w:rsid w:val="00B47B58"/>
    <w:rsid w:val="00B5051D"/>
    <w:rsid w:val="00B90573"/>
    <w:rsid w:val="00B97162"/>
    <w:rsid w:val="00BD1657"/>
    <w:rsid w:val="00BD67C9"/>
    <w:rsid w:val="00C251E6"/>
    <w:rsid w:val="00C4159D"/>
    <w:rsid w:val="00C757B5"/>
    <w:rsid w:val="00CB0C67"/>
    <w:rsid w:val="00CB374F"/>
    <w:rsid w:val="00CB4A46"/>
    <w:rsid w:val="00CC6977"/>
    <w:rsid w:val="00CD6DA1"/>
    <w:rsid w:val="00D04520"/>
    <w:rsid w:val="00D1620D"/>
    <w:rsid w:val="00D17FE9"/>
    <w:rsid w:val="00D86479"/>
    <w:rsid w:val="00D87C13"/>
    <w:rsid w:val="00DB406D"/>
    <w:rsid w:val="00DC5D2B"/>
    <w:rsid w:val="00DD68A3"/>
    <w:rsid w:val="00E046A8"/>
    <w:rsid w:val="00E43E52"/>
    <w:rsid w:val="00E46BA6"/>
    <w:rsid w:val="00E50D2C"/>
    <w:rsid w:val="00E600F0"/>
    <w:rsid w:val="00E8587F"/>
    <w:rsid w:val="00EB03CB"/>
    <w:rsid w:val="00EE0B67"/>
    <w:rsid w:val="00EE549F"/>
    <w:rsid w:val="00F73D90"/>
    <w:rsid w:val="00FB2C02"/>
    <w:rsid w:val="00FD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2E5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8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CB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56"/>
  </w:style>
  <w:style w:type="paragraph" w:styleId="Footer">
    <w:name w:val="footer"/>
    <w:basedOn w:val="Normal"/>
    <w:link w:val="FooterChar"/>
    <w:uiPriority w:val="99"/>
    <w:unhideWhenUsed/>
    <w:rsid w:val="0016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56"/>
  </w:style>
  <w:style w:type="character" w:styleId="Hyperlink">
    <w:name w:val="Hyperlink"/>
    <w:basedOn w:val="DefaultParagraphFont"/>
    <w:uiPriority w:val="99"/>
    <w:unhideWhenUsed/>
    <w:rsid w:val="006278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ri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C06E-011F-49C5-8031-6DCC8736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2023-01-30T22:25:00Z</dcterms:created>
  <dcterms:modified xsi:type="dcterms:W3CDTF">2023-01-30T22:26:00Z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2023-01-30T22:26:00Z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70ddb682-38a1-4735-8372-034e93be86a5</vt:lpwstr>
  </property>
  <property fmtid="{D5CDD505-2E9C-101B-9397-08002B2CF9AE}" pid="8" name="MSIP_Label_79d889eb-932f-4752-8739-64d25806ef64_ContentBits">
    <vt:lpwstr>0</vt:lpwstr>
  </property>
</Properties>
</file>