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B87F" w14:textId="721A23CB" w:rsidR="00D758E9" w:rsidRPr="007C25F2" w:rsidRDefault="007C25F2" w:rsidP="00E2634F">
      <w:pPr>
        <w:spacing w:after="0"/>
        <w:rPr>
          <w:b/>
          <w:bCs/>
        </w:rPr>
      </w:pPr>
      <w:r w:rsidRPr="00E2634F">
        <w:rPr>
          <w:b/>
          <w:bCs/>
          <w:sz w:val="28"/>
          <w:szCs w:val="28"/>
        </w:rPr>
        <w:t>Submission to Consultation on the Accord Terms of Reference</w:t>
      </w:r>
    </w:p>
    <w:p w14:paraId="4D9B820F" w14:textId="188CBCF5" w:rsidR="007C25F2" w:rsidRDefault="00A15F51" w:rsidP="00E2634F">
      <w:pPr>
        <w:spacing w:after="0"/>
      </w:pPr>
      <w:r>
        <w:t>Gwilym Croucher</w:t>
      </w:r>
    </w:p>
    <w:p w14:paraId="2E057EC5" w14:textId="154199CA" w:rsidR="00A15F51" w:rsidRDefault="00A15F51" w:rsidP="00E2634F">
      <w:pPr>
        <w:spacing w:after="0"/>
      </w:pPr>
      <w:r>
        <w:t>Associate Professor, Melbourne Centre for the Study of Higher Education</w:t>
      </w:r>
    </w:p>
    <w:p w14:paraId="41E1A656" w14:textId="2CB4C565" w:rsidR="00A15F51" w:rsidRDefault="00A15F51" w:rsidP="00E2634F">
      <w:pPr>
        <w:spacing w:after="0"/>
      </w:pPr>
      <w:r>
        <w:t>Vin Massaro</w:t>
      </w:r>
    </w:p>
    <w:p w14:paraId="5DF224B9" w14:textId="17B4915D" w:rsidR="00A15F51" w:rsidRDefault="00A15F51" w:rsidP="00FE5A1D">
      <w:r>
        <w:t>Professorial Fellow, Melbourne Centre for the Study of Higher Education</w:t>
      </w:r>
    </w:p>
    <w:p w14:paraId="4A5D3BD9" w14:textId="77777777" w:rsidR="00A15F51" w:rsidRDefault="00A15F51" w:rsidP="00FE5A1D"/>
    <w:p w14:paraId="5DA21B5E" w14:textId="02FA8F12" w:rsidR="007D1094" w:rsidRDefault="008A3FE2" w:rsidP="00FE5A1D">
      <w:r>
        <w:t xml:space="preserve">The Accord is an opportunity for the Panel to address some of the major structural and policy issues to be resolved to achieve a coherent vision for the higher and tertiary education sector that will be sufficiently adaptable to meet changing needs. </w:t>
      </w:r>
      <w:r w:rsidR="00796F21">
        <w:t xml:space="preserve">In responding to </w:t>
      </w:r>
      <w:r w:rsidR="00FE5A1D">
        <w:t xml:space="preserve">the </w:t>
      </w:r>
      <w:r w:rsidR="00796F21">
        <w:t>consult</w:t>
      </w:r>
      <w:r w:rsidR="00C86F2F">
        <w:t>ation</w:t>
      </w:r>
      <w:r w:rsidR="00796F21">
        <w:t xml:space="preserve"> on the</w:t>
      </w:r>
      <w:r w:rsidR="00C86F2F">
        <w:t xml:space="preserve"> T</w:t>
      </w:r>
      <w:r w:rsidR="00796F21">
        <w:t xml:space="preserve">erms of </w:t>
      </w:r>
      <w:r w:rsidR="00C86F2F">
        <w:t>R</w:t>
      </w:r>
      <w:r w:rsidR="00796F21">
        <w:t xml:space="preserve">eference for the </w:t>
      </w:r>
      <w:r w:rsidR="002E3446">
        <w:t xml:space="preserve">Universities </w:t>
      </w:r>
      <w:r w:rsidR="00796F21">
        <w:t>Accord</w:t>
      </w:r>
      <w:r w:rsidR="00FE5A1D">
        <w:t xml:space="preserve"> (</w:t>
      </w:r>
      <w:proofErr w:type="spellStart"/>
      <w:r w:rsidR="00FE5A1D">
        <w:t>T</w:t>
      </w:r>
      <w:r w:rsidR="0034229B">
        <w:t>o</w:t>
      </w:r>
      <w:r w:rsidR="00FE5A1D">
        <w:t>R</w:t>
      </w:r>
      <w:proofErr w:type="spellEnd"/>
      <w:r w:rsidR="00FE5A1D">
        <w:t>)</w:t>
      </w:r>
      <w:r w:rsidR="00834C5C">
        <w:t xml:space="preserve"> </w:t>
      </w:r>
      <w:r w:rsidR="00796F21">
        <w:t xml:space="preserve">this submission focuses </w:t>
      </w:r>
      <w:r w:rsidR="00FE5A1D">
        <w:t>on</w:t>
      </w:r>
      <w:r w:rsidR="00C86F2F">
        <w:t xml:space="preserve"> principles </w:t>
      </w:r>
      <w:r w:rsidR="00FE5A1D">
        <w:t xml:space="preserve">and considerations </w:t>
      </w:r>
      <w:r w:rsidR="00C86F2F">
        <w:t xml:space="preserve">that might </w:t>
      </w:r>
      <w:r w:rsidR="00FE5A1D">
        <w:t xml:space="preserve">assist </w:t>
      </w:r>
      <w:r w:rsidR="002E3446">
        <w:t xml:space="preserve">in </w:t>
      </w:r>
      <w:r w:rsidR="00C86F2F">
        <w:t>refin</w:t>
      </w:r>
      <w:r w:rsidR="00FE5A1D">
        <w:t xml:space="preserve">ing the </w:t>
      </w:r>
      <w:proofErr w:type="spellStart"/>
      <w:r w:rsidR="00C86F2F">
        <w:t>T</w:t>
      </w:r>
      <w:r w:rsidR="0002272D">
        <w:t>o</w:t>
      </w:r>
      <w:r w:rsidR="00C86F2F">
        <w:t>R</w:t>
      </w:r>
      <w:proofErr w:type="spellEnd"/>
      <w:r w:rsidR="00FE5A1D">
        <w:t xml:space="preserve"> and scope of the Accord</w:t>
      </w:r>
      <w:r w:rsidR="007D1094">
        <w:t>, rather than offering detailed suggestion</w:t>
      </w:r>
      <w:r w:rsidR="00A15F51">
        <w:t>s</w:t>
      </w:r>
      <w:r w:rsidR="007D1094">
        <w:t xml:space="preserve"> for change</w:t>
      </w:r>
      <w:r w:rsidR="00A15F51">
        <w:t xml:space="preserve"> in specific areas</w:t>
      </w:r>
      <w:r w:rsidR="00C86F2F">
        <w:t>.</w:t>
      </w:r>
    </w:p>
    <w:p w14:paraId="62DC8624" w14:textId="4F9B13B8" w:rsidR="00CD6CD5" w:rsidRDefault="00C86F2F" w:rsidP="00FE5A1D">
      <w:pPr>
        <w:rPr>
          <w:rFonts w:eastAsia="Times New Roman"/>
        </w:rPr>
      </w:pPr>
      <w:r>
        <w:t xml:space="preserve">The proposed </w:t>
      </w:r>
      <w:proofErr w:type="spellStart"/>
      <w:r w:rsidR="00FE5A1D">
        <w:t>T</w:t>
      </w:r>
      <w:r w:rsidR="0034229B">
        <w:t>o</w:t>
      </w:r>
      <w:r w:rsidR="00FE5A1D">
        <w:t>R</w:t>
      </w:r>
      <w:proofErr w:type="spellEnd"/>
      <w:r w:rsidR="00FE5A1D">
        <w:t xml:space="preserve"> </w:t>
      </w:r>
      <w:r w:rsidR="00265962">
        <w:t xml:space="preserve">set out </w:t>
      </w:r>
      <w:r>
        <w:t xml:space="preserve">broad </w:t>
      </w:r>
      <w:r w:rsidR="00265962">
        <w:t>priorities</w:t>
      </w:r>
      <w:r>
        <w:t>, suggest</w:t>
      </w:r>
      <w:r w:rsidR="007D1094">
        <w:t>ing</w:t>
      </w:r>
      <w:r>
        <w:t xml:space="preserve"> that </w:t>
      </w:r>
      <w:r w:rsidR="00C86C8C">
        <w:t xml:space="preserve">in framing the </w:t>
      </w:r>
      <w:r>
        <w:t>Accord</w:t>
      </w:r>
      <w:r w:rsidR="00FE5A1D">
        <w:t xml:space="preserve"> </w:t>
      </w:r>
      <w:r w:rsidR="00C86C8C">
        <w:t xml:space="preserve">the </w:t>
      </w:r>
      <w:r w:rsidR="008A3FE2">
        <w:t>G</w:t>
      </w:r>
      <w:r w:rsidR="00C86C8C">
        <w:t>overnment aspires</w:t>
      </w:r>
      <w:r>
        <w:t xml:space="preserve"> </w:t>
      </w:r>
      <w:r w:rsidR="003416FC">
        <w:t xml:space="preserve">to achieve </w:t>
      </w:r>
      <w:r w:rsidR="00A15F51">
        <w:t xml:space="preserve">major </w:t>
      </w:r>
      <w:r>
        <w:t>change in the higher and tertiary education system</w:t>
      </w:r>
      <w:r w:rsidR="00834C5C">
        <w:t xml:space="preserve">. </w:t>
      </w:r>
      <w:r w:rsidR="00CD6CD5">
        <w:t>P</w:t>
      </w:r>
      <w:r>
        <w:t xml:space="preserve">riority areas such as </w:t>
      </w:r>
      <w:r>
        <w:rPr>
          <w:i/>
          <w:iCs/>
        </w:rPr>
        <w:t>m</w:t>
      </w:r>
      <w:r w:rsidR="00265962" w:rsidRPr="00C86F2F">
        <w:rPr>
          <w:i/>
          <w:iCs/>
        </w:rPr>
        <w:t>eeting Australia’s knowledge and skills needs, now and in the future</w:t>
      </w:r>
      <w:r>
        <w:t xml:space="preserve">, </w:t>
      </w:r>
      <w:r w:rsidR="00CD6CD5">
        <w:rPr>
          <w:i/>
          <w:iCs/>
        </w:rPr>
        <w:t>a</w:t>
      </w:r>
      <w:r w:rsidR="00265962" w:rsidRPr="00C86F2F">
        <w:rPr>
          <w:i/>
          <w:iCs/>
        </w:rPr>
        <w:t>ccess and opportunity</w:t>
      </w:r>
      <w:r>
        <w:t xml:space="preserve"> and </w:t>
      </w:r>
      <w:r w:rsidR="00265962" w:rsidRPr="00C86F2F">
        <w:rPr>
          <w:i/>
          <w:iCs/>
        </w:rPr>
        <w:t>Investment and affordability</w:t>
      </w:r>
      <w:r w:rsidR="00E80DE5">
        <w:rPr>
          <w:i/>
          <w:iCs/>
        </w:rPr>
        <w:t xml:space="preserve"> </w:t>
      </w:r>
      <w:r w:rsidR="00E80DE5">
        <w:t xml:space="preserve">are </w:t>
      </w:r>
      <w:r w:rsidR="00CD6CD5">
        <w:t xml:space="preserve">clearly </w:t>
      </w:r>
      <w:r w:rsidR="00E80DE5">
        <w:t>important</w:t>
      </w:r>
      <w:r w:rsidR="00A15F51">
        <w:t>.</w:t>
      </w:r>
      <w:r w:rsidR="009D6021">
        <w:t xml:space="preserve"> </w:t>
      </w:r>
      <w:r w:rsidR="00A15F51">
        <w:t>Y</w:t>
      </w:r>
      <w:r w:rsidR="009D6021">
        <w:t xml:space="preserve">et </w:t>
      </w:r>
      <w:r w:rsidR="00A15F51">
        <w:t xml:space="preserve">these </w:t>
      </w:r>
      <w:r w:rsidR="00CD6CD5">
        <w:rPr>
          <w:rFonts w:eastAsia="Times New Roman"/>
        </w:rPr>
        <w:t xml:space="preserve">are </w:t>
      </w:r>
      <w:r w:rsidR="00CD6CD5">
        <w:t xml:space="preserve">broad to a degree that interpretation may vary significantly between stakeholders, and hence provide little guidance </w:t>
      </w:r>
      <w:r w:rsidR="002E3446">
        <w:t xml:space="preserve">on </w:t>
      </w:r>
      <w:r w:rsidR="00CD6CD5">
        <w:t xml:space="preserve">where to focus the resources that the </w:t>
      </w:r>
      <w:r w:rsidR="00597967">
        <w:t>Accord P</w:t>
      </w:r>
      <w:r w:rsidR="00CD6CD5">
        <w:t>anel have at their disposal.</w:t>
      </w:r>
      <w:r w:rsidR="00CD6CD5">
        <w:rPr>
          <w:rFonts w:eastAsia="Times New Roman"/>
        </w:rPr>
        <w:t xml:space="preserve"> </w:t>
      </w:r>
      <w:r w:rsidR="009D6021">
        <w:t>T</w:t>
      </w:r>
      <w:r w:rsidR="00CD6CD5">
        <w:rPr>
          <w:rFonts w:eastAsia="Times New Roman"/>
        </w:rPr>
        <w:t xml:space="preserve">here are specific </w:t>
      </w:r>
      <w:r w:rsidR="00A15F51">
        <w:rPr>
          <w:rFonts w:eastAsia="Times New Roman"/>
        </w:rPr>
        <w:t xml:space="preserve">but discrete </w:t>
      </w:r>
      <w:r w:rsidR="00CD6CD5">
        <w:rPr>
          <w:rFonts w:eastAsia="Times New Roman"/>
        </w:rPr>
        <w:t>issues that need to be resolved</w:t>
      </w:r>
      <w:r w:rsidR="00A15F51">
        <w:rPr>
          <w:rFonts w:eastAsia="Times New Roman"/>
        </w:rPr>
        <w:t>, that also compete for resources and attention in the policy reform process</w:t>
      </w:r>
      <w:r w:rsidR="009D6021">
        <w:rPr>
          <w:rFonts w:eastAsia="Times New Roman"/>
        </w:rPr>
        <w:t xml:space="preserve">. </w:t>
      </w:r>
    </w:p>
    <w:p w14:paraId="01A9076B" w14:textId="1E3474CC" w:rsidR="00FE5A1D" w:rsidRDefault="009D6021" w:rsidP="00A15F51">
      <w:pPr>
        <w:rPr>
          <w:rFonts w:eastAsia="Times New Roman"/>
        </w:rPr>
      </w:pPr>
      <w:r>
        <w:rPr>
          <w:rFonts w:eastAsia="Times New Roman"/>
        </w:rPr>
        <w:t xml:space="preserve">Refining the focus areas for the Accord that are specified and achievable would benefit from the application of </w:t>
      </w:r>
      <w:r>
        <w:t>principles and considerations</w:t>
      </w:r>
      <w:r w:rsidR="00834C5C">
        <w:t>, such as those set out here. T</w:t>
      </w:r>
      <w:r w:rsidR="00A15F51">
        <w:t xml:space="preserve">hese are offered </w:t>
      </w:r>
      <w:r w:rsidR="00834C5C">
        <w:t xml:space="preserve">in acknowledgement of what is </w:t>
      </w:r>
      <w:r>
        <w:t xml:space="preserve">likely the central </w:t>
      </w:r>
      <w:r>
        <w:rPr>
          <w:rFonts w:eastAsia="Times New Roman"/>
        </w:rPr>
        <w:t>question facing Australian higher education</w:t>
      </w:r>
      <w:r w:rsidR="00A15F51">
        <w:rPr>
          <w:rFonts w:eastAsia="Times New Roman"/>
        </w:rPr>
        <w:t xml:space="preserve"> in the immediate term</w:t>
      </w:r>
      <w:r>
        <w:rPr>
          <w:rFonts w:eastAsia="Times New Roman"/>
        </w:rPr>
        <w:t xml:space="preserve">: </w:t>
      </w:r>
      <w:r w:rsidR="00D758E9" w:rsidRPr="00D72017">
        <w:rPr>
          <w:rFonts w:eastAsia="Times New Roman"/>
        </w:rPr>
        <w:t xml:space="preserve">In a resource constrained environment, </w:t>
      </w:r>
      <w:r w:rsidR="00E80DE5">
        <w:rPr>
          <w:rFonts w:eastAsia="Times New Roman"/>
        </w:rPr>
        <w:t xml:space="preserve">with natural growth in student numbers likely to require </w:t>
      </w:r>
      <w:r w:rsidR="00E010DF">
        <w:rPr>
          <w:rFonts w:eastAsia="Times New Roman"/>
        </w:rPr>
        <w:t xml:space="preserve">tens of thousands of </w:t>
      </w:r>
      <w:r w:rsidR="00E80DE5">
        <w:rPr>
          <w:rFonts w:eastAsia="Times New Roman"/>
        </w:rPr>
        <w:t>extra places</w:t>
      </w:r>
      <w:r>
        <w:rPr>
          <w:rFonts w:eastAsia="Times New Roman"/>
        </w:rPr>
        <w:t xml:space="preserve"> in the near future</w:t>
      </w:r>
      <w:r w:rsidR="00E80DE5">
        <w:rPr>
          <w:rFonts w:eastAsia="Times New Roman"/>
        </w:rPr>
        <w:t xml:space="preserve">, </w:t>
      </w:r>
      <w:r w:rsidR="009768AD">
        <w:t xml:space="preserve">how can Australia </w:t>
      </w:r>
      <w:r w:rsidR="00D758E9" w:rsidRPr="00D72017">
        <w:t xml:space="preserve">best </w:t>
      </w:r>
      <w:r w:rsidR="009768AD">
        <w:rPr>
          <w:rFonts w:eastAsia="Times New Roman"/>
        </w:rPr>
        <w:t>p</w:t>
      </w:r>
      <w:r w:rsidR="00D758E9" w:rsidRPr="00D72017">
        <w:rPr>
          <w:rFonts w:eastAsia="Times New Roman"/>
        </w:rPr>
        <w:t xml:space="preserve">rovide the widest availability of higher education to those who can benefit from </w:t>
      </w:r>
      <w:r w:rsidR="00D72017">
        <w:rPr>
          <w:rFonts w:eastAsia="Times New Roman"/>
        </w:rPr>
        <w:t>study</w:t>
      </w:r>
      <w:r w:rsidR="00F76B1E">
        <w:rPr>
          <w:rFonts w:eastAsia="Times New Roman"/>
        </w:rPr>
        <w:t>,</w:t>
      </w:r>
      <w:r w:rsidR="00D72017">
        <w:rPr>
          <w:rFonts w:eastAsia="Times New Roman"/>
        </w:rPr>
        <w:t xml:space="preserve"> </w:t>
      </w:r>
      <w:r w:rsidR="00D72017" w:rsidRPr="00D72017">
        <w:rPr>
          <w:rFonts w:eastAsia="Times New Roman"/>
        </w:rPr>
        <w:t>while</w:t>
      </w:r>
      <w:r w:rsidR="00D758E9" w:rsidRPr="00D72017">
        <w:rPr>
          <w:rFonts w:eastAsia="Times New Roman"/>
        </w:rPr>
        <w:t xml:space="preserve"> </w:t>
      </w:r>
      <w:r w:rsidR="00D72017">
        <w:rPr>
          <w:rFonts w:eastAsia="Times New Roman"/>
        </w:rPr>
        <w:t xml:space="preserve">meaningfully </w:t>
      </w:r>
      <w:r w:rsidR="00D758E9" w:rsidRPr="00D72017">
        <w:rPr>
          <w:rFonts w:eastAsia="Times New Roman"/>
        </w:rPr>
        <w:t>addressing structural disadvantage</w:t>
      </w:r>
      <w:r w:rsidR="00E862A1">
        <w:rPr>
          <w:rFonts w:eastAsia="Times New Roman"/>
        </w:rPr>
        <w:t xml:space="preserve">, as well as </w:t>
      </w:r>
      <w:r w:rsidR="009768AD">
        <w:rPr>
          <w:rFonts w:eastAsia="Times New Roman"/>
        </w:rPr>
        <w:t>s</w:t>
      </w:r>
      <w:r w:rsidR="00D758E9" w:rsidRPr="00D72017">
        <w:rPr>
          <w:rFonts w:eastAsia="Times New Roman"/>
        </w:rPr>
        <w:t>ustain</w:t>
      </w:r>
      <w:r w:rsidR="00E862A1">
        <w:rPr>
          <w:rFonts w:eastAsia="Times New Roman"/>
        </w:rPr>
        <w:t>ing</w:t>
      </w:r>
      <w:r w:rsidR="00D758E9" w:rsidRPr="00D72017">
        <w:rPr>
          <w:rFonts w:eastAsia="Times New Roman"/>
        </w:rPr>
        <w:t xml:space="preserve"> university research effort</w:t>
      </w:r>
      <w:r w:rsidR="00E862A1">
        <w:rPr>
          <w:rFonts w:eastAsia="Times New Roman"/>
        </w:rPr>
        <w:t>s</w:t>
      </w:r>
      <w:r w:rsidR="00D758E9" w:rsidRPr="00D72017">
        <w:rPr>
          <w:rFonts w:eastAsia="Times New Roman"/>
        </w:rPr>
        <w:t xml:space="preserve"> without relying on international fee revenue</w:t>
      </w:r>
      <w:r w:rsidR="00B94AFF">
        <w:rPr>
          <w:rFonts w:eastAsia="Times New Roman"/>
        </w:rPr>
        <w:t>?</w:t>
      </w:r>
    </w:p>
    <w:p w14:paraId="5D717041" w14:textId="7AB21780" w:rsidR="00E13899" w:rsidRDefault="00E13899" w:rsidP="00A15F51">
      <w:pPr>
        <w:rPr>
          <w:rFonts w:eastAsia="Times New Roman"/>
        </w:rPr>
      </w:pPr>
      <w:r>
        <w:rPr>
          <w:rFonts w:eastAsia="Times New Roman"/>
        </w:rPr>
        <w:t xml:space="preserve">This submission details the following </w:t>
      </w:r>
      <w:r>
        <w:t xml:space="preserve">principles and considerations that might assist in refining the </w:t>
      </w:r>
      <w:proofErr w:type="spellStart"/>
      <w:r>
        <w:t>ToR</w:t>
      </w:r>
      <w:proofErr w:type="spellEnd"/>
      <w:r>
        <w:t xml:space="preserve"> and scope of the Accord</w:t>
      </w:r>
      <w:r w:rsidR="006B218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2180" w:rsidRPr="006B2180" w14:paraId="7BF87A47" w14:textId="77777777" w:rsidTr="006B2180">
        <w:trPr>
          <w:trHeight w:val="850"/>
        </w:trPr>
        <w:tc>
          <w:tcPr>
            <w:tcW w:w="9016" w:type="dxa"/>
          </w:tcPr>
          <w:p w14:paraId="570528BB" w14:textId="77777777" w:rsidR="006B2180" w:rsidRPr="006B2180" w:rsidRDefault="006B2180" w:rsidP="006B2180">
            <w:pPr>
              <w:pStyle w:val="ListParagraph"/>
              <w:numPr>
                <w:ilvl w:val="0"/>
                <w:numId w:val="4"/>
              </w:numPr>
              <w:rPr>
                <w:rFonts w:eastAsia="Times New Roman"/>
              </w:rPr>
            </w:pPr>
            <w:r w:rsidRPr="006B2180">
              <w:rPr>
                <w:rFonts w:eastAsia="Times New Roman"/>
              </w:rPr>
              <w:t xml:space="preserve">In designing an Accord structure, the perfect should not be the enemy of the </w:t>
            </w:r>
            <w:proofErr w:type="gramStart"/>
            <w:r w:rsidRPr="006B2180">
              <w:rPr>
                <w:rFonts w:eastAsia="Times New Roman"/>
              </w:rPr>
              <w:t>good, and</w:t>
            </w:r>
            <w:proofErr w:type="gramEnd"/>
            <w:r w:rsidRPr="006B2180">
              <w:rPr>
                <w:rFonts w:eastAsia="Times New Roman"/>
              </w:rPr>
              <w:t xml:space="preserve"> given the constraints of the current process getting the structural changes largely right should be prioritised, even if this leaves some issues unaddressed.</w:t>
            </w:r>
          </w:p>
        </w:tc>
      </w:tr>
      <w:tr w:rsidR="006B2180" w:rsidRPr="006B2180" w14:paraId="41256067" w14:textId="77777777" w:rsidTr="006B2180">
        <w:trPr>
          <w:trHeight w:val="619"/>
        </w:trPr>
        <w:tc>
          <w:tcPr>
            <w:tcW w:w="9016" w:type="dxa"/>
          </w:tcPr>
          <w:p w14:paraId="0677E8A9" w14:textId="77777777" w:rsidR="006B2180" w:rsidRPr="006B2180" w:rsidRDefault="006B2180" w:rsidP="006B2180">
            <w:pPr>
              <w:pStyle w:val="ListParagraph"/>
              <w:numPr>
                <w:ilvl w:val="0"/>
                <w:numId w:val="4"/>
              </w:numPr>
              <w:rPr>
                <w:rFonts w:eastAsia="Times New Roman"/>
              </w:rPr>
            </w:pPr>
            <w:r w:rsidRPr="006B2180">
              <w:rPr>
                <w:rFonts w:eastAsia="Times New Roman"/>
              </w:rPr>
              <w:t>Design of any proposed changes must be holistic and include attention to policy areas in addition to those directly aimed at universities and other higher education providers.</w:t>
            </w:r>
          </w:p>
        </w:tc>
      </w:tr>
      <w:tr w:rsidR="006B2180" w:rsidRPr="006B2180" w14:paraId="0717E762" w14:textId="77777777" w:rsidTr="006B2180">
        <w:trPr>
          <w:trHeight w:val="850"/>
        </w:trPr>
        <w:tc>
          <w:tcPr>
            <w:tcW w:w="9016" w:type="dxa"/>
          </w:tcPr>
          <w:p w14:paraId="51F0346C" w14:textId="77777777" w:rsidR="006B2180" w:rsidRPr="006B2180" w:rsidRDefault="006B2180" w:rsidP="006B2180">
            <w:pPr>
              <w:pStyle w:val="ListParagraph"/>
              <w:numPr>
                <w:ilvl w:val="0"/>
                <w:numId w:val="4"/>
              </w:numPr>
              <w:rPr>
                <w:rFonts w:eastAsia="Times New Roman"/>
              </w:rPr>
            </w:pPr>
            <w:r w:rsidRPr="006B2180">
              <w:rPr>
                <w:rFonts w:eastAsia="Times New Roman"/>
              </w:rPr>
              <w:t>Explicit consideration needs to be given to the ways changes to national policies incentivise higher education providers to respond, especially where this is contrary to the intentions of the policy.</w:t>
            </w:r>
          </w:p>
        </w:tc>
      </w:tr>
      <w:tr w:rsidR="006B2180" w:rsidRPr="006B2180" w14:paraId="14EA481B" w14:textId="77777777" w:rsidTr="006B2180">
        <w:trPr>
          <w:trHeight w:val="710"/>
        </w:trPr>
        <w:tc>
          <w:tcPr>
            <w:tcW w:w="9016" w:type="dxa"/>
          </w:tcPr>
          <w:p w14:paraId="3B144D67" w14:textId="77777777" w:rsidR="006B2180" w:rsidRPr="006B2180" w:rsidRDefault="006B2180" w:rsidP="006B2180">
            <w:pPr>
              <w:pStyle w:val="ListParagraph"/>
              <w:numPr>
                <w:ilvl w:val="0"/>
                <w:numId w:val="4"/>
              </w:numPr>
              <w:rPr>
                <w:rFonts w:eastAsia="Times New Roman"/>
              </w:rPr>
            </w:pPr>
            <w:r w:rsidRPr="006B2180">
              <w:rPr>
                <w:rFonts w:eastAsia="Times New Roman"/>
              </w:rPr>
              <w:t>The Accord process should examine how expert and technical advice will be provided through the full reform process, especially during implementation.</w:t>
            </w:r>
          </w:p>
        </w:tc>
      </w:tr>
      <w:tr w:rsidR="006B2180" w:rsidRPr="006B2180" w14:paraId="075F902B" w14:textId="77777777" w:rsidTr="006B2180">
        <w:trPr>
          <w:trHeight w:val="850"/>
        </w:trPr>
        <w:tc>
          <w:tcPr>
            <w:tcW w:w="9016" w:type="dxa"/>
          </w:tcPr>
          <w:p w14:paraId="7ADCE58F" w14:textId="77777777" w:rsidR="006B2180" w:rsidRPr="006B2180" w:rsidRDefault="006B2180" w:rsidP="006B2180">
            <w:pPr>
              <w:pStyle w:val="ListParagraph"/>
              <w:numPr>
                <w:ilvl w:val="0"/>
                <w:numId w:val="4"/>
              </w:numPr>
              <w:rPr>
                <w:rFonts w:eastAsia="Times New Roman"/>
              </w:rPr>
            </w:pPr>
            <w:r w:rsidRPr="006B2180">
              <w:rPr>
                <w:rFonts w:eastAsia="Times New Roman"/>
              </w:rPr>
              <w:t>There are urgent issues with the Job-ready Graduates package that can be fixed without affecting more substantive, longer term changes.</w:t>
            </w:r>
          </w:p>
        </w:tc>
      </w:tr>
    </w:tbl>
    <w:p w14:paraId="702F01EE" w14:textId="77777777" w:rsidR="006B2180" w:rsidRDefault="006B2180">
      <w:pPr>
        <w:rPr>
          <w:b/>
          <w:bCs/>
        </w:rPr>
      </w:pPr>
      <w:r>
        <w:rPr>
          <w:b/>
          <w:bCs/>
        </w:rPr>
        <w:br w:type="page"/>
      </w:r>
    </w:p>
    <w:p w14:paraId="785E1DB9" w14:textId="52E682A6" w:rsidR="00FE5A1D" w:rsidRDefault="002E3446" w:rsidP="00FE5A1D">
      <w:pPr>
        <w:pStyle w:val="ListParagraph"/>
        <w:numPr>
          <w:ilvl w:val="0"/>
          <w:numId w:val="1"/>
        </w:numPr>
        <w:rPr>
          <w:b/>
          <w:bCs/>
        </w:rPr>
      </w:pPr>
      <w:r>
        <w:rPr>
          <w:b/>
          <w:bCs/>
        </w:rPr>
        <w:lastRenderedPageBreak/>
        <w:t xml:space="preserve">In designing </w:t>
      </w:r>
      <w:r w:rsidR="009D565C">
        <w:rPr>
          <w:b/>
          <w:bCs/>
        </w:rPr>
        <w:t>an</w:t>
      </w:r>
      <w:r w:rsidR="009D6021">
        <w:rPr>
          <w:b/>
          <w:bCs/>
        </w:rPr>
        <w:t xml:space="preserve"> </w:t>
      </w:r>
      <w:r w:rsidR="00E347BA">
        <w:rPr>
          <w:b/>
          <w:bCs/>
        </w:rPr>
        <w:t xml:space="preserve">Accord </w:t>
      </w:r>
      <w:r w:rsidR="009D565C">
        <w:rPr>
          <w:b/>
          <w:bCs/>
        </w:rPr>
        <w:t xml:space="preserve">structure, </w:t>
      </w:r>
      <w:r w:rsidR="009D6021">
        <w:rPr>
          <w:b/>
          <w:bCs/>
        </w:rPr>
        <w:t xml:space="preserve">the </w:t>
      </w:r>
      <w:r w:rsidR="00137F36">
        <w:rPr>
          <w:b/>
          <w:bCs/>
        </w:rPr>
        <w:t xml:space="preserve">perfect should not be the enemy of the </w:t>
      </w:r>
      <w:proofErr w:type="gramStart"/>
      <w:r w:rsidR="00137F36">
        <w:rPr>
          <w:b/>
          <w:bCs/>
        </w:rPr>
        <w:t>good</w:t>
      </w:r>
      <w:r w:rsidR="00E347BA">
        <w:rPr>
          <w:b/>
          <w:bCs/>
        </w:rPr>
        <w:t>, and</w:t>
      </w:r>
      <w:proofErr w:type="gramEnd"/>
      <w:r w:rsidR="00E347BA">
        <w:rPr>
          <w:b/>
          <w:bCs/>
        </w:rPr>
        <w:t xml:space="preserve"> </w:t>
      </w:r>
      <w:r w:rsidR="00313738">
        <w:rPr>
          <w:b/>
          <w:bCs/>
        </w:rPr>
        <w:t>g</w:t>
      </w:r>
      <w:r w:rsidR="002D1E80">
        <w:rPr>
          <w:b/>
          <w:bCs/>
        </w:rPr>
        <w:t>iven the constraints</w:t>
      </w:r>
      <w:r w:rsidR="00137F36">
        <w:rPr>
          <w:b/>
          <w:bCs/>
        </w:rPr>
        <w:t xml:space="preserve"> </w:t>
      </w:r>
      <w:r w:rsidR="00E347BA">
        <w:rPr>
          <w:b/>
          <w:bCs/>
        </w:rPr>
        <w:t xml:space="preserve">of the current process </w:t>
      </w:r>
      <w:r w:rsidR="00137F36">
        <w:rPr>
          <w:b/>
          <w:bCs/>
        </w:rPr>
        <w:t xml:space="preserve">getting the </w:t>
      </w:r>
      <w:r w:rsidR="002D1E80" w:rsidRPr="002D1E80">
        <w:rPr>
          <w:b/>
          <w:bCs/>
        </w:rPr>
        <w:t xml:space="preserve">structural changes </w:t>
      </w:r>
      <w:r w:rsidR="00137F36">
        <w:rPr>
          <w:b/>
          <w:bCs/>
        </w:rPr>
        <w:t xml:space="preserve">largely right </w:t>
      </w:r>
      <w:r w:rsidR="002D1E80" w:rsidRPr="002D1E80">
        <w:rPr>
          <w:b/>
          <w:bCs/>
        </w:rPr>
        <w:t>should be prioritised</w:t>
      </w:r>
      <w:r w:rsidR="00137F36">
        <w:rPr>
          <w:b/>
          <w:bCs/>
        </w:rPr>
        <w:t>, even if this leaves some issues unaddressed</w:t>
      </w:r>
      <w:r w:rsidR="00786200">
        <w:rPr>
          <w:b/>
          <w:bCs/>
        </w:rPr>
        <w:t>.</w:t>
      </w:r>
    </w:p>
    <w:p w14:paraId="42C7E1A1" w14:textId="6372C93B" w:rsidR="00834C5C" w:rsidRDefault="00FE5A1D" w:rsidP="00FE5A1D">
      <w:r w:rsidRPr="00FE5A1D">
        <w:t>G</w:t>
      </w:r>
      <w:r>
        <w:t>iven the</w:t>
      </w:r>
      <w:r w:rsidRPr="00E2634F">
        <w:rPr>
          <w:color w:val="FF0000"/>
        </w:rPr>
        <w:t xml:space="preserve"> </w:t>
      </w:r>
      <w:r>
        <w:t>scope for the Accord process</w:t>
      </w:r>
      <w:r w:rsidR="009D6021">
        <w:t>,</w:t>
      </w:r>
      <w:r w:rsidR="00137F36">
        <w:t xml:space="preserve"> greater weight might be given to </w:t>
      </w:r>
      <w:r w:rsidR="00A15F51">
        <w:t xml:space="preserve">addressing </w:t>
      </w:r>
      <w:r w:rsidR="00137F36">
        <w:t xml:space="preserve">system </w:t>
      </w:r>
      <w:r w:rsidR="00A15F51">
        <w:t xml:space="preserve">level </w:t>
      </w:r>
      <w:r w:rsidR="00137F36">
        <w:t xml:space="preserve">issues that will have </w:t>
      </w:r>
      <w:r w:rsidR="008A3FE2">
        <w:t xml:space="preserve">significant </w:t>
      </w:r>
      <w:r w:rsidR="00137F36">
        <w:t xml:space="preserve">effects on </w:t>
      </w:r>
      <w:r w:rsidR="009D565C">
        <w:t xml:space="preserve">Australia’s </w:t>
      </w:r>
      <w:r w:rsidR="00137F36">
        <w:t xml:space="preserve">higher education and </w:t>
      </w:r>
      <w:r w:rsidR="00A15F51">
        <w:t xml:space="preserve">university </w:t>
      </w:r>
      <w:r w:rsidR="00137F36">
        <w:t>research effort</w:t>
      </w:r>
      <w:r w:rsidR="00A15F51">
        <w:t xml:space="preserve">, </w:t>
      </w:r>
      <w:r w:rsidR="00834C5C">
        <w:t xml:space="preserve">rather </w:t>
      </w:r>
      <w:r w:rsidR="00A15F51">
        <w:t>than seeking to address all area</w:t>
      </w:r>
      <w:r w:rsidR="009D565C">
        <w:t>s</w:t>
      </w:r>
      <w:r w:rsidR="00A15F51">
        <w:t xml:space="preserve"> where there is aspiration for change</w:t>
      </w:r>
      <w:r w:rsidR="00137F36">
        <w:t>.</w:t>
      </w:r>
      <w:r w:rsidR="00FB2CEC">
        <w:t xml:space="preserve"> </w:t>
      </w:r>
    </w:p>
    <w:p w14:paraId="507A09B8" w14:textId="54016D9B" w:rsidR="00A15F51" w:rsidRDefault="00834C5C" w:rsidP="00FE5A1D">
      <w:r>
        <w:t xml:space="preserve">It is worth noting that the </w:t>
      </w:r>
      <w:r w:rsidR="009D6021">
        <w:t xml:space="preserve">full set of recommendations of any major national higher education </w:t>
      </w:r>
      <w:r w:rsidR="00FB2CEC">
        <w:t>review</w:t>
      </w:r>
      <w:r w:rsidR="009D6021">
        <w:t xml:space="preserve"> </w:t>
      </w:r>
      <w:r w:rsidR="00FB2CEC">
        <w:t xml:space="preserve">have </w:t>
      </w:r>
      <w:r w:rsidR="009D6021">
        <w:t xml:space="preserve">not </w:t>
      </w:r>
      <w:r w:rsidR="00FB2CEC">
        <w:t>been fully implemented since the Murray and Ma</w:t>
      </w:r>
      <w:r w:rsidR="009D6021">
        <w:t>r</w:t>
      </w:r>
      <w:r w:rsidR="00FB2CEC">
        <w:t xml:space="preserve">tin reviews of the </w:t>
      </w:r>
      <w:r w:rsidR="00A15F51">
        <w:t xml:space="preserve">1950s and </w:t>
      </w:r>
      <w:r w:rsidR="00FB2CEC">
        <w:t xml:space="preserve">1960s, with subsequent </w:t>
      </w:r>
      <w:r w:rsidR="00A15F51">
        <w:t>reviews</w:t>
      </w:r>
      <w:r w:rsidR="00FB2CEC">
        <w:t xml:space="preserve"> either being effectively ignored or </w:t>
      </w:r>
      <w:r w:rsidR="00A15F51">
        <w:t xml:space="preserve">only </w:t>
      </w:r>
      <w:r w:rsidR="00FB2CEC">
        <w:t xml:space="preserve">delivered partially, such as the Bradley Review. </w:t>
      </w:r>
    </w:p>
    <w:p w14:paraId="1E558E1F" w14:textId="6ECED7F2" w:rsidR="00A15F51" w:rsidRDefault="00A15F51" w:rsidP="001B45E2">
      <w:r>
        <w:t>Where</w:t>
      </w:r>
      <w:r w:rsidR="007C20FA">
        <w:t xml:space="preserve"> higher education</w:t>
      </w:r>
      <w:r>
        <w:t xml:space="preserve"> policy </w:t>
      </w:r>
      <w:r w:rsidR="007C20FA">
        <w:t xml:space="preserve">changes have </w:t>
      </w:r>
      <w:r w:rsidR="008905B9">
        <w:t>been made</w:t>
      </w:r>
      <w:r>
        <w:t xml:space="preserve">, </w:t>
      </w:r>
      <w:r w:rsidR="008905B9">
        <w:t xml:space="preserve">they have often </w:t>
      </w:r>
      <w:r w:rsidR="009D565C">
        <w:t xml:space="preserve">been piecemeal to address a perceived current problem but have </w:t>
      </w:r>
      <w:r>
        <w:t xml:space="preserve">proven </w:t>
      </w:r>
      <w:r w:rsidR="00834C5C">
        <w:t xml:space="preserve">longer </w:t>
      </w:r>
      <w:r w:rsidR="008905B9">
        <w:t xml:space="preserve">lasting </w:t>
      </w:r>
      <w:r w:rsidR="00834C5C">
        <w:t>than intended</w:t>
      </w:r>
      <w:r>
        <w:t xml:space="preserve">, often despite </w:t>
      </w:r>
      <w:r w:rsidR="008905B9">
        <w:t xml:space="preserve">agreement for </w:t>
      </w:r>
      <w:r w:rsidR="009D565C">
        <w:t>periodic</w:t>
      </w:r>
      <w:r w:rsidR="008905B9">
        <w:t xml:space="preserve"> review</w:t>
      </w:r>
      <w:r w:rsidR="009D565C">
        <w:t xml:space="preserve"> and adjustment</w:t>
      </w:r>
      <w:r>
        <w:t xml:space="preserve">. For example, the </w:t>
      </w:r>
      <w:r w:rsidR="00526325">
        <w:t xml:space="preserve">CGS funding rates and </w:t>
      </w:r>
      <w:r>
        <w:t xml:space="preserve">permissible student contribution still echo assumptions </w:t>
      </w:r>
      <w:r w:rsidR="00526325">
        <w:t xml:space="preserve">about the cost of education that were </w:t>
      </w:r>
      <w:r>
        <w:t xml:space="preserve">made during the process that established the ‘relative funding model’ in the </w:t>
      </w:r>
      <w:r w:rsidR="009D565C">
        <w:t xml:space="preserve">early </w:t>
      </w:r>
      <w:r>
        <w:t>19</w:t>
      </w:r>
      <w:r w:rsidR="009D565C">
        <w:t>9</w:t>
      </w:r>
      <w:r>
        <w:t>0s</w:t>
      </w:r>
      <w:r w:rsidR="00D32207">
        <w:t>.</w:t>
      </w:r>
      <w:r w:rsidR="001B45E2">
        <w:t xml:space="preserve"> </w:t>
      </w:r>
      <w:r w:rsidR="00F76B1E">
        <w:t>A</w:t>
      </w:r>
      <w:r w:rsidR="001B45E2">
        <w:t xml:space="preserve"> major revision of the funding rates </w:t>
      </w:r>
      <w:r w:rsidR="00F76B1E">
        <w:t xml:space="preserve">was </w:t>
      </w:r>
      <w:r w:rsidR="001B45E2">
        <w:t xml:space="preserve">not fully attempted until 2020, with pervious changes </w:t>
      </w:r>
      <w:r w:rsidR="00F76B1E">
        <w:t xml:space="preserve">being </w:t>
      </w:r>
      <w:r w:rsidR="00E010DF">
        <w:t>incremental</w:t>
      </w:r>
      <w:r w:rsidR="008905B9">
        <w:t xml:space="preserve">, and despite surveys of the cost </w:t>
      </w:r>
      <w:r w:rsidR="00F76B1E">
        <w:t xml:space="preserve">of </w:t>
      </w:r>
      <w:r w:rsidR="008905B9">
        <w:t>education being commissioned several times during the last decade</w:t>
      </w:r>
      <w:r w:rsidR="00622E0D">
        <w:t xml:space="preserve">. </w:t>
      </w:r>
    </w:p>
    <w:p w14:paraId="187D384B" w14:textId="579299E1" w:rsidR="008905B9" w:rsidRDefault="00FB2CEC" w:rsidP="00FE5A1D">
      <w:r>
        <w:t xml:space="preserve">To </w:t>
      </w:r>
      <w:r w:rsidR="008905B9">
        <w:t xml:space="preserve">ensure that the </w:t>
      </w:r>
      <w:r>
        <w:t xml:space="preserve">lasting </w:t>
      </w:r>
      <w:r w:rsidR="008905B9">
        <w:t xml:space="preserve">outcomes from the </w:t>
      </w:r>
      <w:r w:rsidR="00A15F51">
        <w:t xml:space="preserve">Accord process </w:t>
      </w:r>
      <w:r w:rsidR="008905B9">
        <w:t xml:space="preserve">are those deemed most </w:t>
      </w:r>
      <w:r w:rsidR="00622E0D">
        <w:t>essential</w:t>
      </w:r>
      <w:r w:rsidR="008905B9">
        <w:t xml:space="preserve"> for Australian higher education, the process </w:t>
      </w:r>
      <w:r w:rsidR="00A15F51">
        <w:t xml:space="preserve">might </w:t>
      </w:r>
      <w:r>
        <w:t xml:space="preserve">focus on system </w:t>
      </w:r>
      <w:r w:rsidR="00A15F51">
        <w:t xml:space="preserve">level </w:t>
      </w:r>
      <w:r>
        <w:t>reform</w:t>
      </w:r>
      <w:r w:rsidR="0034229B">
        <w:t>s</w:t>
      </w:r>
      <w:r w:rsidR="008905B9">
        <w:t xml:space="preserve">, </w:t>
      </w:r>
      <w:r w:rsidR="009D565C">
        <w:t xml:space="preserve">such </w:t>
      </w:r>
      <w:r w:rsidR="008A3FE2">
        <w:t xml:space="preserve">as </w:t>
      </w:r>
      <w:r w:rsidR="00F76B1E">
        <w:t xml:space="preserve">those </w:t>
      </w:r>
      <w:r>
        <w:t>aimed at promoting a diverse system that is flexible enough to meet changing needs.</w:t>
      </w:r>
      <w:r w:rsidR="001B45E2">
        <w:t xml:space="preserve"> </w:t>
      </w:r>
      <w:r w:rsidR="007A394D">
        <w:t xml:space="preserve">Priority </w:t>
      </w:r>
      <w:r w:rsidR="00F76B1E">
        <w:t xml:space="preserve">should </w:t>
      </w:r>
      <w:r w:rsidR="007A394D">
        <w:t>be given to changes such as funding formulas and institutional remits, over seeking modest but important reforms, such as better supporting university innovation efforts or links to industry.</w:t>
      </w:r>
    </w:p>
    <w:p w14:paraId="12E94F2F" w14:textId="56B1C600" w:rsidR="00F76B1E" w:rsidRDefault="007A394D" w:rsidP="00FE5A1D">
      <w:r>
        <w:t xml:space="preserve">For example, if the Accord prioritises driving greater </w:t>
      </w:r>
      <w:r w:rsidRPr="002D1E80">
        <w:t>specialisation</w:t>
      </w:r>
      <w:r>
        <w:t xml:space="preserve"> of institutions, a</w:t>
      </w:r>
      <w:r w:rsidRPr="002D1E80">
        <w:t xml:space="preserve"> careful conversation </w:t>
      </w:r>
      <w:r>
        <w:t xml:space="preserve">is needed </w:t>
      </w:r>
      <w:r w:rsidRPr="002D1E80">
        <w:t>around</w:t>
      </w:r>
      <w:r>
        <w:t xml:space="preserve"> the full dimensions of this, especially ensuring that </w:t>
      </w:r>
      <w:r w:rsidRPr="002D1E80">
        <w:t xml:space="preserve">student and community </w:t>
      </w:r>
      <w:r>
        <w:t xml:space="preserve">are the first and foremost concern. It would need to consider </w:t>
      </w:r>
      <w:r w:rsidRPr="007A394D">
        <w:t>different models for structure and governance</w:t>
      </w:r>
      <w:r>
        <w:t>,</w:t>
      </w:r>
      <w:r w:rsidRPr="007A394D">
        <w:t xml:space="preserve"> </w:t>
      </w:r>
      <w:r>
        <w:t xml:space="preserve">alongside </w:t>
      </w:r>
      <w:r w:rsidR="00072211">
        <w:t xml:space="preserve">approaches for </w:t>
      </w:r>
      <w:r w:rsidRPr="007A394D">
        <w:t>funding</w:t>
      </w:r>
      <w:r w:rsidR="00072211">
        <w:t xml:space="preserve">, </w:t>
      </w:r>
      <w:r>
        <w:t xml:space="preserve">rather than </w:t>
      </w:r>
      <w:r w:rsidR="00072211">
        <w:t xml:space="preserve">a </w:t>
      </w:r>
      <w:r w:rsidR="00E010DF">
        <w:t>fragmentary</w:t>
      </w:r>
      <w:r>
        <w:t xml:space="preserve"> </w:t>
      </w:r>
      <w:r w:rsidR="00072211">
        <w:t xml:space="preserve">approach </w:t>
      </w:r>
      <w:r w:rsidR="00E010DF">
        <w:t>of</w:t>
      </w:r>
      <w:r w:rsidR="00072211">
        <w:t xml:space="preserve"> smaller </w:t>
      </w:r>
      <w:r>
        <w:t>programs or incentive schemes.</w:t>
      </w:r>
    </w:p>
    <w:p w14:paraId="4124E38F" w14:textId="080D542B" w:rsidR="007A394D" w:rsidRDefault="00072211" w:rsidP="00FE5A1D">
      <w:r>
        <w:t>Additionally, i</w:t>
      </w:r>
      <w:r w:rsidR="007A394D" w:rsidRPr="00D72017">
        <w:t xml:space="preserve">f </w:t>
      </w:r>
      <w:r>
        <w:t xml:space="preserve">attempts to seek greater </w:t>
      </w:r>
      <w:r w:rsidR="007A394D">
        <w:t>specialisation become only about the use of the term ‘university’</w:t>
      </w:r>
      <w:r w:rsidR="007A394D" w:rsidRPr="00D72017">
        <w:t xml:space="preserve">, </w:t>
      </w:r>
      <w:r w:rsidR="007A394D">
        <w:t xml:space="preserve">change may not come </w:t>
      </w:r>
      <w:r w:rsidR="007A394D" w:rsidRPr="00D72017">
        <w:t>fast</w:t>
      </w:r>
      <w:r w:rsidR="007A394D">
        <w:t>, especially if it excludes any possibility for the creation of new universities</w:t>
      </w:r>
      <w:r w:rsidR="007A394D" w:rsidRPr="00D72017">
        <w:t>.</w:t>
      </w:r>
      <w:r w:rsidR="007A394D">
        <w:t xml:space="preserve"> </w:t>
      </w:r>
      <w:r w:rsidR="007A394D" w:rsidRPr="00D72017">
        <w:t xml:space="preserve">More importantly for the </w:t>
      </w:r>
      <w:r>
        <w:t>long-term</w:t>
      </w:r>
      <w:r w:rsidR="007A394D">
        <w:t xml:space="preserve"> success of </w:t>
      </w:r>
      <w:r w:rsidR="00F76B1E">
        <w:t xml:space="preserve">an </w:t>
      </w:r>
      <w:r w:rsidR="007A394D">
        <w:t>Accord</w:t>
      </w:r>
      <w:r w:rsidR="007A394D" w:rsidRPr="00D72017">
        <w:t xml:space="preserve"> </w:t>
      </w:r>
      <w:r>
        <w:t xml:space="preserve">that seeks greater </w:t>
      </w:r>
      <w:r w:rsidR="007A394D">
        <w:t>specialis</w:t>
      </w:r>
      <w:r>
        <w:t>ation</w:t>
      </w:r>
      <w:r w:rsidR="007A394D">
        <w:t xml:space="preserve">, </w:t>
      </w:r>
      <w:r>
        <w:t xml:space="preserve">is </w:t>
      </w:r>
      <w:r w:rsidR="007A394D">
        <w:t xml:space="preserve">how there </w:t>
      </w:r>
      <w:r w:rsidR="00F76B1E">
        <w:t xml:space="preserve">can </w:t>
      </w:r>
      <w:r w:rsidR="007A394D">
        <w:t>be certainty that it is not quickly undone</w:t>
      </w:r>
      <w:r>
        <w:t>.</w:t>
      </w:r>
      <w:r w:rsidR="007A394D">
        <w:t xml:space="preserve"> For instance, once universities agree to deliver something, such as a full suite of research with majority teaching and research academics, how will they be held to account?  While if others focus on teaching with more modest research outputs what mechanisms will be used to hold them to account for their offerings?</w:t>
      </w:r>
    </w:p>
    <w:p w14:paraId="3C20ABB4" w14:textId="3C625B54" w:rsidR="008905B9" w:rsidRDefault="00137F36" w:rsidP="00FE5A1D">
      <w:r>
        <w:t xml:space="preserve">This suggests </w:t>
      </w:r>
      <w:r w:rsidR="007A394D">
        <w:t xml:space="preserve">(a) that there is a need for an evidence base to support structural changes and their implications, and (b) </w:t>
      </w:r>
      <w:r w:rsidR="008905B9">
        <w:t xml:space="preserve">that it might be made clear in the </w:t>
      </w:r>
      <w:r w:rsidR="009D565C">
        <w:t>A</w:t>
      </w:r>
      <w:r w:rsidR="008905B9">
        <w:t>ccord that some areas will be left for future reforms</w:t>
      </w:r>
      <w:r w:rsidR="00622E0D">
        <w:t>, especially where these suggest smaller programs or more modest financial or structural impacts.</w:t>
      </w:r>
    </w:p>
    <w:p w14:paraId="369E0E96" w14:textId="77777777" w:rsidR="006B2180" w:rsidRDefault="006B2180">
      <w:pPr>
        <w:rPr>
          <w:b/>
          <w:bCs/>
        </w:rPr>
      </w:pPr>
      <w:r>
        <w:rPr>
          <w:b/>
          <w:bCs/>
        </w:rPr>
        <w:br w:type="page"/>
      </w:r>
    </w:p>
    <w:p w14:paraId="1BACE45F" w14:textId="1D3C8A9B" w:rsidR="002D1E80" w:rsidRPr="0025345B" w:rsidRDefault="00622E0D" w:rsidP="00E13899">
      <w:pPr>
        <w:pStyle w:val="ListParagraph"/>
        <w:numPr>
          <w:ilvl w:val="0"/>
          <w:numId w:val="1"/>
        </w:numPr>
      </w:pPr>
      <w:r w:rsidRPr="00E2634F">
        <w:rPr>
          <w:b/>
          <w:bCs/>
        </w:rPr>
        <w:lastRenderedPageBreak/>
        <w:t>Design</w:t>
      </w:r>
      <w:r w:rsidR="00F15506">
        <w:rPr>
          <w:b/>
          <w:bCs/>
        </w:rPr>
        <w:t xml:space="preserve"> of a</w:t>
      </w:r>
      <w:r w:rsidR="002D1E80" w:rsidRPr="002D1E80">
        <w:rPr>
          <w:b/>
          <w:bCs/>
        </w:rPr>
        <w:t>ny p</w:t>
      </w:r>
      <w:r w:rsidR="00B55E1A" w:rsidRPr="002D1E80">
        <w:rPr>
          <w:b/>
          <w:bCs/>
        </w:rPr>
        <w:t xml:space="preserve">roposed changes must </w:t>
      </w:r>
      <w:r w:rsidR="002D1E80" w:rsidRPr="002D1E80">
        <w:rPr>
          <w:b/>
          <w:bCs/>
        </w:rPr>
        <w:t xml:space="preserve">be </w:t>
      </w:r>
      <w:r w:rsidR="00B55E1A" w:rsidRPr="002D1E80">
        <w:rPr>
          <w:b/>
          <w:bCs/>
        </w:rPr>
        <w:t>holistic</w:t>
      </w:r>
      <w:r w:rsidR="007A394D">
        <w:rPr>
          <w:b/>
          <w:bCs/>
        </w:rPr>
        <w:t xml:space="preserve"> and</w:t>
      </w:r>
      <w:r w:rsidR="00313738">
        <w:rPr>
          <w:b/>
          <w:bCs/>
        </w:rPr>
        <w:t xml:space="preserve"> </w:t>
      </w:r>
      <w:r w:rsidR="008A3FE2">
        <w:rPr>
          <w:b/>
          <w:bCs/>
        </w:rPr>
        <w:t>includ</w:t>
      </w:r>
      <w:r w:rsidR="007A394D">
        <w:rPr>
          <w:b/>
          <w:bCs/>
        </w:rPr>
        <w:t>e</w:t>
      </w:r>
      <w:r w:rsidR="008A3FE2">
        <w:rPr>
          <w:b/>
          <w:bCs/>
        </w:rPr>
        <w:t xml:space="preserve"> attention </w:t>
      </w:r>
      <w:r w:rsidR="007A394D">
        <w:rPr>
          <w:b/>
          <w:bCs/>
        </w:rPr>
        <w:t xml:space="preserve">to policy </w:t>
      </w:r>
      <w:r w:rsidR="00072211">
        <w:rPr>
          <w:b/>
          <w:bCs/>
        </w:rPr>
        <w:t xml:space="preserve">areas in addition to </w:t>
      </w:r>
      <w:r w:rsidR="003A204C">
        <w:rPr>
          <w:b/>
          <w:bCs/>
        </w:rPr>
        <w:t>those</w:t>
      </w:r>
      <w:r w:rsidR="008A3FE2">
        <w:rPr>
          <w:b/>
          <w:bCs/>
        </w:rPr>
        <w:t xml:space="preserve"> </w:t>
      </w:r>
      <w:r w:rsidR="007A394D">
        <w:rPr>
          <w:b/>
          <w:bCs/>
        </w:rPr>
        <w:t xml:space="preserve">directly </w:t>
      </w:r>
      <w:r w:rsidR="00072211">
        <w:rPr>
          <w:b/>
          <w:bCs/>
        </w:rPr>
        <w:t xml:space="preserve">aimed at </w:t>
      </w:r>
      <w:r w:rsidR="00313738">
        <w:rPr>
          <w:b/>
          <w:bCs/>
        </w:rPr>
        <w:t>universities and other higher education providers</w:t>
      </w:r>
      <w:r w:rsidR="00786200">
        <w:rPr>
          <w:b/>
          <w:bCs/>
        </w:rPr>
        <w:t>.</w:t>
      </w:r>
    </w:p>
    <w:p w14:paraId="2291C971" w14:textId="5A79F756" w:rsidR="0025345B" w:rsidRDefault="0025345B" w:rsidP="00FE5A1D">
      <w:r>
        <w:t xml:space="preserve">Where the Accord focuses on structural </w:t>
      </w:r>
      <w:r w:rsidR="009D565C">
        <w:t xml:space="preserve">and governance </w:t>
      </w:r>
      <w:r>
        <w:t xml:space="preserve">issues, it must do so in </w:t>
      </w:r>
      <w:r w:rsidR="009D565C">
        <w:t>with</w:t>
      </w:r>
      <w:r>
        <w:t xml:space="preserve"> </w:t>
      </w:r>
      <w:r w:rsidR="009D565C">
        <w:t xml:space="preserve">a </w:t>
      </w:r>
      <w:r>
        <w:t xml:space="preserve">holistic approach </w:t>
      </w:r>
      <w:r w:rsidR="009D565C">
        <w:t>that will lead to a new system that is fit for purpose and capable of adaptation</w:t>
      </w:r>
      <w:r>
        <w:t xml:space="preserve">. This </w:t>
      </w:r>
      <w:r w:rsidR="00622E0D">
        <w:t xml:space="preserve">will likely </w:t>
      </w:r>
      <w:r>
        <w:t xml:space="preserve">require </w:t>
      </w:r>
      <w:r w:rsidR="00622E0D">
        <w:t xml:space="preserve">an expansive approach </w:t>
      </w:r>
      <w:r w:rsidR="007A394D">
        <w:t>with</w:t>
      </w:r>
      <w:r>
        <w:t xml:space="preserve"> careful consideration of </w:t>
      </w:r>
      <w:r w:rsidR="008A3FE2">
        <w:t xml:space="preserve">policy </w:t>
      </w:r>
      <w:r>
        <w:t>dimensions</w:t>
      </w:r>
      <w:r w:rsidR="00622E0D">
        <w:t xml:space="preserve"> </w:t>
      </w:r>
      <w:r w:rsidR="00727342">
        <w:t xml:space="preserve">that go beyond </w:t>
      </w:r>
      <w:r w:rsidR="00641C0C">
        <w:t xml:space="preserve">those directed are </w:t>
      </w:r>
      <w:r w:rsidR="008A3FE2">
        <w:t>universities and other higher education providers</w:t>
      </w:r>
      <w:r w:rsidR="00622E0D">
        <w:t>.</w:t>
      </w:r>
    </w:p>
    <w:p w14:paraId="3BE2C898" w14:textId="55F5A3EE" w:rsidR="003D4BBC" w:rsidRDefault="00B06201" w:rsidP="00035044">
      <w:r w:rsidRPr="00D72017">
        <w:t xml:space="preserve">For </w:t>
      </w:r>
      <w:r w:rsidR="0025345B">
        <w:t>example</w:t>
      </w:r>
      <w:r w:rsidR="00035044">
        <w:t xml:space="preserve">, </w:t>
      </w:r>
      <w:r w:rsidR="00622E0D">
        <w:t xml:space="preserve">policy interventions seeking to increase the proportion of students from a low </w:t>
      </w:r>
      <w:r w:rsidR="007C20FA">
        <w:t>socio-economic</w:t>
      </w:r>
      <w:r w:rsidR="00622E0D">
        <w:t xml:space="preserve"> status (SES) background accessing higher education have only delivered meagre progress</w:t>
      </w:r>
      <w:r w:rsidR="003D4BBC">
        <w:t xml:space="preserve"> over the last several decades</w:t>
      </w:r>
      <w:r w:rsidR="00622E0D">
        <w:t xml:space="preserve">, and it strains credibility to argue </w:t>
      </w:r>
      <w:r w:rsidR="003D4BBC">
        <w:t xml:space="preserve">that </w:t>
      </w:r>
      <w:r w:rsidR="00622E0D">
        <w:t xml:space="preserve">Australia has been </w:t>
      </w:r>
      <w:r w:rsidR="00641C0C">
        <w:t xml:space="preserve">fully </w:t>
      </w:r>
      <w:r w:rsidR="00622E0D">
        <w:t>successful despite much effort and good will. I</w:t>
      </w:r>
      <w:r w:rsidR="00EA051E">
        <w:t xml:space="preserve">nvestment in </w:t>
      </w:r>
      <w:r w:rsidR="00622E0D">
        <w:t>major policy interventions to address this,</w:t>
      </w:r>
      <w:r w:rsidR="00727342">
        <w:t xml:space="preserve"> such as</w:t>
      </w:r>
      <w:r w:rsidR="00622E0D">
        <w:t xml:space="preserve"> the </w:t>
      </w:r>
      <w:r w:rsidR="00035044" w:rsidRPr="00035044">
        <w:t xml:space="preserve">Higher Education Participation and Partnerships Program </w:t>
      </w:r>
      <w:r w:rsidR="00035044">
        <w:t>(</w:t>
      </w:r>
      <w:r w:rsidR="00B55E1A" w:rsidRPr="00D72017">
        <w:t>HEPPP</w:t>
      </w:r>
      <w:r w:rsidR="00035044">
        <w:t xml:space="preserve">) and </w:t>
      </w:r>
      <w:r w:rsidR="00727342">
        <w:t xml:space="preserve">its </w:t>
      </w:r>
      <w:r w:rsidR="00622E0D">
        <w:t xml:space="preserve">forerunners </w:t>
      </w:r>
      <w:r w:rsidR="00035044">
        <w:t xml:space="preserve">for the better part of a two decades, </w:t>
      </w:r>
      <w:r w:rsidR="00622E0D">
        <w:t xml:space="preserve">show </w:t>
      </w:r>
      <w:r w:rsidR="00035044">
        <w:t xml:space="preserve">little evidence </w:t>
      </w:r>
      <w:r w:rsidR="00622E0D">
        <w:t xml:space="preserve">they have </w:t>
      </w:r>
      <w:r w:rsidR="00035044">
        <w:t xml:space="preserve">fulfilled </w:t>
      </w:r>
      <w:r w:rsidR="00622E0D">
        <w:t xml:space="preserve">their </w:t>
      </w:r>
      <w:r w:rsidR="00035044">
        <w:t>promise to significantly increase access for</w:t>
      </w:r>
      <w:r w:rsidR="00622E0D">
        <w:t xml:space="preserve"> low SES students</w:t>
      </w:r>
      <w:r w:rsidR="00035044">
        <w:t xml:space="preserve">. </w:t>
      </w:r>
    </w:p>
    <w:p w14:paraId="0824E5B1" w14:textId="0A1D3846" w:rsidR="00B55E1A" w:rsidRDefault="00035044" w:rsidP="00035044">
      <w:r>
        <w:t>If the Accord is to succeed in addressing this as a priority, i</w:t>
      </w:r>
      <w:r w:rsidR="00B55E1A" w:rsidRPr="00D72017">
        <w:t xml:space="preserve">t </w:t>
      </w:r>
      <w:r w:rsidR="00622E0D">
        <w:t xml:space="preserve">will </w:t>
      </w:r>
      <w:r>
        <w:t xml:space="preserve">likely not be sufficient to simply </w:t>
      </w:r>
      <w:r w:rsidR="00B06201" w:rsidRPr="00D72017">
        <w:t>put additional funds in</w:t>
      </w:r>
      <w:r>
        <w:t>to</w:t>
      </w:r>
      <w:r w:rsidR="00B06201" w:rsidRPr="00D72017">
        <w:t xml:space="preserve"> HEPPP </w:t>
      </w:r>
      <w:r w:rsidR="00622E0D">
        <w:t xml:space="preserve">to </w:t>
      </w:r>
      <w:r>
        <w:t xml:space="preserve">support </w:t>
      </w:r>
      <w:r w:rsidR="00622E0D">
        <w:t>a series o</w:t>
      </w:r>
      <w:r w:rsidR="00727342">
        <w:t>f</w:t>
      </w:r>
      <w:r w:rsidR="00622E0D">
        <w:t xml:space="preserve"> </w:t>
      </w:r>
      <w:r>
        <w:t xml:space="preserve">piecemeal and </w:t>
      </w:r>
      <w:r w:rsidR="00622E0D">
        <w:t xml:space="preserve">to an extent </w:t>
      </w:r>
      <w:r>
        <w:t xml:space="preserve">unevaluated interventions. The Accord is an opportunity to </w:t>
      </w:r>
      <w:r w:rsidR="00622E0D">
        <w:t xml:space="preserve">craft </w:t>
      </w:r>
      <w:r w:rsidR="00B55E1A" w:rsidRPr="00D72017">
        <w:t xml:space="preserve">a </w:t>
      </w:r>
      <w:r w:rsidR="00B06201" w:rsidRPr="00D72017">
        <w:t xml:space="preserve">systematic approach </w:t>
      </w:r>
      <w:r>
        <w:t xml:space="preserve">to addressing </w:t>
      </w:r>
      <w:r w:rsidR="00727342">
        <w:t xml:space="preserve">this </w:t>
      </w:r>
      <w:r>
        <w:t xml:space="preserve">challenge, that will necessarily need to address the different dimensions of the issues, many of which are outside the direct control of universities. </w:t>
      </w:r>
      <w:r w:rsidR="003A204C">
        <w:t>I</w:t>
      </w:r>
      <w:r w:rsidR="00622E0D">
        <w:t>n this</w:t>
      </w:r>
      <w:r w:rsidR="003A204C">
        <w:t xml:space="preserve"> example,</w:t>
      </w:r>
      <w:r w:rsidR="00622E0D">
        <w:t xml:space="preserve"> </w:t>
      </w:r>
      <w:r>
        <w:t xml:space="preserve">any policy intervention proposed by the Accord </w:t>
      </w:r>
      <w:r w:rsidR="00622E0D">
        <w:t xml:space="preserve">would need to </w:t>
      </w:r>
      <w:r>
        <w:t xml:space="preserve">include programs to </w:t>
      </w:r>
      <w:r w:rsidR="00B06201" w:rsidRPr="00D72017">
        <w:t xml:space="preserve">reach into </w:t>
      </w:r>
      <w:r w:rsidR="0034229B">
        <w:t>secondary</w:t>
      </w:r>
      <w:r w:rsidR="0034229B" w:rsidRPr="00D72017">
        <w:t xml:space="preserve"> </w:t>
      </w:r>
      <w:r w:rsidR="00B06201" w:rsidRPr="00D72017">
        <w:t>school</w:t>
      </w:r>
      <w:r w:rsidR="00CA4584">
        <w:t xml:space="preserve"> and earlier schooling to foster aspiration to study</w:t>
      </w:r>
      <w:r w:rsidR="00B06201" w:rsidRPr="00D72017">
        <w:t xml:space="preserve">, </w:t>
      </w:r>
      <w:r w:rsidR="00B55E1A" w:rsidRPr="00D72017">
        <w:t xml:space="preserve">address the cost-of-living issues </w:t>
      </w:r>
      <w:r>
        <w:t xml:space="preserve">for low SES students </w:t>
      </w:r>
      <w:r w:rsidR="00B55E1A" w:rsidRPr="00D72017">
        <w:t xml:space="preserve">and </w:t>
      </w:r>
      <w:r>
        <w:t xml:space="preserve">look at how </w:t>
      </w:r>
      <w:r w:rsidR="00B55E1A" w:rsidRPr="00D72017">
        <w:t xml:space="preserve">systematic </w:t>
      </w:r>
      <w:r w:rsidR="00B06201" w:rsidRPr="00D72017">
        <w:t xml:space="preserve">support </w:t>
      </w:r>
      <w:r>
        <w:t xml:space="preserve">is provided to students </w:t>
      </w:r>
      <w:r w:rsidR="00B06201" w:rsidRPr="00D72017">
        <w:t>once enrolled</w:t>
      </w:r>
      <w:r w:rsidR="00FB2CEC">
        <w:t xml:space="preserve"> to </w:t>
      </w:r>
      <w:r>
        <w:t xml:space="preserve">ensure </w:t>
      </w:r>
      <w:r w:rsidR="00FB2CEC">
        <w:t>the best environment for success in the crucial first and second years</w:t>
      </w:r>
      <w:r w:rsidR="00B55E1A" w:rsidRPr="00D72017">
        <w:t xml:space="preserve">. </w:t>
      </w:r>
      <w:r>
        <w:t xml:space="preserve">These are interventions that universities might partner </w:t>
      </w:r>
      <w:proofErr w:type="gramStart"/>
      <w:r>
        <w:t>on, but</w:t>
      </w:r>
      <w:proofErr w:type="gramEnd"/>
      <w:r>
        <w:t xml:space="preserve"> are </w:t>
      </w:r>
      <w:r w:rsidR="00E862A1">
        <w:t xml:space="preserve">often </w:t>
      </w:r>
      <w:r w:rsidR="00313738">
        <w:t xml:space="preserve">outside their </w:t>
      </w:r>
      <w:r w:rsidR="00727342">
        <w:t>control</w:t>
      </w:r>
      <w:r w:rsidR="00313738">
        <w:t xml:space="preserve">. The implication of taking a </w:t>
      </w:r>
      <w:r w:rsidR="00B3476C">
        <w:t>holistic</w:t>
      </w:r>
      <w:r w:rsidR="00313738">
        <w:t xml:space="preserve"> approach to the issues of increasing low SES access is that it might direct funds away from universities to have the greatest impact. </w:t>
      </w:r>
      <w:r w:rsidR="00B55E1A" w:rsidRPr="00D72017">
        <w:t xml:space="preserve">If </w:t>
      </w:r>
      <w:r w:rsidR="00313738">
        <w:t xml:space="preserve">the Accord is constrained by the need for it to deal </w:t>
      </w:r>
      <w:r w:rsidR="00B3476C">
        <w:t>solely</w:t>
      </w:r>
      <w:r w:rsidR="00313738">
        <w:t xml:space="preserve"> with that which higher education providers directly control, </w:t>
      </w:r>
      <w:r w:rsidR="000D6DF1">
        <w:t xml:space="preserve">we may </w:t>
      </w:r>
      <w:r w:rsidR="002D1E80">
        <w:t>continue</w:t>
      </w:r>
      <w:r w:rsidR="000D6DF1">
        <w:t xml:space="preserve"> with only slow progress</w:t>
      </w:r>
      <w:r w:rsidR="00313738">
        <w:t xml:space="preserve"> for greater access for low SES students</w:t>
      </w:r>
      <w:r w:rsidR="000D6DF1">
        <w:t>.</w:t>
      </w:r>
    </w:p>
    <w:p w14:paraId="70085A7E" w14:textId="3A519A37" w:rsidR="00072211" w:rsidRDefault="00072211" w:rsidP="00035044">
      <w:r>
        <w:t>Where change is intended through the Accord, it should</w:t>
      </w:r>
      <w:r w:rsidR="001059A4">
        <w:t xml:space="preserve"> be</w:t>
      </w:r>
      <w:r>
        <w:t xml:space="preserve"> sought through an expansive approach not limited to policies directly for universities. </w:t>
      </w:r>
    </w:p>
    <w:p w14:paraId="67960D90" w14:textId="77777777" w:rsidR="006B2180" w:rsidRDefault="006B2180" w:rsidP="00035044"/>
    <w:p w14:paraId="2C4A8E00" w14:textId="60E1BF82" w:rsidR="00B06201" w:rsidRPr="00D72017" w:rsidRDefault="00FE5A1D" w:rsidP="007C20FA">
      <w:pPr>
        <w:pStyle w:val="ListParagraph"/>
        <w:numPr>
          <w:ilvl w:val="0"/>
          <w:numId w:val="1"/>
        </w:numPr>
      </w:pPr>
      <w:bookmarkStart w:id="0" w:name="_Hlk122266792"/>
      <w:r>
        <w:rPr>
          <w:b/>
          <w:bCs/>
        </w:rPr>
        <w:t>Explicit consideration needs to be given to the ways c</w:t>
      </w:r>
      <w:r w:rsidR="002D1E80">
        <w:rPr>
          <w:b/>
          <w:bCs/>
        </w:rPr>
        <w:t>hanges to national polic</w:t>
      </w:r>
      <w:r w:rsidR="00313738">
        <w:rPr>
          <w:b/>
          <w:bCs/>
        </w:rPr>
        <w:t>ies</w:t>
      </w:r>
      <w:r w:rsidR="002D1E80">
        <w:rPr>
          <w:b/>
          <w:bCs/>
        </w:rPr>
        <w:t xml:space="preserve"> </w:t>
      </w:r>
      <w:r w:rsidR="001101BF" w:rsidRPr="00D72017">
        <w:rPr>
          <w:b/>
          <w:bCs/>
        </w:rPr>
        <w:t>incentiv</w:t>
      </w:r>
      <w:r w:rsidR="002D1E80">
        <w:rPr>
          <w:b/>
          <w:bCs/>
        </w:rPr>
        <w:t xml:space="preserve">ise </w:t>
      </w:r>
      <w:r w:rsidR="00D72017" w:rsidRPr="00D72017">
        <w:rPr>
          <w:b/>
          <w:bCs/>
        </w:rPr>
        <w:t>higher education providers</w:t>
      </w:r>
      <w:r w:rsidR="00313738">
        <w:rPr>
          <w:b/>
          <w:bCs/>
        </w:rPr>
        <w:t xml:space="preserve"> to respond</w:t>
      </w:r>
      <w:r w:rsidR="003D4BBC">
        <w:rPr>
          <w:b/>
          <w:bCs/>
        </w:rPr>
        <w:t>,</w:t>
      </w:r>
      <w:r w:rsidR="00313738">
        <w:rPr>
          <w:b/>
          <w:bCs/>
        </w:rPr>
        <w:t xml:space="preserve"> especially where this is contra</w:t>
      </w:r>
      <w:r w:rsidR="003D4BBC">
        <w:rPr>
          <w:b/>
          <w:bCs/>
        </w:rPr>
        <w:t>ry</w:t>
      </w:r>
      <w:r w:rsidR="00313738">
        <w:rPr>
          <w:b/>
          <w:bCs/>
        </w:rPr>
        <w:t xml:space="preserve"> to the intentions of the policy</w:t>
      </w:r>
      <w:bookmarkEnd w:id="0"/>
      <w:r w:rsidR="00786200">
        <w:t>.</w:t>
      </w:r>
    </w:p>
    <w:p w14:paraId="4CF70767" w14:textId="7FEA27B5" w:rsidR="004D1170" w:rsidRDefault="0025345B" w:rsidP="00FE5A1D">
      <w:r>
        <w:t xml:space="preserve">When </w:t>
      </w:r>
      <w:r w:rsidR="002D78B7">
        <w:t xml:space="preserve">policy </w:t>
      </w:r>
      <w:r>
        <w:t>changes are examined, e</w:t>
      </w:r>
      <w:r w:rsidRPr="0025345B">
        <w:t xml:space="preserve">xplicit consideration </w:t>
      </w:r>
      <w:r w:rsidR="002D78B7">
        <w:t xml:space="preserve">should be </w:t>
      </w:r>
      <w:r w:rsidRPr="0025345B">
        <w:t xml:space="preserve">given to the </w:t>
      </w:r>
      <w:r w:rsidR="000314ED">
        <w:t xml:space="preserve">way </w:t>
      </w:r>
      <w:r w:rsidR="002D78B7">
        <w:t xml:space="preserve">that </w:t>
      </w:r>
      <w:r w:rsidRPr="0025345B">
        <w:t>national polic</w:t>
      </w:r>
      <w:r w:rsidR="000314ED">
        <w:t xml:space="preserve">ies, </w:t>
      </w:r>
      <w:proofErr w:type="gramStart"/>
      <w:r w:rsidR="000314ED">
        <w:t>rules</w:t>
      </w:r>
      <w:proofErr w:type="gramEnd"/>
      <w:r w:rsidR="000314ED">
        <w:t xml:space="preserve"> and regulations </w:t>
      </w:r>
      <w:r w:rsidRPr="0025345B">
        <w:t>incentivise higher education providers</w:t>
      </w:r>
      <w:r w:rsidR="002D78B7">
        <w:t xml:space="preserve"> to respond in a particular way</w:t>
      </w:r>
      <w:r w:rsidRPr="0025345B">
        <w:t>.</w:t>
      </w:r>
      <w:r>
        <w:t xml:space="preserve"> </w:t>
      </w:r>
      <w:r w:rsidR="008127BA">
        <w:t>E</w:t>
      </w:r>
      <w:r w:rsidR="008127BA" w:rsidRPr="00D72017">
        <w:t xml:space="preserve">ven when universities are not acting strategically, </w:t>
      </w:r>
      <w:r w:rsidR="008127BA">
        <w:t>t</w:t>
      </w:r>
      <w:r w:rsidR="00D72017" w:rsidRPr="00D72017">
        <w:t>he</w:t>
      </w:r>
      <w:r w:rsidR="000314ED">
        <w:t xml:space="preserve"> </w:t>
      </w:r>
      <w:proofErr w:type="gramStart"/>
      <w:r w:rsidR="000314ED">
        <w:t>manner in which</w:t>
      </w:r>
      <w:proofErr w:type="gramEnd"/>
      <w:r w:rsidR="000314ED">
        <w:t xml:space="preserve"> </w:t>
      </w:r>
      <w:r w:rsidR="008127BA">
        <w:t>Australia</w:t>
      </w:r>
      <w:r w:rsidR="000314ED">
        <w:t xml:space="preserve"> </w:t>
      </w:r>
      <w:r w:rsidR="00D72017" w:rsidRPr="00D72017">
        <w:t>fund</w:t>
      </w:r>
      <w:r w:rsidR="008127BA">
        <w:t>s</w:t>
      </w:r>
      <w:r w:rsidR="00D72017" w:rsidRPr="00D72017">
        <w:t xml:space="preserve"> </w:t>
      </w:r>
      <w:r w:rsidR="002D78B7">
        <w:t xml:space="preserve">higher education and research support </w:t>
      </w:r>
      <w:r w:rsidR="00D72017" w:rsidRPr="00D72017">
        <w:t xml:space="preserve">programs </w:t>
      </w:r>
      <w:r w:rsidR="002D78B7">
        <w:t xml:space="preserve">affects </w:t>
      </w:r>
      <w:r w:rsidR="000D6DF1">
        <w:t>and guide</w:t>
      </w:r>
      <w:r w:rsidR="005900D1">
        <w:t>s</w:t>
      </w:r>
      <w:r w:rsidR="00D72017" w:rsidRPr="00D72017">
        <w:t xml:space="preserve"> </w:t>
      </w:r>
      <w:r w:rsidR="002D78B7">
        <w:t xml:space="preserve">their </w:t>
      </w:r>
      <w:r w:rsidR="00D72017" w:rsidRPr="00D72017">
        <w:t>behaviour</w:t>
      </w:r>
      <w:r w:rsidR="002D78B7">
        <w:t xml:space="preserve">, </w:t>
      </w:r>
      <w:r w:rsidR="003D4BBC">
        <w:t xml:space="preserve">often </w:t>
      </w:r>
      <w:r w:rsidR="002D78B7">
        <w:t>in ways not intended or foreseen in the policy design</w:t>
      </w:r>
      <w:r w:rsidR="001101BF" w:rsidRPr="00D72017">
        <w:t>.</w:t>
      </w:r>
    </w:p>
    <w:p w14:paraId="2A4EF7F3" w14:textId="0E2BD47D" w:rsidR="007C20FA" w:rsidRPr="00D72017" w:rsidRDefault="00E862A1" w:rsidP="00FE5A1D">
      <w:r>
        <w:t>For example, t</w:t>
      </w:r>
      <w:r w:rsidR="001101BF" w:rsidRPr="00D72017">
        <w:t xml:space="preserve">his </w:t>
      </w:r>
      <w:r w:rsidR="002D78B7">
        <w:t xml:space="preserve">goes to one of </w:t>
      </w:r>
      <w:r w:rsidR="00D72017" w:rsidRPr="00D72017">
        <w:t xml:space="preserve">the </w:t>
      </w:r>
      <w:r w:rsidR="001101BF" w:rsidRPr="00D72017">
        <w:t>structural issue</w:t>
      </w:r>
      <w:r w:rsidR="002D78B7">
        <w:t>s</w:t>
      </w:r>
      <w:r w:rsidR="001101BF" w:rsidRPr="00D72017">
        <w:t xml:space="preserve"> with research funding</w:t>
      </w:r>
      <w:r w:rsidR="005900D1">
        <w:t xml:space="preserve"> </w:t>
      </w:r>
      <w:r w:rsidR="003442D1">
        <w:t xml:space="preserve">and the </w:t>
      </w:r>
      <w:r w:rsidR="005900D1">
        <w:t>indirect costs</w:t>
      </w:r>
      <w:r w:rsidR="003442D1">
        <w:t xml:space="preserve"> of doing research</w:t>
      </w:r>
      <w:r w:rsidR="001101BF" w:rsidRPr="00D72017">
        <w:t xml:space="preserve">. </w:t>
      </w:r>
      <w:r w:rsidR="00D72017" w:rsidRPr="00D72017">
        <w:t>Universities</w:t>
      </w:r>
      <w:r w:rsidR="001101BF" w:rsidRPr="00D72017">
        <w:t xml:space="preserve">, and </w:t>
      </w:r>
      <w:proofErr w:type="gramStart"/>
      <w:r w:rsidR="00D72017" w:rsidRPr="00D72017">
        <w:t xml:space="preserve">in particular </w:t>
      </w:r>
      <w:r w:rsidR="00E632BD">
        <w:t>the</w:t>
      </w:r>
      <w:proofErr w:type="gramEnd"/>
      <w:r w:rsidR="00E632BD">
        <w:t xml:space="preserve"> large </w:t>
      </w:r>
      <w:r w:rsidR="00E010DF">
        <w:t>research-intensive</w:t>
      </w:r>
      <w:r w:rsidR="00E632BD">
        <w:t xml:space="preserve"> universities</w:t>
      </w:r>
      <w:r w:rsidR="005900D1">
        <w:t>,</w:t>
      </w:r>
      <w:r w:rsidR="001101BF" w:rsidRPr="00D72017">
        <w:t xml:space="preserve"> are incentivised to use </w:t>
      </w:r>
      <w:r w:rsidR="004D1170">
        <w:t xml:space="preserve">general funds </w:t>
      </w:r>
      <w:r w:rsidR="001101BF" w:rsidRPr="00D72017">
        <w:t>to address the fact that</w:t>
      </w:r>
      <w:r w:rsidR="005900D1">
        <w:t xml:space="preserve"> </w:t>
      </w:r>
      <w:r w:rsidR="0068065D">
        <w:t xml:space="preserve">most government research grants do not cover the full </w:t>
      </w:r>
      <w:r w:rsidR="001101BF" w:rsidRPr="00D72017">
        <w:t>indirect costs</w:t>
      </w:r>
      <w:r w:rsidR="0068065D">
        <w:t>.</w:t>
      </w:r>
      <w:r w:rsidR="001101BF" w:rsidRPr="00D72017">
        <w:t xml:space="preserve"> </w:t>
      </w:r>
      <w:r w:rsidR="005900D1">
        <w:t xml:space="preserve">With the </w:t>
      </w:r>
      <w:r w:rsidR="004D1170">
        <w:t xml:space="preserve">Research Support Scheme </w:t>
      </w:r>
      <w:r w:rsidR="005900D1">
        <w:t xml:space="preserve">only covering part of this, additional funds </w:t>
      </w:r>
      <w:r w:rsidR="002D1E80">
        <w:t>come</w:t>
      </w:r>
      <w:r w:rsidR="005900D1">
        <w:t xml:space="preserve"> from elsewhere</w:t>
      </w:r>
      <w:r w:rsidR="0068065D">
        <w:t>, such a</w:t>
      </w:r>
      <w:r w:rsidR="003442D1">
        <w:t>s</w:t>
      </w:r>
      <w:r w:rsidR="0068065D">
        <w:t xml:space="preserve"> student charges</w:t>
      </w:r>
      <w:r w:rsidR="00E632BD">
        <w:t xml:space="preserve"> and fees from international students</w:t>
      </w:r>
      <w:r w:rsidR="0068065D">
        <w:t>.</w:t>
      </w:r>
      <w:r w:rsidR="005900D1">
        <w:t xml:space="preserve"> </w:t>
      </w:r>
      <w:r w:rsidR="0068065D">
        <w:t xml:space="preserve">While it </w:t>
      </w:r>
      <w:r w:rsidR="0068065D">
        <w:lastRenderedPageBreak/>
        <w:t xml:space="preserve">might ultimately be decided that this is a desirable feature of how university research </w:t>
      </w:r>
      <w:r w:rsidR="003442D1">
        <w:t xml:space="preserve">should be </w:t>
      </w:r>
      <w:r w:rsidR="0068065D">
        <w:t>funded, it should be made an explicit element of the design</w:t>
      </w:r>
      <w:r w:rsidR="00072211">
        <w:t xml:space="preserve">, noting such a decision would disregard </w:t>
      </w:r>
      <w:r w:rsidR="003442D1">
        <w:t>approach</w:t>
      </w:r>
      <w:r w:rsidR="00072211">
        <w:t>es</w:t>
      </w:r>
      <w:r w:rsidR="003442D1">
        <w:t xml:space="preserve"> shown to succeed in other countries </w:t>
      </w:r>
      <w:r w:rsidR="009311CC">
        <w:t xml:space="preserve">where </w:t>
      </w:r>
      <w:r w:rsidR="003442D1">
        <w:t xml:space="preserve">research </w:t>
      </w:r>
      <w:r w:rsidR="009311CC">
        <w:t xml:space="preserve">is funded </w:t>
      </w:r>
      <w:r w:rsidR="003442D1">
        <w:t>fully, even if the number of grants must be reduced to meet the size of the funding pool.</w:t>
      </w:r>
    </w:p>
    <w:p w14:paraId="11E03887" w14:textId="63629EFF" w:rsidR="00A31580" w:rsidRDefault="0068065D" w:rsidP="0068065D">
      <w:r>
        <w:t xml:space="preserve">The effect of incentives can </w:t>
      </w:r>
      <w:r w:rsidR="00B70DC9" w:rsidRPr="00D72017">
        <w:t xml:space="preserve">also </w:t>
      </w:r>
      <w:r>
        <w:t>arguabl</w:t>
      </w:r>
      <w:r w:rsidR="003442D1">
        <w:t>y</w:t>
      </w:r>
      <w:r>
        <w:t xml:space="preserve"> be seen </w:t>
      </w:r>
      <w:r w:rsidR="003442D1">
        <w:t>in the</w:t>
      </w:r>
      <w:r w:rsidR="003442D1" w:rsidRPr="00D72017">
        <w:t xml:space="preserve"> </w:t>
      </w:r>
      <w:r w:rsidR="00B70DC9" w:rsidRPr="00D72017">
        <w:t xml:space="preserve">funding </w:t>
      </w:r>
      <w:r w:rsidR="003442D1">
        <w:t>of</w:t>
      </w:r>
      <w:r w:rsidR="003442D1" w:rsidRPr="00D72017">
        <w:t xml:space="preserve"> </w:t>
      </w:r>
      <w:r w:rsidR="00B70DC9" w:rsidRPr="00D72017">
        <w:t>domestic student</w:t>
      </w:r>
      <w:r>
        <w:t xml:space="preserve"> education</w:t>
      </w:r>
      <w:r w:rsidR="00B70DC9" w:rsidRPr="00D72017">
        <w:t>, where different</w:t>
      </w:r>
      <w:r>
        <w:t xml:space="preserve"> student contribution </w:t>
      </w:r>
      <w:r w:rsidR="00B70DC9" w:rsidRPr="00D72017">
        <w:t xml:space="preserve">rates </w:t>
      </w:r>
      <w:r>
        <w:t xml:space="preserve">through HELP </w:t>
      </w:r>
      <w:r w:rsidR="003442D1">
        <w:t xml:space="preserve">have </w:t>
      </w:r>
      <w:r w:rsidR="00EA051E">
        <w:t>not</w:t>
      </w:r>
      <w:r w:rsidR="00B70DC9" w:rsidRPr="00D72017">
        <w:t xml:space="preserve"> change</w:t>
      </w:r>
      <w:r w:rsidR="003442D1">
        <w:t>d</w:t>
      </w:r>
      <w:r w:rsidR="00B70DC9" w:rsidRPr="00D72017">
        <w:t xml:space="preserve"> student </w:t>
      </w:r>
      <w:r>
        <w:t xml:space="preserve">course </w:t>
      </w:r>
      <w:proofErr w:type="gramStart"/>
      <w:r>
        <w:t>preferences</w:t>
      </w:r>
      <w:r w:rsidR="00B70DC9" w:rsidRPr="00D72017">
        <w:t>, but</w:t>
      </w:r>
      <w:proofErr w:type="gramEnd"/>
      <w:r w:rsidR="00B70DC9" w:rsidRPr="00D72017">
        <w:t xml:space="preserve"> </w:t>
      </w:r>
      <w:r w:rsidR="003442D1">
        <w:t>tend to</w:t>
      </w:r>
      <w:r w:rsidR="003442D1" w:rsidRPr="00D72017">
        <w:t xml:space="preserve"> </w:t>
      </w:r>
      <w:r>
        <w:t xml:space="preserve">incentivise </w:t>
      </w:r>
      <w:r w:rsidR="00B70DC9" w:rsidRPr="00D72017">
        <w:t>university behaviour</w:t>
      </w:r>
      <w:r w:rsidR="003442D1">
        <w:t xml:space="preserve"> to offer places where the funding is more favourable</w:t>
      </w:r>
      <w:r>
        <w:t xml:space="preserve">, </w:t>
      </w:r>
      <w:r w:rsidR="00DA2E7D">
        <w:t xml:space="preserve">especially </w:t>
      </w:r>
      <w:r>
        <w:t xml:space="preserve">where </w:t>
      </w:r>
      <w:r w:rsidR="00DA2E7D">
        <w:t xml:space="preserve">the current funding agreements restrict </w:t>
      </w:r>
      <w:r>
        <w:t>CGS</w:t>
      </w:r>
      <w:r w:rsidR="00B70DC9" w:rsidRPr="00D72017">
        <w:t xml:space="preserve">. </w:t>
      </w:r>
      <w:r w:rsidR="00072211">
        <w:t>For instance, l</w:t>
      </w:r>
      <w:r w:rsidR="00B70DC9" w:rsidRPr="00D72017">
        <w:t xml:space="preserve">ower funding overall for </w:t>
      </w:r>
      <w:r>
        <w:t>E</w:t>
      </w:r>
      <w:r w:rsidR="00B70DC9" w:rsidRPr="00D72017">
        <w:t xml:space="preserve">ngineering puts </w:t>
      </w:r>
      <w:r w:rsidR="00E632BD">
        <w:t xml:space="preserve">some </w:t>
      </w:r>
      <w:r w:rsidR="003442D1">
        <w:t>universities</w:t>
      </w:r>
      <w:r w:rsidR="003442D1" w:rsidRPr="00D72017">
        <w:t xml:space="preserve"> </w:t>
      </w:r>
      <w:r w:rsidR="00B70DC9" w:rsidRPr="00D72017">
        <w:t xml:space="preserve">in a difficult bind, especially where </w:t>
      </w:r>
      <w:r>
        <w:t>H</w:t>
      </w:r>
      <w:r w:rsidR="00B70DC9" w:rsidRPr="00D72017">
        <w:t xml:space="preserve">umanities, </w:t>
      </w:r>
      <w:r>
        <w:t xml:space="preserve">Commerce </w:t>
      </w:r>
      <w:r w:rsidR="00B70DC9" w:rsidRPr="00D72017">
        <w:t xml:space="preserve">and </w:t>
      </w:r>
      <w:r>
        <w:t>L</w:t>
      </w:r>
      <w:r w:rsidR="005900D1">
        <w:t>aw provide a very high student contribution</w:t>
      </w:r>
      <w:r>
        <w:t xml:space="preserve"> that allows additional resourcing with minimal effect on the permitted CGS envelope</w:t>
      </w:r>
      <w:r w:rsidR="005900D1">
        <w:t>.</w:t>
      </w:r>
    </w:p>
    <w:p w14:paraId="16D1F9DE" w14:textId="02934880" w:rsidR="001059A4" w:rsidRDefault="001059A4" w:rsidP="0068065D">
      <w:r>
        <w:t>Policy proposals should e</w:t>
      </w:r>
      <w:r w:rsidRPr="001059A4">
        <w:t>xplicit</w:t>
      </w:r>
      <w:r>
        <w:t>ly</w:t>
      </w:r>
      <w:r w:rsidRPr="001059A4">
        <w:t xml:space="preserve"> </w:t>
      </w:r>
      <w:r w:rsidR="00E632BD">
        <w:t xml:space="preserve">be designed with </w:t>
      </w:r>
      <w:r w:rsidR="00597967" w:rsidRPr="001059A4">
        <w:t>consid</w:t>
      </w:r>
      <w:r w:rsidR="00E632BD">
        <w:t>eration of</w:t>
      </w:r>
      <w:r>
        <w:t xml:space="preserve"> how they </w:t>
      </w:r>
      <w:r w:rsidR="009311CC">
        <w:t xml:space="preserve">might </w:t>
      </w:r>
      <w:r w:rsidRPr="001059A4">
        <w:t>incentivise higher education providers</w:t>
      </w:r>
      <w:r>
        <w:t xml:space="preserve"> to </w:t>
      </w:r>
      <w:r w:rsidR="009311CC">
        <w:t>re</w:t>
      </w:r>
      <w:r>
        <w:t>act.</w:t>
      </w:r>
    </w:p>
    <w:p w14:paraId="6750FB4A" w14:textId="77777777" w:rsidR="006B2180" w:rsidRDefault="006B2180" w:rsidP="0068065D"/>
    <w:p w14:paraId="12F55FD4" w14:textId="71B68FCD" w:rsidR="00FE5A1D" w:rsidRDefault="00FE5A1D" w:rsidP="00FE5A1D">
      <w:pPr>
        <w:pStyle w:val="ListParagraph"/>
        <w:numPr>
          <w:ilvl w:val="0"/>
          <w:numId w:val="1"/>
        </w:numPr>
        <w:rPr>
          <w:b/>
          <w:bCs/>
        </w:rPr>
      </w:pPr>
      <w:bookmarkStart w:id="1" w:name="_Hlk122345913"/>
      <w:r w:rsidRPr="00FE5A1D">
        <w:rPr>
          <w:b/>
          <w:bCs/>
        </w:rPr>
        <w:t xml:space="preserve">The Accord process should examine how expert and technical advice will be provided through the </w:t>
      </w:r>
      <w:r w:rsidR="00597967">
        <w:rPr>
          <w:b/>
          <w:bCs/>
        </w:rPr>
        <w:t xml:space="preserve">full </w:t>
      </w:r>
      <w:r w:rsidRPr="00FE5A1D">
        <w:rPr>
          <w:b/>
          <w:bCs/>
        </w:rPr>
        <w:t>reform process</w:t>
      </w:r>
      <w:r w:rsidR="004D1170">
        <w:rPr>
          <w:b/>
          <w:bCs/>
        </w:rPr>
        <w:t>, especially during implementation</w:t>
      </w:r>
      <w:r w:rsidRPr="00FE5A1D">
        <w:rPr>
          <w:b/>
          <w:bCs/>
        </w:rPr>
        <w:t>.</w:t>
      </w:r>
    </w:p>
    <w:bookmarkEnd w:id="1"/>
    <w:p w14:paraId="3B44F146" w14:textId="53CE5F09" w:rsidR="00F15506" w:rsidRDefault="007C20FA" w:rsidP="00F15506">
      <w:r>
        <w:t>While the Accord process is set</w:t>
      </w:r>
      <w:r w:rsidR="003442D1">
        <w:t xml:space="preserve"> </w:t>
      </w:r>
      <w:r>
        <w:t xml:space="preserve">up to seek </w:t>
      </w:r>
      <w:r w:rsidR="00F15506">
        <w:t>expert and technical advice</w:t>
      </w:r>
      <w:r>
        <w:t xml:space="preserve"> to inform the work </w:t>
      </w:r>
      <w:r w:rsidR="0083623F">
        <w:t>of</w:t>
      </w:r>
      <w:r>
        <w:t xml:space="preserve"> the Panel, </w:t>
      </w:r>
      <w:r w:rsidR="00F15506">
        <w:t xml:space="preserve">consideration needs to be given to how </w:t>
      </w:r>
      <w:r w:rsidR="0054389F">
        <w:t xml:space="preserve">independent </w:t>
      </w:r>
      <w:r w:rsidR="00F15506">
        <w:t>advi</w:t>
      </w:r>
      <w:r w:rsidR="0054389F">
        <w:t>c</w:t>
      </w:r>
      <w:r w:rsidR="00F15506">
        <w:t>e can be sought during the implementation phase and beyond.</w:t>
      </w:r>
      <w:r>
        <w:t xml:space="preserve"> If the Accord is to achieve the aspirations for lasting and substa</w:t>
      </w:r>
      <w:r w:rsidR="0083623F">
        <w:t>n</w:t>
      </w:r>
      <w:r>
        <w:t>t</w:t>
      </w:r>
      <w:r w:rsidR="0083623F">
        <w:t>i</w:t>
      </w:r>
      <w:r>
        <w:t>ve positive change in higher education, it m</w:t>
      </w:r>
      <w:r w:rsidR="0083623F">
        <w:t>us</w:t>
      </w:r>
      <w:r>
        <w:t xml:space="preserve">t be viewed as the beginning of </w:t>
      </w:r>
      <w:r w:rsidR="00CD652D">
        <w:t xml:space="preserve">a new phase for </w:t>
      </w:r>
      <w:r w:rsidR="0083623F">
        <w:t xml:space="preserve">Australian higher education, rather than a discrete </w:t>
      </w:r>
      <w:r w:rsidR="00E83B3B">
        <w:t xml:space="preserve">process that makes </w:t>
      </w:r>
      <w:proofErr w:type="gramStart"/>
      <w:r w:rsidR="009311CC">
        <w:t xml:space="preserve">a number </w:t>
      </w:r>
      <w:r w:rsidR="00E83B3B">
        <w:t>of</w:t>
      </w:r>
      <w:proofErr w:type="gramEnd"/>
      <w:r w:rsidR="00E83B3B">
        <w:t xml:space="preserve"> adjustments.  </w:t>
      </w:r>
    </w:p>
    <w:p w14:paraId="41DB37C7" w14:textId="3B92575A" w:rsidR="00E83B3B" w:rsidRDefault="00F15506" w:rsidP="00F15506">
      <w:r>
        <w:t>A</w:t>
      </w:r>
      <w:r w:rsidR="00E83B3B">
        <w:t xml:space="preserve"> standing group</w:t>
      </w:r>
      <w:r>
        <w:t xml:space="preserve"> </w:t>
      </w:r>
      <w:r w:rsidR="00597967">
        <w:t>could</w:t>
      </w:r>
      <w:r>
        <w:t xml:space="preserve"> be established </w:t>
      </w:r>
      <w:r w:rsidR="00E83B3B">
        <w:t xml:space="preserve">to provide expert and technical </w:t>
      </w:r>
      <w:r>
        <w:t>advice</w:t>
      </w:r>
      <w:r w:rsidR="00E83B3B">
        <w:t xml:space="preserve"> in the lead up to </w:t>
      </w:r>
      <w:r>
        <w:t>implementation</w:t>
      </w:r>
      <w:r w:rsidR="00E83B3B">
        <w:t xml:space="preserve"> and beyond</w:t>
      </w:r>
      <w:r>
        <w:t xml:space="preserve">. </w:t>
      </w:r>
      <w:r w:rsidR="00E83B3B">
        <w:t>The optimal constitution of such a group depends on what the Panel ultimately decide</w:t>
      </w:r>
      <w:r w:rsidR="009311CC">
        <w:t>s</w:t>
      </w:r>
      <w:r w:rsidR="00E83B3B">
        <w:t xml:space="preserve"> to focus on</w:t>
      </w:r>
      <w:r w:rsidR="00597967">
        <w:t xml:space="preserve"> for the Accord process</w:t>
      </w:r>
      <w:r w:rsidR="00E83B3B">
        <w:t xml:space="preserve">, though members </w:t>
      </w:r>
      <w:r w:rsidR="003442D1">
        <w:t xml:space="preserve">should </w:t>
      </w:r>
      <w:r w:rsidR="00E83B3B">
        <w:t>be engage</w:t>
      </w:r>
      <w:r w:rsidR="003442D1">
        <w:t>d</w:t>
      </w:r>
      <w:r w:rsidR="00E83B3B">
        <w:t xml:space="preserve"> for their expertise not who they represent.</w:t>
      </w:r>
    </w:p>
    <w:p w14:paraId="34D0564D" w14:textId="7B663A86" w:rsidR="000A43EF" w:rsidRDefault="000A43EF" w:rsidP="00F15506">
      <w:r>
        <w:t xml:space="preserve">Ultimately, if there is to be an </w:t>
      </w:r>
      <w:r w:rsidR="00597967">
        <w:t>A</w:t>
      </w:r>
      <w:r>
        <w:t xml:space="preserve">ccord between government and each university or group of universities that establishes the funding to be allocated for the negotiated outcomes, there will need to be experts who are able to </w:t>
      </w:r>
      <w:r w:rsidR="00597967">
        <w:t xml:space="preserve">support </w:t>
      </w:r>
      <w:r>
        <w:t>negotiat</w:t>
      </w:r>
      <w:r w:rsidR="00597967">
        <w:t>ion</w:t>
      </w:r>
      <w:r>
        <w:t xml:space="preserve"> with universities on the government’s behalf. This will require</w:t>
      </w:r>
      <w:r w:rsidR="00597967">
        <w:t xml:space="preserve"> that</w:t>
      </w:r>
      <w:r>
        <w:t xml:space="preserve"> negotiators </w:t>
      </w:r>
      <w:r w:rsidR="009311CC">
        <w:t>have</w:t>
      </w:r>
      <w:r>
        <w:t xml:space="preserve"> </w:t>
      </w:r>
      <w:r w:rsidR="00E010DF">
        <w:t xml:space="preserve">access to a </w:t>
      </w:r>
      <w:r>
        <w:t>deep understanding of the system and its capacities, and it may be that this task could also be given to the standing group referred to above.</w:t>
      </w:r>
    </w:p>
    <w:p w14:paraId="067801C1" w14:textId="1EC1BAB8" w:rsidR="00F15506" w:rsidRDefault="00E83B3B" w:rsidP="00F15506">
      <w:r>
        <w:t xml:space="preserve">In the longer term there is a need for a </w:t>
      </w:r>
      <w:r w:rsidR="0054389F">
        <w:t xml:space="preserve">standing expert, independent advisory body that </w:t>
      </w:r>
      <w:proofErr w:type="gramStart"/>
      <w:r w:rsidR="0054389F">
        <w:t>is able to</w:t>
      </w:r>
      <w:proofErr w:type="gramEnd"/>
      <w:r w:rsidR="0054389F">
        <w:t xml:space="preserve"> maintain a watching brief over the system and the country’s needs and advise government on structural </w:t>
      </w:r>
      <w:r w:rsidR="009311CC">
        <w:t xml:space="preserve">as well as </w:t>
      </w:r>
      <w:r>
        <w:t xml:space="preserve">education and </w:t>
      </w:r>
      <w:r w:rsidR="0054389F">
        <w:t>research funding issues</w:t>
      </w:r>
      <w:r w:rsidR="0002015D">
        <w:t>, as well as quality</w:t>
      </w:r>
      <w:r w:rsidR="00921235">
        <w:t xml:space="preserve"> assurance</w:t>
      </w:r>
      <w:r w:rsidR="0054389F">
        <w:t xml:space="preserve">. </w:t>
      </w:r>
      <w:r>
        <w:t xml:space="preserve">Despite the best intentions of successive ministers and governments, the </w:t>
      </w:r>
      <w:r w:rsidR="003C3460">
        <w:t xml:space="preserve">persistent </w:t>
      </w:r>
      <w:r w:rsidR="0054389F">
        <w:t xml:space="preserve">loss of </w:t>
      </w:r>
      <w:r>
        <w:t xml:space="preserve">expertise </w:t>
      </w:r>
      <w:r w:rsidR="000A43EF">
        <w:t xml:space="preserve">in government </w:t>
      </w:r>
      <w:r w:rsidR="003C3460">
        <w:t xml:space="preserve">since the abolition </w:t>
      </w:r>
      <w:r w:rsidR="00921235">
        <w:t xml:space="preserve">of the </w:t>
      </w:r>
      <w:r>
        <w:t xml:space="preserve">Commonwealth </w:t>
      </w:r>
      <w:r w:rsidR="0054389F">
        <w:t>T</w:t>
      </w:r>
      <w:r>
        <w:t>ertiary Education Commission</w:t>
      </w:r>
      <w:r w:rsidR="0054389F">
        <w:t xml:space="preserve"> has been evident</w:t>
      </w:r>
      <w:r w:rsidR="003C3460">
        <w:t>, including</w:t>
      </w:r>
      <w:r w:rsidR="0054389F">
        <w:t xml:space="preserve"> </w:t>
      </w:r>
      <w:r>
        <w:t xml:space="preserve">through diminishing policy </w:t>
      </w:r>
      <w:r w:rsidR="0054389F">
        <w:t>cohe</w:t>
      </w:r>
      <w:r w:rsidR="005C3EF8">
        <w:t>rence</w:t>
      </w:r>
      <w:r w:rsidR="00597967">
        <w:t>.</w:t>
      </w:r>
    </w:p>
    <w:p w14:paraId="14F705D4" w14:textId="18A0CE0A" w:rsidR="006B2180" w:rsidRDefault="006B2180">
      <w:r>
        <w:br w:type="page"/>
      </w:r>
    </w:p>
    <w:p w14:paraId="6C0D21E8" w14:textId="77777777" w:rsidR="00F15506" w:rsidRDefault="00F15506" w:rsidP="00F15506"/>
    <w:p w14:paraId="0C121C29" w14:textId="77777777" w:rsidR="001059A4" w:rsidRPr="00FE5A1D" w:rsidRDefault="001059A4" w:rsidP="001059A4">
      <w:pPr>
        <w:pStyle w:val="ListParagraph"/>
        <w:numPr>
          <w:ilvl w:val="0"/>
          <w:numId w:val="1"/>
        </w:numPr>
        <w:rPr>
          <w:b/>
          <w:bCs/>
        </w:rPr>
      </w:pPr>
      <w:r>
        <w:rPr>
          <w:b/>
          <w:bCs/>
        </w:rPr>
        <w:t>There are urgent issues with the Job-ready Graduates package that can be fixed without affecting more substantive, longer term changes.</w:t>
      </w:r>
    </w:p>
    <w:p w14:paraId="2DCF16A7" w14:textId="69E03607" w:rsidR="001059A4" w:rsidRDefault="001059A4" w:rsidP="001059A4">
      <w:r>
        <w:t>While structural issues should be the priority, there are some issues with</w:t>
      </w:r>
      <w:r w:rsidRPr="004D1170">
        <w:t xml:space="preserve"> </w:t>
      </w:r>
      <w:r>
        <w:t xml:space="preserve">the </w:t>
      </w:r>
      <w:r w:rsidRPr="004D1170">
        <w:t xml:space="preserve">Job-ready Graduates (JRG) </w:t>
      </w:r>
      <w:r>
        <w:t xml:space="preserve">package that can be fixed quickly. A central issue with the JRG lies in the conflicting purposes of some settings, the overall aim of the new arrangements and the lack of clarity around why we are funding the system in this way. The reduction in both student contributions and government support in some courses has led to their being too expensive to teach. As has been widely noted, differential rates and funding agreements will not move student preferences in the way claimed but </w:t>
      </w:r>
      <w:r w:rsidR="008C4619">
        <w:t>while they have</w:t>
      </w:r>
      <w:r>
        <w:t xml:space="preserve"> added major </w:t>
      </w:r>
      <w:r w:rsidR="008C4619">
        <w:t xml:space="preserve">and unnecessary </w:t>
      </w:r>
      <w:r>
        <w:t xml:space="preserve">complexity. </w:t>
      </w:r>
    </w:p>
    <w:p w14:paraId="7CA4E2A0" w14:textId="595BC6CA" w:rsidR="001059A4" w:rsidRDefault="001059A4" w:rsidP="001059A4">
      <w:r>
        <w:t xml:space="preserve">There is also a proliferation of HELP programs with different rules and different effects </w:t>
      </w:r>
      <w:r w:rsidR="008C4619">
        <w:t>with</w:t>
      </w:r>
      <w:r>
        <w:t xml:space="preserve"> no unifying rationale for </w:t>
      </w:r>
      <w:r w:rsidR="008C4619">
        <w:t xml:space="preserve">the </w:t>
      </w:r>
      <w:r>
        <w:t>differences.</w:t>
      </w:r>
      <w:r w:rsidRPr="00D72017">
        <w:t xml:space="preserve"> </w:t>
      </w:r>
      <w:r>
        <w:t xml:space="preserve">The approach is less than ideal as it complicates </w:t>
      </w:r>
      <w:r w:rsidR="008C4619">
        <w:t xml:space="preserve">the system while </w:t>
      </w:r>
      <w:r>
        <w:t>produc</w:t>
      </w:r>
      <w:r w:rsidR="008C4619">
        <w:t>ing</w:t>
      </w:r>
      <w:r>
        <w:t xml:space="preserve"> inequalities between users of different schemes and for students accessing multiple schemes. Some </w:t>
      </w:r>
      <w:r w:rsidRPr="00D72017">
        <w:t>settings, such as a flatter structure for student charges</w:t>
      </w:r>
      <w:r>
        <w:t xml:space="preserve"> and </w:t>
      </w:r>
      <w:r w:rsidR="008C4619">
        <w:t xml:space="preserve">a </w:t>
      </w:r>
      <w:r>
        <w:t xml:space="preserve">consolidation of HELP schemes, </w:t>
      </w:r>
      <w:r w:rsidR="008C4619">
        <w:t xml:space="preserve">would </w:t>
      </w:r>
      <w:r>
        <w:t xml:space="preserve">mean </w:t>
      </w:r>
      <w:r w:rsidR="008C4619">
        <w:t xml:space="preserve">that </w:t>
      </w:r>
      <w:r>
        <w:t xml:space="preserve">the most egregious problems with JRG can be </w:t>
      </w:r>
      <w:r w:rsidR="00786200">
        <w:t>resolved</w:t>
      </w:r>
      <w:r>
        <w:t xml:space="preserve"> to enable greater focus on other areas of reform.</w:t>
      </w:r>
    </w:p>
    <w:p w14:paraId="76FABC2E" w14:textId="77777777" w:rsidR="001059A4" w:rsidRPr="00F15506" w:rsidRDefault="001059A4" w:rsidP="00F15506"/>
    <w:sectPr w:rsidR="001059A4" w:rsidRPr="00F1550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729F" w14:textId="77777777" w:rsidR="007E59CE" w:rsidRDefault="007E59CE" w:rsidP="00E010DF">
      <w:pPr>
        <w:spacing w:after="0" w:line="240" w:lineRule="auto"/>
      </w:pPr>
      <w:r>
        <w:separator/>
      </w:r>
    </w:p>
  </w:endnote>
  <w:endnote w:type="continuationSeparator" w:id="0">
    <w:p w14:paraId="2F11FC39" w14:textId="77777777" w:rsidR="007E59CE" w:rsidRDefault="007E59CE" w:rsidP="00E0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417020"/>
      <w:docPartObj>
        <w:docPartGallery w:val="Page Numbers (Bottom of Page)"/>
        <w:docPartUnique/>
      </w:docPartObj>
    </w:sdtPr>
    <w:sdtEndPr>
      <w:rPr>
        <w:noProof/>
      </w:rPr>
    </w:sdtEndPr>
    <w:sdtContent>
      <w:p w14:paraId="4DEE688D" w14:textId="14084031" w:rsidR="00E010DF" w:rsidRDefault="00E010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E03D8F" w14:textId="77777777" w:rsidR="00E010DF" w:rsidRDefault="00E01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13DF" w14:textId="77777777" w:rsidR="007E59CE" w:rsidRDefault="007E59CE" w:rsidP="00E010DF">
      <w:pPr>
        <w:spacing w:after="0" w:line="240" w:lineRule="auto"/>
      </w:pPr>
      <w:r>
        <w:separator/>
      </w:r>
    </w:p>
  </w:footnote>
  <w:footnote w:type="continuationSeparator" w:id="0">
    <w:p w14:paraId="1A958E1C" w14:textId="77777777" w:rsidR="007E59CE" w:rsidRDefault="007E59CE" w:rsidP="00E01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3367"/>
    <w:multiLevelType w:val="multilevel"/>
    <w:tmpl w:val="2B70B582"/>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E6F6DBB"/>
    <w:multiLevelType w:val="hybridMultilevel"/>
    <w:tmpl w:val="C8E484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AB11DD8"/>
    <w:multiLevelType w:val="hybridMultilevel"/>
    <w:tmpl w:val="5420E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045F4B"/>
    <w:multiLevelType w:val="hybridMultilevel"/>
    <w:tmpl w:val="023C0200"/>
    <w:lvl w:ilvl="0" w:tplc="302C5642">
      <w:start w:val="1"/>
      <w:numFmt w:val="decimal"/>
      <w:lvlText w:val="%1."/>
      <w:lvlJc w:val="left"/>
      <w:pPr>
        <w:ind w:left="360" w:hanging="360"/>
      </w:pPr>
      <w:rPr>
        <w:rFonts w:hint="default"/>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BF"/>
    <w:rsid w:val="0002015D"/>
    <w:rsid w:val="0002272D"/>
    <w:rsid w:val="000314ED"/>
    <w:rsid w:val="00035044"/>
    <w:rsid w:val="00072211"/>
    <w:rsid w:val="000A43EF"/>
    <w:rsid w:val="000D6DF1"/>
    <w:rsid w:val="000E02C9"/>
    <w:rsid w:val="000E6422"/>
    <w:rsid w:val="000F7C3E"/>
    <w:rsid w:val="001021FB"/>
    <w:rsid w:val="001059A4"/>
    <w:rsid w:val="001101BF"/>
    <w:rsid w:val="00137F36"/>
    <w:rsid w:val="001B45E2"/>
    <w:rsid w:val="00245B11"/>
    <w:rsid w:val="0025345B"/>
    <w:rsid w:val="00265962"/>
    <w:rsid w:val="002D1E80"/>
    <w:rsid w:val="002D78B7"/>
    <w:rsid w:val="002E3446"/>
    <w:rsid w:val="00313738"/>
    <w:rsid w:val="003416FC"/>
    <w:rsid w:val="0034229B"/>
    <w:rsid w:val="003442D1"/>
    <w:rsid w:val="003A204C"/>
    <w:rsid w:val="003C3460"/>
    <w:rsid w:val="003D4BBC"/>
    <w:rsid w:val="004007AB"/>
    <w:rsid w:val="004C0E88"/>
    <w:rsid w:val="004D1170"/>
    <w:rsid w:val="00526325"/>
    <w:rsid w:val="0053672F"/>
    <w:rsid w:val="0054389F"/>
    <w:rsid w:val="005900D1"/>
    <w:rsid w:val="00597967"/>
    <w:rsid w:val="005C21DE"/>
    <w:rsid w:val="005C3EF8"/>
    <w:rsid w:val="00622E0D"/>
    <w:rsid w:val="00641C0C"/>
    <w:rsid w:val="00653D63"/>
    <w:rsid w:val="0068065D"/>
    <w:rsid w:val="0068794F"/>
    <w:rsid w:val="006B2180"/>
    <w:rsid w:val="006C1245"/>
    <w:rsid w:val="006D7A70"/>
    <w:rsid w:val="00727342"/>
    <w:rsid w:val="00786200"/>
    <w:rsid w:val="00796F21"/>
    <w:rsid w:val="007A394D"/>
    <w:rsid w:val="007C20FA"/>
    <w:rsid w:val="007C25F2"/>
    <w:rsid w:val="007D1094"/>
    <w:rsid w:val="007D4622"/>
    <w:rsid w:val="007E59CE"/>
    <w:rsid w:val="007F528D"/>
    <w:rsid w:val="007F5A6E"/>
    <w:rsid w:val="008127BA"/>
    <w:rsid w:val="00834C5C"/>
    <w:rsid w:val="0083623F"/>
    <w:rsid w:val="008830C5"/>
    <w:rsid w:val="008905B9"/>
    <w:rsid w:val="008A3FE2"/>
    <w:rsid w:val="008C4619"/>
    <w:rsid w:val="008E718E"/>
    <w:rsid w:val="00921235"/>
    <w:rsid w:val="009311CC"/>
    <w:rsid w:val="009768AD"/>
    <w:rsid w:val="0098226B"/>
    <w:rsid w:val="009D565C"/>
    <w:rsid w:val="009D6021"/>
    <w:rsid w:val="00A15F51"/>
    <w:rsid w:val="00A31580"/>
    <w:rsid w:val="00A72EFC"/>
    <w:rsid w:val="00A82983"/>
    <w:rsid w:val="00B06201"/>
    <w:rsid w:val="00B3476C"/>
    <w:rsid w:val="00B55E1A"/>
    <w:rsid w:val="00B70DC9"/>
    <w:rsid w:val="00B94AFF"/>
    <w:rsid w:val="00C86C8C"/>
    <w:rsid w:val="00C86F2F"/>
    <w:rsid w:val="00CA4584"/>
    <w:rsid w:val="00CC4233"/>
    <w:rsid w:val="00CC53D5"/>
    <w:rsid w:val="00CD652D"/>
    <w:rsid w:val="00CD6CD5"/>
    <w:rsid w:val="00D25BC3"/>
    <w:rsid w:val="00D32207"/>
    <w:rsid w:val="00D50162"/>
    <w:rsid w:val="00D72017"/>
    <w:rsid w:val="00D758E9"/>
    <w:rsid w:val="00DA2E7D"/>
    <w:rsid w:val="00DB24ED"/>
    <w:rsid w:val="00E010DF"/>
    <w:rsid w:val="00E13899"/>
    <w:rsid w:val="00E2634F"/>
    <w:rsid w:val="00E347BA"/>
    <w:rsid w:val="00E632BD"/>
    <w:rsid w:val="00E80DE5"/>
    <w:rsid w:val="00E83B3B"/>
    <w:rsid w:val="00E862A1"/>
    <w:rsid w:val="00EA051E"/>
    <w:rsid w:val="00EB5C0D"/>
    <w:rsid w:val="00EC0CD1"/>
    <w:rsid w:val="00EC424D"/>
    <w:rsid w:val="00F1276D"/>
    <w:rsid w:val="00F15506"/>
    <w:rsid w:val="00F23444"/>
    <w:rsid w:val="00F76B1E"/>
    <w:rsid w:val="00FB2CEC"/>
    <w:rsid w:val="00FE5A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1D0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1BF"/>
    <w:pPr>
      <w:ind w:left="720"/>
      <w:contextualSpacing/>
    </w:pPr>
  </w:style>
  <w:style w:type="paragraph" w:customStyle="1" w:styleId="xmsonormal">
    <w:name w:val="x_msonormal"/>
    <w:basedOn w:val="Normal"/>
    <w:rsid w:val="00D758E9"/>
    <w:pPr>
      <w:spacing w:after="0" w:line="240" w:lineRule="auto"/>
    </w:pPr>
    <w:rPr>
      <w:rFonts w:ascii="Calibri" w:hAnsi="Calibri" w:cs="Calibri"/>
      <w:sz w:val="20"/>
      <w:szCs w:val="20"/>
      <w:lang w:eastAsia="en-AU"/>
    </w:rPr>
  </w:style>
  <w:style w:type="paragraph" w:customStyle="1" w:styleId="xmsolistparagraph">
    <w:name w:val="x_msolistparagraph"/>
    <w:basedOn w:val="Normal"/>
    <w:rsid w:val="00D758E9"/>
    <w:pPr>
      <w:spacing w:after="0" w:line="240" w:lineRule="auto"/>
      <w:ind w:left="720"/>
    </w:pPr>
    <w:rPr>
      <w:rFonts w:ascii="Calibri" w:hAnsi="Calibri" w:cs="Calibri"/>
      <w:sz w:val="20"/>
      <w:szCs w:val="20"/>
      <w:lang w:eastAsia="en-AU"/>
    </w:rPr>
  </w:style>
  <w:style w:type="paragraph" w:styleId="Revision">
    <w:name w:val="Revision"/>
    <w:hidden/>
    <w:uiPriority w:val="99"/>
    <w:semiHidden/>
    <w:rsid w:val="00E80DE5"/>
    <w:pPr>
      <w:spacing w:after="0" w:line="240" w:lineRule="auto"/>
    </w:pPr>
  </w:style>
  <w:style w:type="character" w:styleId="CommentReference">
    <w:name w:val="annotation reference"/>
    <w:basedOn w:val="DefaultParagraphFont"/>
    <w:uiPriority w:val="99"/>
    <w:semiHidden/>
    <w:unhideWhenUsed/>
    <w:rsid w:val="00EC0CD1"/>
    <w:rPr>
      <w:sz w:val="16"/>
      <w:szCs w:val="16"/>
    </w:rPr>
  </w:style>
  <w:style w:type="paragraph" w:styleId="CommentText">
    <w:name w:val="annotation text"/>
    <w:basedOn w:val="Normal"/>
    <w:link w:val="CommentTextChar"/>
    <w:uiPriority w:val="99"/>
    <w:unhideWhenUsed/>
    <w:rsid w:val="00EC0CD1"/>
    <w:pPr>
      <w:spacing w:line="240" w:lineRule="auto"/>
    </w:pPr>
    <w:rPr>
      <w:sz w:val="20"/>
      <w:szCs w:val="20"/>
    </w:rPr>
  </w:style>
  <w:style w:type="character" w:customStyle="1" w:styleId="CommentTextChar">
    <w:name w:val="Comment Text Char"/>
    <w:basedOn w:val="DefaultParagraphFont"/>
    <w:link w:val="CommentText"/>
    <w:uiPriority w:val="99"/>
    <w:rsid w:val="00EC0CD1"/>
    <w:rPr>
      <w:sz w:val="20"/>
      <w:szCs w:val="20"/>
    </w:rPr>
  </w:style>
  <w:style w:type="paragraph" w:styleId="CommentSubject">
    <w:name w:val="annotation subject"/>
    <w:basedOn w:val="CommentText"/>
    <w:next w:val="CommentText"/>
    <w:link w:val="CommentSubjectChar"/>
    <w:uiPriority w:val="99"/>
    <w:semiHidden/>
    <w:unhideWhenUsed/>
    <w:rsid w:val="00EC0CD1"/>
    <w:rPr>
      <w:b/>
      <w:bCs/>
    </w:rPr>
  </w:style>
  <w:style w:type="character" w:customStyle="1" w:styleId="CommentSubjectChar">
    <w:name w:val="Comment Subject Char"/>
    <w:basedOn w:val="CommentTextChar"/>
    <w:link w:val="CommentSubject"/>
    <w:uiPriority w:val="99"/>
    <w:semiHidden/>
    <w:rsid w:val="00EC0CD1"/>
    <w:rPr>
      <w:b/>
      <w:bCs/>
      <w:sz w:val="20"/>
      <w:szCs w:val="20"/>
    </w:rPr>
  </w:style>
  <w:style w:type="paragraph" w:styleId="Header">
    <w:name w:val="header"/>
    <w:basedOn w:val="Normal"/>
    <w:link w:val="HeaderChar"/>
    <w:uiPriority w:val="99"/>
    <w:unhideWhenUsed/>
    <w:rsid w:val="00E01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DF"/>
  </w:style>
  <w:style w:type="paragraph" w:styleId="Footer">
    <w:name w:val="footer"/>
    <w:basedOn w:val="Normal"/>
    <w:link w:val="FooterChar"/>
    <w:uiPriority w:val="99"/>
    <w:unhideWhenUsed/>
    <w:rsid w:val="00E01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DF"/>
  </w:style>
  <w:style w:type="table" w:styleId="TableGrid">
    <w:name w:val="Table Grid"/>
    <w:basedOn w:val="TableNormal"/>
    <w:uiPriority w:val="39"/>
    <w:rsid w:val="00E1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3">
    <w:name w:val="List Table 1 Light Accent 3"/>
    <w:basedOn w:val="TableNormal"/>
    <w:uiPriority w:val="46"/>
    <w:rsid w:val="00E1389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03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2210</Words>
  <Characters>12597</Characters>
  <Application>Microsoft Office Word</Application>
  <DocSecurity>0</DocSecurity>
  <Lines>104</Lines>
  <Paragraphs>29</Paragraphs>
  <ScaleCrop>false</ScaleCrop>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2023-01-30T22:21:00Z</dcterms:created>
  <dcterms:modified xsi:type="dcterms:W3CDTF">2023-01-30T22:21:00Z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2023-01-30T22:21:16Z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5d95b5c0-dd78-47d2-ad32-735cd53a2538</vt:lpwstr>
  </property>
  <property fmtid="{D5CDD505-2E9C-101B-9397-08002B2CF9AE}" pid="8" name="MSIP_Label_79d889eb-932f-4752-8739-64d25806ef64_ContentBits">
    <vt:lpwstr>0</vt:lpwstr>
  </property>
</Properties>
</file>