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027D" w14:textId="51087DB5" w:rsidR="003C0A18" w:rsidRPr="00BF68F3" w:rsidRDefault="003C0A18" w:rsidP="003C0A18">
      <w:pPr>
        <w:rPr>
          <w:sz w:val="24"/>
          <w:szCs w:val="24"/>
        </w:rPr>
      </w:pPr>
      <w:r w:rsidRPr="00BF68F3">
        <w:rPr>
          <w:sz w:val="24"/>
          <w:szCs w:val="24"/>
        </w:rPr>
        <w:t xml:space="preserve">The aim of the Higher Education Accord is to make recommendations for Government, the </w:t>
      </w:r>
      <w:proofErr w:type="gramStart"/>
      <w:r w:rsidRPr="00BF68F3">
        <w:rPr>
          <w:sz w:val="24"/>
          <w:szCs w:val="24"/>
        </w:rPr>
        <w:t>sector</w:t>
      </w:r>
      <w:proofErr w:type="gramEnd"/>
      <w:r w:rsidRPr="00BF68F3">
        <w:rPr>
          <w:sz w:val="24"/>
          <w:szCs w:val="24"/>
        </w:rPr>
        <w:t xml:space="preserve"> and other relevant stakeholders to deliver a higher education system that meets the current and future needs of the nation, and targets to achieve this. The terms of reference </w:t>
      </w:r>
      <w:proofErr w:type="gramStart"/>
      <w:r w:rsidRPr="00BF68F3">
        <w:rPr>
          <w:sz w:val="24"/>
          <w:szCs w:val="24"/>
        </w:rPr>
        <w:t>has</w:t>
      </w:r>
      <w:proofErr w:type="gramEnd"/>
      <w:r w:rsidRPr="00BF68F3">
        <w:rPr>
          <w:sz w:val="24"/>
          <w:szCs w:val="24"/>
        </w:rPr>
        <w:t xml:space="preserve"> set out seven priority areas for the review.</w:t>
      </w:r>
    </w:p>
    <w:p w14:paraId="34CF3BEB" w14:textId="77777777" w:rsidR="003C0A18" w:rsidRPr="00BF68F3" w:rsidRDefault="003C0A18" w:rsidP="003C0A18">
      <w:pPr>
        <w:rPr>
          <w:sz w:val="24"/>
          <w:szCs w:val="24"/>
        </w:rPr>
      </w:pPr>
    </w:p>
    <w:p w14:paraId="0D3A7D4B" w14:textId="77777777" w:rsidR="003C0A18" w:rsidRPr="00BE6EA4" w:rsidRDefault="003C0A18" w:rsidP="003C0A18">
      <w:pPr>
        <w:pStyle w:val="ListParagraph"/>
        <w:rPr>
          <w:b/>
          <w:bCs/>
          <w:iCs/>
          <w:sz w:val="24"/>
          <w:szCs w:val="24"/>
          <w:lang w:val="en-AU"/>
        </w:rPr>
      </w:pPr>
      <w:r w:rsidRPr="00BE6EA4">
        <w:rPr>
          <w:b/>
          <w:bCs/>
          <w:sz w:val="24"/>
          <w:szCs w:val="24"/>
        </w:rPr>
        <w:t xml:space="preserve">This submission relates to priority area </w:t>
      </w:r>
      <w:bookmarkStart w:id="0" w:name="_Hlk122358410"/>
      <w:r w:rsidRPr="00BE6EA4">
        <w:rPr>
          <w:b/>
          <w:bCs/>
          <w:sz w:val="24"/>
          <w:szCs w:val="24"/>
        </w:rPr>
        <w:t xml:space="preserve">#4. </w:t>
      </w:r>
      <w:r w:rsidRPr="00C83451">
        <w:rPr>
          <w:b/>
          <w:bCs/>
          <w:sz w:val="24"/>
          <w:szCs w:val="24"/>
          <w:lang w:val="en-AU"/>
        </w:rPr>
        <w:t>Governance, accountability and community</w:t>
      </w:r>
      <w:bookmarkEnd w:id="0"/>
      <w:r w:rsidRPr="00BE6EA4">
        <w:rPr>
          <w:b/>
          <w:bCs/>
          <w:sz w:val="24"/>
          <w:szCs w:val="24"/>
          <w:lang w:val="en-AU"/>
        </w:rPr>
        <w:t xml:space="preserve"> and its central importance in achieving the multiple objectives set out in the other six priority areas. As well as priority area #2 Access and Opportunity and #3 </w:t>
      </w:r>
      <w:r w:rsidRPr="00BE6EA4">
        <w:rPr>
          <w:b/>
          <w:bCs/>
          <w:iCs/>
          <w:sz w:val="24"/>
          <w:szCs w:val="24"/>
          <w:lang w:val="en-AU"/>
        </w:rPr>
        <w:t>Investment and affordability</w:t>
      </w:r>
    </w:p>
    <w:p w14:paraId="17E54E56" w14:textId="77777777" w:rsidR="003C0A18" w:rsidRDefault="003C0A18" w:rsidP="003C0A18">
      <w:pPr>
        <w:shd w:val="clear" w:color="auto" w:fill="FFFFFF"/>
        <w:spacing w:before="100" w:beforeAutospacing="1" w:after="100" w:afterAutospacing="1"/>
        <w:rPr>
          <w:sz w:val="24"/>
          <w:szCs w:val="24"/>
          <w:lang w:val="en-AU"/>
        </w:rPr>
      </w:pPr>
      <w:r w:rsidRPr="00BF68F3">
        <w:rPr>
          <w:sz w:val="24"/>
          <w:szCs w:val="24"/>
          <w:lang w:val="en-AU"/>
        </w:rPr>
        <w:t xml:space="preserve">We suggest that we need to strengthen the oversight accountability functions related to universities to better ensure our universities are accountable for their governance of public money and assets, and </w:t>
      </w:r>
      <w:r>
        <w:rPr>
          <w:sz w:val="24"/>
          <w:szCs w:val="24"/>
          <w:lang w:val="en-AU"/>
        </w:rPr>
        <w:t xml:space="preserve">their effectiveness in delivering student outcomes. </w:t>
      </w:r>
      <w:r w:rsidRPr="00BF68F3">
        <w:rPr>
          <w:sz w:val="24"/>
          <w:szCs w:val="24"/>
          <w:lang w:val="en-AU"/>
        </w:rPr>
        <w:t>We suggest two specific areas of review for the Accord. The integrity and accountability oversight functions that review university governance and a review of the funding and contribution payment system. These are discussed in below:</w:t>
      </w:r>
    </w:p>
    <w:p w14:paraId="52FAF389" w14:textId="77777777" w:rsidR="003C0A18" w:rsidRDefault="003C0A18" w:rsidP="003C0A18">
      <w:pPr>
        <w:shd w:val="clear" w:color="auto" w:fill="FFFFFF"/>
        <w:spacing w:before="100" w:beforeAutospacing="1" w:after="100" w:afterAutospacing="1"/>
        <w:rPr>
          <w:sz w:val="24"/>
          <w:szCs w:val="24"/>
          <w:lang w:val="en-AU"/>
        </w:rPr>
      </w:pPr>
      <w:r w:rsidRPr="00BE6EA4">
        <w:rPr>
          <w:b/>
          <w:bCs/>
          <w:sz w:val="24"/>
          <w:szCs w:val="24"/>
        </w:rPr>
        <w:t xml:space="preserve">#4. </w:t>
      </w:r>
      <w:r w:rsidRPr="00C83451">
        <w:rPr>
          <w:b/>
          <w:bCs/>
          <w:sz w:val="24"/>
          <w:szCs w:val="24"/>
          <w:lang w:val="en-AU"/>
        </w:rPr>
        <w:t xml:space="preserve">Governance, </w:t>
      </w:r>
      <w:proofErr w:type="gramStart"/>
      <w:r w:rsidRPr="00C83451">
        <w:rPr>
          <w:b/>
          <w:bCs/>
          <w:sz w:val="24"/>
          <w:szCs w:val="24"/>
          <w:lang w:val="en-AU"/>
        </w:rPr>
        <w:t>accountability</w:t>
      </w:r>
      <w:proofErr w:type="gramEnd"/>
      <w:r w:rsidRPr="00C83451">
        <w:rPr>
          <w:b/>
          <w:bCs/>
          <w:sz w:val="24"/>
          <w:szCs w:val="24"/>
          <w:lang w:val="en-AU"/>
        </w:rPr>
        <w:t xml:space="preserve"> and community</w:t>
      </w:r>
    </w:p>
    <w:p w14:paraId="005DB4C0" w14:textId="39641F10" w:rsidR="003C0A18" w:rsidRPr="00BE6EA4" w:rsidRDefault="003C0A18" w:rsidP="003C0A18">
      <w:pPr>
        <w:pStyle w:val="ListParagraph"/>
        <w:numPr>
          <w:ilvl w:val="0"/>
          <w:numId w:val="1"/>
        </w:numPr>
        <w:shd w:val="clear" w:color="auto" w:fill="FFFFFF"/>
        <w:spacing w:before="100" w:beforeAutospacing="1" w:after="100" w:afterAutospacing="1"/>
        <w:ind w:left="851" w:hanging="284"/>
        <w:rPr>
          <w:rFonts w:eastAsia="Times New Roman" w:cstheme="minorHAnsi"/>
          <w:b/>
          <w:bCs/>
          <w:sz w:val="24"/>
          <w:szCs w:val="24"/>
          <w:lang w:val="en-AU" w:eastAsia="en-AU"/>
        </w:rPr>
      </w:pPr>
      <w:r>
        <w:rPr>
          <w:b/>
          <w:bCs/>
          <w:sz w:val="24"/>
          <w:szCs w:val="24"/>
          <w:lang w:val="en-AU"/>
        </w:rPr>
        <w:t>R</w:t>
      </w:r>
      <w:r w:rsidRPr="00BE6EA4">
        <w:rPr>
          <w:b/>
          <w:bCs/>
          <w:sz w:val="24"/>
          <w:szCs w:val="24"/>
          <w:lang w:val="en-AU"/>
        </w:rPr>
        <w:t>eview the federal/state regulatory frameworks that govern universities</w:t>
      </w:r>
      <w:r>
        <w:rPr>
          <w:b/>
          <w:bCs/>
          <w:sz w:val="24"/>
          <w:szCs w:val="24"/>
          <w:lang w:val="en-AU"/>
        </w:rPr>
        <w:t xml:space="preserve"> use of public funds</w:t>
      </w:r>
    </w:p>
    <w:p w14:paraId="25EBE565" w14:textId="77777777" w:rsidR="003C0A18" w:rsidRPr="0012260E" w:rsidRDefault="003C0A18" w:rsidP="003C0A18">
      <w:pPr>
        <w:shd w:val="clear" w:color="auto" w:fill="FFFFFF"/>
        <w:spacing w:before="100" w:beforeAutospacing="1" w:after="100" w:afterAutospacing="1"/>
        <w:rPr>
          <w:rFonts w:eastAsia="Times New Roman" w:cstheme="minorHAnsi"/>
          <w:b/>
          <w:bCs/>
          <w:sz w:val="24"/>
          <w:szCs w:val="24"/>
          <w:lang w:val="en-AU" w:eastAsia="en-AU"/>
        </w:rPr>
      </w:pPr>
      <w:r w:rsidRPr="0012260E">
        <w:rPr>
          <w:b/>
          <w:bCs/>
          <w:sz w:val="24"/>
          <w:szCs w:val="24"/>
          <w:lang w:val="en-AU"/>
        </w:rPr>
        <w:t xml:space="preserve">We believe the regulatory frameworks that oversee universities should be reviewed to ensure improved </w:t>
      </w:r>
      <w:r>
        <w:rPr>
          <w:b/>
          <w:bCs/>
          <w:sz w:val="24"/>
          <w:szCs w:val="24"/>
          <w:lang w:val="en-AU"/>
        </w:rPr>
        <w:t xml:space="preserve">accountability </w:t>
      </w:r>
      <w:r w:rsidRPr="0012260E">
        <w:rPr>
          <w:b/>
          <w:bCs/>
          <w:sz w:val="24"/>
          <w:szCs w:val="24"/>
          <w:lang w:val="en-AU"/>
        </w:rPr>
        <w:t>oversight of universities for the use of public money and assets in line with government and community expectations around educational outcomes.</w:t>
      </w:r>
    </w:p>
    <w:p w14:paraId="65CC1DA5" w14:textId="77777777" w:rsidR="003C0A18" w:rsidRPr="00BF68F3" w:rsidRDefault="003C0A18" w:rsidP="003C0A18">
      <w:pPr>
        <w:rPr>
          <w:sz w:val="24"/>
          <w:szCs w:val="24"/>
        </w:rPr>
      </w:pPr>
      <w:r w:rsidRPr="00BF68F3">
        <w:rPr>
          <w:sz w:val="24"/>
          <w:szCs w:val="24"/>
        </w:rPr>
        <w:t xml:space="preserve">Total Australian Government outlays in relation to higher education spending (including research) was $20.4 billion in 2020–21 (Universities Australia 2022). The current federal/state oversight and integrity systems that should hold universities accountable for their use of public resources is in urgent need of review. </w:t>
      </w:r>
      <w:r>
        <w:rPr>
          <w:sz w:val="24"/>
          <w:szCs w:val="24"/>
        </w:rPr>
        <w:t xml:space="preserve">For example, </w:t>
      </w:r>
      <w:r w:rsidRPr="00BF68F3">
        <w:rPr>
          <w:sz w:val="24"/>
          <w:szCs w:val="24"/>
        </w:rPr>
        <w:t xml:space="preserve">universities currently fall between the cracks of state and federal audit offices. This means they are not subject to sufficient external scrutiny by auditor general’s and ensures public money is being spent efficiently, effectively, economically and in accordance with the law. </w:t>
      </w:r>
    </w:p>
    <w:p w14:paraId="629A35E1" w14:textId="77777777" w:rsidR="003C0A18" w:rsidRPr="00BF68F3" w:rsidRDefault="003C0A18" w:rsidP="003C0A18">
      <w:pPr>
        <w:rPr>
          <w:sz w:val="24"/>
          <w:szCs w:val="24"/>
        </w:rPr>
      </w:pPr>
    </w:p>
    <w:p w14:paraId="5111EB01" w14:textId="77777777" w:rsidR="003C0A18" w:rsidRPr="00BF68F3" w:rsidRDefault="003C0A18" w:rsidP="003C0A18">
      <w:pPr>
        <w:rPr>
          <w:sz w:val="24"/>
          <w:szCs w:val="24"/>
        </w:rPr>
      </w:pPr>
      <w:r>
        <w:rPr>
          <w:sz w:val="24"/>
          <w:szCs w:val="24"/>
        </w:rPr>
        <w:t xml:space="preserve">Currently State </w:t>
      </w:r>
      <w:r w:rsidRPr="00BF68F3">
        <w:rPr>
          <w:sz w:val="24"/>
          <w:szCs w:val="24"/>
        </w:rPr>
        <w:t>Auditor General</w:t>
      </w:r>
      <w:r>
        <w:rPr>
          <w:sz w:val="24"/>
          <w:szCs w:val="24"/>
        </w:rPr>
        <w:t>’s</w:t>
      </w:r>
      <w:r w:rsidRPr="00BF68F3">
        <w:rPr>
          <w:sz w:val="24"/>
          <w:szCs w:val="24"/>
        </w:rPr>
        <w:t xml:space="preserve"> undertake yearly </w:t>
      </w:r>
      <w:r w:rsidRPr="003D13B2">
        <w:rPr>
          <w:i/>
          <w:iCs/>
          <w:sz w:val="24"/>
          <w:szCs w:val="24"/>
        </w:rPr>
        <w:t>financial audits</w:t>
      </w:r>
      <w:r w:rsidRPr="00BF68F3">
        <w:rPr>
          <w:sz w:val="24"/>
          <w:szCs w:val="24"/>
        </w:rPr>
        <w:t xml:space="preserve"> of</w:t>
      </w:r>
      <w:r>
        <w:rPr>
          <w:sz w:val="24"/>
          <w:szCs w:val="24"/>
        </w:rPr>
        <w:t xml:space="preserve"> each</w:t>
      </w:r>
      <w:r w:rsidRPr="00BF68F3">
        <w:rPr>
          <w:sz w:val="24"/>
          <w:szCs w:val="24"/>
        </w:rPr>
        <w:t xml:space="preserve"> state universit</w:t>
      </w:r>
      <w:r>
        <w:rPr>
          <w:sz w:val="24"/>
          <w:szCs w:val="24"/>
        </w:rPr>
        <w:t xml:space="preserve">ies </w:t>
      </w:r>
      <w:r w:rsidRPr="00BF68F3">
        <w:rPr>
          <w:sz w:val="24"/>
          <w:szCs w:val="24"/>
        </w:rPr>
        <w:t>financial accounts. That is</w:t>
      </w:r>
      <w:r>
        <w:rPr>
          <w:sz w:val="24"/>
          <w:szCs w:val="24"/>
        </w:rPr>
        <w:t>,</w:t>
      </w:r>
      <w:r w:rsidRPr="00BF68F3">
        <w:rPr>
          <w:sz w:val="24"/>
          <w:szCs w:val="24"/>
        </w:rPr>
        <w:t xml:space="preserve"> they provide</w:t>
      </w:r>
      <w:r w:rsidRPr="00BF68F3">
        <w:rPr>
          <w:sz w:val="24"/>
          <w:szCs w:val="24"/>
          <w:lang w:val="en-AU"/>
        </w:rPr>
        <w:t xml:space="preserve"> an independent opinion on universities financial statements and whether they comply with accounting standards. </w:t>
      </w:r>
      <w:r>
        <w:rPr>
          <w:sz w:val="24"/>
          <w:szCs w:val="24"/>
          <w:lang w:val="en-AU"/>
        </w:rPr>
        <w:t xml:space="preserve"> A</w:t>
      </w:r>
      <w:r w:rsidRPr="00BF68F3">
        <w:rPr>
          <w:sz w:val="24"/>
          <w:szCs w:val="24"/>
          <w:lang w:val="en-AU"/>
        </w:rPr>
        <w:t xml:space="preserve">uditor </w:t>
      </w:r>
      <w:r>
        <w:rPr>
          <w:sz w:val="24"/>
          <w:szCs w:val="24"/>
          <w:lang w:val="en-AU"/>
        </w:rPr>
        <w:t>G</w:t>
      </w:r>
      <w:r w:rsidRPr="00BF68F3">
        <w:rPr>
          <w:sz w:val="24"/>
          <w:szCs w:val="24"/>
          <w:lang w:val="en-AU"/>
        </w:rPr>
        <w:t xml:space="preserve">eneral </w:t>
      </w:r>
      <w:r>
        <w:rPr>
          <w:sz w:val="24"/>
          <w:szCs w:val="24"/>
          <w:lang w:val="en-AU"/>
        </w:rPr>
        <w:t>offices</w:t>
      </w:r>
      <w:r w:rsidRPr="00BF68F3">
        <w:rPr>
          <w:sz w:val="24"/>
          <w:szCs w:val="24"/>
          <w:lang w:val="en-AU"/>
        </w:rPr>
        <w:t xml:space="preserve"> do not conduct ‘performance reports</w:t>
      </w:r>
      <w:proofErr w:type="gramStart"/>
      <w:r w:rsidRPr="00BF68F3">
        <w:rPr>
          <w:sz w:val="24"/>
          <w:szCs w:val="24"/>
          <w:lang w:val="en-AU"/>
        </w:rPr>
        <w:t xml:space="preserve">’ </w:t>
      </w:r>
      <w:r>
        <w:rPr>
          <w:sz w:val="24"/>
          <w:szCs w:val="24"/>
          <w:lang w:val="en-AU"/>
        </w:rPr>
        <w:t xml:space="preserve"> </w:t>
      </w:r>
      <w:r w:rsidRPr="00BF68F3">
        <w:rPr>
          <w:sz w:val="24"/>
          <w:szCs w:val="24"/>
          <w:lang w:val="en-AU"/>
        </w:rPr>
        <w:t>in</w:t>
      </w:r>
      <w:proofErr w:type="gramEnd"/>
      <w:r w:rsidRPr="00BF68F3">
        <w:rPr>
          <w:sz w:val="24"/>
          <w:szCs w:val="24"/>
          <w:lang w:val="en-AU"/>
        </w:rPr>
        <w:t xml:space="preserve"> relation to universities. Performance reports </w:t>
      </w:r>
      <w:r>
        <w:rPr>
          <w:sz w:val="24"/>
          <w:szCs w:val="24"/>
          <w:lang w:val="en-AU"/>
        </w:rPr>
        <w:t xml:space="preserve">provide additional accountability for public spending by </w:t>
      </w:r>
      <w:r w:rsidRPr="00BF68F3">
        <w:rPr>
          <w:sz w:val="24"/>
          <w:szCs w:val="24"/>
        </w:rPr>
        <w:t>examin</w:t>
      </w:r>
      <w:r>
        <w:rPr>
          <w:sz w:val="24"/>
          <w:szCs w:val="24"/>
        </w:rPr>
        <w:t>ing</w:t>
      </w:r>
      <w:r w:rsidRPr="00BF68F3">
        <w:rPr>
          <w:sz w:val="24"/>
          <w:szCs w:val="24"/>
        </w:rPr>
        <w:t xml:space="preserve"> broader topics such as financial waste, mismanagement, and value for money in relation to the public sector.</w:t>
      </w:r>
    </w:p>
    <w:p w14:paraId="37715F47" w14:textId="77777777" w:rsidR="003C0A18" w:rsidRPr="00BF68F3" w:rsidRDefault="003C0A18" w:rsidP="003C0A18">
      <w:pPr>
        <w:rPr>
          <w:sz w:val="24"/>
          <w:szCs w:val="24"/>
        </w:rPr>
      </w:pPr>
    </w:p>
    <w:p w14:paraId="1360FF70" w14:textId="77777777" w:rsidR="003C0A18" w:rsidRPr="00BF68F3" w:rsidRDefault="003C0A18" w:rsidP="003C0A18">
      <w:pPr>
        <w:rPr>
          <w:sz w:val="24"/>
          <w:szCs w:val="24"/>
          <w:lang w:val="en-AU"/>
        </w:rPr>
      </w:pPr>
      <w:r>
        <w:rPr>
          <w:sz w:val="24"/>
          <w:szCs w:val="24"/>
          <w:lang w:val="en-AU"/>
        </w:rPr>
        <w:t>Current</w:t>
      </w:r>
      <w:r w:rsidRPr="00BF68F3">
        <w:rPr>
          <w:sz w:val="24"/>
          <w:szCs w:val="24"/>
          <w:lang w:val="en-AU"/>
        </w:rPr>
        <w:t xml:space="preserve"> audit offices </w:t>
      </w:r>
      <w:r>
        <w:rPr>
          <w:sz w:val="24"/>
          <w:szCs w:val="24"/>
          <w:lang w:val="en-AU"/>
        </w:rPr>
        <w:t xml:space="preserve">routinely </w:t>
      </w:r>
      <w:r w:rsidRPr="00BF68F3">
        <w:rPr>
          <w:sz w:val="24"/>
          <w:szCs w:val="24"/>
          <w:lang w:val="en-AU"/>
        </w:rPr>
        <w:t xml:space="preserve">conduct performance audits on public sector education entities such as schools, </w:t>
      </w:r>
      <w:r>
        <w:rPr>
          <w:sz w:val="24"/>
          <w:szCs w:val="24"/>
          <w:lang w:val="en-AU"/>
        </w:rPr>
        <w:t xml:space="preserve">but </w:t>
      </w:r>
      <w:r w:rsidRPr="00BF68F3">
        <w:rPr>
          <w:sz w:val="24"/>
          <w:szCs w:val="24"/>
          <w:lang w:val="en-AU"/>
        </w:rPr>
        <w:t xml:space="preserve">universities are ignored. The problem </w:t>
      </w:r>
      <w:proofErr w:type="gramStart"/>
      <w:r w:rsidRPr="00BF68F3">
        <w:rPr>
          <w:sz w:val="24"/>
          <w:szCs w:val="24"/>
          <w:lang w:val="en-AU"/>
        </w:rPr>
        <w:t>is,</w:t>
      </w:r>
      <w:proofErr w:type="gramEnd"/>
      <w:r w:rsidRPr="00BF68F3">
        <w:rPr>
          <w:sz w:val="24"/>
          <w:szCs w:val="24"/>
          <w:lang w:val="en-AU"/>
        </w:rPr>
        <w:t xml:space="preserve"> universities are </w:t>
      </w:r>
      <w:r>
        <w:rPr>
          <w:sz w:val="24"/>
          <w:szCs w:val="24"/>
          <w:lang w:val="en-AU"/>
        </w:rPr>
        <w:t>majority</w:t>
      </w:r>
      <w:r w:rsidRPr="00BF68F3">
        <w:rPr>
          <w:sz w:val="24"/>
          <w:szCs w:val="24"/>
          <w:lang w:val="en-AU"/>
        </w:rPr>
        <w:t xml:space="preserve"> federally funded</w:t>
      </w:r>
      <w:r>
        <w:rPr>
          <w:sz w:val="24"/>
          <w:szCs w:val="24"/>
          <w:lang w:val="en-AU"/>
        </w:rPr>
        <w:t xml:space="preserve"> but</w:t>
      </w:r>
      <w:r w:rsidRPr="00BF68F3">
        <w:rPr>
          <w:sz w:val="24"/>
          <w:szCs w:val="24"/>
          <w:lang w:val="en-AU"/>
        </w:rPr>
        <w:t xml:space="preserve"> exist via State Acts of Parliament</w:t>
      </w:r>
      <w:r>
        <w:rPr>
          <w:sz w:val="24"/>
          <w:szCs w:val="24"/>
          <w:lang w:val="en-AU"/>
        </w:rPr>
        <w:t xml:space="preserve">. This </w:t>
      </w:r>
      <w:r w:rsidRPr="00BF68F3">
        <w:rPr>
          <w:sz w:val="24"/>
          <w:szCs w:val="24"/>
          <w:lang w:val="en-AU"/>
        </w:rPr>
        <w:t>means they also fall outside the performance audit interest of the Australian National Audit Office</w:t>
      </w:r>
      <w:r>
        <w:rPr>
          <w:sz w:val="24"/>
          <w:szCs w:val="24"/>
          <w:lang w:val="en-AU"/>
        </w:rPr>
        <w:t xml:space="preserve"> and state audit offices</w:t>
      </w:r>
      <w:r w:rsidRPr="00BF68F3">
        <w:rPr>
          <w:sz w:val="24"/>
          <w:szCs w:val="24"/>
          <w:lang w:val="en-AU"/>
        </w:rPr>
        <w:t xml:space="preserve">. </w:t>
      </w:r>
    </w:p>
    <w:p w14:paraId="0B341A99" w14:textId="77777777" w:rsidR="003C0A18" w:rsidRPr="00BF68F3" w:rsidRDefault="003C0A18" w:rsidP="003C0A18">
      <w:pPr>
        <w:rPr>
          <w:sz w:val="24"/>
          <w:szCs w:val="24"/>
          <w:lang w:val="en-AU"/>
        </w:rPr>
      </w:pPr>
    </w:p>
    <w:p w14:paraId="68ED07D1" w14:textId="77777777" w:rsidR="003C0A18" w:rsidRPr="00BF68F3" w:rsidRDefault="003C0A18" w:rsidP="003C0A18">
      <w:pPr>
        <w:rPr>
          <w:sz w:val="24"/>
          <w:szCs w:val="24"/>
          <w:lang w:val="en-AU"/>
        </w:rPr>
      </w:pPr>
      <w:r>
        <w:rPr>
          <w:sz w:val="24"/>
          <w:szCs w:val="24"/>
          <w:lang w:val="en-AU"/>
        </w:rPr>
        <w:t xml:space="preserve">As university councils and vice chancellors oversee significant public money and assets they should be subject to oversight over their effectiveness and efficiency for those assets. </w:t>
      </w:r>
      <w:r w:rsidRPr="00BF68F3">
        <w:rPr>
          <w:sz w:val="24"/>
          <w:szCs w:val="24"/>
          <w:lang w:val="en-AU"/>
        </w:rPr>
        <w:t xml:space="preserve">State or federal performance audit of universities would provide meaningful insights into topics of relevance. We note that there are numerous issues that deserve </w:t>
      </w:r>
      <w:r>
        <w:rPr>
          <w:sz w:val="24"/>
          <w:szCs w:val="24"/>
          <w:lang w:val="en-AU"/>
        </w:rPr>
        <w:t xml:space="preserve">increased </w:t>
      </w:r>
      <w:r w:rsidRPr="00BF68F3">
        <w:rPr>
          <w:sz w:val="24"/>
          <w:szCs w:val="24"/>
          <w:lang w:val="en-AU"/>
        </w:rPr>
        <w:t xml:space="preserve">external scrutiny. The recent case of universities underpaying their casual staff is </w:t>
      </w:r>
      <w:r>
        <w:rPr>
          <w:sz w:val="24"/>
          <w:szCs w:val="24"/>
          <w:lang w:val="en-AU"/>
        </w:rPr>
        <w:t>one</w:t>
      </w:r>
      <w:r w:rsidRPr="00BF68F3">
        <w:rPr>
          <w:sz w:val="24"/>
          <w:szCs w:val="24"/>
          <w:lang w:val="en-AU"/>
        </w:rPr>
        <w:t xml:space="preserve"> case in point.</w:t>
      </w:r>
    </w:p>
    <w:p w14:paraId="6851CB85" w14:textId="77777777" w:rsidR="003C0A18" w:rsidRPr="00BF68F3" w:rsidRDefault="003C0A18" w:rsidP="003C0A18">
      <w:pPr>
        <w:rPr>
          <w:sz w:val="24"/>
          <w:szCs w:val="24"/>
          <w:lang w:val="en-AU"/>
        </w:rPr>
      </w:pPr>
    </w:p>
    <w:p w14:paraId="24F98B0E" w14:textId="77777777" w:rsidR="003C0A18" w:rsidRDefault="003C0A18" w:rsidP="003C0A18">
      <w:pPr>
        <w:rPr>
          <w:sz w:val="24"/>
          <w:szCs w:val="24"/>
          <w:lang w:val="en-AU"/>
        </w:rPr>
      </w:pPr>
      <w:r w:rsidRPr="00BF68F3">
        <w:rPr>
          <w:sz w:val="24"/>
          <w:szCs w:val="24"/>
          <w:lang w:val="en-AU"/>
        </w:rPr>
        <w:t xml:space="preserve">Some examples of previous NSW audit office performance audits in relation to schools that have relevance for the </w:t>
      </w:r>
      <w:r>
        <w:rPr>
          <w:sz w:val="24"/>
          <w:szCs w:val="24"/>
          <w:lang w:val="en-AU"/>
        </w:rPr>
        <w:t xml:space="preserve">questions on the </w:t>
      </w:r>
      <w:r w:rsidRPr="00BF68F3">
        <w:rPr>
          <w:sz w:val="24"/>
          <w:szCs w:val="24"/>
          <w:lang w:val="en-AU"/>
        </w:rPr>
        <w:t xml:space="preserve">effective and efficient use of university resources include: </w:t>
      </w:r>
    </w:p>
    <w:p w14:paraId="1458547B" w14:textId="77777777" w:rsidR="003C0A18" w:rsidRPr="000643B2" w:rsidRDefault="003C0A18" w:rsidP="003C0A18">
      <w:pPr>
        <w:pStyle w:val="ListParagraph"/>
        <w:numPr>
          <w:ilvl w:val="0"/>
          <w:numId w:val="2"/>
        </w:numPr>
        <w:rPr>
          <w:sz w:val="24"/>
          <w:szCs w:val="24"/>
          <w:lang w:val="en-AU"/>
        </w:rPr>
      </w:pPr>
      <w:r w:rsidRPr="000643B2">
        <w:rPr>
          <w:sz w:val="24"/>
          <w:szCs w:val="24"/>
          <w:lang w:val="en-AU"/>
        </w:rPr>
        <w:t>management of casual teachers</w:t>
      </w:r>
    </w:p>
    <w:p w14:paraId="1BADB599" w14:textId="77777777" w:rsidR="003C0A18" w:rsidRPr="00BF68F3" w:rsidRDefault="003C0A18" w:rsidP="003C0A18">
      <w:pPr>
        <w:pStyle w:val="ListParagraph"/>
        <w:numPr>
          <w:ilvl w:val="0"/>
          <w:numId w:val="2"/>
        </w:numPr>
        <w:rPr>
          <w:sz w:val="24"/>
          <w:szCs w:val="24"/>
          <w:lang w:val="en-AU"/>
        </w:rPr>
      </w:pPr>
      <w:r w:rsidRPr="00BF68F3">
        <w:rPr>
          <w:sz w:val="24"/>
          <w:szCs w:val="24"/>
          <w:lang w:val="en-AU"/>
        </w:rPr>
        <w:t>well-being of secondary school students</w:t>
      </w:r>
    </w:p>
    <w:p w14:paraId="721C69EC" w14:textId="77777777" w:rsidR="003C0A18" w:rsidRPr="00BF68F3" w:rsidRDefault="003C0A18" w:rsidP="003C0A18">
      <w:pPr>
        <w:pStyle w:val="ListParagraph"/>
        <w:numPr>
          <w:ilvl w:val="0"/>
          <w:numId w:val="2"/>
        </w:numPr>
        <w:shd w:val="clear" w:color="auto" w:fill="FFFFFF"/>
        <w:spacing w:before="100" w:beforeAutospacing="1" w:after="100" w:afterAutospacing="1"/>
        <w:rPr>
          <w:sz w:val="24"/>
          <w:szCs w:val="24"/>
          <w:lang w:val="en-AU"/>
        </w:rPr>
      </w:pPr>
      <w:r w:rsidRPr="00BF68F3">
        <w:rPr>
          <w:sz w:val="24"/>
          <w:szCs w:val="24"/>
          <w:lang w:val="en-AU"/>
        </w:rPr>
        <w:t xml:space="preserve">supporting students with a disability </w:t>
      </w:r>
    </w:p>
    <w:p w14:paraId="47187D8B" w14:textId="77777777" w:rsidR="003C0A18" w:rsidRPr="00BF68F3" w:rsidRDefault="003C0A18" w:rsidP="003C0A18">
      <w:pPr>
        <w:pStyle w:val="ListParagraph"/>
        <w:numPr>
          <w:ilvl w:val="0"/>
          <w:numId w:val="2"/>
        </w:numPr>
        <w:shd w:val="clear" w:color="auto" w:fill="FFFFFF"/>
        <w:spacing w:before="100" w:beforeAutospacing="1" w:after="100" w:afterAutospacing="1"/>
        <w:rPr>
          <w:sz w:val="24"/>
          <w:szCs w:val="24"/>
          <w:lang w:val="en-AU"/>
        </w:rPr>
      </w:pPr>
      <w:r w:rsidRPr="00BF68F3">
        <w:rPr>
          <w:sz w:val="24"/>
          <w:szCs w:val="24"/>
          <w:lang w:val="en-AU"/>
        </w:rPr>
        <w:t xml:space="preserve">effective managing their infrastructure assets to maximise their service to staff, </w:t>
      </w:r>
      <w:proofErr w:type="gramStart"/>
      <w:r w:rsidRPr="00BF68F3">
        <w:rPr>
          <w:sz w:val="24"/>
          <w:szCs w:val="24"/>
          <w:lang w:val="en-AU"/>
        </w:rPr>
        <w:t>students</w:t>
      </w:r>
      <w:proofErr w:type="gramEnd"/>
      <w:r w:rsidRPr="00BF68F3">
        <w:rPr>
          <w:sz w:val="24"/>
          <w:szCs w:val="24"/>
          <w:lang w:val="en-AU"/>
        </w:rPr>
        <w:t xml:space="preserve"> and the community.</w:t>
      </w:r>
    </w:p>
    <w:p w14:paraId="11950C40" w14:textId="77777777" w:rsidR="003C0A18" w:rsidRDefault="003C0A18" w:rsidP="003C0A18">
      <w:pPr>
        <w:shd w:val="clear" w:color="auto" w:fill="FFFFFF"/>
        <w:spacing w:before="100" w:beforeAutospacing="1" w:after="100" w:afterAutospacing="1"/>
        <w:rPr>
          <w:sz w:val="24"/>
          <w:szCs w:val="24"/>
          <w:lang w:val="en-AU"/>
        </w:rPr>
      </w:pPr>
      <w:r w:rsidRPr="00BF68F3">
        <w:rPr>
          <w:sz w:val="24"/>
          <w:szCs w:val="24"/>
          <w:lang w:val="en-AU"/>
        </w:rPr>
        <w:t>External accountability mechanisms that provide</w:t>
      </w:r>
      <w:r>
        <w:rPr>
          <w:sz w:val="24"/>
          <w:szCs w:val="24"/>
          <w:lang w:val="en-AU"/>
        </w:rPr>
        <w:t xml:space="preserve"> increased</w:t>
      </w:r>
      <w:r w:rsidRPr="00BF68F3">
        <w:rPr>
          <w:sz w:val="24"/>
          <w:szCs w:val="24"/>
          <w:lang w:val="en-AU"/>
        </w:rPr>
        <w:t xml:space="preserve"> oversight of </w:t>
      </w:r>
      <w:r>
        <w:rPr>
          <w:sz w:val="24"/>
          <w:szCs w:val="24"/>
          <w:lang w:val="en-AU"/>
        </w:rPr>
        <w:t xml:space="preserve">university </w:t>
      </w:r>
      <w:r w:rsidRPr="00BF68F3">
        <w:rPr>
          <w:sz w:val="24"/>
          <w:szCs w:val="24"/>
          <w:lang w:val="en-AU"/>
        </w:rPr>
        <w:t xml:space="preserve">governance </w:t>
      </w:r>
      <w:r>
        <w:rPr>
          <w:sz w:val="24"/>
          <w:szCs w:val="24"/>
          <w:lang w:val="en-AU"/>
        </w:rPr>
        <w:t>ensure continued</w:t>
      </w:r>
      <w:r w:rsidRPr="00BF68F3">
        <w:rPr>
          <w:sz w:val="24"/>
          <w:szCs w:val="24"/>
          <w:lang w:val="en-AU"/>
        </w:rPr>
        <w:t xml:space="preserve"> community support for the ongoing success of </w:t>
      </w:r>
      <w:r>
        <w:rPr>
          <w:sz w:val="24"/>
          <w:szCs w:val="24"/>
          <w:lang w:val="en-AU"/>
        </w:rPr>
        <w:t xml:space="preserve">our </w:t>
      </w:r>
      <w:r w:rsidRPr="00BF68F3">
        <w:rPr>
          <w:sz w:val="24"/>
          <w:szCs w:val="24"/>
          <w:lang w:val="en-AU"/>
        </w:rPr>
        <w:t>higher education</w:t>
      </w:r>
      <w:r>
        <w:rPr>
          <w:sz w:val="24"/>
          <w:szCs w:val="24"/>
          <w:lang w:val="en-AU"/>
        </w:rPr>
        <w:t xml:space="preserve"> institutions.</w:t>
      </w:r>
    </w:p>
    <w:p w14:paraId="1E03A30F" w14:textId="77777777" w:rsidR="003C0A18" w:rsidRPr="00BE6EA4" w:rsidRDefault="003C0A18" w:rsidP="003C0A18">
      <w:pPr>
        <w:pStyle w:val="ListParagraph"/>
        <w:numPr>
          <w:ilvl w:val="0"/>
          <w:numId w:val="1"/>
        </w:numPr>
        <w:shd w:val="clear" w:color="auto" w:fill="FFFFFF"/>
        <w:spacing w:before="100" w:beforeAutospacing="1" w:after="100" w:afterAutospacing="1"/>
        <w:rPr>
          <w:rFonts w:eastAsia="Times New Roman" w:cstheme="minorHAnsi"/>
          <w:b/>
          <w:bCs/>
          <w:sz w:val="24"/>
          <w:szCs w:val="24"/>
          <w:lang w:val="en-AU" w:eastAsia="en-AU"/>
        </w:rPr>
      </w:pPr>
      <w:r w:rsidRPr="00BE6EA4">
        <w:rPr>
          <w:rFonts w:eastAsia="Times New Roman" w:cstheme="minorHAnsi"/>
          <w:b/>
          <w:bCs/>
          <w:sz w:val="24"/>
          <w:szCs w:val="24"/>
          <w:lang w:val="en-AU" w:eastAsia="en-AU"/>
        </w:rPr>
        <w:t xml:space="preserve">The Accord review should also include a review of the current voluntary reporting requirements of universities to strengthen transparency of environment, social and governance activities. </w:t>
      </w:r>
    </w:p>
    <w:p w14:paraId="0C932595" w14:textId="77777777" w:rsidR="003C0A18" w:rsidRPr="003268F3"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A</w:t>
      </w:r>
      <w:r w:rsidRPr="00BF68F3">
        <w:rPr>
          <w:rFonts w:eastAsia="Times New Roman" w:cstheme="minorHAnsi"/>
          <w:sz w:val="24"/>
          <w:szCs w:val="24"/>
          <w:lang w:val="en-AU" w:eastAsia="en-AU"/>
        </w:rPr>
        <w:t xml:space="preserve">nnual reports of universities </w:t>
      </w:r>
      <w:r>
        <w:rPr>
          <w:rFonts w:eastAsia="Times New Roman" w:cstheme="minorHAnsi"/>
          <w:sz w:val="24"/>
          <w:szCs w:val="24"/>
          <w:lang w:val="en-AU" w:eastAsia="en-AU"/>
        </w:rPr>
        <w:t xml:space="preserve">are important accountability and transparency tools but currently lack sufficient and meaningful detailed metrics for stakeholders (parents, students, industry partners, unions etc) to assess their effectiveness and comparability against others. </w:t>
      </w:r>
    </w:p>
    <w:p w14:paraId="04158246" w14:textId="77777777" w:rsidR="003C0A18"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A review of reporting requirements should ask ‘</w:t>
      </w:r>
      <w:r w:rsidRPr="003268F3">
        <w:rPr>
          <w:rFonts w:eastAsia="Times New Roman" w:cstheme="minorHAnsi"/>
          <w:sz w:val="24"/>
          <w:szCs w:val="24"/>
          <w:lang w:val="en-AU" w:eastAsia="en-AU"/>
        </w:rPr>
        <w:t>How</w:t>
      </w:r>
      <w:r>
        <w:rPr>
          <w:rFonts w:eastAsia="Times New Roman" w:cstheme="minorHAnsi"/>
          <w:sz w:val="24"/>
          <w:szCs w:val="24"/>
          <w:lang w:val="en-AU" w:eastAsia="en-AU"/>
        </w:rPr>
        <w:t xml:space="preserve"> </w:t>
      </w:r>
      <w:r w:rsidRPr="003268F3">
        <w:rPr>
          <w:rFonts w:eastAsia="Times New Roman" w:cstheme="minorHAnsi"/>
          <w:sz w:val="24"/>
          <w:szCs w:val="24"/>
          <w:lang w:val="en-AU" w:eastAsia="en-AU"/>
        </w:rPr>
        <w:t>will universities and their impacts be operationalised, reported on and assessed for the</w:t>
      </w:r>
      <w:r>
        <w:rPr>
          <w:rFonts w:eastAsia="Times New Roman" w:cstheme="minorHAnsi"/>
          <w:sz w:val="24"/>
          <w:szCs w:val="24"/>
          <w:lang w:val="en-AU" w:eastAsia="en-AU"/>
        </w:rPr>
        <w:t xml:space="preserve"> </w:t>
      </w:r>
      <w:r w:rsidRPr="003268F3">
        <w:rPr>
          <w:rFonts w:eastAsia="Times New Roman" w:cstheme="minorHAnsi"/>
          <w:sz w:val="24"/>
          <w:szCs w:val="24"/>
          <w:lang w:val="en-AU" w:eastAsia="en-AU"/>
        </w:rPr>
        <w:t>advancement of nation, region and global society?</w:t>
      </w:r>
      <w:r>
        <w:rPr>
          <w:rFonts w:eastAsia="Times New Roman" w:cstheme="minorHAnsi"/>
          <w:sz w:val="24"/>
          <w:szCs w:val="24"/>
          <w:lang w:val="en-AU" w:eastAsia="en-AU"/>
        </w:rPr>
        <w:t>’ (Carnegie &amp; Parker 2022)</w:t>
      </w:r>
    </w:p>
    <w:p w14:paraId="4833734C" w14:textId="77777777" w:rsidR="003C0A18"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 xml:space="preserve">Universities are responsible for significant public budgets and resources </w:t>
      </w:r>
      <w:proofErr w:type="gramStart"/>
      <w:r>
        <w:rPr>
          <w:rFonts w:eastAsia="Times New Roman" w:cstheme="minorHAnsi"/>
          <w:sz w:val="24"/>
          <w:szCs w:val="24"/>
          <w:lang w:val="en-AU" w:eastAsia="en-AU"/>
        </w:rPr>
        <w:t>similar to</w:t>
      </w:r>
      <w:proofErr w:type="gramEnd"/>
      <w:r>
        <w:rPr>
          <w:rFonts w:eastAsia="Times New Roman" w:cstheme="minorHAnsi"/>
          <w:sz w:val="24"/>
          <w:szCs w:val="24"/>
          <w:lang w:val="en-AU" w:eastAsia="en-AU"/>
        </w:rPr>
        <w:t xml:space="preserve"> large publicly listed companies and government departments. Increased reporting requirements would be in keeping with current requirements for similar entities.</w:t>
      </w:r>
    </w:p>
    <w:p w14:paraId="78DB0977" w14:textId="77777777" w:rsidR="003C0A18"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 xml:space="preserve">Meaningful reporting by universities should include: </w:t>
      </w:r>
    </w:p>
    <w:p w14:paraId="060718CA" w14:textId="77777777" w:rsidR="003C0A18" w:rsidRPr="00C04C1A" w:rsidRDefault="003C0A18" w:rsidP="003C0A18">
      <w:pPr>
        <w:pStyle w:val="ListParagraph"/>
        <w:numPr>
          <w:ilvl w:val="0"/>
          <w:numId w:val="3"/>
        </w:numPr>
        <w:shd w:val="clear" w:color="auto" w:fill="FFFFFF"/>
        <w:spacing w:before="100" w:beforeAutospacing="1" w:after="100" w:afterAutospacing="1"/>
        <w:rPr>
          <w:rFonts w:eastAsia="Times New Roman" w:cstheme="minorHAnsi"/>
          <w:sz w:val="24"/>
          <w:szCs w:val="24"/>
          <w:lang w:val="en-AU" w:eastAsia="en-AU"/>
        </w:rPr>
      </w:pPr>
      <w:r w:rsidRPr="00C04C1A">
        <w:rPr>
          <w:rFonts w:eastAsia="Times New Roman" w:cstheme="minorHAnsi"/>
          <w:sz w:val="24"/>
          <w:szCs w:val="24"/>
          <w:lang w:val="en-AU" w:eastAsia="en-AU"/>
        </w:rPr>
        <w:t xml:space="preserve">retention and succession progress </w:t>
      </w:r>
      <w:r>
        <w:rPr>
          <w:rFonts w:eastAsia="Times New Roman" w:cstheme="minorHAnsi"/>
          <w:sz w:val="24"/>
          <w:szCs w:val="24"/>
          <w:lang w:val="en-AU" w:eastAsia="en-AU"/>
        </w:rPr>
        <w:t>of</w:t>
      </w:r>
      <w:r w:rsidRPr="00C04C1A">
        <w:rPr>
          <w:rFonts w:eastAsia="Times New Roman" w:cstheme="minorHAnsi"/>
          <w:sz w:val="24"/>
          <w:szCs w:val="24"/>
          <w:lang w:val="en-AU" w:eastAsia="en-AU"/>
        </w:rPr>
        <w:t xml:space="preserve"> students</w:t>
      </w:r>
      <w:r>
        <w:rPr>
          <w:rFonts w:eastAsia="Times New Roman" w:cstheme="minorHAnsi"/>
          <w:sz w:val="24"/>
          <w:szCs w:val="24"/>
          <w:lang w:val="en-AU" w:eastAsia="en-AU"/>
        </w:rPr>
        <w:t xml:space="preserve"> by degree</w:t>
      </w:r>
      <w:r w:rsidRPr="00C04C1A">
        <w:rPr>
          <w:rFonts w:eastAsia="Times New Roman" w:cstheme="minorHAnsi"/>
          <w:sz w:val="24"/>
          <w:szCs w:val="24"/>
          <w:lang w:val="en-AU" w:eastAsia="en-AU"/>
        </w:rPr>
        <w:t xml:space="preserve"> (including disadvantaged students) such as failure rates/</w:t>
      </w:r>
      <w:proofErr w:type="spellStart"/>
      <w:r w:rsidRPr="00C04C1A">
        <w:rPr>
          <w:rFonts w:eastAsia="Times New Roman" w:cstheme="minorHAnsi"/>
          <w:sz w:val="24"/>
          <w:szCs w:val="24"/>
          <w:lang w:val="en-AU" w:eastAsia="en-AU"/>
        </w:rPr>
        <w:t>drop out</w:t>
      </w:r>
      <w:proofErr w:type="spellEnd"/>
      <w:r w:rsidRPr="00C04C1A">
        <w:rPr>
          <w:rFonts w:eastAsia="Times New Roman" w:cstheme="minorHAnsi"/>
          <w:sz w:val="24"/>
          <w:szCs w:val="24"/>
          <w:lang w:val="en-AU" w:eastAsia="en-AU"/>
        </w:rPr>
        <w:t xml:space="preserve"> rates by degree. This will enable parents and potential students to see which universities are more successful at supporting disadvantaged students to succeed. </w:t>
      </w:r>
    </w:p>
    <w:p w14:paraId="594EA8EA" w14:textId="77777777" w:rsidR="003C0A18" w:rsidRDefault="003C0A18" w:rsidP="003C0A18">
      <w:pPr>
        <w:pStyle w:val="ListParagraph"/>
        <w:numPr>
          <w:ilvl w:val="0"/>
          <w:numId w:val="3"/>
        </w:numPr>
        <w:shd w:val="clear" w:color="auto" w:fill="FFFFFF"/>
        <w:spacing w:before="100" w:beforeAutospacing="1" w:after="100" w:afterAutospacing="1"/>
        <w:rPr>
          <w:sz w:val="24"/>
          <w:szCs w:val="24"/>
          <w:lang w:val="en-AU"/>
        </w:rPr>
      </w:pPr>
      <w:r>
        <w:rPr>
          <w:sz w:val="24"/>
          <w:szCs w:val="24"/>
          <w:lang w:val="en-AU"/>
        </w:rPr>
        <w:t xml:space="preserve">% </w:t>
      </w:r>
      <w:proofErr w:type="gramStart"/>
      <w:r>
        <w:rPr>
          <w:sz w:val="24"/>
          <w:szCs w:val="24"/>
          <w:lang w:val="en-AU"/>
        </w:rPr>
        <w:t>casual</w:t>
      </w:r>
      <w:proofErr w:type="gramEnd"/>
      <w:r>
        <w:rPr>
          <w:sz w:val="24"/>
          <w:szCs w:val="24"/>
          <w:lang w:val="en-AU"/>
        </w:rPr>
        <w:t xml:space="preserve"> staff </w:t>
      </w:r>
    </w:p>
    <w:p w14:paraId="39B3074E" w14:textId="77777777" w:rsidR="003C0A18" w:rsidRDefault="003C0A18" w:rsidP="003C0A18">
      <w:pPr>
        <w:pStyle w:val="ListParagraph"/>
        <w:numPr>
          <w:ilvl w:val="0"/>
          <w:numId w:val="3"/>
        </w:numPr>
        <w:shd w:val="clear" w:color="auto" w:fill="FFFFFF"/>
        <w:spacing w:before="100" w:beforeAutospacing="1" w:after="100" w:afterAutospacing="1"/>
        <w:rPr>
          <w:sz w:val="24"/>
          <w:szCs w:val="24"/>
          <w:lang w:val="en-AU"/>
        </w:rPr>
      </w:pPr>
      <w:r>
        <w:rPr>
          <w:sz w:val="24"/>
          <w:szCs w:val="24"/>
          <w:lang w:val="en-AU"/>
        </w:rPr>
        <w:t>Senior staff salaries (</w:t>
      </w:r>
      <w:proofErr w:type="gramStart"/>
      <w:r>
        <w:rPr>
          <w:sz w:val="24"/>
          <w:szCs w:val="24"/>
          <w:lang w:val="en-AU"/>
        </w:rPr>
        <w:t>similar to</w:t>
      </w:r>
      <w:proofErr w:type="gramEnd"/>
      <w:r>
        <w:rPr>
          <w:sz w:val="24"/>
          <w:szCs w:val="24"/>
          <w:lang w:val="en-AU"/>
        </w:rPr>
        <w:t xml:space="preserve"> publicly listed companies)</w:t>
      </w:r>
    </w:p>
    <w:p w14:paraId="242BFD33" w14:textId="77777777" w:rsidR="003C0A18" w:rsidRDefault="003C0A18" w:rsidP="003C0A18">
      <w:pPr>
        <w:pStyle w:val="ListParagraph"/>
        <w:numPr>
          <w:ilvl w:val="0"/>
          <w:numId w:val="3"/>
        </w:numPr>
        <w:shd w:val="clear" w:color="auto" w:fill="FFFFFF"/>
        <w:spacing w:before="100" w:beforeAutospacing="1" w:after="100" w:afterAutospacing="1"/>
        <w:rPr>
          <w:sz w:val="24"/>
          <w:szCs w:val="24"/>
          <w:lang w:val="en-AU"/>
        </w:rPr>
      </w:pPr>
      <w:r>
        <w:rPr>
          <w:sz w:val="24"/>
          <w:szCs w:val="24"/>
          <w:lang w:val="en-AU"/>
        </w:rPr>
        <w:t xml:space="preserve">Gender </w:t>
      </w:r>
      <w:proofErr w:type="gramStart"/>
      <w:r>
        <w:rPr>
          <w:sz w:val="24"/>
          <w:szCs w:val="24"/>
          <w:lang w:val="en-AU"/>
        </w:rPr>
        <w:t>pay</w:t>
      </w:r>
      <w:proofErr w:type="gramEnd"/>
      <w:r>
        <w:rPr>
          <w:sz w:val="24"/>
          <w:szCs w:val="24"/>
          <w:lang w:val="en-AU"/>
        </w:rPr>
        <w:t xml:space="preserve"> gap statistics</w:t>
      </w:r>
    </w:p>
    <w:p w14:paraId="469D5A67" w14:textId="77777777" w:rsidR="003C0A18" w:rsidRDefault="003C0A18" w:rsidP="003C0A18">
      <w:pPr>
        <w:pStyle w:val="ListParagraph"/>
        <w:numPr>
          <w:ilvl w:val="0"/>
          <w:numId w:val="3"/>
        </w:numPr>
        <w:shd w:val="clear" w:color="auto" w:fill="FFFFFF"/>
        <w:spacing w:before="100" w:beforeAutospacing="1" w:after="100" w:afterAutospacing="1"/>
        <w:rPr>
          <w:sz w:val="24"/>
          <w:szCs w:val="24"/>
          <w:lang w:val="en-AU"/>
        </w:rPr>
      </w:pPr>
      <w:r>
        <w:rPr>
          <w:sz w:val="24"/>
          <w:szCs w:val="24"/>
          <w:lang w:val="en-AU"/>
        </w:rPr>
        <w:t>Gender equity statistics (senior leadership/faculty) etc</w:t>
      </w:r>
    </w:p>
    <w:p w14:paraId="1DA20932" w14:textId="77777777" w:rsidR="003C0A18" w:rsidRDefault="003C0A18" w:rsidP="003C0A18">
      <w:pPr>
        <w:pStyle w:val="ListParagraph"/>
        <w:numPr>
          <w:ilvl w:val="0"/>
          <w:numId w:val="3"/>
        </w:numPr>
        <w:shd w:val="clear" w:color="auto" w:fill="FFFFFF"/>
        <w:spacing w:before="100" w:beforeAutospacing="1" w:after="100" w:afterAutospacing="1"/>
        <w:rPr>
          <w:sz w:val="24"/>
          <w:szCs w:val="24"/>
          <w:lang w:val="en-AU"/>
        </w:rPr>
      </w:pPr>
      <w:r>
        <w:rPr>
          <w:sz w:val="24"/>
          <w:szCs w:val="24"/>
          <w:lang w:val="en-AU"/>
        </w:rPr>
        <w:t>CO2 emissions/water use</w:t>
      </w:r>
    </w:p>
    <w:p w14:paraId="6C478C97" w14:textId="54A2F46F" w:rsidR="003C0A18" w:rsidRPr="00E57CA1" w:rsidRDefault="003C0A18" w:rsidP="003C0A18">
      <w:pPr>
        <w:shd w:val="clear" w:color="auto" w:fill="FFFFFF"/>
        <w:spacing w:before="100" w:beforeAutospacing="1" w:after="100" w:afterAutospacing="1"/>
        <w:rPr>
          <w:b/>
          <w:bCs/>
          <w:sz w:val="24"/>
          <w:szCs w:val="24"/>
          <w:lang w:val="en-AU"/>
        </w:rPr>
      </w:pPr>
      <w:r>
        <w:rPr>
          <w:b/>
          <w:bCs/>
          <w:sz w:val="24"/>
          <w:szCs w:val="24"/>
          <w:lang w:val="en-AU"/>
        </w:rPr>
        <w:lastRenderedPageBreak/>
        <w:t xml:space="preserve">#2 </w:t>
      </w:r>
      <w:r w:rsidRPr="00E57CA1">
        <w:rPr>
          <w:b/>
          <w:bCs/>
          <w:sz w:val="24"/>
          <w:szCs w:val="24"/>
          <w:lang w:val="en-AU"/>
        </w:rPr>
        <w:t xml:space="preserve">Access and </w:t>
      </w:r>
      <w:r w:rsidR="00C70271">
        <w:rPr>
          <w:b/>
          <w:bCs/>
          <w:sz w:val="24"/>
          <w:szCs w:val="24"/>
          <w:lang w:val="en-AU"/>
        </w:rPr>
        <w:t>o</w:t>
      </w:r>
      <w:r w:rsidRPr="00E57CA1">
        <w:rPr>
          <w:b/>
          <w:bCs/>
          <w:sz w:val="24"/>
          <w:szCs w:val="24"/>
          <w:lang w:val="en-AU"/>
        </w:rPr>
        <w:t xml:space="preserve">pportunity </w:t>
      </w:r>
      <w:r>
        <w:rPr>
          <w:b/>
          <w:bCs/>
          <w:sz w:val="24"/>
          <w:szCs w:val="24"/>
          <w:lang w:val="en-AU"/>
        </w:rPr>
        <w:t xml:space="preserve">and #3 </w:t>
      </w:r>
      <w:r w:rsidRPr="00E57CA1">
        <w:rPr>
          <w:b/>
          <w:bCs/>
          <w:sz w:val="24"/>
          <w:szCs w:val="24"/>
          <w:lang w:val="en-AU"/>
        </w:rPr>
        <w:t>Investment</w:t>
      </w:r>
      <w:r w:rsidR="00C70271">
        <w:rPr>
          <w:b/>
          <w:bCs/>
          <w:sz w:val="24"/>
          <w:szCs w:val="24"/>
          <w:lang w:val="en-AU"/>
        </w:rPr>
        <w:t xml:space="preserve"> and affordability</w:t>
      </w:r>
    </w:p>
    <w:p w14:paraId="0FE97D5C" w14:textId="77777777" w:rsidR="003C0A18" w:rsidRPr="00BE6EA4" w:rsidRDefault="003C0A18" w:rsidP="003C0A18">
      <w:pPr>
        <w:pStyle w:val="ListParagraph"/>
        <w:numPr>
          <w:ilvl w:val="0"/>
          <w:numId w:val="1"/>
        </w:numPr>
        <w:shd w:val="clear" w:color="auto" w:fill="FFFFFF"/>
        <w:spacing w:before="100" w:beforeAutospacing="1" w:after="100" w:afterAutospacing="1"/>
        <w:rPr>
          <w:rFonts w:eastAsia="Times New Roman" w:cstheme="minorHAnsi"/>
          <w:b/>
          <w:bCs/>
          <w:sz w:val="24"/>
          <w:szCs w:val="24"/>
          <w:lang w:val="en-AU" w:eastAsia="en-AU"/>
        </w:rPr>
      </w:pPr>
      <w:r w:rsidRPr="00BE6EA4">
        <w:rPr>
          <w:rFonts w:eastAsia="Times New Roman" w:cstheme="minorHAnsi"/>
          <w:b/>
          <w:bCs/>
          <w:sz w:val="24"/>
          <w:szCs w:val="24"/>
          <w:lang w:val="en-AU" w:eastAsia="en-AU"/>
        </w:rPr>
        <w:t xml:space="preserve">Review of the current performance-based funding (PBF) scheme </w:t>
      </w:r>
    </w:p>
    <w:p w14:paraId="0B7AF9AF" w14:textId="77777777" w:rsidR="003C0A18" w:rsidRPr="0012260E" w:rsidRDefault="003C0A18" w:rsidP="003C0A18">
      <w:pPr>
        <w:shd w:val="clear" w:color="auto" w:fill="FFFFFF"/>
        <w:spacing w:before="100" w:beforeAutospacing="1" w:after="100" w:afterAutospacing="1"/>
        <w:rPr>
          <w:rFonts w:eastAsia="Times New Roman" w:cstheme="minorHAnsi"/>
          <w:b/>
          <w:bCs/>
          <w:sz w:val="24"/>
          <w:szCs w:val="24"/>
          <w:lang w:val="en-AU" w:eastAsia="en-AU"/>
        </w:rPr>
      </w:pPr>
      <w:r w:rsidRPr="0012260E">
        <w:rPr>
          <w:rFonts w:eastAsia="Times New Roman" w:cstheme="minorHAnsi"/>
          <w:b/>
          <w:bCs/>
          <w:sz w:val="24"/>
          <w:szCs w:val="24"/>
          <w:lang w:val="en-AU" w:eastAsia="en-AU"/>
        </w:rPr>
        <w:t xml:space="preserve">We believe the current performance-based funding model should be reviewed to better align universities </w:t>
      </w:r>
      <w:r>
        <w:rPr>
          <w:rFonts w:eastAsia="Times New Roman" w:cstheme="minorHAnsi"/>
          <w:b/>
          <w:bCs/>
          <w:sz w:val="24"/>
          <w:szCs w:val="24"/>
          <w:lang w:val="en-AU" w:eastAsia="en-AU"/>
        </w:rPr>
        <w:t>incentives to</w:t>
      </w:r>
      <w:r w:rsidRPr="0012260E">
        <w:rPr>
          <w:rFonts w:eastAsia="Times New Roman" w:cstheme="minorHAnsi"/>
          <w:b/>
          <w:bCs/>
          <w:sz w:val="24"/>
          <w:szCs w:val="24"/>
          <w:lang w:val="en-AU" w:eastAsia="en-AU"/>
        </w:rPr>
        <w:t xml:space="preserve"> support students from disadvantaged and under-represented backgrounds</w:t>
      </w:r>
      <w:r>
        <w:rPr>
          <w:rFonts w:eastAsia="Times New Roman" w:cstheme="minorHAnsi"/>
          <w:b/>
          <w:bCs/>
          <w:sz w:val="24"/>
          <w:szCs w:val="24"/>
          <w:lang w:val="en-AU" w:eastAsia="en-AU"/>
        </w:rPr>
        <w:t>.</w:t>
      </w:r>
    </w:p>
    <w:p w14:paraId="07C95817" w14:textId="77777777" w:rsidR="003C0A18" w:rsidRPr="00CE243C" w:rsidRDefault="003C0A18" w:rsidP="003C0A18">
      <w:pPr>
        <w:shd w:val="clear" w:color="auto" w:fill="FFFFFF"/>
        <w:spacing w:before="100" w:beforeAutospacing="1" w:after="100" w:afterAutospacing="1"/>
        <w:rPr>
          <w:rFonts w:eastAsia="Times New Roman" w:cstheme="minorHAnsi"/>
          <w:sz w:val="24"/>
          <w:szCs w:val="24"/>
          <w:lang w:val="en-AU" w:eastAsia="en-AU"/>
        </w:rPr>
      </w:pPr>
      <w:r w:rsidRPr="00CF6B75">
        <w:rPr>
          <w:rFonts w:eastAsia="Times New Roman" w:cstheme="minorHAnsi"/>
          <w:sz w:val="24"/>
          <w:szCs w:val="24"/>
          <w:lang w:val="en-AU" w:eastAsia="en-AU"/>
        </w:rPr>
        <w:t xml:space="preserve">The </w:t>
      </w:r>
      <w:r>
        <w:rPr>
          <w:rFonts w:eastAsia="Times New Roman" w:cstheme="minorHAnsi"/>
          <w:sz w:val="24"/>
          <w:szCs w:val="24"/>
          <w:lang w:val="en-AU" w:eastAsia="en-AU"/>
        </w:rPr>
        <w:t>existing performance-based funding scheme was reviewed in 2019 (</w:t>
      </w:r>
      <w:proofErr w:type="spellStart"/>
      <w:r>
        <w:rPr>
          <w:rFonts w:eastAsia="Times New Roman" w:cstheme="minorHAnsi"/>
          <w:sz w:val="24"/>
          <w:szCs w:val="24"/>
          <w:lang w:val="en-AU" w:eastAsia="en-AU"/>
        </w:rPr>
        <w:t>Wellings</w:t>
      </w:r>
      <w:proofErr w:type="spellEnd"/>
      <w:r>
        <w:rPr>
          <w:rFonts w:eastAsia="Times New Roman" w:cstheme="minorHAnsi"/>
          <w:sz w:val="24"/>
          <w:szCs w:val="24"/>
          <w:lang w:val="en-AU" w:eastAsia="en-AU"/>
        </w:rPr>
        <w:t xml:space="preserve"> et al 2019) with the aim of e</w:t>
      </w:r>
      <w:proofErr w:type="spellStart"/>
      <w:r>
        <w:t>nsuring</w:t>
      </w:r>
      <w:proofErr w:type="spellEnd"/>
      <w:r>
        <w:t xml:space="preserve"> universities focus sufficient attention on the quality of their teaching and student support to ensure the best possible graduate outcomes. The current model outcome</w:t>
      </w:r>
      <w:r>
        <w:rPr>
          <w:rFonts w:eastAsia="Times New Roman" w:cstheme="minorHAnsi"/>
          <w:sz w:val="24"/>
          <w:szCs w:val="24"/>
          <w:lang w:val="en-AU" w:eastAsia="en-AU"/>
        </w:rPr>
        <w:t xml:space="preserve"> includes </w:t>
      </w:r>
      <w:r w:rsidRPr="00CE243C">
        <w:rPr>
          <w:rFonts w:eastAsia="Times New Roman" w:cstheme="minorHAnsi"/>
          <w:sz w:val="24"/>
          <w:szCs w:val="24"/>
          <w:lang w:val="en-AU" w:eastAsia="en-AU"/>
        </w:rPr>
        <w:t>four core measures (graduate employment outcomes, student experience, student success and equity group participation by Indigenous, low socio</w:t>
      </w:r>
      <w:r w:rsidRPr="00CE243C">
        <w:rPr>
          <w:rFonts w:eastAsia="Times New Roman" w:cstheme="minorHAnsi"/>
          <w:sz w:val="24"/>
          <w:szCs w:val="24"/>
          <w:lang w:val="en-AU" w:eastAsia="en-AU"/>
        </w:rPr>
        <w:noBreakHyphen/>
        <w:t>economic status and regional/remote students)</w:t>
      </w:r>
      <w:r>
        <w:rPr>
          <w:rFonts w:eastAsia="Times New Roman" w:cstheme="minorHAnsi"/>
          <w:sz w:val="24"/>
          <w:szCs w:val="24"/>
          <w:lang w:val="en-AU" w:eastAsia="en-AU"/>
        </w:rPr>
        <w:t xml:space="preserve">. These measures are weighted 40/20/20/20 respectively </w:t>
      </w:r>
      <w:proofErr w:type="gramStart"/>
      <w:r>
        <w:rPr>
          <w:rFonts w:eastAsia="Times New Roman" w:cstheme="minorHAnsi"/>
          <w:sz w:val="24"/>
          <w:szCs w:val="24"/>
          <w:lang w:val="en-AU" w:eastAsia="en-AU"/>
        </w:rPr>
        <w:t>and also</w:t>
      </w:r>
      <w:proofErr w:type="gramEnd"/>
      <w:r>
        <w:rPr>
          <w:rFonts w:eastAsia="Times New Roman" w:cstheme="minorHAnsi"/>
          <w:sz w:val="24"/>
          <w:szCs w:val="24"/>
          <w:lang w:val="en-AU" w:eastAsia="en-AU"/>
        </w:rPr>
        <w:t xml:space="preserve"> take into account </w:t>
      </w:r>
      <w:r w:rsidRPr="00CE243C">
        <w:rPr>
          <w:rFonts w:eastAsia="Times New Roman" w:cstheme="minorHAnsi"/>
          <w:sz w:val="24"/>
          <w:szCs w:val="24"/>
          <w:lang w:val="en-AU" w:eastAsia="en-AU"/>
        </w:rPr>
        <w:t>contextualised thresholds for each core measure</w:t>
      </w:r>
      <w:r>
        <w:rPr>
          <w:rFonts w:eastAsia="Times New Roman" w:cstheme="minorHAnsi"/>
          <w:sz w:val="24"/>
          <w:szCs w:val="24"/>
          <w:lang w:val="en-AU" w:eastAsia="en-AU"/>
        </w:rPr>
        <w:t xml:space="preserve"> (</w:t>
      </w:r>
      <w:r w:rsidRPr="00CE243C">
        <w:rPr>
          <w:rFonts w:eastAsia="Times New Roman" w:cstheme="minorHAnsi"/>
          <w:sz w:val="24"/>
          <w:szCs w:val="24"/>
          <w:lang w:val="en-AU" w:eastAsia="en-AU"/>
        </w:rPr>
        <w:t>to account for university contexts and student characteristics</w:t>
      </w:r>
      <w:r>
        <w:rPr>
          <w:rFonts w:eastAsia="Times New Roman" w:cstheme="minorHAnsi"/>
          <w:sz w:val="24"/>
          <w:szCs w:val="24"/>
          <w:lang w:val="en-AU" w:eastAsia="en-AU"/>
        </w:rPr>
        <w:t>).</w:t>
      </w:r>
    </w:p>
    <w:p w14:paraId="52450F98" w14:textId="77777777" w:rsidR="003C0A18" w:rsidRPr="00BF68F3" w:rsidRDefault="003C0A18" w:rsidP="003C0A18">
      <w:pPr>
        <w:shd w:val="clear" w:color="auto" w:fill="FFFFFF"/>
        <w:spacing w:before="100" w:beforeAutospacing="1" w:after="100" w:afterAutospacing="1"/>
        <w:rPr>
          <w:rFonts w:eastAsia="Times New Roman" w:cstheme="minorHAnsi"/>
          <w:sz w:val="24"/>
          <w:szCs w:val="24"/>
          <w:lang w:val="en-AU" w:eastAsia="en-AU"/>
        </w:rPr>
      </w:pPr>
      <w:r w:rsidRPr="00BF68F3">
        <w:rPr>
          <w:rFonts w:eastAsia="Times New Roman" w:cstheme="minorHAnsi"/>
          <w:sz w:val="24"/>
          <w:szCs w:val="24"/>
          <w:lang w:val="en-AU" w:eastAsia="en-AU"/>
        </w:rPr>
        <w:t>The government is proposing new targets and reforms to support greater access and participation for students from underrepresented backgrounds (including First Nations Australians, low socio-economic backgrounds, people with disability, and regional and rural Australians). This will receive strong support by universities keen to enrol students from a wider cohort</w:t>
      </w:r>
      <w:r>
        <w:rPr>
          <w:rFonts w:eastAsia="Times New Roman" w:cstheme="minorHAnsi"/>
          <w:sz w:val="24"/>
          <w:szCs w:val="24"/>
          <w:lang w:val="en-AU" w:eastAsia="en-AU"/>
        </w:rPr>
        <w:t xml:space="preserve"> as we have already observed</w:t>
      </w:r>
      <w:r w:rsidRPr="00BF68F3">
        <w:rPr>
          <w:rFonts w:eastAsia="Times New Roman" w:cstheme="minorHAnsi"/>
          <w:sz w:val="24"/>
          <w:szCs w:val="24"/>
          <w:lang w:val="en-AU" w:eastAsia="en-AU"/>
        </w:rPr>
        <w:t xml:space="preserve">. However, the current </w:t>
      </w:r>
      <w:proofErr w:type="gramStart"/>
      <w:r>
        <w:rPr>
          <w:rFonts w:eastAsia="Times New Roman" w:cstheme="minorHAnsi"/>
          <w:sz w:val="24"/>
          <w:szCs w:val="24"/>
          <w:lang w:val="en-AU" w:eastAsia="en-AU"/>
        </w:rPr>
        <w:t>performance based</w:t>
      </w:r>
      <w:proofErr w:type="gramEnd"/>
      <w:r>
        <w:rPr>
          <w:rFonts w:eastAsia="Times New Roman" w:cstheme="minorHAnsi"/>
          <w:sz w:val="24"/>
          <w:szCs w:val="24"/>
          <w:lang w:val="en-AU" w:eastAsia="en-AU"/>
        </w:rPr>
        <w:t xml:space="preserve"> </w:t>
      </w:r>
      <w:r w:rsidRPr="00BF68F3">
        <w:rPr>
          <w:rFonts w:eastAsia="Times New Roman" w:cstheme="minorHAnsi"/>
          <w:sz w:val="24"/>
          <w:szCs w:val="24"/>
          <w:lang w:val="en-AU" w:eastAsia="en-AU"/>
        </w:rPr>
        <w:t>funding and contribution payment system incentivises universities to</w:t>
      </w:r>
      <w:r>
        <w:rPr>
          <w:rFonts w:eastAsia="Times New Roman" w:cstheme="minorHAnsi"/>
          <w:sz w:val="24"/>
          <w:szCs w:val="24"/>
          <w:lang w:val="en-AU" w:eastAsia="en-AU"/>
        </w:rPr>
        <w:t xml:space="preserve"> increase enrolment of </w:t>
      </w:r>
      <w:r w:rsidRPr="00BF68F3">
        <w:rPr>
          <w:rFonts w:eastAsia="Times New Roman" w:cstheme="minorHAnsi"/>
          <w:sz w:val="24"/>
          <w:szCs w:val="24"/>
          <w:lang w:val="en-AU" w:eastAsia="en-AU"/>
        </w:rPr>
        <w:t>disadvantage students, instead of focusing</w:t>
      </w:r>
      <w:r>
        <w:rPr>
          <w:rFonts w:eastAsia="Times New Roman" w:cstheme="minorHAnsi"/>
          <w:sz w:val="24"/>
          <w:szCs w:val="24"/>
          <w:lang w:val="en-AU" w:eastAsia="en-AU"/>
        </w:rPr>
        <w:t xml:space="preserve"> attention and resources on graduating these </w:t>
      </w:r>
      <w:r w:rsidRPr="00BF68F3">
        <w:rPr>
          <w:rFonts w:eastAsia="Times New Roman" w:cstheme="minorHAnsi"/>
          <w:sz w:val="24"/>
          <w:szCs w:val="24"/>
          <w:lang w:val="en-AU" w:eastAsia="en-AU"/>
        </w:rPr>
        <w:t>students</w:t>
      </w:r>
      <w:r>
        <w:rPr>
          <w:rFonts w:eastAsia="Times New Roman" w:cstheme="minorHAnsi"/>
          <w:sz w:val="24"/>
          <w:szCs w:val="24"/>
          <w:lang w:val="en-AU" w:eastAsia="en-AU"/>
        </w:rPr>
        <w:t>.</w:t>
      </w:r>
      <w:r w:rsidRPr="00BF68F3">
        <w:rPr>
          <w:rFonts w:eastAsia="Times New Roman" w:cstheme="minorHAnsi"/>
          <w:sz w:val="24"/>
          <w:szCs w:val="24"/>
          <w:lang w:val="en-AU" w:eastAsia="en-AU"/>
        </w:rPr>
        <w:t xml:space="preserve"> The current </w:t>
      </w:r>
      <w:r>
        <w:rPr>
          <w:rFonts w:eastAsia="Times New Roman" w:cstheme="minorHAnsi"/>
          <w:sz w:val="24"/>
          <w:szCs w:val="24"/>
          <w:lang w:val="en-AU" w:eastAsia="en-AU"/>
        </w:rPr>
        <w:t xml:space="preserve">PBF </w:t>
      </w:r>
      <w:r w:rsidRPr="00BF68F3">
        <w:rPr>
          <w:rFonts w:eastAsia="Times New Roman" w:cstheme="minorHAnsi"/>
          <w:sz w:val="24"/>
          <w:szCs w:val="24"/>
          <w:lang w:val="en-AU" w:eastAsia="en-AU"/>
        </w:rPr>
        <w:t xml:space="preserve">system </w:t>
      </w:r>
      <w:r>
        <w:rPr>
          <w:rFonts w:eastAsia="Times New Roman" w:cstheme="minorHAnsi"/>
          <w:sz w:val="24"/>
          <w:szCs w:val="24"/>
          <w:lang w:val="en-AU" w:eastAsia="en-AU"/>
        </w:rPr>
        <w:t xml:space="preserve">resembles </w:t>
      </w:r>
      <w:r w:rsidRPr="00BF68F3">
        <w:rPr>
          <w:rFonts w:eastAsia="Times New Roman" w:cstheme="minorHAnsi"/>
          <w:sz w:val="24"/>
          <w:szCs w:val="24"/>
          <w:lang w:val="en-AU" w:eastAsia="en-AU"/>
        </w:rPr>
        <w:t xml:space="preserve">the </w:t>
      </w:r>
      <w:r>
        <w:rPr>
          <w:rFonts w:eastAsia="Times New Roman" w:cstheme="minorHAnsi"/>
          <w:sz w:val="24"/>
          <w:szCs w:val="24"/>
          <w:lang w:val="en-AU" w:eastAsia="en-AU"/>
        </w:rPr>
        <w:t xml:space="preserve">misalignment of incentives most recently observed in the </w:t>
      </w:r>
      <w:r w:rsidRPr="00BF68F3">
        <w:rPr>
          <w:rFonts w:eastAsia="Times New Roman" w:cstheme="minorHAnsi"/>
          <w:sz w:val="24"/>
          <w:szCs w:val="24"/>
          <w:lang w:val="en-AU" w:eastAsia="en-AU"/>
        </w:rPr>
        <w:t>banking Royal Commission</w:t>
      </w:r>
      <w:r>
        <w:rPr>
          <w:rFonts w:eastAsia="Times New Roman" w:cstheme="minorHAnsi"/>
          <w:sz w:val="24"/>
          <w:szCs w:val="24"/>
          <w:lang w:val="en-AU" w:eastAsia="en-AU"/>
        </w:rPr>
        <w:t>,</w:t>
      </w:r>
      <w:r w:rsidRPr="00BF68F3">
        <w:rPr>
          <w:rFonts w:eastAsia="Times New Roman" w:cstheme="minorHAnsi"/>
          <w:sz w:val="24"/>
          <w:szCs w:val="24"/>
          <w:lang w:val="en-AU" w:eastAsia="en-AU"/>
        </w:rPr>
        <w:t xml:space="preserve"> in which incentives </w:t>
      </w:r>
      <w:r>
        <w:rPr>
          <w:rFonts w:eastAsia="Times New Roman" w:cstheme="minorHAnsi"/>
          <w:sz w:val="24"/>
          <w:szCs w:val="24"/>
          <w:lang w:val="en-AU" w:eastAsia="en-AU"/>
        </w:rPr>
        <w:t xml:space="preserve">were weighted </w:t>
      </w:r>
      <w:r w:rsidRPr="00BF68F3">
        <w:rPr>
          <w:rFonts w:eastAsia="Times New Roman" w:cstheme="minorHAnsi"/>
          <w:sz w:val="24"/>
          <w:szCs w:val="24"/>
          <w:lang w:val="en-AU" w:eastAsia="en-AU"/>
        </w:rPr>
        <w:t>in favour of institutions rather than consumers.</w:t>
      </w:r>
      <w:r>
        <w:rPr>
          <w:rFonts w:eastAsia="Times New Roman" w:cstheme="minorHAnsi"/>
          <w:sz w:val="24"/>
          <w:szCs w:val="24"/>
          <w:lang w:val="en-AU" w:eastAsia="en-AU"/>
        </w:rPr>
        <w:t xml:space="preserve"> </w:t>
      </w:r>
    </w:p>
    <w:p w14:paraId="3E741EA0" w14:textId="77777777" w:rsidR="003C0A18" w:rsidRPr="00BF68F3"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Our concern is if the current model is weighted towards financially rewarding universities for</w:t>
      </w:r>
      <w:r w:rsidRPr="00BF68F3">
        <w:rPr>
          <w:rFonts w:eastAsia="Times New Roman" w:cstheme="minorHAnsi"/>
          <w:sz w:val="24"/>
          <w:szCs w:val="24"/>
          <w:lang w:val="en-AU" w:eastAsia="en-AU"/>
        </w:rPr>
        <w:t xml:space="preserve"> enrolment</w:t>
      </w:r>
      <w:r>
        <w:rPr>
          <w:rFonts w:eastAsia="Times New Roman" w:cstheme="minorHAnsi"/>
          <w:sz w:val="24"/>
          <w:szCs w:val="24"/>
          <w:lang w:val="en-AU" w:eastAsia="en-AU"/>
        </w:rPr>
        <w:t xml:space="preserve"> or </w:t>
      </w:r>
      <w:r w:rsidRPr="00BF68F3">
        <w:rPr>
          <w:rFonts w:eastAsia="Times New Roman" w:cstheme="minorHAnsi"/>
          <w:sz w:val="24"/>
          <w:szCs w:val="24"/>
          <w:lang w:val="en-AU" w:eastAsia="en-AU"/>
        </w:rPr>
        <w:t xml:space="preserve">participation </w:t>
      </w:r>
      <w:r>
        <w:rPr>
          <w:rFonts w:eastAsia="Times New Roman" w:cstheme="minorHAnsi"/>
          <w:sz w:val="24"/>
          <w:szCs w:val="24"/>
          <w:lang w:val="en-AU" w:eastAsia="en-AU"/>
        </w:rPr>
        <w:t xml:space="preserve">for increasing equity groups </w:t>
      </w:r>
      <w:r w:rsidRPr="00BF68F3">
        <w:rPr>
          <w:rFonts w:eastAsia="Times New Roman" w:cstheme="minorHAnsi"/>
          <w:sz w:val="24"/>
          <w:szCs w:val="24"/>
          <w:lang w:val="en-AU" w:eastAsia="en-AU"/>
        </w:rPr>
        <w:t>rather than student</w:t>
      </w:r>
      <w:r>
        <w:rPr>
          <w:rFonts w:eastAsia="Times New Roman" w:cstheme="minorHAnsi"/>
          <w:sz w:val="24"/>
          <w:szCs w:val="24"/>
          <w:lang w:val="en-AU" w:eastAsia="en-AU"/>
        </w:rPr>
        <w:t>’s yearly progress (number of subjects passed) which</w:t>
      </w:r>
      <w:r w:rsidRPr="00BF68F3">
        <w:rPr>
          <w:rFonts w:eastAsia="Times New Roman" w:cstheme="minorHAnsi"/>
          <w:sz w:val="24"/>
          <w:szCs w:val="24"/>
          <w:lang w:val="en-AU" w:eastAsia="en-AU"/>
        </w:rPr>
        <w:t xml:space="preserve"> will result in catastrophic outcomes for th</w:t>
      </w:r>
      <w:r>
        <w:rPr>
          <w:rFonts w:eastAsia="Times New Roman" w:cstheme="minorHAnsi"/>
          <w:sz w:val="24"/>
          <w:szCs w:val="24"/>
          <w:lang w:val="en-AU" w:eastAsia="en-AU"/>
        </w:rPr>
        <w:t>is group of</w:t>
      </w:r>
      <w:r w:rsidRPr="00BF68F3">
        <w:rPr>
          <w:rFonts w:eastAsia="Times New Roman" w:cstheme="minorHAnsi"/>
          <w:sz w:val="24"/>
          <w:szCs w:val="24"/>
          <w:lang w:val="en-AU" w:eastAsia="en-AU"/>
        </w:rPr>
        <w:t xml:space="preserve"> students. </w:t>
      </w:r>
    </w:p>
    <w:p w14:paraId="07C7A2E4" w14:textId="77777777" w:rsidR="003C0A18" w:rsidRPr="00BF68F3"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 xml:space="preserve">As wider equity participation is encouraged, the risk is that universities chase these students but fail to provide increased academic support targeted specifically to address increased student needs. </w:t>
      </w:r>
      <w:r w:rsidRPr="00BF68F3">
        <w:rPr>
          <w:rFonts w:eastAsia="Times New Roman" w:cstheme="minorHAnsi"/>
          <w:sz w:val="24"/>
          <w:szCs w:val="24"/>
          <w:lang w:val="en-AU" w:eastAsia="en-AU"/>
        </w:rPr>
        <w:t>Disadvantaged students are at higher risk of failing, repeated failing and dropping out as they navigate higher education often as first in family, many living away from home, working numerous part time jobs and can then struggle to keep up with the workload</w:t>
      </w:r>
      <w:r>
        <w:rPr>
          <w:rFonts w:eastAsia="Times New Roman" w:cstheme="minorHAnsi"/>
          <w:sz w:val="24"/>
          <w:szCs w:val="24"/>
          <w:lang w:val="en-AU" w:eastAsia="en-AU"/>
        </w:rPr>
        <w:t xml:space="preserve"> (</w:t>
      </w:r>
      <w:proofErr w:type="spellStart"/>
      <w:r>
        <w:rPr>
          <w:rFonts w:eastAsia="Times New Roman" w:cstheme="minorHAnsi"/>
          <w:sz w:val="24"/>
          <w:szCs w:val="24"/>
          <w:lang w:val="en-AU" w:eastAsia="en-AU"/>
        </w:rPr>
        <w:t>Ajjawi</w:t>
      </w:r>
      <w:proofErr w:type="spellEnd"/>
      <w:r>
        <w:rPr>
          <w:rFonts w:eastAsia="Times New Roman" w:cstheme="minorHAnsi"/>
          <w:sz w:val="24"/>
          <w:szCs w:val="24"/>
          <w:lang w:val="en-AU" w:eastAsia="en-AU"/>
        </w:rPr>
        <w:t xml:space="preserve"> et al 2019)</w:t>
      </w:r>
      <w:r w:rsidRPr="00BF68F3">
        <w:rPr>
          <w:rFonts w:eastAsia="Times New Roman" w:cstheme="minorHAnsi"/>
          <w:sz w:val="24"/>
          <w:szCs w:val="24"/>
          <w:lang w:val="en-AU" w:eastAsia="en-AU"/>
        </w:rPr>
        <w:t xml:space="preserve">. Failing subjects impacts student mental health and wellbeing, makes them feel like a failure and puts them at a significant risk of mounting HELP debts, and academic integrity problems. </w:t>
      </w:r>
    </w:p>
    <w:p w14:paraId="10C0B23D" w14:textId="0A8822A4" w:rsidR="003C0A18" w:rsidRDefault="003C0A18" w:rsidP="003C0A18">
      <w:pPr>
        <w:shd w:val="clear" w:color="auto" w:fill="FFFFFF"/>
        <w:spacing w:before="100" w:beforeAutospacing="1" w:after="100" w:afterAutospacing="1"/>
        <w:rPr>
          <w:rFonts w:eastAsia="Times New Roman" w:cstheme="minorHAnsi"/>
          <w:sz w:val="24"/>
          <w:szCs w:val="24"/>
          <w:lang w:val="en-AU" w:eastAsia="en-AU"/>
        </w:rPr>
      </w:pPr>
      <w:r>
        <w:rPr>
          <w:rFonts w:eastAsia="Times New Roman" w:cstheme="minorHAnsi"/>
          <w:sz w:val="24"/>
          <w:szCs w:val="24"/>
          <w:lang w:val="en-AU" w:eastAsia="en-AU"/>
        </w:rPr>
        <w:t>Government and universities need to ensure widening participation of disadvantaged students results in genuine improved life outcomes, rather than unintended consequences of actual mental and financial harm. The current performance-based funding model of universities is not effective in achieving these social goals.</w:t>
      </w:r>
    </w:p>
    <w:p w14:paraId="23A598AA" w14:textId="77777777" w:rsidR="00C70271" w:rsidRDefault="00C70271" w:rsidP="003C0A18">
      <w:pPr>
        <w:shd w:val="clear" w:color="auto" w:fill="FFFFFF"/>
        <w:spacing w:before="100" w:beforeAutospacing="1" w:after="100" w:afterAutospacing="1"/>
        <w:rPr>
          <w:rFonts w:eastAsia="Times New Roman" w:cstheme="minorHAnsi"/>
          <w:sz w:val="24"/>
          <w:szCs w:val="24"/>
          <w:lang w:val="en-AU" w:eastAsia="en-AU"/>
        </w:rPr>
      </w:pPr>
    </w:p>
    <w:p w14:paraId="4B82847C" w14:textId="77777777" w:rsidR="003C0A18" w:rsidRPr="00C34853" w:rsidRDefault="003C0A18" w:rsidP="003C0A18">
      <w:pPr>
        <w:shd w:val="clear" w:color="auto" w:fill="FFFFFF"/>
        <w:spacing w:before="100" w:beforeAutospacing="1" w:after="100" w:afterAutospacing="1"/>
        <w:rPr>
          <w:rFonts w:eastAsia="Times New Roman" w:cstheme="minorHAnsi"/>
          <w:b/>
          <w:bCs/>
          <w:sz w:val="24"/>
          <w:szCs w:val="24"/>
          <w:lang w:val="en-AU" w:eastAsia="en-AU"/>
        </w:rPr>
      </w:pPr>
      <w:r>
        <w:rPr>
          <w:rFonts w:eastAsia="Times New Roman" w:cstheme="minorHAnsi"/>
          <w:b/>
          <w:bCs/>
          <w:sz w:val="24"/>
          <w:szCs w:val="24"/>
          <w:lang w:val="en-AU" w:eastAsia="en-AU"/>
        </w:rPr>
        <w:t xml:space="preserve">#2 </w:t>
      </w:r>
      <w:r w:rsidRPr="00C34853">
        <w:rPr>
          <w:rFonts w:eastAsia="Times New Roman" w:cstheme="minorHAnsi"/>
          <w:b/>
          <w:bCs/>
          <w:sz w:val="24"/>
          <w:szCs w:val="24"/>
          <w:lang w:val="en-AU" w:eastAsia="en-AU"/>
        </w:rPr>
        <w:t>Access &amp; Opportunity</w:t>
      </w:r>
    </w:p>
    <w:p w14:paraId="692156F8" w14:textId="1055340D" w:rsidR="003C0A18" w:rsidRPr="00BE6EA4" w:rsidRDefault="003C0A18" w:rsidP="003C0A18">
      <w:pPr>
        <w:pStyle w:val="ListParagraph"/>
        <w:numPr>
          <w:ilvl w:val="0"/>
          <w:numId w:val="1"/>
        </w:numPr>
        <w:shd w:val="clear" w:color="auto" w:fill="FFFFFF"/>
        <w:spacing w:before="100" w:beforeAutospacing="1" w:after="100" w:afterAutospacing="1"/>
        <w:rPr>
          <w:rFonts w:eastAsia="Times New Roman" w:cstheme="minorHAnsi"/>
          <w:b/>
          <w:bCs/>
          <w:sz w:val="24"/>
          <w:szCs w:val="24"/>
          <w:lang w:val="en-AU" w:eastAsia="en-AU"/>
        </w:rPr>
      </w:pPr>
      <w:r w:rsidRPr="00BE6EA4">
        <w:rPr>
          <w:rFonts w:eastAsia="Times New Roman" w:cstheme="minorHAnsi"/>
          <w:b/>
          <w:bCs/>
          <w:sz w:val="24"/>
          <w:szCs w:val="24"/>
          <w:lang w:val="en-AU" w:eastAsia="en-AU"/>
        </w:rPr>
        <w:t>A final point for</w:t>
      </w:r>
      <w:r>
        <w:rPr>
          <w:rFonts w:eastAsia="Times New Roman" w:cstheme="minorHAnsi"/>
          <w:b/>
          <w:bCs/>
          <w:sz w:val="24"/>
          <w:szCs w:val="24"/>
          <w:lang w:val="en-AU" w:eastAsia="en-AU"/>
        </w:rPr>
        <w:t xml:space="preserve"> the</w:t>
      </w:r>
      <w:r w:rsidRPr="00BE6EA4">
        <w:rPr>
          <w:rFonts w:eastAsia="Times New Roman" w:cstheme="minorHAnsi"/>
          <w:b/>
          <w:bCs/>
          <w:sz w:val="24"/>
          <w:szCs w:val="24"/>
          <w:lang w:val="en-AU" w:eastAsia="en-AU"/>
        </w:rPr>
        <w:t xml:space="preserve"> review should be whether it is time for universities to remove the requirement to report failed units on university transcripts. This would remove unconscious bias against students who fail and take longer to complete their university degrees, and provide a more equitable playing field for students. </w:t>
      </w:r>
    </w:p>
    <w:p w14:paraId="3F1264B3" w14:textId="77777777" w:rsidR="003C0A18" w:rsidRPr="00B7108D" w:rsidRDefault="003C0A18" w:rsidP="003C0A18">
      <w:pPr>
        <w:shd w:val="clear" w:color="auto" w:fill="FFFFFF"/>
        <w:spacing w:before="100" w:beforeAutospacing="1" w:after="100" w:afterAutospacing="1"/>
        <w:rPr>
          <w:b/>
          <w:bCs/>
          <w:sz w:val="24"/>
          <w:szCs w:val="24"/>
        </w:rPr>
      </w:pPr>
      <w:r w:rsidRPr="00B7108D">
        <w:rPr>
          <w:rFonts w:ascii="Montserrat" w:eastAsia="Times New Roman" w:hAnsi="Montserrat" w:cs="Times New Roman"/>
          <w:b/>
          <w:bCs/>
          <w:sz w:val="24"/>
          <w:szCs w:val="24"/>
          <w:lang w:val="en-AU" w:eastAsia="en-AU"/>
        </w:rPr>
        <w:t xml:space="preserve"> </w:t>
      </w:r>
    </w:p>
    <w:p w14:paraId="3FAE037D" w14:textId="56DFE6C1" w:rsidR="003C0A18" w:rsidRDefault="003C0A18" w:rsidP="003C0A18">
      <w:pPr>
        <w:rPr>
          <w:sz w:val="24"/>
          <w:szCs w:val="24"/>
        </w:rPr>
      </w:pPr>
      <w:r>
        <w:rPr>
          <w:sz w:val="24"/>
          <w:szCs w:val="24"/>
        </w:rPr>
        <w:t>Dr Annette Quayle. Colin Brain Governance Fellow, QUT Business School, QUT.</w:t>
      </w:r>
    </w:p>
    <w:p w14:paraId="11C8B1CC" w14:textId="2B17F908" w:rsidR="003C0A18" w:rsidRDefault="003C0A18" w:rsidP="003C0A18">
      <w:pPr>
        <w:rPr>
          <w:rFonts w:ascii="Calibri" w:eastAsia="Times New Roman" w:hAnsi="Calibri" w:cs="Times New Roman"/>
          <w:color w:val="000000"/>
          <w:sz w:val="24"/>
          <w:szCs w:val="24"/>
          <w:shd w:val="clear" w:color="auto" w:fill="FFFFFF"/>
        </w:rPr>
      </w:pPr>
      <w:r>
        <w:rPr>
          <w:rFonts w:ascii="Calibri" w:eastAsia="Times New Roman" w:hAnsi="Calibri" w:cs="Times New Roman"/>
          <w:color w:val="000000"/>
          <w:sz w:val="24"/>
          <w:szCs w:val="24"/>
          <w:shd w:val="clear" w:color="auto" w:fill="FFFFFF"/>
        </w:rPr>
        <w:t xml:space="preserve">Professor Lee Parker. </w:t>
      </w:r>
      <w:r w:rsidRPr="00874ACA">
        <w:rPr>
          <w:rFonts w:ascii="Calibri" w:eastAsia="Times New Roman" w:hAnsi="Calibri" w:cs="Times New Roman"/>
          <w:color w:val="000000"/>
          <w:sz w:val="24"/>
          <w:szCs w:val="24"/>
          <w:shd w:val="clear" w:color="auto" w:fill="FFFFFF"/>
        </w:rPr>
        <w:t>Research Professor of Accounting, Adam Smith School of Business, University of Glasgow</w:t>
      </w:r>
      <w:r>
        <w:rPr>
          <w:rFonts w:ascii="Calibri" w:eastAsia="Times New Roman" w:hAnsi="Calibri" w:cs="Times New Roman"/>
          <w:color w:val="000000"/>
          <w:sz w:val="24"/>
          <w:szCs w:val="24"/>
          <w:shd w:val="clear" w:color="auto" w:fill="FFFFFF"/>
        </w:rPr>
        <w:t>.</w:t>
      </w:r>
    </w:p>
    <w:p w14:paraId="17A9A709" w14:textId="6716203E" w:rsidR="003C0A18" w:rsidRPr="003C0A18" w:rsidRDefault="003C0A18" w:rsidP="003C0A18">
      <w:pPr>
        <w:rPr>
          <w:sz w:val="24"/>
          <w:szCs w:val="24"/>
        </w:rPr>
      </w:pPr>
      <w:r>
        <w:rPr>
          <w:rFonts w:ascii="Calibri" w:eastAsia="Times New Roman" w:hAnsi="Calibri" w:cs="Times New Roman"/>
          <w:color w:val="000000"/>
          <w:sz w:val="24"/>
          <w:szCs w:val="24"/>
          <w:shd w:val="clear" w:color="auto" w:fill="FFFFFF"/>
        </w:rPr>
        <w:t xml:space="preserve">Professor Garry Carnegie. </w:t>
      </w:r>
      <w:r w:rsidRPr="003C0A18">
        <w:rPr>
          <w:rFonts w:ascii="Calibri" w:eastAsia="Times New Roman" w:hAnsi="Calibri" w:cs="Times New Roman"/>
          <w:color w:val="000000"/>
          <w:sz w:val="24"/>
          <w:szCs w:val="24"/>
          <w:shd w:val="clear" w:color="auto" w:fill="FFFFFF"/>
          <w:lang w:val="en-AU"/>
        </w:rPr>
        <w:t>Emeritus Professor of RMIT University, College of Business and Law</w:t>
      </w:r>
      <w:r>
        <w:rPr>
          <w:rFonts w:ascii="Calibri" w:eastAsia="Times New Roman" w:hAnsi="Calibri" w:cs="Times New Roman"/>
          <w:color w:val="000000"/>
          <w:sz w:val="24"/>
          <w:szCs w:val="24"/>
          <w:shd w:val="clear" w:color="auto" w:fill="FFFFFF"/>
          <w:lang w:val="en-AU"/>
        </w:rPr>
        <w:t>.</w:t>
      </w:r>
    </w:p>
    <w:p w14:paraId="318AEA14" w14:textId="77777777" w:rsidR="00CB5159" w:rsidRPr="003C0A18" w:rsidRDefault="00CB5159"/>
    <w:sectPr w:rsidR="00CB5159" w:rsidRPr="003C0A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D17E" w14:textId="77777777" w:rsidR="003C0A18" w:rsidRDefault="003C0A18" w:rsidP="003C0A18">
      <w:r>
        <w:separator/>
      </w:r>
    </w:p>
  </w:endnote>
  <w:endnote w:type="continuationSeparator" w:id="0">
    <w:p w14:paraId="2E5E53DE" w14:textId="77777777" w:rsidR="003C0A18" w:rsidRDefault="003C0A18" w:rsidP="003C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1E8E" w14:textId="30D633A5" w:rsidR="00500D20" w:rsidRDefault="00075DBF">
    <w:pPr>
      <w:pStyle w:val="Footer"/>
    </w:pPr>
    <w:r>
      <w:t xml:space="preserve">Dr Annette </w:t>
    </w:r>
    <w:r w:rsidR="00500D20">
      <w:t xml:space="preserve">Quayle, </w:t>
    </w:r>
    <w:r>
      <w:t xml:space="preserve">Professor Lee </w:t>
    </w:r>
    <w:proofErr w:type="gramStart"/>
    <w:r w:rsidR="00500D20">
      <w:t>Parker</w:t>
    </w:r>
    <w:proofErr w:type="gramEnd"/>
    <w:r w:rsidR="00500D20">
      <w:t xml:space="preserve"> and </w:t>
    </w:r>
    <w:r>
      <w:t xml:space="preserve">Professor Garry </w:t>
    </w:r>
    <w:r w:rsidR="00500D20">
      <w:t>Carnegie</w:t>
    </w:r>
    <w:r>
      <w:tab/>
    </w:r>
    <w:r>
      <w:tab/>
    </w:r>
    <w:r w:rsidR="00C70271">
      <w:t xml:space="preserve"> </w:t>
    </w:r>
  </w:p>
  <w:p w14:paraId="47EAE2BB" w14:textId="77777777" w:rsidR="00793CDB" w:rsidRDefault="0079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816A" w14:textId="77777777" w:rsidR="003C0A18" w:rsidRDefault="003C0A18" w:rsidP="003C0A18">
      <w:r>
        <w:separator/>
      </w:r>
    </w:p>
  </w:footnote>
  <w:footnote w:type="continuationSeparator" w:id="0">
    <w:p w14:paraId="049C940D" w14:textId="77777777" w:rsidR="003C0A18" w:rsidRDefault="003C0A18" w:rsidP="003C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C4C1" w14:textId="182773AD" w:rsidR="003C0A18" w:rsidRDefault="00793CDB">
    <w:pPr>
      <w:pStyle w:val="Header"/>
    </w:pPr>
    <w:r>
      <w:t>Submission to consultation on terms of reference – Higher Education Accord</w:t>
    </w:r>
    <w:r>
      <w:tab/>
    </w:r>
  </w:p>
  <w:p w14:paraId="25739196" w14:textId="77777777" w:rsidR="003C0A18" w:rsidRDefault="003C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AE"/>
    <w:multiLevelType w:val="hybridMultilevel"/>
    <w:tmpl w:val="9BCE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BE5B38"/>
    <w:multiLevelType w:val="hybridMultilevel"/>
    <w:tmpl w:val="A88EFB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672A0D5F"/>
    <w:multiLevelType w:val="hybridMultilevel"/>
    <w:tmpl w:val="E02A7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18"/>
    <w:rsid w:val="00075DBF"/>
    <w:rsid w:val="00252B7D"/>
    <w:rsid w:val="002D3CDA"/>
    <w:rsid w:val="003C0A18"/>
    <w:rsid w:val="004F1334"/>
    <w:rsid w:val="00500D20"/>
    <w:rsid w:val="00603880"/>
    <w:rsid w:val="00722997"/>
    <w:rsid w:val="00793CDB"/>
    <w:rsid w:val="0092328C"/>
    <w:rsid w:val="009456CF"/>
    <w:rsid w:val="00A3095D"/>
    <w:rsid w:val="00A975CA"/>
    <w:rsid w:val="00BA0790"/>
    <w:rsid w:val="00C70271"/>
    <w:rsid w:val="00CB5159"/>
    <w:rsid w:val="00CF5A03"/>
    <w:rsid w:val="00DE51B5"/>
    <w:rsid w:val="00E03BB5"/>
    <w:rsid w:val="00ED5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3F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18"/>
    <w:rPr>
      <w:lang w:val="en-GB"/>
    </w:rPr>
  </w:style>
  <w:style w:type="paragraph" w:styleId="Heading2">
    <w:name w:val="heading 2"/>
    <w:aliases w:val="AAAJ Headings"/>
    <w:basedOn w:val="Normal"/>
    <w:next w:val="Normal"/>
    <w:link w:val="Heading2Char"/>
    <w:uiPriority w:val="9"/>
    <w:unhideWhenUsed/>
    <w:qFormat/>
    <w:rsid w:val="00E03BB5"/>
    <w:pPr>
      <w:keepNext/>
      <w:keepLines/>
      <w:spacing w:before="40" w:line="276"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AAJ Headings Char"/>
    <w:basedOn w:val="DefaultParagraphFont"/>
    <w:link w:val="Heading2"/>
    <w:uiPriority w:val="9"/>
    <w:rsid w:val="00E03BB5"/>
    <w:rPr>
      <w:rFonts w:ascii="Times New Roman" w:eastAsiaTheme="majorEastAsia" w:hAnsi="Times New Roman" w:cstheme="majorBidi"/>
      <w:b/>
      <w:sz w:val="24"/>
      <w:szCs w:val="26"/>
    </w:rPr>
  </w:style>
  <w:style w:type="character" w:styleId="SubtleEmphasis">
    <w:name w:val="Subtle Emphasis"/>
    <w:aliases w:val="Journal Article"/>
    <w:uiPriority w:val="19"/>
    <w:qFormat/>
    <w:rsid w:val="002D3CDA"/>
    <w:rPr>
      <w:rFonts w:ascii="Times New Roman" w:hAnsi="Times New Roman"/>
      <w:i w:val="0"/>
      <w:iCs/>
      <w:color w:val="auto"/>
      <w:sz w:val="24"/>
    </w:rPr>
  </w:style>
  <w:style w:type="paragraph" w:styleId="ListParagraph">
    <w:name w:val="List Paragraph"/>
    <w:basedOn w:val="Normal"/>
    <w:uiPriority w:val="34"/>
    <w:qFormat/>
    <w:rsid w:val="003C0A18"/>
    <w:pPr>
      <w:ind w:left="720"/>
      <w:contextualSpacing/>
    </w:pPr>
  </w:style>
  <w:style w:type="paragraph" w:styleId="Header">
    <w:name w:val="header"/>
    <w:basedOn w:val="Normal"/>
    <w:link w:val="HeaderChar"/>
    <w:uiPriority w:val="99"/>
    <w:unhideWhenUsed/>
    <w:rsid w:val="003C0A18"/>
    <w:pPr>
      <w:tabs>
        <w:tab w:val="center" w:pos="4513"/>
        <w:tab w:val="right" w:pos="9026"/>
      </w:tabs>
    </w:pPr>
  </w:style>
  <w:style w:type="character" w:customStyle="1" w:styleId="HeaderChar">
    <w:name w:val="Header Char"/>
    <w:basedOn w:val="DefaultParagraphFont"/>
    <w:link w:val="Header"/>
    <w:uiPriority w:val="99"/>
    <w:rsid w:val="003C0A18"/>
    <w:rPr>
      <w:lang w:val="en-GB"/>
    </w:rPr>
  </w:style>
  <w:style w:type="paragraph" w:styleId="Footer">
    <w:name w:val="footer"/>
    <w:basedOn w:val="Normal"/>
    <w:link w:val="FooterChar"/>
    <w:uiPriority w:val="99"/>
    <w:unhideWhenUsed/>
    <w:rsid w:val="003C0A18"/>
    <w:pPr>
      <w:tabs>
        <w:tab w:val="center" w:pos="4513"/>
        <w:tab w:val="right" w:pos="9026"/>
      </w:tabs>
    </w:pPr>
  </w:style>
  <w:style w:type="character" w:customStyle="1" w:styleId="FooterChar">
    <w:name w:val="Footer Char"/>
    <w:basedOn w:val="DefaultParagraphFont"/>
    <w:link w:val="Footer"/>
    <w:uiPriority w:val="99"/>
    <w:rsid w:val="003C0A1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2023-01-30T04:57:00Z</dcterms:created>
  <dcterms:modified xsi:type="dcterms:W3CDTF">2023-01-30T04:57:00Z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2023-01-30T04:57:16Z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5be266d0-597c-4cea-aa41-959a1fbb1448</vt:lpwstr>
  </property>
  <property fmtid="{D5CDD505-2E9C-101B-9397-08002B2CF9AE}" pid="8" name="MSIP_Label_79d889eb-932f-4752-8739-64d25806ef64_ContentBits">
    <vt:lpwstr>0</vt:lpwstr>
  </property>
</Properties>
</file>