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DA27" w14:textId="77777777" w:rsidR="00B87C25" w:rsidRDefault="00D76F24">
      <w:pPr>
        <w:rPr>
          <w:sz w:val="2"/>
        </w:rPr>
      </w:pPr>
      <w:r>
        <w:pict w14:anchorId="7BAF9F29">
          <v:shapetype id="_x0000_t202" coordsize="21600,21600" o:spt="202" path="m,l,21600r21600,l21600,xe">
            <v:stroke joinstyle="miter"/>
            <v:path gradientshapeok="t" o:connecttype="rect"/>
          </v:shapetype>
          <v:shape id="_x0000_s0" o:spid="_x0000_s1028" type="#_x0000_t202" style="position:absolute;margin-left:74.4pt;margin-top:740.15pt;width:474pt;height:19.7pt;z-index:-251659776;mso-wrap-distance-left:0;mso-wrap-distance-right:0;mso-position-horizontal-relative:page;mso-position-vertical-relative:page" filled="f" stroked="f">
            <v:textbox inset="0,0,0,0">
              <w:txbxContent>
                <w:p w14:paraId="63BD4C2F" w14:textId="6C12BAF5" w:rsidR="00B87C25" w:rsidRDefault="00B87C25">
                  <w:pPr>
                    <w:textAlignment w:val="baseline"/>
                  </w:pP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1800"/>
        <w:gridCol w:w="7560"/>
      </w:tblGrid>
      <w:tr w:rsidR="00B87C25" w14:paraId="602EA05F" w14:textId="77777777">
        <w:tblPrEx>
          <w:tblCellMar>
            <w:top w:w="0" w:type="dxa"/>
            <w:bottom w:w="0" w:type="dxa"/>
          </w:tblCellMar>
        </w:tblPrEx>
        <w:trPr>
          <w:trHeight w:hRule="exact" w:val="1174"/>
        </w:trPr>
        <w:tc>
          <w:tcPr>
            <w:tcW w:w="1800" w:type="dxa"/>
          </w:tcPr>
          <w:p w14:paraId="57B7B6D3" w14:textId="77777777" w:rsidR="00B87C25" w:rsidRDefault="00D76F24">
            <w:pPr>
              <w:spacing w:before="15" w:after="12"/>
              <w:ind w:left="374"/>
              <w:jc w:val="right"/>
              <w:textAlignment w:val="baseline"/>
            </w:pPr>
            <w:r>
              <w:rPr>
                <w:noProof/>
              </w:rPr>
              <w:drawing>
                <wp:inline distT="0" distB="0" distL="0" distR="0" wp14:anchorId="1B79F237" wp14:editId="304DE772">
                  <wp:extent cx="905510" cy="7283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905510" cy="728345"/>
                          </a:xfrm>
                          <a:prstGeom prst="rect">
                            <a:avLst/>
                          </a:prstGeom>
                        </pic:spPr>
                      </pic:pic>
                    </a:graphicData>
                  </a:graphic>
                </wp:inline>
              </w:drawing>
            </w:r>
          </w:p>
        </w:tc>
        <w:tc>
          <w:tcPr>
            <w:tcW w:w="7560" w:type="dxa"/>
            <w:vAlign w:val="center"/>
          </w:tcPr>
          <w:p w14:paraId="3DEDA062" w14:textId="77777777" w:rsidR="00B87C25" w:rsidRDefault="00D76F24">
            <w:pPr>
              <w:spacing w:before="429" w:after="467" w:line="276" w:lineRule="exact"/>
              <w:ind w:right="110"/>
              <w:jc w:val="right"/>
              <w:textAlignment w:val="baseline"/>
              <w:rPr>
                <w:rFonts w:ascii="Arial" w:eastAsia="Arial" w:hAnsi="Arial"/>
                <w:b/>
                <w:i/>
                <w:color w:val="4F81BC"/>
                <w:sz w:val="24"/>
              </w:rPr>
            </w:pPr>
            <w:r>
              <w:rPr>
                <w:rFonts w:ascii="Arial" w:eastAsia="Arial" w:hAnsi="Arial"/>
                <w:b/>
                <w:i/>
                <w:color w:val="4F81BC"/>
                <w:sz w:val="24"/>
              </w:rPr>
              <w:t>Quality Initial Teacher Education Review</w:t>
            </w:r>
          </w:p>
        </w:tc>
      </w:tr>
    </w:tbl>
    <w:p w14:paraId="77CB555E" w14:textId="77777777" w:rsidR="00B87C25" w:rsidRDefault="00B87C25">
      <w:pPr>
        <w:spacing w:after="484" w:line="20" w:lineRule="exact"/>
      </w:pPr>
    </w:p>
    <w:p w14:paraId="4E96F6D3" w14:textId="77777777" w:rsidR="00B87C25" w:rsidRDefault="00D76F24">
      <w:pPr>
        <w:spacing w:line="494" w:lineRule="exact"/>
        <w:textAlignment w:val="baseline"/>
        <w:rPr>
          <w:rFonts w:ascii="Calibri" w:eastAsia="Calibri" w:hAnsi="Calibri"/>
          <w:color w:val="000000"/>
        </w:rPr>
      </w:pPr>
      <w:r>
        <w:rPr>
          <w:rFonts w:ascii="Calibri" w:eastAsia="Calibri" w:hAnsi="Calibri"/>
          <w:color w:val="000000"/>
        </w:rPr>
        <w:t xml:space="preserve">Via online submission: </w:t>
      </w:r>
      <w:hyperlink r:id="rId8">
        <w:r>
          <w:rPr>
            <w:rFonts w:ascii="Calibri" w:eastAsia="Calibri" w:hAnsi="Calibri"/>
            <w:color w:val="0000FF"/>
            <w:u w:val="single"/>
          </w:rPr>
          <w:t>qitereview.dese.gov.au/get-involved/</w:t>
        </w:r>
      </w:hyperlink>
      <w:r>
        <w:rPr>
          <w:rFonts w:ascii="Calibri" w:eastAsia="Calibri" w:hAnsi="Calibri"/>
          <w:color w:val="000000"/>
        </w:rPr>
        <w:t xml:space="preserve"> </w:t>
      </w:r>
      <w:r>
        <w:rPr>
          <w:rFonts w:ascii="Calibri" w:eastAsia="Calibri" w:hAnsi="Calibri"/>
          <w:color w:val="000000"/>
        </w:rPr>
        <w:br/>
        <w:t>15/07/2021</w:t>
      </w:r>
    </w:p>
    <w:p w14:paraId="1087EA47" w14:textId="77777777" w:rsidR="00B87C25" w:rsidRDefault="00D76F24">
      <w:pPr>
        <w:spacing w:before="449" w:line="341" w:lineRule="exact"/>
        <w:jc w:val="center"/>
        <w:textAlignment w:val="baseline"/>
        <w:rPr>
          <w:rFonts w:ascii="Calibri Light" w:eastAsia="Calibri Light" w:hAnsi="Calibri Light"/>
          <w:color w:val="2E5395"/>
          <w:sz w:val="26"/>
        </w:rPr>
      </w:pPr>
      <w:r>
        <w:rPr>
          <w:rFonts w:ascii="Calibri Light" w:eastAsia="Calibri Light" w:hAnsi="Calibri Light"/>
          <w:color w:val="2E5395"/>
          <w:sz w:val="26"/>
        </w:rPr>
        <w:t xml:space="preserve">Australian Academy of Science Submission to Department of Education, Skills and </w:t>
      </w:r>
      <w:r>
        <w:rPr>
          <w:rFonts w:ascii="Calibri Light" w:eastAsia="Calibri Light" w:hAnsi="Calibri Light"/>
          <w:color w:val="2E5395"/>
          <w:sz w:val="26"/>
        </w:rPr>
        <w:br/>
        <w:t>Employment Quality Initial Teacher Education Review</w:t>
      </w:r>
    </w:p>
    <w:p w14:paraId="49334F4E" w14:textId="77777777" w:rsidR="00B87C25" w:rsidRDefault="00D76F24">
      <w:pPr>
        <w:spacing w:before="248" w:line="290" w:lineRule="exact"/>
        <w:ind w:right="360"/>
        <w:textAlignment w:val="baseline"/>
        <w:rPr>
          <w:rFonts w:ascii="Calibri" w:eastAsia="Calibri" w:hAnsi="Calibri"/>
          <w:color w:val="000000"/>
        </w:rPr>
      </w:pPr>
      <w:r>
        <w:rPr>
          <w:rFonts w:ascii="Calibri" w:eastAsia="Calibri" w:hAnsi="Calibri"/>
          <w:color w:val="000000"/>
        </w:rPr>
        <w:t xml:space="preserve">The Australian Academy of Science (the Academy) welcomes the opportunity to comment on the Department of Education, Skills </w:t>
      </w:r>
      <w:r>
        <w:rPr>
          <w:rFonts w:ascii="Calibri" w:eastAsia="Calibri" w:hAnsi="Calibri"/>
          <w:color w:val="000000"/>
        </w:rPr>
        <w:t>and Employment Quality Initial Teacher Education Review discussion paper.</w:t>
      </w:r>
    </w:p>
    <w:p w14:paraId="50762EF0" w14:textId="77777777" w:rsidR="00B87C25" w:rsidRDefault="00D76F24">
      <w:pPr>
        <w:spacing w:before="157" w:line="290" w:lineRule="exact"/>
        <w:ind w:right="504"/>
        <w:textAlignment w:val="baseline"/>
        <w:rPr>
          <w:rFonts w:ascii="Calibri" w:eastAsia="Calibri" w:hAnsi="Calibri"/>
          <w:color w:val="000000"/>
        </w:rPr>
      </w:pPr>
      <w:r>
        <w:rPr>
          <w:rFonts w:ascii="Calibri" w:eastAsia="Calibri" w:hAnsi="Calibri"/>
          <w:color w:val="000000"/>
        </w:rPr>
        <w:t xml:space="preserve">The Academy maintains that Australia needs a school system that ensures students in all Australian primary and secondary schools will be taught by teachers some of whom will have a science or mathematics </w:t>
      </w:r>
      <w:proofErr w:type="spellStart"/>
      <w:r>
        <w:rPr>
          <w:rFonts w:ascii="Calibri" w:eastAsia="Calibri" w:hAnsi="Calibri"/>
          <w:color w:val="000000"/>
        </w:rPr>
        <w:t>specialisation</w:t>
      </w:r>
      <w:proofErr w:type="spellEnd"/>
      <w:r>
        <w:rPr>
          <w:rFonts w:ascii="Calibri" w:eastAsia="Calibri" w:hAnsi="Calibri"/>
          <w:color w:val="000000"/>
        </w:rPr>
        <w:t>. Accordingly:</w:t>
      </w:r>
    </w:p>
    <w:p w14:paraId="60F39197" w14:textId="77777777" w:rsidR="00B87C25" w:rsidRDefault="00D76F24">
      <w:pPr>
        <w:numPr>
          <w:ilvl w:val="0"/>
          <w:numId w:val="1"/>
        </w:numPr>
        <w:tabs>
          <w:tab w:val="clear" w:pos="360"/>
          <w:tab w:val="left" w:pos="720"/>
        </w:tabs>
        <w:spacing w:before="163" w:line="288" w:lineRule="exact"/>
        <w:ind w:left="720" w:right="504" w:hanging="360"/>
        <w:textAlignment w:val="baseline"/>
        <w:rPr>
          <w:rFonts w:ascii="Calibri" w:eastAsia="Calibri" w:hAnsi="Calibri"/>
          <w:color w:val="000000"/>
        </w:rPr>
      </w:pPr>
      <w:r>
        <w:rPr>
          <w:rFonts w:ascii="Calibri" w:eastAsia="Calibri" w:hAnsi="Calibri"/>
          <w:color w:val="000000"/>
        </w:rPr>
        <w:t>Teachers of science, te</w:t>
      </w:r>
      <w:r>
        <w:rPr>
          <w:rFonts w:ascii="Calibri" w:eastAsia="Calibri" w:hAnsi="Calibri"/>
          <w:color w:val="000000"/>
        </w:rPr>
        <w:t xml:space="preserve">chnology, </w:t>
      </w:r>
      <w:proofErr w:type="gramStart"/>
      <w:r>
        <w:rPr>
          <w:rFonts w:ascii="Calibri" w:eastAsia="Calibri" w:hAnsi="Calibri"/>
          <w:color w:val="000000"/>
        </w:rPr>
        <w:t>engineering</w:t>
      </w:r>
      <w:proofErr w:type="gramEnd"/>
      <w:r>
        <w:rPr>
          <w:rFonts w:ascii="Calibri" w:eastAsia="Calibri" w:hAnsi="Calibri"/>
          <w:color w:val="000000"/>
        </w:rPr>
        <w:t xml:space="preserve"> and mathematics (STEM) must be adequately prepared for the subjects they need to teach, both in terms of content knowledge and pedagogical skills; and</w:t>
      </w:r>
    </w:p>
    <w:p w14:paraId="7B2536FA" w14:textId="77777777" w:rsidR="00B87C25" w:rsidRDefault="00D76F24">
      <w:pPr>
        <w:numPr>
          <w:ilvl w:val="0"/>
          <w:numId w:val="1"/>
        </w:numPr>
        <w:tabs>
          <w:tab w:val="clear" w:pos="360"/>
          <w:tab w:val="left" w:pos="720"/>
        </w:tabs>
        <w:spacing w:before="3" w:line="288" w:lineRule="exact"/>
        <w:ind w:left="720" w:right="144" w:hanging="360"/>
        <w:textAlignment w:val="baseline"/>
        <w:rPr>
          <w:rFonts w:ascii="Calibri" w:eastAsia="Calibri" w:hAnsi="Calibri"/>
          <w:color w:val="000000"/>
        </w:rPr>
      </w:pPr>
      <w:r>
        <w:rPr>
          <w:rFonts w:ascii="Calibri" w:eastAsia="Calibri" w:hAnsi="Calibri"/>
          <w:color w:val="000000"/>
        </w:rPr>
        <w:t xml:space="preserve">Teachers must have access to fit-for-purpose professional learning and development </w:t>
      </w:r>
      <w:r>
        <w:rPr>
          <w:rFonts w:ascii="Calibri" w:eastAsia="Calibri" w:hAnsi="Calibri"/>
          <w:color w:val="000000"/>
        </w:rPr>
        <w:t>across the course of their careers.</w:t>
      </w:r>
    </w:p>
    <w:p w14:paraId="5DBB0EF4" w14:textId="77777777" w:rsidR="00B87C25" w:rsidRDefault="00D76F24">
      <w:pPr>
        <w:spacing w:before="165" w:line="288" w:lineRule="exact"/>
        <w:ind w:right="72"/>
        <w:textAlignment w:val="baseline"/>
        <w:rPr>
          <w:rFonts w:ascii="Calibri" w:eastAsia="Calibri" w:hAnsi="Calibri"/>
          <w:color w:val="000000"/>
        </w:rPr>
      </w:pPr>
      <w:r>
        <w:rPr>
          <w:rFonts w:ascii="Calibri" w:eastAsia="Calibri" w:hAnsi="Calibri"/>
          <w:color w:val="000000"/>
        </w:rPr>
        <w:t>As our society develops, Australia requires a mathematically and scientifically literate community to engage in discussions about issues that determine our future, particularly those which require science and technology-</w:t>
      </w:r>
      <w:r>
        <w:rPr>
          <w:rFonts w:ascii="Calibri" w:eastAsia="Calibri" w:hAnsi="Calibri"/>
          <w:color w:val="000000"/>
        </w:rPr>
        <w:t xml:space="preserve">based responses. For most people, their understanding of science and mathematics will be formed through school education, so when they </w:t>
      </w:r>
      <w:proofErr w:type="gramStart"/>
      <w:r>
        <w:rPr>
          <w:rFonts w:ascii="Calibri" w:eastAsia="Calibri" w:hAnsi="Calibri"/>
          <w:color w:val="000000"/>
        </w:rPr>
        <w:t>leave</w:t>
      </w:r>
      <w:proofErr w:type="gramEnd"/>
      <w:r>
        <w:rPr>
          <w:rFonts w:ascii="Calibri" w:eastAsia="Calibri" w:hAnsi="Calibri"/>
          <w:color w:val="000000"/>
        </w:rPr>
        <w:t xml:space="preserve"> they should have a capacity to participate in informed decision-making.</w:t>
      </w:r>
    </w:p>
    <w:p w14:paraId="6C398379" w14:textId="77777777" w:rsidR="00B87C25" w:rsidRDefault="00D76F24">
      <w:pPr>
        <w:spacing w:before="158" w:line="287" w:lineRule="exact"/>
        <w:ind w:right="72"/>
        <w:textAlignment w:val="baseline"/>
        <w:rPr>
          <w:rFonts w:ascii="Calibri" w:eastAsia="Calibri" w:hAnsi="Calibri"/>
          <w:color w:val="000000"/>
        </w:rPr>
      </w:pPr>
      <w:r>
        <w:rPr>
          <w:rFonts w:ascii="Calibri" w:eastAsia="Calibri" w:hAnsi="Calibri"/>
          <w:color w:val="000000"/>
        </w:rPr>
        <w:t>Teachers play a significant role in determi</w:t>
      </w:r>
      <w:r>
        <w:rPr>
          <w:rFonts w:ascii="Calibri" w:eastAsia="Calibri" w:hAnsi="Calibri"/>
          <w:color w:val="000000"/>
        </w:rPr>
        <w:t xml:space="preserve">ning students’ attitudes, </w:t>
      </w:r>
      <w:proofErr w:type="gramStart"/>
      <w:r>
        <w:rPr>
          <w:rFonts w:ascii="Calibri" w:eastAsia="Calibri" w:hAnsi="Calibri"/>
          <w:color w:val="000000"/>
        </w:rPr>
        <w:t>beliefs</w:t>
      </w:r>
      <w:proofErr w:type="gramEnd"/>
      <w:r>
        <w:rPr>
          <w:rFonts w:ascii="Calibri" w:eastAsia="Calibri" w:hAnsi="Calibri"/>
          <w:color w:val="000000"/>
        </w:rPr>
        <w:t xml:space="preserve"> and confidence in STEM. Teachers themselves must also have confidence in their own capacities and knowledge. It is well understood that enhancing teachers' capability is vital to raising the overall quality of Australia’s </w:t>
      </w:r>
      <w:r>
        <w:rPr>
          <w:rFonts w:ascii="Calibri" w:eastAsia="Calibri" w:hAnsi="Calibri"/>
          <w:color w:val="000000"/>
        </w:rPr>
        <w:t>school system and lifting student outcomes.</w:t>
      </w:r>
      <w:r>
        <w:rPr>
          <w:rFonts w:ascii="Calibri" w:eastAsia="Calibri" w:hAnsi="Calibri"/>
          <w:color w:val="000000"/>
          <w:vertAlign w:val="superscript"/>
        </w:rPr>
        <w:t>1</w:t>
      </w:r>
      <w:r>
        <w:rPr>
          <w:rFonts w:ascii="Calibri" w:eastAsia="Calibri" w:hAnsi="Calibri"/>
          <w:color w:val="000000"/>
        </w:rPr>
        <w:t xml:space="preserve"> Both initial teacher education (ITE) and professional development opportunities throughout their careers are important to the ways teachers go on to influence their students.</w:t>
      </w:r>
    </w:p>
    <w:p w14:paraId="7575BB2E" w14:textId="77777777" w:rsidR="00B87C25" w:rsidRDefault="00D76F24">
      <w:pPr>
        <w:spacing w:before="169" w:line="285" w:lineRule="exact"/>
        <w:ind w:right="504"/>
        <w:textAlignment w:val="baseline"/>
        <w:rPr>
          <w:rFonts w:ascii="Calibri" w:eastAsia="Calibri" w:hAnsi="Calibri"/>
          <w:color w:val="000000"/>
        </w:rPr>
      </w:pPr>
      <w:r>
        <w:rPr>
          <w:rFonts w:ascii="Calibri" w:eastAsia="Calibri" w:hAnsi="Calibri"/>
          <w:color w:val="000000"/>
        </w:rPr>
        <w:t>Australia needs to raise the professional and social status of teaching to attra</w:t>
      </w:r>
      <w:r>
        <w:rPr>
          <w:rFonts w:ascii="Calibri" w:eastAsia="Calibri" w:hAnsi="Calibri"/>
          <w:color w:val="000000"/>
        </w:rPr>
        <w:t xml:space="preserve">ct and retain quality candidates into ITE. Teachers should be highly respected, effectively supported and resourced, and </w:t>
      </w:r>
      <w:proofErr w:type="spellStart"/>
      <w:r>
        <w:rPr>
          <w:rFonts w:ascii="Calibri" w:eastAsia="Calibri" w:hAnsi="Calibri"/>
          <w:color w:val="000000"/>
        </w:rPr>
        <w:t>recognised</w:t>
      </w:r>
      <w:proofErr w:type="spellEnd"/>
      <w:r>
        <w:rPr>
          <w:rFonts w:ascii="Calibri" w:eastAsia="Calibri" w:hAnsi="Calibri"/>
          <w:color w:val="000000"/>
        </w:rPr>
        <w:t xml:space="preserve"> as </w:t>
      </w:r>
      <w:proofErr w:type="gramStart"/>
      <w:r>
        <w:rPr>
          <w:rFonts w:ascii="Calibri" w:eastAsia="Calibri" w:hAnsi="Calibri"/>
          <w:color w:val="000000"/>
        </w:rPr>
        <w:t>highly-skilled</w:t>
      </w:r>
      <w:proofErr w:type="gramEnd"/>
      <w:r>
        <w:rPr>
          <w:rFonts w:ascii="Calibri" w:eastAsia="Calibri" w:hAnsi="Calibri"/>
          <w:color w:val="000000"/>
        </w:rPr>
        <w:t xml:space="preserve"> professionals.</w:t>
      </w:r>
    </w:p>
    <w:p w14:paraId="409AC83A" w14:textId="77777777" w:rsidR="00B87C25" w:rsidRDefault="00B87C25">
      <w:pPr>
        <w:sectPr w:rsidR="00B87C25">
          <w:headerReference w:type="even" r:id="rId9"/>
          <w:headerReference w:type="default" r:id="rId10"/>
          <w:footerReference w:type="even" r:id="rId11"/>
          <w:footerReference w:type="default" r:id="rId12"/>
          <w:headerReference w:type="first" r:id="rId13"/>
          <w:footerReference w:type="first" r:id="rId14"/>
          <w:pgSz w:w="12240" w:h="15840"/>
          <w:pgMar w:top="1060" w:right="1440" w:bottom="641" w:left="1440" w:header="720" w:footer="720" w:gutter="0"/>
          <w:cols w:space="720"/>
        </w:sectPr>
      </w:pPr>
    </w:p>
    <w:p w14:paraId="0D001DEF" w14:textId="77777777" w:rsidR="00B87C25" w:rsidRDefault="00D76F24">
      <w:pPr>
        <w:spacing w:before="44" w:line="245" w:lineRule="exact"/>
        <w:textAlignment w:val="baseline"/>
        <w:rPr>
          <w:rFonts w:ascii="Calibri Light" w:eastAsia="Calibri Light" w:hAnsi="Calibri Light"/>
          <w:color w:val="1F3762"/>
          <w:sz w:val="24"/>
        </w:rPr>
      </w:pPr>
      <w:r>
        <w:lastRenderedPageBreak/>
        <w:pict w14:anchorId="37B4D47C">
          <v:shape id="_x0000_s1027" type="#_x0000_t202" style="position:absolute;margin-left:2.55pt;margin-top:671.1pt;width:474pt;height:19.9pt;z-index:-251658752;mso-wrap-distance-left:0;mso-wrap-distance-right:0" filled="f" stroked="f">
            <v:textbox inset="0,0,0,0">
              <w:txbxContent>
                <w:p w14:paraId="2DDB3631" w14:textId="259B2CBC" w:rsidR="00B87C25" w:rsidRDefault="00B87C25">
                  <w:pPr>
                    <w:spacing w:after="14"/>
                    <w:textAlignment w:val="baseline"/>
                  </w:pPr>
                </w:p>
              </w:txbxContent>
            </v:textbox>
            <w10:wrap type="square"/>
          </v:shape>
        </w:pict>
      </w:r>
      <w:r>
        <w:rPr>
          <w:rFonts w:ascii="Calibri Light" w:eastAsia="Calibri Light" w:hAnsi="Calibri Light"/>
          <w:color w:val="1F3762"/>
          <w:sz w:val="24"/>
        </w:rPr>
        <w:t>Attracting STEM-literate candidates to initial teacher education programs</w:t>
      </w:r>
    </w:p>
    <w:p w14:paraId="58890A87" w14:textId="77777777" w:rsidR="00B87C25" w:rsidRDefault="00D76F24">
      <w:pPr>
        <w:spacing w:before="128" w:line="290" w:lineRule="exact"/>
        <w:textAlignment w:val="baseline"/>
        <w:rPr>
          <w:rFonts w:ascii="Calibri" w:eastAsia="Calibri" w:hAnsi="Calibri"/>
          <w:color w:val="000000"/>
        </w:rPr>
      </w:pPr>
      <w:r>
        <w:rPr>
          <w:rFonts w:ascii="Calibri" w:eastAsia="Calibri" w:hAnsi="Calibri"/>
          <w:color w:val="000000"/>
        </w:rPr>
        <w:t>The de</w:t>
      </w:r>
      <w:r>
        <w:rPr>
          <w:rFonts w:ascii="Calibri" w:eastAsia="Calibri" w:hAnsi="Calibri"/>
          <w:color w:val="000000"/>
        </w:rPr>
        <w:t>livery of high-quality STEM education in Australian schools would be well-served by ensuring that a proportion of teachers are well educated in science or mathematics at a tertiary level, as well as in pedagogy.</w:t>
      </w:r>
    </w:p>
    <w:p w14:paraId="1C65B96F" w14:textId="77777777" w:rsidR="00B87C25" w:rsidRDefault="00D76F24">
      <w:pPr>
        <w:spacing w:before="160" w:line="290" w:lineRule="exact"/>
        <w:ind w:right="216"/>
        <w:textAlignment w:val="baseline"/>
        <w:rPr>
          <w:rFonts w:ascii="Calibri" w:eastAsia="Calibri" w:hAnsi="Calibri"/>
          <w:color w:val="000000"/>
        </w:rPr>
      </w:pPr>
      <w:r>
        <w:rPr>
          <w:rFonts w:ascii="Calibri" w:eastAsia="Calibri" w:hAnsi="Calibri"/>
          <w:color w:val="000000"/>
        </w:rPr>
        <w:t xml:space="preserve">The Academy suggests that an agreed proportion of incoming ITE students should have completed science or mathematics subjects at a Year 12 level. This proportion will vary by state and </w:t>
      </w:r>
      <w:proofErr w:type="gramStart"/>
      <w:r>
        <w:rPr>
          <w:rFonts w:ascii="Calibri" w:eastAsia="Calibri" w:hAnsi="Calibri"/>
          <w:color w:val="000000"/>
        </w:rPr>
        <w:t>territory, but</w:t>
      </w:r>
      <w:proofErr w:type="gramEnd"/>
      <w:r>
        <w:rPr>
          <w:rFonts w:ascii="Calibri" w:eastAsia="Calibri" w:hAnsi="Calibri"/>
          <w:color w:val="000000"/>
        </w:rPr>
        <w:t xml:space="preserve"> will mean that an acceptable number of students entering</w:t>
      </w:r>
      <w:r>
        <w:rPr>
          <w:rFonts w:ascii="Calibri" w:eastAsia="Calibri" w:hAnsi="Calibri"/>
          <w:color w:val="000000"/>
        </w:rPr>
        <w:t xml:space="preserve"> ITE for primary and secondary teaching qualifications will have followed science and mathematics in their own schooling.</w:t>
      </w:r>
    </w:p>
    <w:p w14:paraId="05878961" w14:textId="77777777" w:rsidR="00B87C25" w:rsidRDefault="00D76F24">
      <w:pPr>
        <w:spacing w:before="156" w:line="290" w:lineRule="exact"/>
        <w:textAlignment w:val="baseline"/>
        <w:rPr>
          <w:rFonts w:ascii="Calibri" w:eastAsia="Calibri" w:hAnsi="Calibri"/>
          <w:color w:val="000000"/>
        </w:rPr>
      </w:pPr>
      <w:r>
        <w:rPr>
          <w:rFonts w:ascii="Calibri" w:eastAsia="Calibri" w:hAnsi="Calibri"/>
          <w:color w:val="000000"/>
        </w:rPr>
        <w:t>The education and science faculties of ITE providers should work closely to ensure that students with an appropriate background develo</w:t>
      </w:r>
      <w:r>
        <w:rPr>
          <w:rFonts w:ascii="Calibri" w:eastAsia="Calibri" w:hAnsi="Calibri"/>
          <w:color w:val="000000"/>
        </w:rPr>
        <w:t>p further their science and mathematics to become effective, competent teachers in these areas.</w:t>
      </w:r>
    </w:p>
    <w:p w14:paraId="3BAE0E9A" w14:textId="77777777" w:rsidR="00B87C25" w:rsidRDefault="00D76F24">
      <w:pPr>
        <w:spacing w:before="308" w:line="245" w:lineRule="exact"/>
        <w:textAlignment w:val="baseline"/>
        <w:rPr>
          <w:rFonts w:ascii="Calibri Light" w:eastAsia="Calibri Light" w:hAnsi="Calibri Light"/>
          <w:color w:val="1F3762"/>
          <w:sz w:val="24"/>
        </w:rPr>
      </w:pPr>
      <w:r>
        <w:rPr>
          <w:rFonts w:ascii="Calibri Light" w:eastAsia="Calibri Light" w:hAnsi="Calibri Light"/>
          <w:color w:val="1F3762"/>
          <w:sz w:val="24"/>
        </w:rPr>
        <w:t>Supporting teachers throughout their careers</w:t>
      </w:r>
    </w:p>
    <w:p w14:paraId="1F7304E9" w14:textId="77777777" w:rsidR="00B87C25" w:rsidRDefault="00D76F24">
      <w:pPr>
        <w:spacing w:before="124" w:line="290" w:lineRule="exact"/>
        <w:ind w:right="216"/>
        <w:textAlignment w:val="baseline"/>
        <w:rPr>
          <w:rFonts w:ascii="Calibri" w:eastAsia="Calibri" w:hAnsi="Calibri"/>
          <w:color w:val="000000"/>
        </w:rPr>
      </w:pPr>
      <w:r>
        <w:rPr>
          <w:rFonts w:ascii="Calibri" w:eastAsia="Calibri" w:hAnsi="Calibri"/>
          <w:color w:val="000000"/>
        </w:rPr>
        <w:t>The discussion paper highlights that teachers are the most significant in-school influencers of student learning. T</w:t>
      </w:r>
      <w:r>
        <w:rPr>
          <w:rFonts w:ascii="Calibri" w:eastAsia="Calibri" w:hAnsi="Calibri"/>
          <w:color w:val="000000"/>
        </w:rPr>
        <w:t>he Academy maintains that developing a STEM literate and professional workforce must occur along the continuum of a teacher's career. A focus on ITE alone is not enough.</w:t>
      </w:r>
    </w:p>
    <w:p w14:paraId="1A9025C1" w14:textId="77777777" w:rsidR="00B87C25" w:rsidRDefault="00D76F24">
      <w:pPr>
        <w:spacing w:before="160" w:line="290" w:lineRule="exact"/>
        <w:ind w:right="216"/>
        <w:textAlignment w:val="baseline"/>
        <w:rPr>
          <w:rFonts w:ascii="Calibri" w:eastAsia="Calibri" w:hAnsi="Calibri"/>
          <w:color w:val="000000"/>
        </w:rPr>
      </w:pPr>
      <w:r>
        <w:rPr>
          <w:rFonts w:ascii="Calibri" w:eastAsia="Calibri" w:hAnsi="Calibri"/>
          <w:color w:val="000000"/>
        </w:rPr>
        <w:t xml:space="preserve">It is necessary to support ITE students and existing teachers in </w:t>
      </w:r>
      <w:proofErr w:type="spellStart"/>
      <w:r>
        <w:rPr>
          <w:rFonts w:ascii="Calibri" w:eastAsia="Calibri" w:hAnsi="Calibri"/>
          <w:color w:val="000000"/>
        </w:rPr>
        <w:t>maximising</w:t>
      </w:r>
      <w:proofErr w:type="spellEnd"/>
      <w:r>
        <w:rPr>
          <w:rFonts w:ascii="Calibri" w:eastAsia="Calibri" w:hAnsi="Calibri"/>
          <w:color w:val="000000"/>
        </w:rPr>
        <w:t xml:space="preserve"> their prof</w:t>
      </w:r>
      <w:r>
        <w:rPr>
          <w:rFonts w:ascii="Calibri" w:eastAsia="Calibri" w:hAnsi="Calibri"/>
          <w:color w:val="000000"/>
        </w:rPr>
        <w:t xml:space="preserve">essional effectiveness through appropriate resourcing and professional development. Providing this support for teachers is critical to </w:t>
      </w:r>
      <w:proofErr w:type="spellStart"/>
      <w:r>
        <w:rPr>
          <w:rFonts w:ascii="Calibri" w:eastAsia="Calibri" w:hAnsi="Calibri"/>
          <w:color w:val="000000"/>
        </w:rPr>
        <w:t>capitalise</w:t>
      </w:r>
      <w:proofErr w:type="spellEnd"/>
      <w:r>
        <w:rPr>
          <w:rFonts w:ascii="Calibri" w:eastAsia="Calibri" w:hAnsi="Calibri"/>
          <w:color w:val="000000"/>
        </w:rPr>
        <w:t xml:space="preserve"> on ITE investments. There must be whole-of-system support for both pedagogical skills and content knowledge.</w:t>
      </w:r>
      <w:r>
        <w:rPr>
          <w:rFonts w:ascii="Calibri" w:eastAsia="Calibri" w:hAnsi="Calibri"/>
          <w:color w:val="000000"/>
          <w:vertAlign w:val="superscript"/>
        </w:rPr>
        <w:t>1</w:t>
      </w:r>
      <w:r>
        <w:rPr>
          <w:rFonts w:ascii="Calibri" w:eastAsia="Calibri" w:hAnsi="Calibri"/>
          <w:color w:val="000000"/>
          <w:sz w:val="15"/>
        </w:rPr>
        <w:t xml:space="preserve"> </w:t>
      </w:r>
    </w:p>
    <w:p w14:paraId="27051F0D" w14:textId="77777777" w:rsidR="00B87C25" w:rsidRDefault="00D76F24">
      <w:pPr>
        <w:spacing w:before="157" w:line="290" w:lineRule="exact"/>
        <w:ind w:right="216"/>
        <w:textAlignment w:val="baseline"/>
        <w:rPr>
          <w:rFonts w:ascii="Calibri" w:eastAsia="Calibri" w:hAnsi="Calibri"/>
          <w:color w:val="000000"/>
        </w:rPr>
      </w:pPr>
      <w:r>
        <w:rPr>
          <w:rFonts w:ascii="Calibri" w:eastAsia="Calibri" w:hAnsi="Calibri"/>
          <w:color w:val="000000"/>
        </w:rPr>
        <w:t>Increasing teacher agency is effective at facilitating change in education and is achieved through professional learning that is centered on increasing student learning (rather than a deficit in teachers’ knowledge) and contextualized to address the speci</w:t>
      </w:r>
      <w:r>
        <w:rPr>
          <w:rFonts w:ascii="Calibri" w:eastAsia="Calibri" w:hAnsi="Calibri"/>
          <w:color w:val="000000"/>
        </w:rPr>
        <w:t>fic needs of the school community.</w:t>
      </w:r>
      <w:r>
        <w:rPr>
          <w:rFonts w:ascii="Calibri" w:eastAsia="Calibri" w:hAnsi="Calibri"/>
          <w:color w:val="000000"/>
          <w:vertAlign w:val="superscript"/>
        </w:rPr>
        <w:t>2</w:t>
      </w:r>
      <w:r>
        <w:rPr>
          <w:rFonts w:ascii="Calibri" w:eastAsia="Calibri" w:hAnsi="Calibri"/>
          <w:color w:val="000000"/>
          <w:sz w:val="15"/>
        </w:rPr>
        <w:t xml:space="preserve"> </w:t>
      </w:r>
    </w:p>
    <w:p w14:paraId="0A850992" w14:textId="77777777" w:rsidR="00B87C25" w:rsidRDefault="00D76F24">
      <w:pPr>
        <w:spacing w:before="157" w:line="290" w:lineRule="exact"/>
        <w:ind w:right="216"/>
        <w:textAlignment w:val="baseline"/>
        <w:rPr>
          <w:rFonts w:ascii="Calibri" w:eastAsia="Calibri" w:hAnsi="Calibri"/>
          <w:color w:val="000000"/>
        </w:rPr>
      </w:pPr>
      <w:r>
        <w:rPr>
          <w:rFonts w:ascii="Calibri" w:eastAsia="Calibri" w:hAnsi="Calibri"/>
          <w:color w:val="000000"/>
        </w:rPr>
        <w:t>Early career teachers should be supported through their transition from ITE to in-service teachers with formal mentoring, with additional support for teachers in positions and locations identified as having a high turno</w:t>
      </w:r>
      <w:r>
        <w:rPr>
          <w:rFonts w:ascii="Calibri" w:eastAsia="Calibri" w:hAnsi="Calibri"/>
          <w:color w:val="000000"/>
        </w:rPr>
        <w:t>ver.</w:t>
      </w:r>
    </w:p>
    <w:p w14:paraId="2CCCE355" w14:textId="77777777" w:rsidR="00B87C25" w:rsidRDefault="00D76F24">
      <w:pPr>
        <w:spacing w:before="158" w:line="290" w:lineRule="exact"/>
        <w:ind w:right="216"/>
        <w:textAlignment w:val="baseline"/>
        <w:rPr>
          <w:rFonts w:ascii="Calibri" w:eastAsia="Calibri" w:hAnsi="Calibri"/>
          <w:color w:val="000000"/>
        </w:rPr>
      </w:pPr>
      <w:r>
        <w:rPr>
          <w:rFonts w:ascii="Calibri" w:eastAsia="Calibri" w:hAnsi="Calibri"/>
          <w:color w:val="000000"/>
        </w:rPr>
        <w:t>Quality, sustained teacher professional learning and support throughout a teacher’s career lifespan needs to be a feature of school STEM teaching. Teachers should be provided with effective support for how continuing development will be enacted in the</w:t>
      </w:r>
      <w:r>
        <w:rPr>
          <w:rFonts w:ascii="Calibri" w:eastAsia="Calibri" w:hAnsi="Calibri"/>
          <w:color w:val="000000"/>
        </w:rPr>
        <w:t xml:space="preserve"> real world of the school and the classroom.</w:t>
      </w:r>
    </w:p>
    <w:p w14:paraId="4B39FDAF" w14:textId="77777777" w:rsidR="00B87C25" w:rsidRDefault="00D76F24">
      <w:pPr>
        <w:spacing w:before="234" w:line="317" w:lineRule="exact"/>
        <w:ind w:right="216"/>
        <w:textAlignment w:val="baseline"/>
        <w:rPr>
          <w:rFonts w:ascii="Calibri Light" w:eastAsia="Calibri Light" w:hAnsi="Calibri Light"/>
          <w:color w:val="1F3762"/>
          <w:sz w:val="24"/>
        </w:rPr>
      </w:pPr>
      <w:r>
        <w:rPr>
          <w:rFonts w:ascii="Calibri Light" w:eastAsia="Calibri Light" w:hAnsi="Calibri Light"/>
          <w:color w:val="1F3762"/>
          <w:sz w:val="24"/>
        </w:rPr>
        <w:t>Teacher shortages and teaching out-of-field are critical challenges to quality STEM education in Australia</w:t>
      </w:r>
    </w:p>
    <w:p w14:paraId="0AC5F932" w14:textId="77777777" w:rsidR="00B87C25" w:rsidRDefault="00D76F24">
      <w:pPr>
        <w:spacing w:before="124" w:line="290" w:lineRule="exact"/>
        <w:ind w:right="72"/>
        <w:textAlignment w:val="baseline"/>
        <w:rPr>
          <w:rFonts w:ascii="Calibri" w:eastAsia="Calibri" w:hAnsi="Calibri"/>
          <w:color w:val="000000"/>
        </w:rPr>
      </w:pPr>
      <w:r>
        <w:rPr>
          <w:rFonts w:ascii="Calibri" w:eastAsia="Calibri" w:hAnsi="Calibri"/>
          <w:color w:val="000000"/>
        </w:rPr>
        <w:t>Increasing teacher shortages</w:t>
      </w:r>
      <w:r>
        <w:rPr>
          <w:rFonts w:ascii="Calibri" w:eastAsia="Calibri" w:hAnsi="Calibri"/>
          <w:color w:val="000000"/>
          <w:vertAlign w:val="superscript"/>
        </w:rPr>
        <w:t>3</w:t>
      </w:r>
      <w:r>
        <w:rPr>
          <w:rFonts w:ascii="Calibri" w:eastAsia="Calibri" w:hAnsi="Calibri"/>
          <w:color w:val="000000"/>
        </w:rPr>
        <w:t xml:space="preserve"> and the growing proportion of out-of-field teachers</w:t>
      </w:r>
      <w:r>
        <w:rPr>
          <w:rFonts w:ascii="Calibri" w:eastAsia="Calibri" w:hAnsi="Calibri"/>
          <w:color w:val="000000"/>
          <w:vertAlign w:val="superscript"/>
        </w:rPr>
        <w:t>4</w:t>
      </w:r>
      <w:r>
        <w:rPr>
          <w:rFonts w:ascii="Calibri" w:eastAsia="Calibri" w:hAnsi="Calibri"/>
          <w:color w:val="000000"/>
        </w:rPr>
        <w:t xml:space="preserve"> affect students’ experience and their access to quality STEM education. This is a particular issue for regional and remote and disadvantaged schools.</w:t>
      </w:r>
      <w:r>
        <w:rPr>
          <w:rFonts w:ascii="Calibri" w:eastAsia="Calibri" w:hAnsi="Calibri"/>
          <w:color w:val="000000"/>
          <w:vertAlign w:val="superscript"/>
        </w:rPr>
        <w:t>5,6</w:t>
      </w:r>
      <w:r>
        <w:rPr>
          <w:rFonts w:ascii="Calibri" w:eastAsia="Calibri" w:hAnsi="Calibri"/>
          <w:color w:val="000000"/>
          <w:sz w:val="15"/>
        </w:rPr>
        <w:t xml:space="preserve"> </w:t>
      </w:r>
    </w:p>
    <w:p w14:paraId="67F5A5BD" w14:textId="77777777" w:rsidR="00B87C25" w:rsidRDefault="00D76F24">
      <w:pPr>
        <w:spacing w:before="156" w:after="942" w:line="290" w:lineRule="exact"/>
        <w:ind w:right="216"/>
        <w:textAlignment w:val="baseline"/>
        <w:rPr>
          <w:rFonts w:ascii="Calibri" w:eastAsia="Calibri" w:hAnsi="Calibri"/>
          <w:color w:val="000000"/>
        </w:rPr>
      </w:pPr>
      <w:r>
        <w:rPr>
          <w:rFonts w:ascii="Calibri" w:eastAsia="Calibri" w:hAnsi="Calibri"/>
          <w:color w:val="000000"/>
        </w:rPr>
        <w:t>Initiatives to upskill teachers in science and mathematics are one response to this issue, such as th</w:t>
      </w:r>
      <w:r>
        <w:rPr>
          <w:rFonts w:ascii="Calibri" w:eastAsia="Calibri" w:hAnsi="Calibri"/>
          <w:color w:val="000000"/>
        </w:rPr>
        <w:t xml:space="preserve">e </w:t>
      </w:r>
      <w:hyperlink r:id="rId15">
        <w:r>
          <w:rPr>
            <w:rFonts w:ascii="Calibri" w:eastAsia="Calibri" w:hAnsi="Calibri"/>
            <w:color w:val="0000FF"/>
            <w:sz w:val="23"/>
            <w:u w:val="single"/>
          </w:rPr>
          <w:t>Secondary Science and Mathematics Initiative</w:t>
        </w:r>
      </w:hyperlink>
      <w:hyperlink r:id="rId16">
        <w:r>
          <w:rPr>
            <w:rFonts w:ascii="Calibri" w:eastAsia="Calibri" w:hAnsi="Calibri"/>
            <w:color w:val="0000FF"/>
            <w:u w:val="single"/>
          </w:rPr>
          <w:t xml:space="preserve"> </w:t>
        </w:r>
      </w:hyperlink>
      <w:r>
        <w:rPr>
          <w:rFonts w:ascii="Calibri" w:eastAsia="Calibri" w:hAnsi="Calibri"/>
          <w:color w:val="000000"/>
        </w:rPr>
        <w:t>and the</w:t>
      </w:r>
      <w:hyperlink r:id="rId17">
        <w:r>
          <w:rPr>
            <w:rFonts w:ascii="Calibri" w:eastAsia="Calibri" w:hAnsi="Calibri"/>
            <w:color w:val="0000FF"/>
            <w:sz w:val="23"/>
            <w:u w:val="single"/>
          </w:rPr>
          <w:t xml:space="preserve"> Graduate Certificate in Education (Middle </w:t>
        </w:r>
        <w:r>
          <w:rPr>
            <w:rFonts w:ascii="Calibri" w:eastAsia="Calibri" w:hAnsi="Calibri"/>
            <w:color w:val="0000FF"/>
            <w:sz w:val="23"/>
            <w:u w:val="single"/>
          </w:rPr>
          <w:t>Years Mathematics)</w:t>
        </w:r>
      </w:hyperlink>
      <w:hyperlink r:id="rId18">
        <w:r>
          <w:rPr>
            <w:rFonts w:ascii="Calibri" w:eastAsia="Calibri" w:hAnsi="Calibri"/>
            <w:color w:val="0000FF"/>
            <w:u w:val="single"/>
          </w:rPr>
          <w:t>.</w:t>
        </w:r>
      </w:hyperlink>
      <w:r>
        <w:rPr>
          <w:rFonts w:ascii="Calibri" w:eastAsia="Calibri" w:hAnsi="Calibri"/>
          <w:color w:val="BE8F00"/>
          <w:sz w:val="23"/>
          <w:u w:val="single"/>
        </w:rPr>
        <w:t xml:space="preserve"> </w:t>
      </w:r>
    </w:p>
    <w:p w14:paraId="55E434CD" w14:textId="77777777" w:rsidR="00B87C25" w:rsidRDefault="00B87C25">
      <w:pPr>
        <w:spacing w:before="156" w:after="942" w:line="290" w:lineRule="exact"/>
        <w:sectPr w:rsidR="00B87C25">
          <w:pgSz w:w="12240" w:h="15840"/>
          <w:pgMar w:top="1420" w:right="1457" w:bottom="204" w:left="1423" w:header="720" w:footer="720" w:gutter="0"/>
          <w:cols w:space="720"/>
        </w:sectPr>
      </w:pPr>
    </w:p>
    <w:p w14:paraId="2ECA80F4" w14:textId="77777777" w:rsidR="00B87C25" w:rsidRDefault="00D76F24">
      <w:pPr>
        <w:spacing w:line="283" w:lineRule="exact"/>
        <w:ind w:left="72" w:right="288"/>
        <w:textAlignment w:val="baseline"/>
        <w:rPr>
          <w:rFonts w:ascii="Calibri" w:eastAsia="Calibri" w:hAnsi="Calibri"/>
          <w:color w:val="000000"/>
          <w:sz w:val="23"/>
        </w:rPr>
      </w:pPr>
      <w:r>
        <w:lastRenderedPageBreak/>
        <w:pict w14:anchorId="2F486B3F">
          <v:shape id="_x0000_s1026" type="#_x0000_t202" style="position:absolute;left:0;text-align:left;margin-left:5.05pt;margin-top:671.1pt;width:474pt;height:19.9pt;z-index:-251657728;mso-wrap-distance-left:0;mso-wrap-distance-right:0" filled="f" stroked="f">
            <v:textbox inset="0,0,0,0">
              <w:txbxContent>
                <w:p w14:paraId="12F615AB" w14:textId="23114AF3" w:rsidR="00B87C25" w:rsidRDefault="00B87C25">
                  <w:pPr>
                    <w:spacing w:after="14"/>
                    <w:textAlignment w:val="baseline"/>
                  </w:pPr>
                </w:p>
              </w:txbxContent>
            </v:textbox>
            <w10:wrap type="square"/>
          </v:shape>
        </w:pict>
      </w:r>
      <w:r>
        <w:rPr>
          <w:rFonts w:ascii="Calibri" w:eastAsia="Calibri" w:hAnsi="Calibri"/>
          <w:color w:val="000000"/>
          <w:sz w:val="23"/>
        </w:rPr>
        <w:t>Useful and effective support and professional development for teachers currently working out-of-field are essential, and an enhanced commitment to the recruitment and retention of qualified staff to address teacher shortages is needed for the longer term.</w:t>
      </w:r>
    </w:p>
    <w:p w14:paraId="29C1DA5F" w14:textId="77777777" w:rsidR="00B87C25" w:rsidRDefault="00D76F24">
      <w:pPr>
        <w:spacing w:before="226" w:line="245" w:lineRule="exact"/>
        <w:ind w:left="72" w:right="72"/>
        <w:textAlignment w:val="baseline"/>
        <w:rPr>
          <w:rFonts w:ascii="Calibri Light" w:eastAsia="Calibri Light" w:hAnsi="Calibri Light"/>
          <w:b/>
          <w:color w:val="1F3762"/>
          <w:sz w:val="24"/>
        </w:rPr>
      </w:pPr>
      <w:r>
        <w:rPr>
          <w:rFonts w:ascii="Calibri Light" w:eastAsia="Calibri Light" w:hAnsi="Calibri Light"/>
          <w:b/>
          <w:color w:val="1F3762"/>
          <w:sz w:val="24"/>
        </w:rPr>
        <w:t>The Academy’s role in science and mathematics education</w:t>
      </w:r>
    </w:p>
    <w:p w14:paraId="0CE33E2A" w14:textId="77777777" w:rsidR="00B87C25" w:rsidRDefault="00D76F24">
      <w:pPr>
        <w:spacing w:before="130" w:line="289" w:lineRule="exact"/>
        <w:ind w:left="72" w:right="72"/>
        <w:textAlignment w:val="baseline"/>
        <w:rPr>
          <w:rFonts w:ascii="Calibri" w:eastAsia="Calibri" w:hAnsi="Calibri"/>
          <w:color w:val="000000"/>
          <w:sz w:val="23"/>
        </w:rPr>
      </w:pPr>
      <w:r>
        <w:rPr>
          <w:rFonts w:ascii="Calibri" w:eastAsia="Calibri" w:hAnsi="Calibri"/>
          <w:color w:val="000000"/>
          <w:sz w:val="23"/>
        </w:rPr>
        <w:t xml:space="preserve">The Academy supports and plays a leading role in science and mathematics education, engaging directly and closely with teachers for more than 30 years. The Academy’s current educational programs, </w:t>
      </w:r>
      <w:r>
        <w:rPr>
          <w:rFonts w:ascii="Calibri" w:eastAsia="Calibri" w:hAnsi="Calibri"/>
          <w:i/>
          <w:color w:val="000000"/>
        </w:rPr>
        <w:t>Prim</w:t>
      </w:r>
      <w:r>
        <w:rPr>
          <w:rFonts w:ascii="Calibri" w:eastAsia="Calibri" w:hAnsi="Calibri"/>
          <w:i/>
          <w:color w:val="000000"/>
        </w:rPr>
        <w:t xml:space="preserve">ary Connections, Science by Doing </w:t>
      </w:r>
      <w:r>
        <w:rPr>
          <w:rFonts w:ascii="Calibri" w:eastAsia="Calibri" w:hAnsi="Calibri"/>
          <w:color w:val="000000"/>
          <w:sz w:val="23"/>
        </w:rPr>
        <w:t xml:space="preserve">and </w:t>
      </w:r>
      <w:proofErr w:type="spellStart"/>
      <w:r>
        <w:rPr>
          <w:rFonts w:ascii="Calibri" w:eastAsia="Calibri" w:hAnsi="Calibri"/>
          <w:i/>
          <w:color w:val="000000"/>
        </w:rPr>
        <w:t>reSolve</w:t>
      </w:r>
      <w:proofErr w:type="spellEnd"/>
      <w:r>
        <w:rPr>
          <w:rFonts w:ascii="Calibri" w:eastAsia="Calibri" w:hAnsi="Calibri"/>
          <w:i/>
          <w:color w:val="000000"/>
        </w:rPr>
        <w:t xml:space="preserve">: </w:t>
      </w:r>
      <w:proofErr w:type="spellStart"/>
      <w:r>
        <w:rPr>
          <w:rFonts w:ascii="Calibri" w:eastAsia="Calibri" w:hAnsi="Calibri"/>
          <w:i/>
          <w:color w:val="000000"/>
        </w:rPr>
        <w:t>Maths</w:t>
      </w:r>
      <w:proofErr w:type="spellEnd"/>
      <w:r>
        <w:rPr>
          <w:rFonts w:ascii="Calibri" w:eastAsia="Calibri" w:hAnsi="Calibri"/>
          <w:i/>
          <w:color w:val="000000"/>
        </w:rPr>
        <w:t xml:space="preserve"> by Inquiry</w:t>
      </w:r>
      <w:r>
        <w:rPr>
          <w:rFonts w:ascii="Calibri" w:eastAsia="Calibri" w:hAnsi="Calibri"/>
          <w:color w:val="000000"/>
          <w:sz w:val="23"/>
        </w:rPr>
        <w:t>, include professional development opportunities for teachers and are used in in-service and ITE settings.</w:t>
      </w:r>
    </w:p>
    <w:p w14:paraId="04D487F6" w14:textId="77777777" w:rsidR="00B87C25" w:rsidRDefault="00D76F24">
      <w:pPr>
        <w:spacing w:before="160" w:line="290" w:lineRule="exact"/>
        <w:ind w:left="72" w:right="72"/>
        <w:textAlignment w:val="baseline"/>
        <w:rPr>
          <w:rFonts w:ascii="Calibri" w:eastAsia="Calibri" w:hAnsi="Calibri"/>
          <w:color w:val="000000"/>
          <w:spacing w:val="-4"/>
          <w:sz w:val="23"/>
        </w:rPr>
      </w:pPr>
      <w:r>
        <w:rPr>
          <w:rFonts w:ascii="Calibri" w:eastAsia="Calibri" w:hAnsi="Calibri"/>
          <w:color w:val="000000"/>
          <w:spacing w:val="-4"/>
          <w:sz w:val="23"/>
        </w:rPr>
        <w:t>One of the greatest strengths of these education programs is the delivery of practical</w:t>
      </w:r>
      <w:r>
        <w:rPr>
          <w:rFonts w:ascii="Calibri" w:eastAsia="Calibri" w:hAnsi="Calibri"/>
          <w:color w:val="000000"/>
          <w:spacing w:val="-4"/>
          <w:sz w:val="23"/>
        </w:rPr>
        <w:t xml:space="preserve"> support to in-service teachers and ITE students,</w:t>
      </w:r>
      <w:r>
        <w:rPr>
          <w:rFonts w:ascii="Calibri" w:eastAsia="Calibri" w:hAnsi="Calibri"/>
          <w:color w:val="000000"/>
          <w:spacing w:val="-4"/>
          <w:sz w:val="23"/>
          <w:vertAlign w:val="superscript"/>
        </w:rPr>
        <w:t>7</w:t>
      </w:r>
      <w:r>
        <w:rPr>
          <w:rFonts w:ascii="Calibri" w:eastAsia="Calibri" w:hAnsi="Calibri"/>
          <w:color w:val="000000"/>
          <w:spacing w:val="-4"/>
          <w:sz w:val="23"/>
        </w:rPr>
        <w:t xml:space="preserve"> which is essential to building educators’ STEM capability to underpin improved student engagement and learning outcomes. This is regarded as the area of greatest need and a clear opportunity for the Austra</w:t>
      </w:r>
      <w:r>
        <w:rPr>
          <w:rFonts w:ascii="Calibri" w:eastAsia="Calibri" w:hAnsi="Calibri"/>
          <w:color w:val="000000"/>
          <w:spacing w:val="-4"/>
          <w:sz w:val="23"/>
        </w:rPr>
        <w:t xml:space="preserve">lian Government to </w:t>
      </w:r>
      <w:proofErr w:type="spellStart"/>
      <w:r>
        <w:rPr>
          <w:rFonts w:ascii="Calibri" w:eastAsia="Calibri" w:hAnsi="Calibri"/>
          <w:color w:val="000000"/>
          <w:spacing w:val="-4"/>
          <w:sz w:val="23"/>
        </w:rPr>
        <w:t>maximise</w:t>
      </w:r>
      <w:proofErr w:type="spellEnd"/>
      <w:r>
        <w:rPr>
          <w:rFonts w:ascii="Calibri" w:eastAsia="Calibri" w:hAnsi="Calibri"/>
          <w:color w:val="000000"/>
          <w:spacing w:val="-4"/>
          <w:sz w:val="23"/>
        </w:rPr>
        <w:t xml:space="preserve"> its impact.</w:t>
      </w:r>
      <w:r>
        <w:rPr>
          <w:rFonts w:ascii="Calibri" w:eastAsia="Calibri" w:hAnsi="Calibri"/>
          <w:color w:val="000000"/>
          <w:spacing w:val="-4"/>
          <w:sz w:val="23"/>
          <w:vertAlign w:val="superscript"/>
        </w:rPr>
        <w:t>7</w:t>
      </w:r>
      <w:r>
        <w:rPr>
          <w:rFonts w:ascii="Calibri" w:eastAsia="Calibri" w:hAnsi="Calibri"/>
          <w:color w:val="000000"/>
          <w:spacing w:val="-4"/>
          <w:sz w:val="14"/>
        </w:rPr>
        <w:t xml:space="preserve"> </w:t>
      </w:r>
    </w:p>
    <w:p w14:paraId="68708C68" w14:textId="4BE0B086" w:rsidR="00B87C25" w:rsidRDefault="00114E53">
      <w:pPr>
        <w:spacing w:before="607" w:line="292" w:lineRule="exact"/>
        <w:ind w:left="72" w:right="72"/>
        <w:textAlignment w:val="baseline"/>
        <w:rPr>
          <w:rFonts w:ascii="Calibri" w:eastAsia="Calibri" w:hAnsi="Calibri"/>
          <w:color w:val="000000"/>
          <w:sz w:val="23"/>
        </w:rPr>
      </w:pPr>
      <w:r>
        <w:rPr>
          <w:noProof/>
          <w:sz w:val="24"/>
          <w:szCs w:val="24"/>
          <w:lang w:val="en-AU" w:eastAsia="en-AU"/>
        </w:rPr>
        <mc:AlternateContent>
          <mc:Choice Requires="wps">
            <w:drawing>
              <wp:anchor distT="621665" distB="718185" distL="155575" distR="1707515" simplePos="0" relativeHeight="251660800" behindDoc="0" locked="0" layoutInCell="1" allowOverlap="1" wp14:anchorId="05E0EB69" wp14:editId="301000FE">
                <wp:simplePos x="0" y="0"/>
                <wp:positionH relativeFrom="margin">
                  <wp:posOffset>1416050</wp:posOffset>
                </wp:positionH>
                <wp:positionV relativeFrom="page">
                  <wp:posOffset>3977640</wp:posOffset>
                </wp:positionV>
                <wp:extent cx="1685290" cy="2101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C0607" w14:textId="77777777" w:rsidR="00114E53" w:rsidRDefault="00114E53" w:rsidP="00114E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EB69" id="Text Box 5" o:spid="_x0000_s1026" type="#_x0000_t202" style="position:absolute;left:0;text-align:left;margin-left:111.5pt;margin-top:313.2pt;width:132.7pt;height:16.55pt;z-index:251660800;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" fillcolor="black" stroked="f">
                <v:textbox inset="0,0,0,0">
                  <w:txbxContent>
                    <w:p w14:paraId="343C0607" w14:textId="77777777" w:rsidR="00114E53" w:rsidRDefault="00114E53" w:rsidP="00114E53"/>
                  </w:txbxContent>
                </v:textbox>
                <w10:wrap anchorx="margin" anchory="page"/>
              </v:shape>
            </w:pict>
          </mc:Fallback>
        </mc:AlternateContent>
      </w:r>
      <w:r w:rsidR="00D76F24">
        <w:rPr>
          <w:rFonts w:ascii="Calibri" w:eastAsia="Calibri" w:hAnsi="Calibri"/>
          <w:color w:val="000000"/>
          <w:sz w:val="23"/>
        </w:rPr>
        <w:t xml:space="preserve">If you would like to discuss any aspect of this submission, please contact Christopher Anderson, Director Science </w:t>
      </w:r>
      <w:proofErr w:type="gramStart"/>
      <w:r w:rsidR="00D76F24">
        <w:rPr>
          <w:rFonts w:ascii="Calibri" w:eastAsia="Calibri" w:hAnsi="Calibri"/>
          <w:color w:val="000000"/>
          <w:sz w:val="23"/>
        </w:rPr>
        <w:t>Policy</w:t>
      </w:r>
      <w:r>
        <w:t xml:space="preserve"> </w:t>
      </w:r>
      <w:r w:rsidR="00D76F24">
        <w:rPr>
          <w:rFonts w:ascii="Calibri" w:eastAsia="Calibri" w:hAnsi="Calibri"/>
          <w:color w:val="BE8F00"/>
          <w:sz w:val="23"/>
        </w:rPr>
        <w:t>.</w:t>
      </w:r>
      <w:proofErr w:type="gramEnd"/>
    </w:p>
    <w:p w14:paraId="40C759C8" w14:textId="77777777" w:rsidR="00B87C25" w:rsidRDefault="00D76F24">
      <w:pPr>
        <w:spacing w:before="671" w:line="266" w:lineRule="exact"/>
        <w:ind w:left="72" w:right="72"/>
        <w:textAlignment w:val="baseline"/>
        <w:rPr>
          <w:rFonts w:ascii="Calibri Light" w:eastAsia="Calibri Light" w:hAnsi="Calibri Light"/>
          <w:color w:val="1F3762"/>
          <w:spacing w:val="-2"/>
          <w:sz w:val="24"/>
        </w:rPr>
      </w:pPr>
      <w:r>
        <w:rPr>
          <w:rFonts w:ascii="Calibri Light" w:eastAsia="Calibri Light" w:hAnsi="Calibri Light"/>
          <w:color w:val="1F3762"/>
          <w:spacing w:val="-2"/>
          <w:sz w:val="24"/>
        </w:rPr>
        <w:t>References</w:t>
      </w:r>
    </w:p>
    <w:p w14:paraId="3ACC2BFE" w14:textId="77777777" w:rsidR="00B87C25" w:rsidRDefault="00D76F24">
      <w:pPr>
        <w:numPr>
          <w:ilvl w:val="0"/>
          <w:numId w:val="2"/>
        </w:numPr>
        <w:tabs>
          <w:tab w:val="clear" w:pos="648"/>
          <w:tab w:val="left" w:pos="720"/>
        </w:tabs>
        <w:spacing w:before="168" w:line="229" w:lineRule="exact"/>
        <w:ind w:left="720" w:right="72" w:hanging="648"/>
        <w:textAlignment w:val="baseline"/>
        <w:rPr>
          <w:rFonts w:ascii="Calibri" w:eastAsia="Calibri" w:hAnsi="Calibri"/>
          <w:color w:val="000000"/>
          <w:spacing w:val="-2"/>
          <w:sz w:val="23"/>
        </w:rPr>
      </w:pPr>
      <w:r>
        <w:rPr>
          <w:rFonts w:ascii="Calibri" w:eastAsia="Calibri" w:hAnsi="Calibri"/>
          <w:color w:val="000000"/>
          <w:spacing w:val="-2"/>
          <w:sz w:val="23"/>
        </w:rPr>
        <w:t xml:space="preserve">Commonwealth of Australia. </w:t>
      </w:r>
      <w:r>
        <w:rPr>
          <w:rFonts w:ascii="Calibri" w:eastAsia="Calibri" w:hAnsi="Calibri"/>
          <w:i/>
          <w:color w:val="000000"/>
          <w:spacing w:val="-2"/>
        </w:rPr>
        <w:t>Status of the teach</w:t>
      </w:r>
      <w:r>
        <w:rPr>
          <w:rFonts w:ascii="Calibri" w:eastAsia="Calibri" w:hAnsi="Calibri"/>
          <w:i/>
          <w:color w:val="000000"/>
          <w:spacing w:val="-2"/>
        </w:rPr>
        <w:t>ing profession</w:t>
      </w:r>
      <w:r>
        <w:rPr>
          <w:rFonts w:ascii="Calibri" w:eastAsia="Calibri" w:hAnsi="Calibri"/>
          <w:color w:val="000000"/>
          <w:spacing w:val="-2"/>
          <w:sz w:val="23"/>
        </w:rPr>
        <w:t>.</w:t>
      </w:r>
    </w:p>
    <w:p w14:paraId="45C07D0D" w14:textId="77777777" w:rsidR="00B87C25" w:rsidRDefault="00D76F24">
      <w:pPr>
        <w:spacing w:before="2" w:line="268" w:lineRule="exact"/>
        <w:ind w:left="720" w:right="72"/>
        <w:jc w:val="both"/>
        <w:textAlignment w:val="baseline"/>
        <w:rPr>
          <w:rFonts w:ascii="Calibri" w:eastAsia="Calibri" w:hAnsi="Calibri"/>
          <w:color w:val="000000"/>
          <w:spacing w:val="-5"/>
          <w:sz w:val="23"/>
        </w:rPr>
      </w:pPr>
      <w:hyperlink r:id="rId19">
        <w:r>
          <w:rPr>
            <w:rFonts w:ascii="Calibri" w:eastAsia="Calibri" w:hAnsi="Calibri"/>
            <w:color w:val="0000FF"/>
            <w:spacing w:val="-5"/>
            <w:sz w:val="23"/>
            <w:u w:val="single"/>
          </w:rPr>
          <w:t>https://parlinfo.aph.gov.au/parlInfo/download/committees/reportrep/024385/toc_pdf/Statusof</w:t>
        </w:r>
      </w:hyperlink>
      <w:r>
        <w:rPr>
          <w:rFonts w:ascii="Calibri" w:eastAsia="Calibri" w:hAnsi="Calibri"/>
          <w:color w:val="000000"/>
          <w:spacing w:val="-5"/>
          <w:sz w:val="23"/>
        </w:rPr>
        <w:t xml:space="preserve"> </w:t>
      </w:r>
      <w:proofErr w:type="spellStart"/>
      <w:proofErr w:type="gramStart"/>
      <w:r>
        <w:rPr>
          <w:rFonts w:ascii="Calibri" w:eastAsia="Calibri" w:hAnsi="Calibri"/>
          <w:color w:val="000000"/>
          <w:spacing w:val="-5"/>
          <w:sz w:val="23"/>
        </w:rPr>
        <w:t>theteachingprofession.pdf;fileType</w:t>
      </w:r>
      <w:proofErr w:type="spellEnd"/>
      <w:proofErr w:type="gramEnd"/>
      <w:r>
        <w:rPr>
          <w:rFonts w:ascii="Calibri" w:eastAsia="Calibri" w:hAnsi="Calibri"/>
          <w:color w:val="000000"/>
          <w:spacing w:val="-5"/>
          <w:sz w:val="23"/>
        </w:rPr>
        <w:t>=appl</w:t>
      </w:r>
      <w:r>
        <w:rPr>
          <w:rFonts w:ascii="Calibri" w:eastAsia="Calibri" w:hAnsi="Calibri"/>
          <w:color w:val="000000"/>
          <w:spacing w:val="-5"/>
          <w:sz w:val="23"/>
        </w:rPr>
        <w:t>ication%2Fpdf (2019).</w:t>
      </w:r>
    </w:p>
    <w:p w14:paraId="048A2408" w14:textId="77777777" w:rsidR="00B87C25" w:rsidRDefault="00D76F24">
      <w:pPr>
        <w:numPr>
          <w:ilvl w:val="0"/>
          <w:numId w:val="2"/>
        </w:numPr>
        <w:tabs>
          <w:tab w:val="clear" w:pos="648"/>
          <w:tab w:val="left" w:pos="720"/>
        </w:tabs>
        <w:spacing w:before="160" w:line="268" w:lineRule="exact"/>
        <w:ind w:left="720" w:right="72" w:hanging="648"/>
        <w:textAlignment w:val="baseline"/>
        <w:rPr>
          <w:rFonts w:ascii="Calibri" w:eastAsia="Calibri" w:hAnsi="Calibri"/>
          <w:color w:val="000000"/>
          <w:sz w:val="23"/>
        </w:rPr>
      </w:pPr>
      <w:r>
        <w:rPr>
          <w:rFonts w:ascii="Calibri" w:eastAsia="Calibri" w:hAnsi="Calibri"/>
          <w:color w:val="000000"/>
          <w:sz w:val="23"/>
        </w:rPr>
        <w:t xml:space="preserve">Timperley, H., Ell, F., Le </w:t>
      </w:r>
      <w:proofErr w:type="spellStart"/>
      <w:r>
        <w:rPr>
          <w:rFonts w:ascii="Calibri" w:eastAsia="Calibri" w:hAnsi="Calibri"/>
          <w:color w:val="000000"/>
          <w:sz w:val="23"/>
        </w:rPr>
        <w:t>Fevre</w:t>
      </w:r>
      <w:proofErr w:type="spellEnd"/>
      <w:r>
        <w:rPr>
          <w:rFonts w:ascii="Calibri" w:eastAsia="Calibri" w:hAnsi="Calibri"/>
          <w:color w:val="000000"/>
          <w:sz w:val="23"/>
        </w:rPr>
        <w:t xml:space="preserve">, D. &amp; </w:t>
      </w:r>
      <w:proofErr w:type="spellStart"/>
      <w:r>
        <w:rPr>
          <w:rFonts w:ascii="Calibri" w:eastAsia="Calibri" w:hAnsi="Calibri"/>
          <w:color w:val="000000"/>
          <w:sz w:val="23"/>
        </w:rPr>
        <w:t>Twyford</w:t>
      </w:r>
      <w:proofErr w:type="spellEnd"/>
      <w:r>
        <w:rPr>
          <w:rFonts w:ascii="Calibri" w:eastAsia="Calibri" w:hAnsi="Calibri"/>
          <w:color w:val="000000"/>
          <w:sz w:val="23"/>
        </w:rPr>
        <w:t xml:space="preserve">, K. </w:t>
      </w:r>
      <w:r>
        <w:rPr>
          <w:rFonts w:ascii="Calibri" w:eastAsia="Calibri" w:hAnsi="Calibri"/>
          <w:i/>
          <w:color w:val="000000"/>
        </w:rPr>
        <w:t>Leading Professional Learning: Practical strategies for impact in schools</w:t>
      </w:r>
      <w:r>
        <w:rPr>
          <w:rFonts w:ascii="Calibri" w:eastAsia="Calibri" w:hAnsi="Calibri"/>
          <w:color w:val="000000"/>
          <w:sz w:val="23"/>
        </w:rPr>
        <w:t>. (ACER, 2020).</w:t>
      </w:r>
    </w:p>
    <w:p w14:paraId="4295053F" w14:textId="77777777" w:rsidR="00B87C25" w:rsidRDefault="00D76F24">
      <w:pPr>
        <w:numPr>
          <w:ilvl w:val="0"/>
          <w:numId w:val="2"/>
        </w:numPr>
        <w:tabs>
          <w:tab w:val="clear" w:pos="648"/>
          <w:tab w:val="left" w:pos="720"/>
        </w:tabs>
        <w:spacing w:before="160" w:line="268" w:lineRule="exact"/>
        <w:ind w:left="720" w:right="432" w:hanging="648"/>
        <w:textAlignment w:val="baseline"/>
        <w:rPr>
          <w:rFonts w:ascii="Calibri" w:eastAsia="Calibri" w:hAnsi="Calibri"/>
          <w:color w:val="000000"/>
          <w:sz w:val="23"/>
        </w:rPr>
      </w:pPr>
      <w:r>
        <w:rPr>
          <w:rFonts w:ascii="Calibri" w:eastAsia="Calibri" w:hAnsi="Calibri"/>
          <w:color w:val="000000"/>
          <w:sz w:val="23"/>
        </w:rPr>
        <w:t xml:space="preserve">Design and Technology Teacher’s Association of Australia. </w:t>
      </w:r>
      <w:r>
        <w:rPr>
          <w:rFonts w:ascii="Calibri" w:eastAsia="Calibri" w:hAnsi="Calibri"/>
          <w:i/>
          <w:color w:val="000000"/>
        </w:rPr>
        <w:t>2019 National Membership Survey</w:t>
      </w:r>
      <w:r>
        <w:rPr>
          <w:rFonts w:ascii="Calibri" w:eastAsia="Calibri" w:hAnsi="Calibri"/>
          <w:color w:val="000000"/>
          <w:sz w:val="23"/>
        </w:rPr>
        <w:t xml:space="preserve">. </w:t>
      </w:r>
      <w:hyperlink r:id="rId20">
        <w:r>
          <w:rPr>
            <w:rFonts w:ascii="Calibri" w:eastAsia="Calibri" w:hAnsi="Calibri"/>
            <w:color w:val="0000FF"/>
            <w:sz w:val="23"/>
            <w:u w:val="single"/>
          </w:rPr>
          <w:t>http://www.dattaaustralia.com/technologiesteachershortage</w:t>
        </w:r>
      </w:hyperlink>
      <w:r>
        <w:rPr>
          <w:rFonts w:ascii="Calibri" w:eastAsia="Calibri" w:hAnsi="Calibri"/>
          <w:color w:val="000000"/>
          <w:sz w:val="23"/>
        </w:rPr>
        <w:t xml:space="preserve"> (2019).</w:t>
      </w:r>
    </w:p>
    <w:p w14:paraId="69F72085" w14:textId="77777777" w:rsidR="00B87C25" w:rsidRDefault="00D76F24">
      <w:pPr>
        <w:numPr>
          <w:ilvl w:val="0"/>
          <w:numId w:val="2"/>
        </w:numPr>
        <w:tabs>
          <w:tab w:val="clear" w:pos="648"/>
          <w:tab w:val="left" w:pos="720"/>
        </w:tabs>
        <w:spacing w:before="160" w:line="268" w:lineRule="exact"/>
        <w:ind w:left="720" w:right="504" w:hanging="648"/>
        <w:textAlignment w:val="baseline"/>
        <w:rPr>
          <w:rFonts w:ascii="Calibri" w:eastAsia="Calibri" w:hAnsi="Calibri"/>
          <w:color w:val="000000"/>
          <w:spacing w:val="-5"/>
          <w:sz w:val="23"/>
        </w:rPr>
      </w:pPr>
      <w:r>
        <w:rPr>
          <w:rFonts w:ascii="Calibri" w:eastAsia="Calibri" w:hAnsi="Calibri"/>
          <w:color w:val="000000"/>
          <w:spacing w:val="-5"/>
          <w:sz w:val="23"/>
        </w:rPr>
        <w:t>Australian Mathematica</w:t>
      </w:r>
      <w:r>
        <w:rPr>
          <w:rFonts w:ascii="Calibri" w:eastAsia="Calibri" w:hAnsi="Calibri"/>
          <w:color w:val="000000"/>
          <w:spacing w:val="-5"/>
          <w:sz w:val="23"/>
        </w:rPr>
        <w:t xml:space="preserve">l Sciences Institute. </w:t>
      </w:r>
      <w:r>
        <w:rPr>
          <w:rFonts w:ascii="Calibri" w:eastAsia="Calibri" w:hAnsi="Calibri"/>
          <w:i/>
          <w:color w:val="000000"/>
          <w:spacing w:val="-5"/>
        </w:rPr>
        <w:t>Crunching the Numbers of Out-of-Field Teaching</w:t>
      </w:r>
      <w:r>
        <w:rPr>
          <w:rFonts w:ascii="Calibri" w:eastAsia="Calibri" w:hAnsi="Calibri"/>
          <w:color w:val="000000"/>
          <w:spacing w:val="-5"/>
          <w:sz w:val="23"/>
        </w:rPr>
        <w:t xml:space="preserve">. </w:t>
      </w:r>
      <w:hyperlink r:id="rId21">
        <w:r>
          <w:rPr>
            <w:rFonts w:ascii="Calibri" w:eastAsia="Calibri" w:hAnsi="Calibri"/>
            <w:color w:val="0000FF"/>
            <w:spacing w:val="-5"/>
            <w:sz w:val="23"/>
            <w:u w:val="single"/>
          </w:rPr>
          <w:t>https://amsi.org.au/media/AMSI-Occasional-Paper-Out-of-Field-Maths-Teaching.pdf</w:t>
        </w:r>
      </w:hyperlink>
      <w:r>
        <w:rPr>
          <w:rFonts w:ascii="Calibri" w:eastAsia="Calibri" w:hAnsi="Calibri"/>
          <w:color w:val="000000"/>
          <w:spacing w:val="-5"/>
          <w:sz w:val="23"/>
        </w:rPr>
        <w:t xml:space="preserve"> (2018).</w:t>
      </w:r>
    </w:p>
    <w:p w14:paraId="48A777F7" w14:textId="77777777" w:rsidR="00B87C25" w:rsidRDefault="00D76F24">
      <w:pPr>
        <w:numPr>
          <w:ilvl w:val="0"/>
          <w:numId w:val="2"/>
        </w:numPr>
        <w:tabs>
          <w:tab w:val="clear" w:pos="648"/>
          <w:tab w:val="left" w:pos="720"/>
        </w:tabs>
        <w:spacing w:before="160" w:line="268" w:lineRule="exact"/>
        <w:ind w:left="720" w:right="1656" w:hanging="648"/>
        <w:textAlignment w:val="baseline"/>
        <w:rPr>
          <w:rFonts w:ascii="Calibri" w:eastAsia="Calibri" w:hAnsi="Calibri"/>
          <w:color w:val="000000"/>
          <w:sz w:val="23"/>
        </w:rPr>
      </w:pPr>
      <w:r>
        <w:rPr>
          <w:rFonts w:ascii="Calibri" w:eastAsia="Calibri" w:hAnsi="Calibri"/>
          <w:color w:val="000000"/>
          <w:sz w:val="23"/>
        </w:rPr>
        <w:t xml:space="preserve">Weldon, P. </w:t>
      </w:r>
      <w:r>
        <w:rPr>
          <w:rFonts w:ascii="Calibri" w:eastAsia="Calibri" w:hAnsi="Calibri"/>
          <w:i/>
          <w:color w:val="000000"/>
        </w:rPr>
        <w:t>Out-of-field teaching in Australian secondary schools</w:t>
      </w:r>
      <w:r>
        <w:rPr>
          <w:rFonts w:ascii="Calibri" w:eastAsia="Calibri" w:hAnsi="Calibri"/>
          <w:color w:val="000000"/>
          <w:sz w:val="23"/>
        </w:rPr>
        <w:t xml:space="preserve">. </w:t>
      </w:r>
      <w:r>
        <w:rPr>
          <w:rFonts w:ascii="Calibri" w:eastAsia="Calibri" w:hAnsi="Calibri"/>
          <w:i/>
          <w:color w:val="000000"/>
        </w:rPr>
        <w:t xml:space="preserve">Policy Insights </w:t>
      </w:r>
      <w:hyperlink r:id="rId22">
        <w:r>
          <w:rPr>
            <w:rFonts w:ascii="Calibri" w:eastAsia="Calibri" w:hAnsi="Calibri"/>
            <w:color w:val="0000FF"/>
            <w:sz w:val="23"/>
            <w:u w:val="single"/>
          </w:rPr>
          <w:t>https://research.acer.edu.au/policyinsights/6</w:t>
        </w:r>
      </w:hyperlink>
      <w:r>
        <w:rPr>
          <w:rFonts w:ascii="Calibri" w:eastAsia="Calibri" w:hAnsi="Calibri"/>
          <w:color w:val="000000"/>
          <w:sz w:val="23"/>
        </w:rPr>
        <w:t xml:space="preserve"> (2016).</w:t>
      </w:r>
    </w:p>
    <w:p w14:paraId="5BB21CEA" w14:textId="77777777" w:rsidR="00B87C25" w:rsidRDefault="00D76F24">
      <w:pPr>
        <w:numPr>
          <w:ilvl w:val="0"/>
          <w:numId w:val="2"/>
        </w:numPr>
        <w:tabs>
          <w:tab w:val="clear" w:pos="648"/>
          <w:tab w:val="left" w:pos="720"/>
        </w:tabs>
        <w:spacing w:before="162" w:line="269" w:lineRule="exact"/>
        <w:ind w:left="720" w:right="72" w:hanging="648"/>
        <w:textAlignment w:val="baseline"/>
        <w:rPr>
          <w:rFonts w:ascii="Calibri" w:eastAsia="Calibri" w:hAnsi="Calibri"/>
          <w:color w:val="000000"/>
          <w:sz w:val="23"/>
        </w:rPr>
      </w:pPr>
      <w:r>
        <w:rPr>
          <w:rFonts w:ascii="Calibri" w:eastAsia="Calibri" w:hAnsi="Calibri"/>
          <w:color w:val="000000"/>
          <w:sz w:val="23"/>
        </w:rPr>
        <w:t>Shah, C., Richardson, P. &amp; Watt, H. Teaching ‘out of f</w:t>
      </w:r>
      <w:r>
        <w:rPr>
          <w:rFonts w:ascii="Calibri" w:eastAsia="Calibri" w:hAnsi="Calibri"/>
          <w:color w:val="000000"/>
          <w:sz w:val="23"/>
        </w:rPr>
        <w:t xml:space="preserve">ield’ in STEM subjects in Australia: Evidence from PISA 2015. </w:t>
      </w:r>
      <w:r>
        <w:rPr>
          <w:rFonts w:ascii="Calibri" w:eastAsia="Calibri" w:hAnsi="Calibri"/>
          <w:i/>
          <w:color w:val="000000"/>
        </w:rPr>
        <w:t xml:space="preserve">GLO Discuss. Pap. </w:t>
      </w:r>
      <w:r>
        <w:rPr>
          <w:rFonts w:ascii="Calibri" w:eastAsia="Calibri" w:hAnsi="Calibri"/>
          <w:color w:val="000000"/>
          <w:sz w:val="23"/>
        </w:rPr>
        <w:t>(2020).</w:t>
      </w:r>
    </w:p>
    <w:p w14:paraId="5B0C2335" w14:textId="77777777" w:rsidR="00B87C25" w:rsidRDefault="00D76F24">
      <w:pPr>
        <w:numPr>
          <w:ilvl w:val="0"/>
          <w:numId w:val="2"/>
        </w:numPr>
        <w:tabs>
          <w:tab w:val="clear" w:pos="648"/>
          <w:tab w:val="left" w:pos="720"/>
        </w:tabs>
        <w:spacing w:before="158" w:after="2242" w:line="269" w:lineRule="exact"/>
        <w:ind w:left="720" w:right="504" w:hanging="648"/>
        <w:textAlignment w:val="baseline"/>
        <w:rPr>
          <w:rFonts w:ascii="Calibri" w:eastAsia="Calibri" w:hAnsi="Calibri"/>
          <w:color w:val="000000"/>
          <w:spacing w:val="-3"/>
          <w:sz w:val="23"/>
        </w:rPr>
      </w:pPr>
      <w:r>
        <w:rPr>
          <w:rFonts w:ascii="Calibri" w:eastAsia="Calibri" w:hAnsi="Calibri"/>
          <w:color w:val="000000"/>
          <w:spacing w:val="-3"/>
          <w:sz w:val="23"/>
        </w:rPr>
        <w:t xml:space="preserve">Department of Education. </w:t>
      </w:r>
      <w:r>
        <w:rPr>
          <w:rFonts w:ascii="Calibri" w:eastAsia="Calibri" w:hAnsi="Calibri"/>
          <w:i/>
          <w:color w:val="000000"/>
          <w:spacing w:val="-3"/>
        </w:rPr>
        <w:t>Evaluation of Early Learning and Schools Initiatives in the National Innovation and Science Agenda</w:t>
      </w:r>
      <w:r>
        <w:rPr>
          <w:rFonts w:ascii="Calibri" w:eastAsia="Calibri" w:hAnsi="Calibri"/>
          <w:color w:val="000000"/>
          <w:spacing w:val="-3"/>
          <w:sz w:val="23"/>
        </w:rPr>
        <w:t xml:space="preserve">. </w:t>
      </w:r>
      <w:hyperlink r:id="rId23">
        <w:r>
          <w:rPr>
            <w:rFonts w:ascii="Calibri" w:eastAsia="Calibri" w:hAnsi="Calibri"/>
            <w:color w:val="0000FF"/>
            <w:spacing w:val="-3"/>
            <w:sz w:val="23"/>
            <w:u w:val="single"/>
          </w:rPr>
          <w:t>https://docs-edu.govcms.gov.au/node/53213</w:t>
        </w:r>
      </w:hyperlink>
      <w:r>
        <w:rPr>
          <w:rFonts w:ascii="Calibri" w:eastAsia="Calibri" w:hAnsi="Calibri"/>
          <w:color w:val="000000"/>
          <w:spacing w:val="-3"/>
          <w:sz w:val="23"/>
        </w:rPr>
        <w:t xml:space="preserve"> (2020).</w:t>
      </w:r>
    </w:p>
    <w:sectPr w:rsidR="00B87C25">
      <w:pgSz w:w="12240" w:h="15840"/>
      <w:pgMar w:top="1420" w:right="1387" w:bottom="204" w:left="13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85CB3" w14:textId="77777777" w:rsidR="00000000" w:rsidRDefault="00D76F24">
      <w:r>
        <w:separator/>
      </w:r>
    </w:p>
  </w:endnote>
  <w:endnote w:type="continuationSeparator" w:id="0">
    <w:p w14:paraId="7A96C0DE" w14:textId="77777777" w:rsidR="00000000" w:rsidRDefault="00D7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FFD5" w14:textId="77777777" w:rsidR="00114E53" w:rsidRDefault="00114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2FBC" w14:textId="77777777" w:rsidR="00114E53" w:rsidRDefault="00114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D9BF" w14:textId="77777777" w:rsidR="00114E53" w:rsidRDefault="00114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70D55" w14:textId="77777777" w:rsidR="00B87C25" w:rsidRDefault="00B87C25"/>
  </w:footnote>
  <w:footnote w:type="continuationSeparator" w:id="0">
    <w:p w14:paraId="6109DD5A" w14:textId="77777777" w:rsidR="00B87C25" w:rsidRDefault="00D7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0D83D" w14:textId="77777777" w:rsidR="00114E53" w:rsidRDefault="00114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332D" w14:textId="77777777" w:rsidR="00114E53" w:rsidRDefault="00114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18E9" w14:textId="77777777" w:rsidR="00114E53" w:rsidRDefault="00114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C7E6B"/>
    <w:multiLevelType w:val="multilevel"/>
    <w:tmpl w:val="2E24662A"/>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2F3D8D"/>
    <w:multiLevelType w:val="multilevel"/>
    <w:tmpl w:val="FEB4DBB8"/>
    <w:lvl w:ilvl="0">
      <w:start w:val="1"/>
      <w:numFmt w:val="decimal"/>
      <w:lvlText w:val="%1."/>
      <w:lvlJc w:val="left"/>
      <w:pPr>
        <w:tabs>
          <w:tab w:val="left" w:pos="648"/>
        </w:tabs>
      </w:pPr>
      <w:rPr>
        <w:rFonts w:ascii="Calibri" w:eastAsia="Calibri" w:hAnsi="Calibri"/>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25"/>
    <w:rsid w:val="00114E53"/>
    <w:rsid w:val="00150AE5"/>
    <w:rsid w:val="00B87C25"/>
    <w:rsid w:val="00D76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1F3EA"/>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53"/>
    <w:pPr>
      <w:tabs>
        <w:tab w:val="center" w:pos="4513"/>
        <w:tab w:val="right" w:pos="9026"/>
      </w:tabs>
    </w:pPr>
  </w:style>
  <w:style w:type="character" w:customStyle="1" w:styleId="HeaderChar">
    <w:name w:val="Header Char"/>
    <w:basedOn w:val="DefaultParagraphFont"/>
    <w:link w:val="Header"/>
    <w:uiPriority w:val="99"/>
    <w:rsid w:val="00114E53"/>
  </w:style>
  <w:style w:type="paragraph" w:styleId="Footer">
    <w:name w:val="footer"/>
    <w:basedOn w:val="Normal"/>
    <w:link w:val="FooterChar"/>
    <w:uiPriority w:val="99"/>
    <w:unhideWhenUsed/>
    <w:rsid w:val="00114E53"/>
    <w:pPr>
      <w:tabs>
        <w:tab w:val="center" w:pos="4513"/>
        <w:tab w:val="right" w:pos="9026"/>
      </w:tabs>
    </w:pPr>
  </w:style>
  <w:style w:type="character" w:customStyle="1" w:styleId="FooterChar">
    <w:name w:val="Footer Char"/>
    <w:basedOn w:val="DefaultParagraphFont"/>
    <w:link w:val="Footer"/>
    <w:uiPriority w:val="99"/>
    <w:rsid w:val="0011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qitereview.dese.gov.au/get-involved/" TargetMode="External"/><Relationship Id="rId13" Type="http://schemas.openxmlformats.org/officeDocument/2006/relationships/header" Target="header3.xml"/><Relationship Id="rId18" Type="http://schemas.openxmlformats.org/officeDocument/2006/relationships/hyperlink" Target="https://www.notredame.edu.au/programs/fremantle/school-of-education/postgraduate/graduate-certificate-in-education-middle-years-mathematics" TargetMode="External"/><Relationship Id="rId3" Type="http://schemas.openxmlformats.org/officeDocument/2006/relationships/settings" Target="settings.xml"/><Relationship Id="rId21" Type="http://schemas.openxmlformats.org/officeDocument/2006/relationships/hyperlink" Target="https://amsi.org.au/media/AMSI-Occasional-Paper-Out-of-Field-Maths-Teaching.pdf" TargetMode="Externa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notredame.edu.au/programs/fremantle/school-of-education/postgraduate/graduate-certificate-in-education-middle-years-mathematics"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education.vic.gov.au/school/teachers/classrooms/Pages/pd-secondary-maths-science-initiative.aspx" TargetMode="External"/><Relationship Id="rId20" Type="http://schemas.openxmlformats.org/officeDocument/2006/relationships/hyperlink" Target="http://www.dattaaustralia.com/technologiesteachershort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ucation.vic.gov.au/school/teachers/classrooms/Pages/pd-secondary-maths-science-initiative.aspx" TargetMode="External"/><Relationship Id="rId23" Type="http://schemas.openxmlformats.org/officeDocument/2006/relationships/hyperlink" Target="https://docs-edu.govcms.gov.au/node/53213" TargetMode="External"/><Relationship Id="rId10" Type="http://schemas.openxmlformats.org/officeDocument/2006/relationships/header" Target="header2.xml"/><Relationship Id="rId19" Type="http://schemas.openxmlformats.org/officeDocument/2006/relationships/hyperlink" Target="https://parlinfo.aph.gov.au/parlInfo/download/committees/reportrep/024385/toc_pdf/Statuso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esearch.acer.edu.au/policyinsight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Sullivan</dc:creator>
  <cp:lastModifiedBy>MEGEID,Sheryn</cp:lastModifiedBy>
  <cp:revision>4</cp:revision>
  <cp:lastPrinted>2022-03-04T00:32:00Z</cp:lastPrinted>
  <dcterms:created xsi:type="dcterms:W3CDTF">2021-10-05T05:16:00Z</dcterms:created>
  <dcterms:modified xsi:type="dcterms:W3CDTF">2022-03-04T00:32:00Z</dcterms:modified>
</cp:coreProperties>
</file>