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7E2146" w14:textId="77777777" w:rsidR="002F1FCE" w:rsidRDefault="002F1FCE">
      <w:pPr>
        <w:pBdr>
          <w:top w:val="nil"/>
          <w:left w:val="nil"/>
          <w:bottom w:val="nil"/>
          <w:right w:val="nil"/>
          <w:between w:val="nil"/>
        </w:pBdr>
      </w:pPr>
    </w:p>
    <w:p w14:paraId="38CF3E51" w14:textId="77777777" w:rsidR="002F1FCE" w:rsidRDefault="002F1FCE">
      <w:pPr>
        <w:pBdr>
          <w:top w:val="nil"/>
          <w:left w:val="nil"/>
          <w:bottom w:val="nil"/>
          <w:right w:val="nil"/>
          <w:between w:val="nil"/>
        </w:pBdr>
      </w:pPr>
    </w:p>
    <w:p w14:paraId="019672A3" w14:textId="77777777" w:rsidR="002F1FCE" w:rsidRDefault="002F1FCE">
      <w:pPr>
        <w:pBdr>
          <w:top w:val="nil"/>
          <w:left w:val="nil"/>
          <w:bottom w:val="nil"/>
          <w:right w:val="nil"/>
          <w:between w:val="nil"/>
        </w:pBdr>
      </w:pPr>
    </w:p>
    <w:p w14:paraId="03B87617" w14:textId="77777777" w:rsidR="002F1FCE" w:rsidRDefault="002F1FCE">
      <w:pPr>
        <w:pBdr>
          <w:top w:val="nil"/>
          <w:left w:val="nil"/>
          <w:bottom w:val="nil"/>
          <w:right w:val="nil"/>
          <w:between w:val="nil"/>
        </w:pBdr>
      </w:pPr>
    </w:p>
    <w:p w14:paraId="5696FD8A" w14:textId="77777777" w:rsidR="002F1FCE" w:rsidRDefault="002F1FCE">
      <w:pPr>
        <w:pBdr>
          <w:top w:val="nil"/>
          <w:left w:val="nil"/>
          <w:bottom w:val="nil"/>
          <w:right w:val="nil"/>
          <w:between w:val="nil"/>
        </w:pBdr>
      </w:pPr>
    </w:p>
    <w:p w14:paraId="79896A68" w14:textId="77777777" w:rsidR="002F1FCE" w:rsidRDefault="002F1FCE">
      <w:pPr>
        <w:pBdr>
          <w:top w:val="nil"/>
          <w:left w:val="nil"/>
          <w:bottom w:val="nil"/>
          <w:right w:val="nil"/>
          <w:between w:val="nil"/>
        </w:pBdr>
      </w:pPr>
    </w:p>
    <w:p w14:paraId="27C41F7A" w14:textId="77777777" w:rsidR="002F1FCE" w:rsidRDefault="002F1FCE">
      <w:pPr>
        <w:pBdr>
          <w:top w:val="nil"/>
          <w:left w:val="nil"/>
          <w:bottom w:val="nil"/>
          <w:right w:val="nil"/>
          <w:between w:val="nil"/>
        </w:pBdr>
      </w:pPr>
    </w:p>
    <w:p w14:paraId="29F8635D" w14:textId="77777777" w:rsidR="002F1FCE" w:rsidRDefault="002F1FCE">
      <w:pPr>
        <w:pBdr>
          <w:top w:val="nil"/>
          <w:left w:val="nil"/>
          <w:bottom w:val="nil"/>
          <w:right w:val="nil"/>
          <w:between w:val="nil"/>
        </w:pBdr>
      </w:pPr>
    </w:p>
    <w:p w14:paraId="3908AAAC" w14:textId="77777777" w:rsidR="002F1FCE" w:rsidRDefault="002F1FCE">
      <w:pPr>
        <w:spacing w:after="0"/>
      </w:pPr>
    </w:p>
    <w:p w14:paraId="1C8851B1" w14:textId="77777777" w:rsidR="002F1FCE" w:rsidRDefault="002F1FCE">
      <w:pPr>
        <w:spacing w:after="0"/>
      </w:pPr>
    </w:p>
    <w:p w14:paraId="34B2B889" w14:textId="77777777" w:rsidR="002F1FCE" w:rsidRDefault="002F1FCE">
      <w:pPr>
        <w:spacing w:after="0"/>
      </w:pPr>
    </w:p>
    <w:p w14:paraId="475E3351" w14:textId="77777777" w:rsidR="002F1FCE" w:rsidRDefault="002F1FCE">
      <w:pPr>
        <w:spacing w:after="0"/>
      </w:pPr>
    </w:p>
    <w:p w14:paraId="03E37236" w14:textId="77777777" w:rsidR="002F1FCE" w:rsidRDefault="002F1FCE">
      <w:pPr>
        <w:spacing w:after="0"/>
      </w:pPr>
    </w:p>
    <w:p w14:paraId="47A1358B" w14:textId="77777777" w:rsidR="002F1FCE" w:rsidRDefault="002F1FCE">
      <w:pPr>
        <w:spacing w:after="0"/>
      </w:pPr>
    </w:p>
    <w:p w14:paraId="0E8FEA9E" w14:textId="77777777" w:rsidR="002F1FCE" w:rsidRDefault="002F1FCE">
      <w:pPr>
        <w:spacing w:after="0"/>
      </w:pPr>
    </w:p>
    <w:p w14:paraId="42287010" w14:textId="77777777" w:rsidR="002F1FCE" w:rsidRDefault="002F1FCE">
      <w:pPr>
        <w:spacing w:after="0"/>
      </w:pPr>
    </w:p>
    <w:p w14:paraId="245FE64A" w14:textId="77777777" w:rsidR="002F1FCE" w:rsidRDefault="002F1FCE">
      <w:pPr>
        <w:pBdr>
          <w:top w:val="nil"/>
          <w:left w:val="nil"/>
          <w:bottom w:val="nil"/>
          <w:right w:val="nil"/>
          <w:between w:val="nil"/>
        </w:pBdr>
      </w:pPr>
    </w:p>
    <w:p w14:paraId="0E125B82" w14:textId="77777777" w:rsidR="002F1FCE" w:rsidRDefault="002F1FCE">
      <w:pPr>
        <w:pBdr>
          <w:top w:val="nil"/>
          <w:left w:val="nil"/>
          <w:bottom w:val="nil"/>
          <w:right w:val="nil"/>
          <w:between w:val="nil"/>
        </w:pBdr>
      </w:pPr>
    </w:p>
    <w:p w14:paraId="714D4DA9" w14:textId="77777777" w:rsidR="002F1FCE" w:rsidRDefault="002F1FCE">
      <w:pPr>
        <w:pBdr>
          <w:top w:val="nil"/>
          <w:left w:val="nil"/>
          <w:bottom w:val="nil"/>
          <w:right w:val="nil"/>
          <w:between w:val="nil"/>
        </w:pBdr>
      </w:pPr>
    </w:p>
    <w:p w14:paraId="3DA93884" w14:textId="77777777" w:rsidR="002F1FCE" w:rsidRDefault="002F1FCE">
      <w:pPr>
        <w:pBdr>
          <w:top w:val="nil"/>
          <w:left w:val="nil"/>
          <w:bottom w:val="nil"/>
          <w:right w:val="nil"/>
          <w:between w:val="nil"/>
        </w:pBdr>
      </w:pPr>
    </w:p>
    <w:p w14:paraId="1FE9FDFE" w14:textId="77777777" w:rsidR="002F1FCE" w:rsidRDefault="002F1FCE">
      <w:pPr>
        <w:pBdr>
          <w:top w:val="nil"/>
          <w:left w:val="nil"/>
          <w:bottom w:val="nil"/>
          <w:right w:val="nil"/>
          <w:between w:val="nil"/>
        </w:pBdr>
      </w:pPr>
    </w:p>
    <w:p w14:paraId="6EC1AB2C" w14:textId="77777777" w:rsidR="002F1FCE" w:rsidRDefault="00FB3D65">
      <w:pPr>
        <w:pBdr>
          <w:top w:val="nil"/>
          <w:left w:val="nil"/>
          <w:bottom w:val="nil"/>
          <w:right w:val="nil"/>
          <w:between w:val="nil"/>
        </w:pBdr>
      </w:pPr>
      <w:r>
        <w:t xml:space="preserve">                                                                         </w:t>
      </w:r>
    </w:p>
    <w:p w14:paraId="16D0B624" w14:textId="77777777" w:rsidR="002F1FCE" w:rsidRDefault="00FB3D65">
      <w:pPr>
        <w:pStyle w:val="Heading2"/>
        <w:keepNext w:val="0"/>
        <w:keepLines w:val="0"/>
        <w:spacing w:before="500" w:after="100" w:line="264" w:lineRule="auto"/>
        <w:rPr>
          <w:color w:val="000000"/>
        </w:rPr>
      </w:pPr>
      <w:bookmarkStart w:id="0" w:name="_9z9p4f19ygxw" w:colFirst="0" w:colLast="0"/>
      <w:bookmarkEnd w:id="0"/>
      <w:r>
        <w:rPr>
          <w:rFonts w:ascii="Open Sans" w:eastAsia="Open Sans" w:hAnsi="Open Sans" w:cs="Open Sans"/>
          <w:b/>
          <w:color w:val="000000"/>
          <w:sz w:val="28"/>
          <w:szCs w:val="28"/>
        </w:rPr>
        <w:t>Teach Us Consent + The Foundation for Young Australians</w:t>
      </w:r>
    </w:p>
    <w:p w14:paraId="5FE83FFE" w14:textId="77777777" w:rsidR="002F1FCE" w:rsidRDefault="00FB3D65">
      <w:pPr>
        <w:pStyle w:val="Subtitle"/>
        <w:spacing w:line="240" w:lineRule="auto"/>
        <w:rPr>
          <w:color w:val="000000"/>
          <w:sz w:val="52"/>
          <w:szCs w:val="52"/>
        </w:rPr>
      </w:pPr>
      <w:bookmarkStart w:id="1" w:name="_jmmyuaxf3ysn" w:colFirst="0" w:colLast="0"/>
      <w:bookmarkEnd w:id="1"/>
      <w:r>
        <w:rPr>
          <w:color w:val="000000"/>
          <w:sz w:val="52"/>
          <w:szCs w:val="52"/>
        </w:rPr>
        <w:t xml:space="preserve">Equipping teachers to deliver quality respectful relationship, </w:t>
      </w:r>
      <w:proofErr w:type="gramStart"/>
      <w:r>
        <w:rPr>
          <w:color w:val="000000"/>
          <w:sz w:val="52"/>
          <w:szCs w:val="52"/>
        </w:rPr>
        <w:t>sex</w:t>
      </w:r>
      <w:proofErr w:type="gramEnd"/>
      <w:r>
        <w:rPr>
          <w:color w:val="000000"/>
          <w:sz w:val="52"/>
          <w:szCs w:val="52"/>
        </w:rPr>
        <w:t xml:space="preserve"> and consent education</w:t>
      </w:r>
    </w:p>
    <w:p w14:paraId="6BEBE6F6" w14:textId="77777777" w:rsidR="002F1FCE" w:rsidRDefault="00FB3D65">
      <w:pPr>
        <w:spacing w:after="0"/>
        <w:rPr>
          <w:rFonts w:ascii="Arial" w:eastAsia="Arial" w:hAnsi="Arial" w:cs="Arial"/>
          <w:color w:val="000000"/>
          <w:sz w:val="20"/>
          <w:szCs w:val="20"/>
        </w:rPr>
      </w:pPr>
      <w:r>
        <w:rPr>
          <w:color w:val="000000"/>
          <w:sz w:val="20"/>
          <w:szCs w:val="20"/>
        </w:rPr>
        <w:br/>
      </w:r>
      <w:r>
        <w:rPr>
          <w:color w:val="000000"/>
          <w:sz w:val="22"/>
          <w:szCs w:val="22"/>
        </w:rPr>
        <w:t>August 2021</w:t>
      </w:r>
    </w:p>
    <w:p w14:paraId="54085697" w14:textId="77777777" w:rsidR="002F1FCE" w:rsidRDefault="00FB3D65">
      <w:pPr>
        <w:spacing w:before="200"/>
        <w:rPr>
          <w:rFonts w:ascii="Montserrat" w:eastAsia="Montserrat" w:hAnsi="Montserrat" w:cs="Montserrat"/>
          <w:b/>
          <w:color w:val="000000"/>
          <w:sz w:val="28"/>
          <w:szCs w:val="28"/>
        </w:rPr>
      </w:pPr>
      <w:r>
        <w:lastRenderedPageBreak/>
        <w:br w:type="page"/>
      </w:r>
      <w:r>
        <w:rPr>
          <w:noProof/>
        </w:rPr>
        <w:drawing>
          <wp:anchor distT="114300" distB="114300" distL="114300" distR="114300" simplePos="0" relativeHeight="251658240" behindDoc="0" locked="0" layoutInCell="1" hidden="0" allowOverlap="1" wp14:anchorId="0751C2E5" wp14:editId="66AE7FCA">
            <wp:simplePos x="0" y="0"/>
            <wp:positionH relativeFrom="column">
              <wp:posOffset>4267200</wp:posOffset>
            </wp:positionH>
            <wp:positionV relativeFrom="paragraph">
              <wp:posOffset>1114425</wp:posOffset>
            </wp:positionV>
            <wp:extent cx="2043113" cy="5504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799" r="11800" b="77800"/>
                    <a:stretch>
                      <a:fillRect/>
                    </a:stretch>
                  </pic:blipFill>
                  <pic:spPr>
                    <a:xfrm>
                      <a:off x="0" y="0"/>
                      <a:ext cx="2043113" cy="550450"/>
                    </a:xfrm>
                    <a:prstGeom prst="rect">
                      <a:avLst/>
                    </a:prstGeom>
                    <a:ln/>
                  </pic:spPr>
                </pic:pic>
              </a:graphicData>
            </a:graphic>
          </wp:anchor>
        </w:drawing>
      </w:r>
    </w:p>
    <w:p w14:paraId="5EEEB5FF" w14:textId="77777777" w:rsidR="002F1FCE" w:rsidRDefault="00FB3D65">
      <w:pPr>
        <w:spacing w:before="200"/>
        <w:rPr>
          <w:rFonts w:ascii="Montserrat" w:eastAsia="Montserrat" w:hAnsi="Montserrat" w:cs="Montserrat"/>
          <w:b/>
          <w:color w:val="000000"/>
          <w:sz w:val="28"/>
          <w:szCs w:val="28"/>
        </w:rPr>
      </w:pPr>
      <w:r>
        <w:rPr>
          <w:rFonts w:ascii="Montserrat" w:eastAsia="Montserrat" w:hAnsi="Montserrat" w:cs="Montserrat"/>
          <w:b/>
          <w:color w:val="000000"/>
          <w:sz w:val="28"/>
          <w:szCs w:val="28"/>
        </w:rPr>
        <w:lastRenderedPageBreak/>
        <w:t>1. Executive summary</w:t>
      </w:r>
    </w:p>
    <w:p w14:paraId="06C8DAFF" w14:textId="77777777" w:rsidR="002F1FCE" w:rsidRDefault="00FB3D65">
      <w:pPr>
        <w:spacing w:before="200"/>
        <w:rPr>
          <w:color w:val="000000"/>
        </w:rPr>
      </w:pPr>
      <w:r>
        <w:rPr>
          <w:color w:val="000000"/>
        </w:rPr>
        <w:t>Teach Us Consent and the Foundation for Young Australians (</w:t>
      </w:r>
      <w:r>
        <w:rPr>
          <w:b/>
          <w:color w:val="000000"/>
        </w:rPr>
        <w:t>FYA</w:t>
      </w:r>
      <w:r>
        <w:rPr>
          <w:color w:val="000000"/>
        </w:rPr>
        <w:t>) welcomes the opportunity to provide policy analysis and recommenda</w:t>
      </w:r>
      <w:r>
        <w:rPr>
          <w:color w:val="000000"/>
        </w:rPr>
        <w:t>tions to the Quality Initial Teacher Education Review (</w:t>
      </w:r>
      <w:r>
        <w:rPr>
          <w:b/>
          <w:color w:val="000000"/>
        </w:rPr>
        <w:t>Review</w:t>
      </w:r>
      <w:r>
        <w:rPr>
          <w:color w:val="000000"/>
        </w:rPr>
        <w:t>) undertaken by the Department of Education, Skills and Employment (</w:t>
      </w:r>
      <w:r>
        <w:rPr>
          <w:b/>
          <w:color w:val="000000"/>
        </w:rPr>
        <w:t>DESE</w:t>
      </w:r>
      <w:r>
        <w:rPr>
          <w:color w:val="000000"/>
        </w:rPr>
        <w:t xml:space="preserve">). </w:t>
      </w:r>
    </w:p>
    <w:p w14:paraId="62861691" w14:textId="77777777" w:rsidR="002F1FCE" w:rsidRDefault="00FB3D65">
      <w:pPr>
        <w:spacing w:before="200"/>
        <w:rPr>
          <w:color w:val="000000"/>
        </w:rPr>
      </w:pPr>
      <w:r>
        <w:rPr>
          <w:color w:val="000000"/>
        </w:rPr>
        <w:t>This submission responds to two questions under Part B) Preparing ITE students to be effective teachers:</w:t>
      </w:r>
    </w:p>
    <w:p w14:paraId="4D1C9FC7" w14:textId="77777777" w:rsidR="002F1FCE" w:rsidRDefault="00FB3D65">
      <w:pPr>
        <w:spacing w:after="0"/>
        <w:ind w:left="1440" w:hanging="1440"/>
        <w:rPr>
          <w:color w:val="000000"/>
        </w:rPr>
      </w:pPr>
      <w:r>
        <w:rPr>
          <w:color w:val="000000"/>
        </w:rPr>
        <w:t xml:space="preserve">Question 6: </w:t>
      </w:r>
      <w:r>
        <w:rPr>
          <w:color w:val="000000"/>
        </w:rPr>
        <w:tab/>
        <w:t>W</w:t>
      </w:r>
      <w:r>
        <w:rPr>
          <w:color w:val="000000"/>
        </w:rPr>
        <w:t xml:space="preserve">hat more can we do to ensure that ITE curriculum is evidence based and all future teachers are equipped to implement evidence-based teaching practices? </w:t>
      </w:r>
    </w:p>
    <w:p w14:paraId="5E2A6CBC" w14:textId="77777777" w:rsidR="002F1FCE" w:rsidRDefault="00FB3D65">
      <w:pPr>
        <w:spacing w:after="0"/>
        <w:ind w:left="1440" w:hanging="1440"/>
        <w:rPr>
          <w:color w:val="000000"/>
        </w:rPr>
      </w:pPr>
      <w:r>
        <w:rPr>
          <w:color w:val="000000"/>
        </w:rPr>
        <w:t xml:space="preserve">Question 7: </w:t>
      </w:r>
      <w:r>
        <w:rPr>
          <w:color w:val="000000"/>
        </w:rPr>
        <w:tab/>
        <w:t>What more can ITE providers and employers do to ensure ITE students are getting the practi</w:t>
      </w:r>
      <w:r>
        <w:rPr>
          <w:color w:val="000000"/>
        </w:rPr>
        <w:t>cal experience they need before they start their teaching careers?</w:t>
      </w:r>
    </w:p>
    <w:p w14:paraId="1C9A412A" w14:textId="77777777" w:rsidR="002F1FCE" w:rsidRDefault="00FB3D65">
      <w:pPr>
        <w:spacing w:before="200"/>
        <w:rPr>
          <w:color w:val="000000"/>
        </w:rPr>
      </w:pPr>
      <w:r>
        <w:rPr>
          <w:color w:val="000000"/>
        </w:rPr>
        <w:t>This submission highlights the following:</w:t>
      </w:r>
    </w:p>
    <w:p w14:paraId="64C2AC11" w14:textId="77777777" w:rsidR="002F1FCE" w:rsidRDefault="00FB3D65">
      <w:pPr>
        <w:numPr>
          <w:ilvl w:val="0"/>
          <w:numId w:val="2"/>
        </w:numPr>
        <w:spacing w:after="0"/>
        <w:rPr>
          <w:color w:val="000000"/>
        </w:rPr>
      </w:pPr>
      <w:r>
        <w:rPr>
          <w:color w:val="000000"/>
        </w:rPr>
        <w:t xml:space="preserve">There is a need to better address consent, </w:t>
      </w:r>
      <w:proofErr w:type="gramStart"/>
      <w:r>
        <w:rPr>
          <w:color w:val="000000"/>
        </w:rPr>
        <w:t>sexuality</w:t>
      </w:r>
      <w:proofErr w:type="gramEnd"/>
      <w:r>
        <w:rPr>
          <w:color w:val="000000"/>
        </w:rPr>
        <w:t xml:space="preserve"> and respectful relationships education in schools. Effective respectful relationship, sex and </w:t>
      </w:r>
      <w:r>
        <w:rPr>
          <w:color w:val="000000"/>
        </w:rPr>
        <w:t>consent education in schools is reliant on three key areas:</w:t>
      </w:r>
    </w:p>
    <w:p w14:paraId="1B4FF0C7" w14:textId="77777777" w:rsidR="002F1FCE" w:rsidRDefault="00FB3D65">
      <w:pPr>
        <w:numPr>
          <w:ilvl w:val="1"/>
          <w:numId w:val="2"/>
        </w:numPr>
        <w:spacing w:after="0"/>
        <w:rPr>
          <w:color w:val="000000"/>
        </w:rPr>
      </w:pPr>
      <w:r>
        <w:rPr>
          <w:color w:val="000000"/>
        </w:rPr>
        <w:t>The content (through the curriculum),</w:t>
      </w:r>
    </w:p>
    <w:p w14:paraId="64D4CBA5" w14:textId="77777777" w:rsidR="002F1FCE" w:rsidRDefault="00FB3D65">
      <w:pPr>
        <w:numPr>
          <w:ilvl w:val="1"/>
          <w:numId w:val="2"/>
        </w:numPr>
        <w:spacing w:after="0"/>
        <w:rPr>
          <w:color w:val="000000"/>
        </w:rPr>
      </w:pPr>
      <w:r>
        <w:rPr>
          <w:color w:val="000000"/>
        </w:rPr>
        <w:t xml:space="preserve">Who is delivering the content (the teacher themselves), </w:t>
      </w:r>
      <w:proofErr w:type="gramStart"/>
      <w:r>
        <w:rPr>
          <w:color w:val="000000"/>
        </w:rPr>
        <w:t>and;</w:t>
      </w:r>
      <w:proofErr w:type="gramEnd"/>
    </w:p>
    <w:p w14:paraId="52957279" w14:textId="77777777" w:rsidR="002F1FCE" w:rsidRDefault="00FB3D65">
      <w:pPr>
        <w:numPr>
          <w:ilvl w:val="1"/>
          <w:numId w:val="2"/>
        </w:numPr>
        <w:spacing w:after="0"/>
        <w:rPr>
          <w:color w:val="000000"/>
        </w:rPr>
      </w:pPr>
      <w:r>
        <w:rPr>
          <w:color w:val="000000"/>
        </w:rPr>
        <w:t xml:space="preserve">How the content is delivered (the pedagogical approach). </w:t>
      </w:r>
    </w:p>
    <w:p w14:paraId="4A557D9F" w14:textId="77777777" w:rsidR="002F1FCE" w:rsidRDefault="00FB3D65">
      <w:pPr>
        <w:numPr>
          <w:ilvl w:val="0"/>
          <w:numId w:val="2"/>
        </w:numPr>
        <w:spacing w:after="0"/>
        <w:rPr>
          <w:color w:val="000000"/>
        </w:rPr>
      </w:pPr>
      <w:r>
        <w:rPr>
          <w:color w:val="000000"/>
        </w:rPr>
        <w:t>All teachers should be equipped with the knowledge and skills to promote respectful relationships among students, and effectively deliver sex and consent education. This includes:</w:t>
      </w:r>
    </w:p>
    <w:p w14:paraId="4CC12BA8" w14:textId="77777777" w:rsidR="002F1FCE" w:rsidRDefault="00FB3D65">
      <w:pPr>
        <w:numPr>
          <w:ilvl w:val="1"/>
          <w:numId w:val="2"/>
        </w:numPr>
        <w:spacing w:after="0"/>
        <w:rPr>
          <w:color w:val="000000"/>
        </w:rPr>
      </w:pPr>
      <w:r>
        <w:rPr>
          <w:color w:val="000000"/>
        </w:rPr>
        <w:t>Building an unders</w:t>
      </w:r>
      <w:r>
        <w:rPr>
          <w:color w:val="000000"/>
        </w:rPr>
        <w:t xml:space="preserve">tanding of best practice pedagogy in delivering the sex education curriculum, </w:t>
      </w:r>
    </w:p>
    <w:p w14:paraId="29B49F47" w14:textId="77777777" w:rsidR="002F1FCE" w:rsidRDefault="00FB3D65">
      <w:pPr>
        <w:numPr>
          <w:ilvl w:val="1"/>
          <w:numId w:val="2"/>
        </w:numPr>
        <w:spacing w:after="0"/>
        <w:rPr>
          <w:color w:val="000000"/>
        </w:rPr>
      </w:pPr>
      <w:r>
        <w:rPr>
          <w:color w:val="000000"/>
        </w:rPr>
        <w:t xml:space="preserve">Methods to include student voice in the classroom, and </w:t>
      </w:r>
    </w:p>
    <w:p w14:paraId="114F3911" w14:textId="77777777" w:rsidR="002F1FCE" w:rsidRDefault="00FB3D65">
      <w:pPr>
        <w:numPr>
          <w:ilvl w:val="1"/>
          <w:numId w:val="2"/>
        </w:numPr>
        <w:spacing w:after="0"/>
        <w:rPr>
          <w:color w:val="000000"/>
        </w:rPr>
      </w:pPr>
      <w:r>
        <w:rPr>
          <w:color w:val="000000"/>
        </w:rPr>
        <w:t xml:space="preserve">Trauma-informed practices in delivering sensitive content.  </w:t>
      </w:r>
    </w:p>
    <w:p w14:paraId="274D0596" w14:textId="77777777" w:rsidR="002F1FCE" w:rsidRDefault="00FB3D65">
      <w:pPr>
        <w:numPr>
          <w:ilvl w:val="0"/>
          <w:numId w:val="2"/>
        </w:numPr>
        <w:spacing w:after="0"/>
        <w:rPr>
          <w:color w:val="000000"/>
        </w:rPr>
      </w:pPr>
      <w:r>
        <w:rPr>
          <w:color w:val="000000"/>
        </w:rPr>
        <w:t>Young people across the country support better access to con</w:t>
      </w:r>
      <w:r>
        <w:rPr>
          <w:color w:val="000000"/>
        </w:rPr>
        <w:t xml:space="preserve">sent, </w:t>
      </w:r>
      <w:proofErr w:type="gramStart"/>
      <w:r>
        <w:rPr>
          <w:color w:val="000000"/>
        </w:rPr>
        <w:t>sexuality</w:t>
      </w:r>
      <w:proofErr w:type="gramEnd"/>
      <w:r>
        <w:rPr>
          <w:color w:val="000000"/>
        </w:rPr>
        <w:t xml:space="preserve"> and respectful relationships education - this submission shares the stories of 9 people from across Australia who shared their stories as part of the </w:t>
      </w:r>
      <w:hyperlink r:id="rId8">
        <w:r>
          <w:rPr>
            <w:color w:val="1155CC"/>
            <w:u w:val="single"/>
          </w:rPr>
          <w:t>Teach Us Consent petition</w:t>
        </w:r>
      </w:hyperlink>
      <w:r>
        <w:rPr>
          <w:color w:val="000000"/>
        </w:rPr>
        <w:t>.</w:t>
      </w:r>
    </w:p>
    <w:p w14:paraId="50DC1F1D" w14:textId="77777777" w:rsidR="002F1FCE" w:rsidRDefault="002F1FCE">
      <w:pPr>
        <w:widowControl w:val="0"/>
        <w:spacing w:after="0" w:line="240" w:lineRule="auto"/>
        <w:rPr>
          <w:rFonts w:ascii="Montserrat" w:eastAsia="Montserrat" w:hAnsi="Montserrat" w:cs="Montserrat"/>
          <w:color w:val="000000"/>
          <w:sz w:val="20"/>
          <w:szCs w:val="20"/>
        </w:rPr>
      </w:pPr>
    </w:p>
    <w:p w14:paraId="27A26A49" w14:textId="77777777" w:rsidR="002F1FCE" w:rsidRDefault="002F1FCE">
      <w:pPr>
        <w:spacing w:after="0"/>
        <w:rPr>
          <w:color w:val="000000"/>
          <w:sz w:val="2"/>
          <w:szCs w:val="2"/>
        </w:rPr>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46EABBB8" w14:textId="77777777">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CD448B1" w14:textId="77777777" w:rsidR="002F1FCE" w:rsidRDefault="00FB3D65">
            <w:pPr>
              <w:spacing w:after="0" w:line="240" w:lineRule="auto"/>
              <w:rPr>
                <w:b/>
                <w:color w:val="000000"/>
              </w:rPr>
            </w:pPr>
            <w:r>
              <w:rPr>
                <w:b/>
                <w:color w:val="000000"/>
              </w:rPr>
              <w:t>Summary of recommendations</w:t>
            </w:r>
          </w:p>
          <w:p w14:paraId="16F55D6F" w14:textId="77777777" w:rsidR="002F1FCE" w:rsidRDefault="002F1FCE">
            <w:pPr>
              <w:spacing w:after="0"/>
              <w:rPr>
                <w:b/>
                <w:color w:val="000000"/>
              </w:rPr>
            </w:pPr>
          </w:p>
          <w:p w14:paraId="5E0E2877" w14:textId="77777777" w:rsidR="002F1FCE" w:rsidRDefault="00FB3D65">
            <w:pPr>
              <w:spacing w:after="0"/>
              <w:rPr>
                <w:color w:val="000000"/>
              </w:rPr>
            </w:pPr>
            <w:r>
              <w:rPr>
                <w:color w:val="000000"/>
              </w:rPr>
              <w:t xml:space="preserve">Teach Us Consent and the Foundation for Young Australians recommends that the Department of Education, Skills and Employment take the following actions in relation to Initial Teacher Education: </w:t>
            </w:r>
          </w:p>
          <w:p w14:paraId="60333F76" w14:textId="77777777" w:rsidR="002F1FCE" w:rsidRDefault="002F1FCE">
            <w:pPr>
              <w:spacing w:after="0"/>
              <w:rPr>
                <w:color w:val="000000"/>
              </w:rPr>
            </w:pPr>
          </w:p>
          <w:p w14:paraId="291670BA" w14:textId="77777777" w:rsidR="002F1FCE" w:rsidRDefault="00FB3D65">
            <w:pPr>
              <w:numPr>
                <w:ilvl w:val="0"/>
                <w:numId w:val="3"/>
              </w:numPr>
              <w:pBdr>
                <w:top w:val="nil"/>
                <w:left w:val="nil"/>
                <w:bottom w:val="nil"/>
                <w:right w:val="nil"/>
                <w:between w:val="nil"/>
              </w:pBdr>
              <w:spacing w:after="0"/>
              <w:rPr>
                <w:color w:val="000000"/>
              </w:rPr>
            </w:pPr>
            <w:r>
              <w:rPr>
                <w:color w:val="000000"/>
              </w:rPr>
              <w:t xml:space="preserve">Ensure teachers </w:t>
            </w:r>
            <w:proofErr w:type="gramStart"/>
            <w:r>
              <w:rPr>
                <w:color w:val="000000"/>
              </w:rPr>
              <w:t>have an understa</w:t>
            </w:r>
            <w:r>
              <w:rPr>
                <w:color w:val="000000"/>
              </w:rPr>
              <w:t>nding of</w:t>
            </w:r>
            <w:proofErr w:type="gramEnd"/>
            <w:r>
              <w:rPr>
                <w:color w:val="000000"/>
              </w:rPr>
              <w:t xml:space="preserve"> best practice pedagogy in delivering respectful relationship, sex and consent education and have methods for inclusion of student voice.</w:t>
            </w:r>
          </w:p>
          <w:p w14:paraId="5CEF67C2" w14:textId="77777777" w:rsidR="002F1FCE" w:rsidRDefault="00FB3D65">
            <w:pPr>
              <w:numPr>
                <w:ilvl w:val="0"/>
                <w:numId w:val="3"/>
              </w:numPr>
              <w:pBdr>
                <w:top w:val="nil"/>
                <w:left w:val="nil"/>
                <w:bottom w:val="nil"/>
                <w:right w:val="nil"/>
                <w:between w:val="nil"/>
              </w:pBdr>
              <w:spacing w:after="0"/>
              <w:rPr>
                <w:color w:val="000000"/>
              </w:rPr>
            </w:pPr>
            <w:r>
              <w:rPr>
                <w:color w:val="000000"/>
              </w:rPr>
              <w:t>Ensure teachers are equipped with the knowledge and skills to implement trauma-informed practices in deliverin</w:t>
            </w:r>
            <w:r>
              <w:rPr>
                <w:color w:val="000000"/>
              </w:rPr>
              <w:t xml:space="preserve">g respectful relationships, </w:t>
            </w:r>
            <w:proofErr w:type="gramStart"/>
            <w:r>
              <w:rPr>
                <w:color w:val="000000"/>
              </w:rPr>
              <w:t>sex</w:t>
            </w:r>
            <w:proofErr w:type="gramEnd"/>
            <w:r>
              <w:rPr>
                <w:color w:val="000000"/>
              </w:rPr>
              <w:t xml:space="preserve"> and consent education.</w:t>
            </w:r>
          </w:p>
          <w:p w14:paraId="676C75A9" w14:textId="77777777" w:rsidR="002F1FCE" w:rsidRDefault="002F1FCE">
            <w:pPr>
              <w:spacing w:after="0" w:line="240" w:lineRule="auto"/>
              <w:rPr>
                <w:color w:val="000000"/>
              </w:rPr>
            </w:pPr>
          </w:p>
        </w:tc>
      </w:tr>
    </w:tbl>
    <w:p w14:paraId="36306E31" w14:textId="77777777" w:rsidR="002F1FCE" w:rsidRDefault="002F1FCE">
      <w:pPr>
        <w:spacing w:after="0"/>
        <w:rPr>
          <w:b/>
          <w:color w:val="000000"/>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5F93D180" w14:textId="77777777">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7B001A4D" w14:textId="77777777" w:rsidR="002F1FCE" w:rsidRDefault="00FB3D65">
            <w:pPr>
              <w:widowControl w:val="0"/>
              <w:spacing w:after="0" w:line="240" w:lineRule="auto"/>
              <w:rPr>
                <w:b/>
                <w:color w:val="000000"/>
              </w:rPr>
            </w:pPr>
            <w:r>
              <w:rPr>
                <w:b/>
                <w:color w:val="000000"/>
              </w:rPr>
              <w:t>CONTENT WARNING: Sexual assault &amp; violence</w:t>
            </w:r>
          </w:p>
          <w:p w14:paraId="4DFDE745" w14:textId="77777777" w:rsidR="002F1FCE" w:rsidRDefault="002F1FCE">
            <w:pPr>
              <w:widowControl w:val="0"/>
              <w:spacing w:after="0" w:line="240" w:lineRule="auto"/>
              <w:rPr>
                <w:b/>
                <w:color w:val="000000"/>
              </w:rPr>
            </w:pPr>
          </w:p>
          <w:p w14:paraId="209E201B" w14:textId="77777777" w:rsidR="002F1FCE" w:rsidRDefault="00FB3D65">
            <w:pPr>
              <w:widowControl w:val="0"/>
              <w:spacing w:after="0"/>
              <w:rPr>
                <w:color w:val="000000"/>
              </w:rPr>
            </w:pPr>
            <w:r>
              <w:rPr>
                <w:color w:val="000000"/>
              </w:rPr>
              <w:t xml:space="preserve">The Appendix at the end of this submission from pages six to seven </w:t>
            </w:r>
            <w:r>
              <w:rPr>
                <w:color w:val="000000"/>
              </w:rPr>
              <w:t xml:space="preserve">includes a sample of testimonies of people’s experiences of consent education from students and may include references to sexual assault and violence. These accounts have not been </w:t>
            </w:r>
            <w:proofErr w:type="gramStart"/>
            <w:r>
              <w:rPr>
                <w:color w:val="000000"/>
              </w:rPr>
              <w:t>edited, and</w:t>
            </w:r>
            <w:proofErr w:type="gramEnd"/>
            <w:r>
              <w:rPr>
                <w:color w:val="000000"/>
              </w:rPr>
              <w:t xml:space="preserve"> include accounts from young people under 18 about their firsthan</w:t>
            </w:r>
            <w:r>
              <w:rPr>
                <w:color w:val="000000"/>
              </w:rPr>
              <w:t>d experiences.</w:t>
            </w:r>
          </w:p>
          <w:p w14:paraId="6D425DB5" w14:textId="77777777" w:rsidR="002F1FCE" w:rsidRDefault="002F1FCE">
            <w:pPr>
              <w:widowControl w:val="0"/>
              <w:spacing w:after="0"/>
              <w:rPr>
                <w:color w:val="000000"/>
              </w:rPr>
            </w:pPr>
          </w:p>
          <w:p w14:paraId="2611E7E9" w14:textId="77777777" w:rsidR="002F1FCE" w:rsidRDefault="00FB3D65">
            <w:pPr>
              <w:widowControl w:val="0"/>
              <w:spacing w:after="0"/>
              <w:rPr>
                <w:color w:val="000000"/>
              </w:rPr>
            </w:pPr>
            <w:r>
              <w:rPr>
                <w:color w:val="000000"/>
              </w:rPr>
              <w:lastRenderedPageBreak/>
              <w:t>Reading this content may be difficult or triggering. We encourage you to care for your safety and well-being if you choose to engage with this content. This content is included to highlight the experiences of students and the impact that te</w:t>
            </w:r>
            <w:r>
              <w:rPr>
                <w:color w:val="000000"/>
              </w:rPr>
              <w:t xml:space="preserve">achers’ pedagogy and personal bias can have on students’ knowledge and </w:t>
            </w:r>
            <w:proofErr w:type="spellStart"/>
            <w:r>
              <w:rPr>
                <w:color w:val="000000"/>
              </w:rPr>
              <w:t>behaviour</w:t>
            </w:r>
            <w:proofErr w:type="spellEnd"/>
            <w:r>
              <w:rPr>
                <w:color w:val="000000"/>
              </w:rPr>
              <w:t xml:space="preserve">. It is not necessary to engage with these testimonies to understand the content of the submission. </w:t>
            </w:r>
          </w:p>
          <w:p w14:paraId="17FA9290" w14:textId="77777777" w:rsidR="002F1FCE" w:rsidRDefault="00FB3D65">
            <w:pPr>
              <w:pStyle w:val="Heading3"/>
              <w:rPr>
                <w:rFonts w:ascii="Open Sans" w:eastAsia="Open Sans" w:hAnsi="Open Sans" w:cs="Open Sans"/>
                <w:b w:val="0"/>
                <w:color w:val="000000"/>
                <w:sz w:val="18"/>
                <w:szCs w:val="18"/>
              </w:rPr>
            </w:pPr>
            <w:bookmarkStart w:id="2" w:name="_w7lhwwz2jn5l" w:colFirst="0" w:colLast="0"/>
            <w:bookmarkEnd w:id="2"/>
            <w:r>
              <w:rPr>
                <w:rFonts w:ascii="Open Sans" w:eastAsia="Open Sans" w:hAnsi="Open Sans" w:cs="Open Sans"/>
                <w:b w:val="0"/>
                <w:color w:val="000000"/>
                <w:sz w:val="18"/>
                <w:szCs w:val="18"/>
              </w:rPr>
              <w:t xml:space="preserve">Please contact the following helplines for support at any time: </w:t>
            </w:r>
          </w:p>
          <w:p w14:paraId="02D56BA4" w14:textId="77777777" w:rsidR="002F1FCE" w:rsidRDefault="00FB3D65">
            <w:pPr>
              <w:pStyle w:val="Heading3"/>
              <w:numPr>
                <w:ilvl w:val="0"/>
                <w:numId w:val="1"/>
              </w:numPr>
              <w:spacing w:after="0"/>
              <w:rPr>
                <w:color w:val="000000"/>
                <w:sz w:val="18"/>
                <w:szCs w:val="18"/>
              </w:rPr>
            </w:pPr>
            <w:bookmarkStart w:id="3" w:name="_ehhax7l7tlu0" w:colFirst="0" w:colLast="0"/>
            <w:bookmarkEnd w:id="3"/>
            <w:r>
              <w:rPr>
                <w:rFonts w:ascii="Open Sans" w:eastAsia="Open Sans" w:hAnsi="Open Sans" w:cs="Open Sans"/>
                <w:b w:val="0"/>
                <w:color w:val="000000"/>
                <w:sz w:val="18"/>
                <w:szCs w:val="18"/>
              </w:rPr>
              <w:t>1800 Respe</w:t>
            </w:r>
            <w:r>
              <w:rPr>
                <w:rFonts w:ascii="Open Sans" w:eastAsia="Open Sans" w:hAnsi="Open Sans" w:cs="Open Sans"/>
                <w:b w:val="0"/>
                <w:color w:val="000000"/>
                <w:sz w:val="18"/>
                <w:szCs w:val="18"/>
              </w:rPr>
              <w:t>ct national helpline: 1800 737 732</w:t>
            </w:r>
          </w:p>
          <w:p w14:paraId="508F3770" w14:textId="77777777" w:rsidR="002F1FCE" w:rsidRDefault="00FB3D65">
            <w:pPr>
              <w:pStyle w:val="Heading3"/>
              <w:numPr>
                <w:ilvl w:val="0"/>
                <w:numId w:val="1"/>
              </w:numPr>
              <w:spacing w:before="0" w:after="0"/>
              <w:rPr>
                <w:color w:val="000000"/>
                <w:sz w:val="18"/>
                <w:szCs w:val="18"/>
              </w:rPr>
            </w:pPr>
            <w:bookmarkStart w:id="4" w:name="_yimtbz2dka7v" w:colFirst="0" w:colLast="0"/>
            <w:bookmarkEnd w:id="4"/>
            <w:r>
              <w:rPr>
                <w:rFonts w:ascii="Open Sans" w:eastAsia="Open Sans" w:hAnsi="Open Sans" w:cs="Open Sans"/>
                <w:b w:val="0"/>
                <w:color w:val="000000"/>
                <w:sz w:val="18"/>
                <w:szCs w:val="18"/>
              </w:rPr>
              <w:t>Lifeline (</w:t>
            </w:r>
            <w:proofErr w:type="gramStart"/>
            <w:r>
              <w:rPr>
                <w:rFonts w:ascii="Open Sans" w:eastAsia="Open Sans" w:hAnsi="Open Sans" w:cs="Open Sans"/>
                <w:b w:val="0"/>
                <w:color w:val="000000"/>
                <w:sz w:val="18"/>
                <w:szCs w:val="18"/>
              </w:rPr>
              <w:t>24 hour</w:t>
            </w:r>
            <w:proofErr w:type="gramEnd"/>
            <w:r>
              <w:rPr>
                <w:rFonts w:ascii="Open Sans" w:eastAsia="Open Sans" w:hAnsi="Open Sans" w:cs="Open Sans"/>
                <w:b w:val="0"/>
                <w:color w:val="000000"/>
                <w:sz w:val="18"/>
                <w:szCs w:val="18"/>
              </w:rPr>
              <w:t xml:space="preserve"> crisis line): 131 114</w:t>
            </w:r>
          </w:p>
          <w:p w14:paraId="214E9AC2" w14:textId="77777777" w:rsidR="002F1FCE" w:rsidRDefault="00FB3D65">
            <w:pPr>
              <w:pStyle w:val="Heading3"/>
              <w:numPr>
                <w:ilvl w:val="0"/>
                <w:numId w:val="1"/>
              </w:numPr>
              <w:spacing w:before="0"/>
              <w:rPr>
                <w:color w:val="000000"/>
                <w:sz w:val="18"/>
                <w:szCs w:val="18"/>
              </w:rPr>
            </w:pPr>
            <w:bookmarkStart w:id="5" w:name="_xslplatkuzop" w:colFirst="0" w:colLast="0"/>
            <w:bookmarkEnd w:id="5"/>
            <w:r>
              <w:rPr>
                <w:rFonts w:ascii="Open Sans" w:eastAsia="Open Sans" w:hAnsi="Open Sans" w:cs="Open Sans"/>
                <w:b w:val="0"/>
                <w:color w:val="000000"/>
                <w:sz w:val="18"/>
                <w:szCs w:val="18"/>
              </w:rPr>
              <w:t>Beyond Blue: 1300 224 636</w:t>
            </w:r>
          </w:p>
        </w:tc>
      </w:tr>
    </w:tbl>
    <w:p w14:paraId="44D91136" w14:textId="77777777" w:rsidR="002F1FCE" w:rsidRDefault="002F1FCE">
      <w:pPr>
        <w:pBdr>
          <w:top w:val="nil"/>
          <w:left w:val="nil"/>
          <w:bottom w:val="nil"/>
          <w:right w:val="nil"/>
          <w:between w:val="nil"/>
        </w:pBdr>
        <w:spacing w:after="0"/>
        <w:rPr>
          <w:color w:val="000000"/>
        </w:rPr>
      </w:pPr>
    </w:p>
    <w:p w14:paraId="56762C2B" w14:textId="77777777" w:rsidR="002F1FCE" w:rsidRDefault="00FB3D65">
      <w:pPr>
        <w:pStyle w:val="Subtitle"/>
        <w:rPr>
          <w:color w:val="000000"/>
        </w:rPr>
      </w:pPr>
      <w:bookmarkStart w:id="6" w:name="_a76iqqbvccvy" w:colFirst="0" w:colLast="0"/>
      <w:bookmarkEnd w:id="6"/>
      <w:r>
        <w:rPr>
          <w:color w:val="000000"/>
        </w:rPr>
        <w:t xml:space="preserve">2. </w:t>
      </w:r>
      <w:r>
        <w:rPr>
          <w:color w:val="000000"/>
        </w:rPr>
        <w:t xml:space="preserve">Need for better consent, </w:t>
      </w:r>
      <w:proofErr w:type="gramStart"/>
      <w:r>
        <w:rPr>
          <w:color w:val="000000"/>
        </w:rPr>
        <w:t>sexuality</w:t>
      </w:r>
      <w:proofErr w:type="gramEnd"/>
      <w:r>
        <w:rPr>
          <w:color w:val="000000"/>
        </w:rPr>
        <w:t xml:space="preserve"> and respectful relationships education in schools </w:t>
      </w:r>
    </w:p>
    <w:p w14:paraId="0E894883" w14:textId="77777777" w:rsidR="002F1FCE" w:rsidRDefault="00FB3D65">
      <w:pPr>
        <w:spacing w:after="0"/>
        <w:rPr>
          <w:color w:val="000000"/>
        </w:rPr>
      </w:pPr>
      <w:r>
        <w:rPr>
          <w:color w:val="000000"/>
        </w:rPr>
        <w:t xml:space="preserve">Young people across the country support better access to consent, </w:t>
      </w:r>
      <w:proofErr w:type="gramStart"/>
      <w:r>
        <w:rPr>
          <w:color w:val="000000"/>
        </w:rPr>
        <w:t>sexuality</w:t>
      </w:r>
      <w:proofErr w:type="gramEnd"/>
      <w:r>
        <w:rPr>
          <w:color w:val="000000"/>
        </w:rPr>
        <w:t xml:space="preserve"> and respectful relationships education. This has been clearly demonstrated through the </w:t>
      </w:r>
      <w:hyperlink r:id="rId9">
        <w:r>
          <w:rPr>
            <w:color w:val="1155CC"/>
            <w:u w:val="single"/>
          </w:rPr>
          <w:t>Teach Us Consent petition</w:t>
        </w:r>
      </w:hyperlink>
      <w:r>
        <w:rPr>
          <w:color w:val="000000"/>
        </w:rPr>
        <w:t xml:space="preserve"> and many other calls from young people and extensive research on this topic.</w:t>
      </w:r>
      <w:r>
        <w:rPr>
          <w:color w:val="000000"/>
          <w:vertAlign w:val="superscript"/>
        </w:rPr>
        <w:footnoteReference w:id="1"/>
      </w:r>
      <w:r>
        <w:rPr>
          <w:color w:val="000000"/>
        </w:rPr>
        <w:t xml:space="preserve"> There is substantial evidence that effective consent, </w:t>
      </w:r>
      <w:proofErr w:type="gramStart"/>
      <w:r>
        <w:rPr>
          <w:color w:val="000000"/>
        </w:rPr>
        <w:t>sexuality</w:t>
      </w:r>
      <w:proofErr w:type="gramEnd"/>
      <w:r>
        <w:rPr>
          <w:color w:val="000000"/>
        </w:rPr>
        <w:t xml:space="preserve"> and respectful relationships education can </w:t>
      </w:r>
      <w:r>
        <w:rPr>
          <w:color w:val="000000"/>
        </w:rPr>
        <w:t xml:space="preserve">improve outcomes, knowledge and sexual </w:t>
      </w:r>
      <w:proofErr w:type="spellStart"/>
      <w:r>
        <w:rPr>
          <w:color w:val="000000"/>
        </w:rPr>
        <w:t>behaviour</w:t>
      </w:r>
      <w:proofErr w:type="spellEnd"/>
      <w:r>
        <w:rPr>
          <w:color w:val="000000"/>
        </w:rPr>
        <w:t xml:space="preserve"> amongst young people.</w:t>
      </w:r>
      <w:r>
        <w:rPr>
          <w:color w:val="000000"/>
          <w:vertAlign w:val="superscript"/>
        </w:rPr>
        <w:footnoteReference w:id="2"/>
      </w:r>
    </w:p>
    <w:p w14:paraId="43AF89BB" w14:textId="77777777" w:rsidR="002F1FCE" w:rsidRDefault="002F1FCE">
      <w:pPr>
        <w:spacing w:after="0"/>
        <w:rPr>
          <w:color w:val="000000"/>
        </w:rPr>
      </w:pPr>
    </w:p>
    <w:p w14:paraId="404390FE" w14:textId="77777777" w:rsidR="002F1FCE" w:rsidRDefault="00FB3D65">
      <w:pPr>
        <w:pBdr>
          <w:top w:val="nil"/>
          <w:left w:val="nil"/>
          <w:bottom w:val="nil"/>
          <w:right w:val="nil"/>
          <w:between w:val="nil"/>
        </w:pBdr>
        <w:rPr>
          <w:color w:val="000000"/>
        </w:rPr>
      </w:pPr>
      <w:r>
        <w:rPr>
          <w:color w:val="000000"/>
        </w:rPr>
        <w:t>Young people in Australia prefer to be educated on these topics in a school setting,</w:t>
      </w:r>
      <w:r>
        <w:rPr>
          <w:color w:val="000000"/>
          <w:vertAlign w:val="superscript"/>
        </w:rPr>
        <w:footnoteReference w:id="3"/>
      </w:r>
      <w:r>
        <w:rPr>
          <w:color w:val="000000"/>
        </w:rPr>
        <w:t xml:space="preserve"> and evidence shows young people want more experienced and open-minded teachers and more time al</w:t>
      </w:r>
      <w:r>
        <w:rPr>
          <w:color w:val="000000"/>
        </w:rPr>
        <w:t>located to consent, sexuality and respectful relationships education.</w:t>
      </w:r>
      <w:r>
        <w:rPr>
          <w:color w:val="000000"/>
          <w:vertAlign w:val="superscript"/>
        </w:rPr>
        <w:footnoteReference w:id="4"/>
      </w:r>
      <w:r>
        <w:rPr>
          <w:color w:val="000000"/>
        </w:rPr>
        <w:t xml:space="preserve"> Teachers need to be better equipped with the skills, </w:t>
      </w:r>
      <w:proofErr w:type="gramStart"/>
      <w:r>
        <w:rPr>
          <w:color w:val="000000"/>
        </w:rPr>
        <w:t>knowledge</w:t>
      </w:r>
      <w:proofErr w:type="gramEnd"/>
      <w:r>
        <w:rPr>
          <w:color w:val="000000"/>
        </w:rPr>
        <w:t xml:space="preserve"> and practical experience to effectively deliver this content. </w:t>
      </w:r>
    </w:p>
    <w:p w14:paraId="7B1E33BE" w14:textId="77777777" w:rsidR="002F1FCE" w:rsidRDefault="00FB3D65">
      <w:pPr>
        <w:rPr>
          <w:color w:val="000000"/>
        </w:rPr>
      </w:pPr>
      <w:r>
        <w:rPr>
          <w:color w:val="000000"/>
        </w:rPr>
        <w:t>Effective professional preparation develops a teacher’s confidence and comfort in teaching sex education and improves student ach</w:t>
      </w:r>
      <w:r>
        <w:rPr>
          <w:color w:val="000000"/>
        </w:rPr>
        <w:t>ievement.</w:t>
      </w:r>
      <w:r>
        <w:rPr>
          <w:color w:val="000000"/>
          <w:vertAlign w:val="superscript"/>
        </w:rPr>
        <w:footnoteReference w:id="5"/>
      </w:r>
      <w:r>
        <w:rPr>
          <w:color w:val="000000"/>
        </w:rPr>
        <w:t xml:space="preserve"> Multiple studies have identified educator training as the most important indicator in determining the quality of sex education instruction that meets a range of student needs.</w:t>
      </w:r>
      <w:r>
        <w:rPr>
          <w:color w:val="000000"/>
          <w:vertAlign w:val="superscript"/>
        </w:rPr>
        <w:footnoteReference w:id="6"/>
      </w:r>
      <w:r>
        <w:rPr>
          <w:color w:val="000000"/>
        </w:rPr>
        <w:t xml:space="preserve"> </w:t>
      </w:r>
    </w:p>
    <w:p w14:paraId="50B3E733" w14:textId="77777777" w:rsidR="002F1FCE" w:rsidRDefault="00FB3D65">
      <w:pPr>
        <w:rPr>
          <w:color w:val="000000"/>
          <w:sz w:val="16"/>
          <w:szCs w:val="16"/>
        </w:rPr>
      </w:pPr>
      <w:r>
        <w:rPr>
          <w:color w:val="000000"/>
        </w:rPr>
        <w:t>Research has also shown that providing a sex positive learning en</w:t>
      </w:r>
      <w:r>
        <w:rPr>
          <w:color w:val="000000"/>
        </w:rPr>
        <w:t>vironment that promotes an open, tolerant, and positive attitude toward sex and sexuality, has been shown to enhance young people’s ability to take action to protect themselves from the potential harms of sexual activity.</w:t>
      </w:r>
      <w:r>
        <w:rPr>
          <w:color w:val="000000"/>
          <w:vertAlign w:val="superscript"/>
        </w:rPr>
        <w:footnoteReference w:id="7"/>
      </w:r>
    </w:p>
    <w:p w14:paraId="20B96E04" w14:textId="77777777" w:rsidR="002F1FCE" w:rsidRDefault="00FB3D65">
      <w:pPr>
        <w:rPr>
          <w:color w:val="000000"/>
        </w:rPr>
      </w:pPr>
      <w:r>
        <w:rPr>
          <w:rFonts w:ascii="Montserrat" w:eastAsia="Montserrat" w:hAnsi="Montserrat" w:cs="Montserrat"/>
          <w:b/>
          <w:color w:val="000000"/>
          <w:sz w:val="28"/>
          <w:szCs w:val="28"/>
        </w:rPr>
        <w:t>3. Training teachers in pedagogy</w:t>
      </w:r>
      <w:r>
        <w:rPr>
          <w:rFonts w:ascii="Montserrat" w:eastAsia="Montserrat" w:hAnsi="Montserrat" w:cs="Montserrat"/>
          <w:b/>
          <w:color w:val="000000"/>
          <w:sz w:val="28"/>
          <w:szCs w:val="28"/>
        </w:rPr>
        <w:t xml:space="preserve"> and student voice</w:t>
      </w:r>
    </w:p>
    <w:p w14:paraId="04BE44CE" w14:textId="77777777" w:rsidR="002F1FCE" w:rsidRDefault="00FB3D65">
      <w:pPr>
        <w:spacing w:after="0"/>
        <w:rPr>
          <w:color w:val="000000"/>
        </w:rPr>
      </w:pPr>
      <w:r>
        <w:rPr>
          <w:color w:val="000000"/>
        </w:rPr>
        <w:lastRenderedPageBreak/>
        <w:t xml:space="preserve">There is huge diversity among young people in Australia, from their identities, sexualities, </w:t>
      </w:r>
      <w:proofErr w:type="gramStart"/>
      <w:r>
        <w:rPr>
          <w:color w:val="000000"/>
        </w:rPr>
        <w:t>faiths</w:t>
      </w:r>
      <w:proofErr w:type="gramEnd"/>
      <w:r>
        <w:rPr>
          <w:color w:val="000000"/>
        </w:rPr>
        <w:t xml:space="preserve"> and cultures. </w:t>
      </w:r>
      <w:proofErr w:type="gramStart"/>
      <w:r>
        <w:rPr>
          <w:color w:val="000000"/>
        </w:rPr>
        <w:t>In spite of</w:t>
      </w:r>
      <w:proofErr w:type="gramEnd"/>
      <w:r>
        <w:rPr>
          <w:color w:val="000000"/>
        </w:rPr>
        <w:t xml:space="preserve"> this, the curriculum and pedagogical approaches remain focused on ‘‘young people’’ as a homogenous group.</w:t>
      </w:r>
      <w:r>
        <w:rPr>
          <w:color w:val="000000"/>
          <w:vertAlign w:val="superscript"/>
        </w:rPr>
        <w:footnoteReference w:id="8"/>
      </w:r>
      <w:r>
        <w:rPr>
          <w:color w:val="000000"/>
        </w:rPr>
        <w:t xml:space="preserve"> Alt</w:t>
      </w:r>
      <w:r>
        <w:rPr>
          <w:color w:val="000000"/>
        </w:rPr>
        <w:t>hough there is consensus that sex education is an important subject - there is little agreement over how it should be taught and how teachers are equipped with the skills to deliver this content.</w:t>
      </w:r>
      <w:r>
        <w:rPr>
          <w:color w:val="000000"/>
          <w:vertAlign w:val="superscript"/>
        </w:rPr>
        <w:footnoteReference w:id="9"/>
      </w:r>
      <w:r>
        <w:rPr>
          <w:color w:val="000000"/>
        </w:rPr>
        <w:t xml:space="preserve"> Teacher pedagogies on this subject as a result tend to var</w:t>
      </w:r>
      <w:r>
        <w:rPr>
          <w:color w:val="000000"/>
        </w:rPr>
        <w:t>y based on individual practices, which in turn impacts student outcomes.</w:t>
      </w:r>
      <w:r>
        <w:rPr>
          <w:color w:val="000000"/>
          <w:vertAlign w:val="superscript"/>
        </w:rPr>
        <w:footnoteReference w:id="10"/>
      </w:r>
      <w:r>
        <w:rPr>
          <w:color w:val="000000"/>
        </w:rPr>
        <w:t xml:space="preserve"> </w:t>
      </w:r>
    </w:p>
    <w:p w14:paraId="126252E7" w14:textId="77777777" w:rsidR="002F1FCE" w:rsidRDefault="002F1FCE">
      <w:pPr>
        <w:spacing w:after="0"/>
        <w:rPr>
          <w:color w:val="000000"/>
        </w:rPr>
      </w:pPr>
    </w:p>
    <w:p w14:paraId="61132702" w14:textId="77777777" w:rsidR="002F1FCE" w:rsidRDefault="00FB3D65">
      <w:pPr>
        <w:spacing w:after="0"/>
        <w:rPr>
          <w:color w:val="000000"/>
        </w:rPr>
      </w:pPr>
      <w:r>
        <w:rPr>
          <w:color w:val="000000"/>
        </w:rPr>
        <w:t xml:space="preserve">Teachers should be equipped with an understanding of best practice pedagogies in delivering respectful relationship, </w:t>
      </w:r>
      <w:proofErr w:type="gramStart"/>
      <w:r>
        <w:rPr>
          <w:color w:val="000000"/>
        </w:rPr>
        <w:t>sex</w:t>
      </w:r>
      <w:proofErr w:type="gramEnd"/>
      <w:r>
        <w:rPr>
          <w:color w:val="000000"/>
        </w:rPr>
        <w:t xml:space="preserve"> and consent education. This should include an exploration </w:t>
      </w:r>
      <w:r>
        <w:rPr>
          <w:color w:val="000000"/>
        </w:rPr>
        <w:t>of pedagogies that address power dynamics in the teacher/student relationship, in particular critical pedagogy that seeks to level the playing field and promote a more equitable learning environment.</w:t>
      </w:r>
      <w:r>
        <w:rPr>
          <w:color w:val="000000"/>
          <w:vertAlign w:val="superscript"/>
        </w:rPr>
        <w:footnoteReference w:id="11"/>
      </w:r>
      <w:r>
        <w:rPr>
          <w:color w:val="000000"/>
        </w:rPr>
        <w:t xml:space="preserve"> Central to this approach is embedding student </w:t>
      </w:r>
      <w:proofErr w:type="gramStart"/>
      <w:r>
        <w:rPr>
          <w:color w:val="000000"/>
        </w:rPr>
        <w:t>voice, a</w:t>
      </w:r>
      <w:r>
        <w:rPr>
          <w:color w:val="000000"/>
        </w:rPr>
        <w:t>nd</w:t>
      </w:r>
      <w:proofErr w:type="gramEnd"/>
      <w:r>
        <w:rPr>
          <w:color w:val="000000"/>
        </w:rPr>
        <w:t xml:space="preserve"> allowing them to have more agency over their own learning. </w:t>
      </w:r>
    </w:p>
    <w:p w14:paraId="36CC4F52" w14:textId="77777777" w:rsidR="002F1FCE" w:rsidRDefault="002F1FCE">
      <w:pPr>
        <w:spacing w:after="0"/>
        <w:rPr>
          <w:color w:val="000000"/>
        </w:rPr>
      </w:pPr>
    </w:p>
    <w:p w14:paraId="570BBD3A" w14:textId="77777777" w:rsidR="002F1FCE" w:rsidRDefault="00FB3D65">
      <w:pPr>
        <w:spacing w:after="0"/>
        <w:rPr>
          <w:color w:val="000000"/>
        </w:rPr>
      </w:pPr>
      <w:r>
        <w:rPr>
          <w:color w:val="000000"/>
        </w:rPr>
        <w:t xml:space="preserve">Research into sex and relationship education has found that how students </w:t>
      </w:r>
      <w:proofErr w:type="spellStart"/>
      <w:r>
        <w:rPr>
          <w:color w:val="000000"/>
        </w:rPr>
        <w:t>conceptualise</w:t>
      </w:r>
      <w:proofErr w:type="spellEnd"/>
      <w:r>
        <w:rPr>
          <w:color w:val="000000"/>
        </w:rPr>
        <w:t xml:space="preserve"> effective and meaningful education often diverge from teachers who design and deliver the content.</w:t>
      </w:r>
      <w:r>
        <w:rPr>
          <w:color w:val="000000"/>
          <w:vertAlign w:val="superscript"/>
        </w:rPr>
        <w:footnoteReference w:id="12"/>
      </w:r>
      <w:r>
        <w:rPr>
          <w:color w:val="000000"/>
        </w:rPr>
        <w:t xml:space="preserve"> Ofte</w:t>
      </w:r>
      <w:r>
        <w:rPr>
          <w:color w:val="000000"/>
        </w:rPr>
        <w:t>n the content of school-based sex and relationship education does not match the reality of students’ experiences and is therefore unlikely to be effective.</w:t>
      </w:r>
      <w:r>
        <w:rPr>
          <w:color w:val="000000"/>
          <w:vertAlign w:val="superscript"/>
        </w:rPr>
        <w:footnoteReference w:id="13"/>
      </w:r>
      <w:r>
        <w:rPr>
          <w:color w:val="000000"/>
        </w:rPr>
        <w:t xml:space="preserve"> Students should have the opportunity to identify their own health needs, issues, concerns and anxi</w:t>
      </w:r>
      <w:r>
        <w:rPr>
          <w:color w:val="000000"/>
        </w:rPr>
        <w:t>eties, resulting in creating more meaningful experiences that help meet young people’s fundamental developmental needs.</w:t>
      </w:r>
      <w:r>
        <w:rPr>
          <w:color w:val="000000"/>
          <w:vertAlign w:val="superscript"/>
        </w:rPr>
        <w:footnoteReference w:id="14"/>
      </w:r>
      <w:r>
        <w:rPr>
          <w:color w:val="000000"/>
        </w:rPr>
        <w:t xml:space="preserve"> </w:t>
      </w:r>
    </w:p>
    <w:p w14:paraId="78673C00" w14:textId="77777777" w:rsidR="002F1FCE" w:rsidRDefault="002F1FCE">
      <w:pPr>
        <w:spacing w:after="0"/>
        <w:rPr>
          <w:color w:val="000000"/>
        </w:rPr>
      </w:pPr>
    </w:p>
    <w:p w14:paraId="2B75B55A" w14:textId="77777777" w:rsidR="002F1FCE" w:rsidRDefault="00FB3D65">
      <w:pPr>
        <w:spacing w:after="0"/>
        <w:rPr>
          <w:color w:val="000000"/>
        </w:rPr>
      </w:pPr>
      <w:r>
        <w:rPr>
          <w:color w:val="000000"/>
        </w:rPr>
        <w:t xml:space="preserve">The National Survey of Australian Secondary Students and Sexual Health highlighted some of the problems not only with the content of the relationship and sex education and </w:t>
      </w:r>
      <w:proofErr w:type="gramStart"/>
      <w:r>
        <w:rPr>
          <w:color w:val="000000"/>
        </w:rPr>
        <w:t>it’s</w:t>
      </w:r>
      <w:proofErr w:type="gramEnd"/>
      <w:r>
        <w:rPr>
          <w:color w:val="000000"/>
        </w:rPr>
        <w:t xml:space="preserve"> inapplicability to their real life experiences but also how it was delivered.</w:t>
      </w:r>
      <w:r>
        <w:rPr>
          <w:color w:val="000000"/>
          <w:vertAlign w:val="superscript"/>
        </w:rPr>
        <w:footnoteReference w:id="15"/>
      </w:r>
      <w:r>
        <w:rPr>
          <w:color w:val="000000"/>
        </w:rPr>
        <w:t xml:space="preserve"> For many students, the way the content and the way it was delivered did not adequately cover sexual health and healthy and diverse relationships in a </w:t>
      </w:r>
      <w:proofErr w:type="spellStart"/>
      <w:r>
        <w:rPr>
          <w:color w:val="000000"/>
        </w:rPr>
        <w:t>non-judgemental</w:t>
      </w:r>
      <w:proofErr w:type="spellEnd"/>
      <w:r>
        <w:rPr>
          <w:color w:val="000000"/>
        </w:rPr>
        <w:t>, affirming manner.</w:t>
      </w:r>
      <w:r>
        <w:rPr>
          <w:color w:val="000000"/>
          <w:vertAlign w:val="superscript"/>
        </w:rPr>
        <w:footnoteReference w:id="16"/>
      </w:r>
    </w:p>
    <w:p w14:paraId="5DBB0028" w14:textId="77777777" w:rsidR="002F1FCE" w:rsidRDefault="002F1FCE">
      <w:pPr>
        <w:spacing w:after="0"/>
        <w:rPr>
          <w:color w:val="000000"/>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00F1A2A4" w14:textId="77777777">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6A01DCCA" w14:textId="77777777" w:rsidR="002F1FCE" w:rsidRDefault="00FB3D65">
            <w:pPr>
              <w:rPr>
                <w:b/>
                <w:color w:val="000000"/>
              </w:rPr>
            </w:pPr>
            <w:r>
              <w:rPr>
                <w:b/>
                <w:color w:val="000000"/>
              </w:rPr>
              <w:t>Quotes from young people taken from the 6th National Survey of Aust</w:t>
            </w:r>
            <w:r>
              <w:rPr>
                <w:b/>
                <w:color w:val="000000"/>
              </w:rPr>
              <w:t>ralian Secondary Students and Sexual Health:</w:t>
            </w:r>
          </w:p>
          <w:p w14:paraId="64801E8D" w14:textId="77777777" w:rsidR="002F1FCE" w:rsidRDefault="00FB3D65">
            <w:pPr>
              <w:rPr>
                <w:color w:val="000000"/>
              </w:rPr>
            </w:pPr>
            <w:r>
              <w:rPr>
                <w:color w:val="000000"/>
              </w:rPr>
              <w:t>The education I received didn’t prepare me at all for a sexual relationship. I learnt how to use a condom and that only bad things happen ever. Now I’m too scared to have sex from fear of getting my partner preg</w:t>
            </w:r>
            <w:r>
              <w:rPr>
                <w:color w:val="000000"/>
              </w:rPr>
              <w:t xml:space="preserve">nant. Just getting more education about what can </w:t>
            </w:r>
            <w:proofErr w:type="gramStart"/>
            <w:r>
              <w:rPr>
                <w:color w:val="000000"/>
              </w:rPr>
              <w:t>happen</w:t>
            </w:r>
            <w:proofErr w:type="gramEnd"/>
            <w:r>
              <w:rPr>
                <w:color w:val="000000"/>
              </w:rPr>
              <w:t xml:space="preserve"> and the good things would’ve been great. (Male, 17, heterosexual, Year 12, Victoria)</w:t>
            </w:r>
          </w:p>
          <w:p w14:paraId="2220FA04" w14:textId="77777777" w:rsidR="002F1FCE" w:rsidRDefault="00FB3D65">
            <w:pPr>
              <w:rPr>
                <w:color w:val="000000"/>
              </w:rPr>
            </w:pPr>
            <w:r>
              <w:rPr>
                <w:color w:val="000000"/>
              </w:rPr>
              <w:t xml:space="preserve">It’s slightly useful but it’s done </w:t>
            </w:r>
            <w:proofErr w:type="gramStart"/>
            <w:r>
              <w:rPr>
                <w:color w:val="000000"/>
              </w:rPr>
              <w:t>really badly</w:t>
            </w:r>
            <w:proofErr w:type="gramEnd"/>
            <w:r>
              <w:rPr>
                <w:color w:val="000000"/>
              </w:rPr>
              <w:t xml:space="preserve"> and there are so many subjects that need to be covered that are not</w:t>
            </w:r>
            <w:r>
              <w:rPr>
                <w:color w:val="000000"/>
              </w:rPr>
              <w:t xml:space="preserve"> covered in high school like different contraception types and healthy/abusive relationships and </w:t>
            </w:r>
            <w:r>
              <w:rPr>
                <w:color w:val="000000"/>
              </w:rPr>
              <w:lastRenderedPageBreak/>
              <w:t>body positivity and stuff like that that people in high school need to learn about. (Female, 17, bisexual, Year 11, South Australia)</w:t>
            </w:r>
          </w:p>
          <w:p w14:paraId="6624296B" w14:textId="77777777" w:rsidR="002F1FCE" w:rsidRDefault="00FB3D65">
            <w:pPr>
              <w:rPr>
                <w:color w:val="000000"/>
              </w:rPr>
            </w:pPr>
            <w:r>
              <w:rPr>
                <w:color w:val="000000"/>
              </w:rPr>
              <w:t xml:space="preserve">It doesn’t tell us the real stuff about sex and as much as they tell people to use condoms and not have underage </w:t>
            </w:r>
            <w:proofErr w:type="gramStart"/>
            <w:r>
              <w:rPr>
                <w:color w:val="000000"/>
              </w:rPr>
              <w:t>sex</w:t>
            </w:r>
            <w:proofErr w:type="gramEnd"/>
            <w:r>
              <w:rPr>
                <w:color w:val="000000"/>
              </w:rPr>
              <w:t xml:space="preserve"> they’re still going to do it so they may as well educate us on what it’s really going to be like and what to expect. (Female, 15, heterosex</w:t>
            </w:r>
            <w:r>
              <w:rPr>
                <w:color w:val="000000"/>
              </w:rPr>
              <w:t>ual, Year 10, Western Australia)</w:t>
            </w:r>
          </w:p>
          <w:p w14:paraId="1455D008" w14:textId="77777777" w:rsidR="002F1FCE" w:rsidRDefault="00FB3D65">
            <w:pPr>
              <w:rPr>
                <w:color w:val="000000"/>
              </w:rPr>
            </w:pPr>
            <w:r>
              <w:rPr>
                <w:color w:val="000000"/>
              </w:rPr>
              <w:t xml:space="preserve">It would be more useful if we talked about sex explicitly instead of the teachers being awkward and doing everything formally. (Female, 15, heterosexual, Year 11, Queensland) </w:t>
            </w:r>
          </w:p>
          <w:p w14:paraId="3B1A746F" w14:textId="77777777" w:rsidR="002F1FCE" w:rsidRDefault="00FB3D65">
            <w:pPr>
              <w:rPr>
                <w:b/>
                <w:color w:val="000000"/>
              </w:rPr>
            </w:pPr>
            <w:r>
              <w:rPr>
                <w:b/>
                <w:color w:val="000000"/>
              </w:rPr>
              <w:t xml:space="preserve">Source: </w:t>
            </w:r>
            <w:r>
              <w:rPr>
                <w:color w:val="000000"/>
                <w:sz w:val="16"/>
                <w:szCs w:val="16"/>
              </w:rPr>
              <w:t>Latrobe University (2019), “National Su</w:t>
            </w:r>
            <w:r>
              <w:rPr>
                <w:color w:val="000000"/>
                <w:sz w:val="16"/>
                <w:szCs w:val="16"/>
              </w:rPr>
              <w:t xml:space="preserve">rvey of Secondary Students and Sexual Health 2018.” Available at: </w:t>
            </w:r>
            <w:r>
              <w:rPr>
                <w:color w:val="000000"/>
                <w:sz w:val="20"/>
                <w:szCs w:val="20"/>
              </w:rPr>
              <w:t xml:space="preserve"> </w:t>
            </w:r>
            <w:hyperlink r:id="rId10">
              <w:r>
                <w:rPr>
                  <w:color w:val="000000"/>
                  <w:sz w:val="16"/>
                  <w:szCs w:val="16"/>
                  <w:u w:val="single"/>
                </w:rPr>
                <w:t>http://teenhealth.org.au/resources/Reports/SSASH%202018%20National%20R</w:t>
              </w:r>
              <w:r>
                <w:rPr>
                  <w:color w:val="000000"/>
                  <w:sz w:val="16"/>
                  <w:szCs w:val="16"/>
                  <w:u w:val="single"/>
                </w:rPr>
                <w:t>eport%20-%20V10%20-%20web.pdf</w:t>
              </w:r>
            </w:hyperlink>
            <w:r>
              <w:rPr>
                <w:color w:val="000000"/>
                <w:sz w:val="16"/>
                <w:szCs w:val="16"/>
              </w:rPr>
              <w:t xml:space="preserve"> </w:t>
            </w:r>
          </w:p>
        </w:tc>
      </w:tr>
    </w:tbl>
    <w:p w14:paraId="50F918A9" w14:textId="77777777" w:rsidR="002F1FCE" w:rsidRDefault="002F1FCE">
      <w:pPr>
        <w:spacing w:after="0" w:line="240" w:lineRule="auto"/>
        <w:rPr>
          <w:sz w:val="16"/>
          <w:szCs w:val="16"/>
        </w:rPr>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7281BCCF" w14:textId="77777777">
        <w:trPr>
          <w:trHeight w:val="1545"/>
        </w:trPr>
        <w:tc>
          <w:tcPr>
            <w:tcW w:w="9026" w:type="dxa"/>
            <w:tcBorders>
              <w:top w:val="single" w:sz="18" w:space="0" w:color="B7B7B7"/>
              <w:left w:val="single" w:sz="18" w:space="0" w:color="B7B7B7"/>
              <w:bottom w:val="single" w:sz="18" w:space="0" w:color="B7B7B7"/>
              <w:right w:val="single" w:sz="18" w:space="0" w:color="B7B7B7"/>
            </w:tcBorders>
            <w:tcMar>
              <w:top w:w="288" w:type="dxa"/>
              <w:left w:w="288" w:type="dxa"/>
              <w:bottom w:w="288" w:type="dxa"/>
              <w:right w:w="288" w:type="dxa"/>
            </w:tcMar>
          </w:tcPr>
          <w:p w14:paraId="7F33F63D" w14:textId="77777777" w:rsidR="002F1FCE" w:rsidRDefault="00FB3D65">
            <w:pPr>
              <w:widowControl w:val="0"/>
              <w:spacing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t>RECOMMENDATION 1</w:t>
            </w:r>
          </w:p>
          <w:p w14:paraId="077A8E94" w14:textId="77777777" w:rsidR="002F1FCE" w:rsidRDefault="002F1FCE">
            <w:pPr>
              <w:widowControl w:val="0"/>
              <w:spacing w:after="0" w:line="240" w:lineRule="auto"/>
              <w:rPr>
                <w:rFonts w:ascii="Montserrat" w:eastAsia="Montserrat" w:hAnsi="Montserrat" w:cs="Montserrat"/>
                <w:color w:val="000000"/>
              </w:rPr>
            </w:pPr>
          </w:p>
          <w:p w14:paraId="03BC8688" w14:textId="77777777" w:rsidR="002F1FCE" w:rsidRDefault="00FB3D65">
            <w:pPr>
              <w:spacing w:after="0"/>
              <w:rPr>
                <w:rFonts w:ascii="Montserrat" w:eastAsia="Montserrat" w:hAnsi="Montserrat" w:cs="Montserrat"/>
                <w:color w:val="000000"/>
              </w:rPr>
            </w:pPr>
            <w:r>
              <w:rPr>
                <w:rFonts w:ascii="Montserrat" w:eastAsia="Montserrat" w:hAnsi="Montserrat" w:cs="Montserrat"/>
                <w:color w:val="000000"/>
              </w:rPr>
              <w:t xml:space="preserve">Ensure teachers </w:t>
            </w:r>
            <w:proofErr w:type="gramStart"/>
            <w:r>
              <w:rPr>
                <w:rFonts w:ascii="Montserrat" w:eastAsia="Montserrat" w:hAnsi="Montserrat" w:cs="Montserrat"/>
                <w:color w:val="000000"/>
              </w:rPr>
              <w:t>have an understanding of</w:t>
            </w:r>
            <w:proofErr w:type="gramEnd"/>
            <w:r>
              <w:rPr>
                <w:rFonts w:ascii="Montserrat" w:eastAsia="Montserrat" w:hAnsi="Montserrat" w:cs="Montserrat"/>
                <w:color w:val="000000"/>
              </w:rPr>
              <w:t xml:space="preserve"> best practice pedagogy in delivering respectful relationship, sex and consent education and have methods for inclusion of student voice.</w:t>
            </w:r>
          </w:p>
        </w:tc>
      </w:tr>
    </w:tbl>
    <w:p w14:paraId="7635543F" w14:textId="77777777" w:rsidR="002F1FCE" w:rsidRDefault="002F1FCE">
      <w:pPr>
        <w:rPr>
          <w:color w:val="000000"/>
        </w:rPr>
      </w:pPr>
    </w:p>
    <w:p w14:paraId="76EDE93F" w14:textId="77777777" w:rsidR="002F1FCE" w:rsidRDefault="00FB3D65">
      <w:pPr>
        <w:pBdr>
          <w:top w:val="nil"/>
          <w:left w:val="nil"/>
          <w:bottom w:val="nil"/>
          <w:right w:val="nil"/>
          <w:between w:val="nil"/>
        </w:pBdr>
        <w:rPr>
          <w:rFonts w:ascii="Montserrat" w:eastAsia="Montserrat" w:hAnsi="Montserrat" w:cs="Montserrat"/>
          <w:b/>
          <w:color w:val="000000"/>
          <w:sz w:val="28"/>
          <w:szCs w:val="28"/>
        </w:rPr>
      </w:pPr>
      <w:r>
        <w:rPr>
          <w:rFonts w:ascii="Montserrat" w:eastAsia="Montserrat" w:hAnsi="Montserrat" w:cs="Montserrat"/>
          <w:b/>
          <w:color w:val="000000"/>
          <w:sz w:val="28"/>
          <w:szCs w:val="28"/>
        </w:rPr>
        <w:t>4. Trauma-informed practices</w:t>
      </w:r>
    </w:p>
    <w:p w14:paraId="201A198A" w14:textId="77777777" w:rsidR="002F1FCE" w:rsidRDefault="00FB3D65">
      <w:pPr>
        <w:shd w:val="clear" w:color="auto" w:fill="FFFFFF"/>
        <w:spacing w:after="0"/>
        <w:rPr>
          <w:color w:val="000000"/>
        </w:rPr>
      </w:pPr>
      <w:proofErr w:type="spellStart"/>
      <w:r>
        <w:rPr>
          <w:color w:val="000000"/>
        </w:rPr>
        <w:t>Carello</w:t>
      </w:r>
      <w:proofErr w:type="spellEnd"/>
      <w:r>
        <w:rPr>
          <w:color w:val="000000"/>
        </w:rPr>
        <w:t xml:space="preserve"> and Butler (2014) define trauma-informed practice as an understanding of how violence, </w:t>
      </w:r>
      <w:proofErr w:type="spellStart"/>
      <w:r>
        <w:rPr>
          <w:color w:val="000000"/>
        </w:rPr>
        <w:t>victimisation</w:t>
      </w:r>
      <w:proofErr w:type="spellEnd"/>
      <w:r>
        <w:rPr>
          <w:color w:val="000000"/>
        </w:rPr>
        <w:t>, and other traumatic experiences may have impacted people and to apply that understanding to service provision and sys</w:t>
      </w:r>
      <w:r>
        <w:rPr>
          <w:color w:val="000000"/>
        </w:rPr>
        <w:t>tem design to best support trauma survivors.</w:t>
      </w:r>
      <w:r>
        <w:rPr>
          <w:color w:val="000000"/>
          <w:vertAlign w:val="superscript"/>
        </w:rPr>
        <w:footnoteReference w:id="17"/>
      </w:r>
      <w:r>
        <w:rPr>
          <w:color w:val="000000"/>
        </w:rPr>
        <w:t xml:space="preserve"> </w:t>
      </w:r>
    </w:p>
    <w:p w14:paraId="24527C28" w14:textId="77777777" w:rsidR="002F1FCE" w:rsidRDefault="002F1FCE">
      <w:pPr>
        <w:shd w:val="clear" w:color="auto" w:fill="FFFFFF"/>
        <w:spacing w:after="0"/>
        <w:rPr>
          <w:color w:val="000000"/>
        </w:rPr>
      </w:pPr>
    </w:p>
    <w:p w14:paraId="0B71C6C7" w14:textId="77777777" w:rsidR="002F1FCE" w:rsidRDefault="00FB3D65">
      <w:pPr>
        <w:shd w:val="clear" w:color="auto" w:fill="FFFFFF"/>
        <w:spacing w:after="0"/>
        <w:rPr>
          <w:color w:val="000000"/>
        </w:rPr>
      </w:pPr>
      <w:r>
        <w:rPr>
          <w:color w:val="000000"/>
        </w:rPr>
        <w:t xml:space="preserve">In the case of delivering consent, sexuality and respectful relationships, a trauma-informed approach to pedagogy </w:t>
      </w:r>
      <w:proofErr w:type="spellStart"/>
      <w:r>
        <w:rPr>
          <w:color w:val="000000"/>
        </w:rPr>
        <w:t>recognises</w:t>
      </w:r>
      <w:proofErr w:type="spellEnd"/>
      <w:r>
        <w:rPr>
          <w:color w:val="000000"/>
        </w:rPr>
        <w:t xml:space="preserve"> these risks, and </w:t>
      </w:r>
      <w:proofErr w:type="spellStart"/>
      <w:r>
        <w:rPr>
          <w:color w:val="000000"/>
        </w:rPr>
        <w:t>prioritises</w:t>
      </w:r>
      <w:proofErr w:type="spellEnd"/>
      <w:r>
        <w:rPr>
          <w:color w:val="000000"/>
        </w:rPr>
        <w:t xml:space="preserve"> student emotional safety in learning, particularly wh</w:t>
      </w:r>
      <w:r>
        <w:rPr>
          <w:color w:val="000000"/>
        </w:rPr>
        <w:t>ere trauma or traumatic experiences are taught or disclosed.</w:t>
      </w:r>
      <w:r>
        <w:rPr>
          <w:color w:val="000000"/>
          <w:vertAlign w:val="superscript"/>
        </w:rPr>
        <w:footnoteReference w:id="18"/>
      </w:r>
      <w:r>
        <w:rPr>
          <w:color w:val="000000"/>
        </w:rPr>
        <w:t xml:space="preserve"> The principle of harm reduction should be adopted to decrease the risk of </w:t>
      </w:r>
      <w:proofErr w:type="spellStart"/>
      <w:r>
        <w:rPr>
          <w:color w:val="000000"/>
        </w:rPr>
        <w:t>retraumatisation</w:t>
      </w:r>
      <w:proofErr w:type="spellEnd"/>
      <w:r>
        <w:rPr>
          <w:color w:val="000000"/>
        </w:rPr>
        <w:t xml:space="preserve"> and secondary </w:t>
      </w:r>
      <w:proofErr w:type="spellStart"/>
      <w:r>
        <w:rPr>
          <w:color w:val="000000"/>
        </w:rPr>
        <w:t>traumatisation</w:t>
      </w:r>
      <w:proofErr w:type="spellEnd"/>
      <w:r>
        <w:rPr>
          <w:color w:val="000000"/>
        </w:rPr>
        <w:t>.</w:t>
      </w:r>
      <w:r>
        <w:rPr>
          <w:color w:val="000000"/>
          <w:vertAlign w:val="superscript"/>
        </w:rPr>
        <w:footnoteReference w:id="19"/>
      </w:r>
      <w:r>
        <w:rPr>
          <w:color w:val="000000"/>
        </w:rPr>
        <w:t xml:space="preserve"> </w:t>
      </w:r>
    </w:p>
    <w:p w14:paraId="26E37545" w14:textId="77777777" w:rsidR="002F1FCE" w:rsidRDefault="002F1FCE">
      <w:pPr>
        <w:shd w:val="clear" w:color="auto" w:fill="FFFFFF"/>
        <w:spacing w:after="0"/>
        <w:rPr>
          <w:i/>
          <w:color w:val="1D1D1D"/>
          <w:sz w:val="17"/>
          <w:szCs w:val="17"/>
        </w:rPr>
      </w:pPr>
    </w:p>
    <w:p w14:paraId="7F169BA6" w14:textId="77777777" w:rsidR="002F1FCE" w:rsidRDefault="00FB3D65">
      <w:pPr>
        <w:shd w:val="clear" w:color="auto" w:fill="FFFFFF"/>
        <w:spacing w:after="0"/>
        <w:rPr>
          <w:color w:val="000000"/>
        </w:rPr>
      </w:pPr>
      <w:r>
        <w:rPr>
          <w:color w:val="000000"/>
        </w:rPr>
        <w:t>Trauma-informed education models composed of evidence-informed pedag</w:t>
      </w:r>
      <w:r>
        <w:rPr>
          <w:color w:val="000000"/>
        </w:rPr>
        <w:t>ogical strategies, have assisted teachers to understand and teach students who have experienced trauma. These models result in better outcomes for teachers and students.</w:t>
      </w:r>
      <w:r>
        <w:rPr>
          <w:color w:val="000000"/>
          <w:vertAlign w:val="superscript"/>
        </w:rPr>
        <w:footnoteReference w:id="20"/>
      </w:r>
    </w:p>
    <w:p w14:paraId="215E295D" w14:textId="77777777" w:rsidR="002F1FCE" w:rsidRDefault="002F1FCE">
      <w:pPr>
        <w:shd w:val="clear" w:color="auto" w:fill="FFFFFF"/>
        <w:spacing w:after="0"/>
        <w:rPr>
          <w:color w:val="000000"/>
        </w:rPr>
      </w:pP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085DB9C8" w14:textId="77777777">
        <w:trPr>
          <w:trHeight w:val="1545"/>
        </w:trPr>
        <w:tc>
          <w:tcPr>
            <w:tcW w:w="9026" w:type="dxa"/>
            <w:tcBorders>
              <w:top w:val="single" w:sz="18" w:space="0" w:color="B7B7B7"/>
              <w:left w:val="single" w:sz="18" w:space="0" w:color="B7B7B7"/>
              <w:bottom w:val="single" w:sz="18" w:space="0" w:color="B7B7B7"/>
              <w:right w:val="single" w:sz="18" w:space="0" w:color="B7B7B7"/>
            </w:tcBorders>
            <w:tcMar>
              <w:top w:w="288" w:type="dxa"/>
              <w:left w:w="288" w:type="dxa"/>
              <w:bottom w:w="288" w:type="dxa"/>
              <w:right w:w="288" w:type="dxa"/>
            </w:tcMar>
          </w:tcPr>
          <w:p w14:paraId="3465AA94" w14:textId="77777777" w:rsidR="002F1FCE" w:rsidRDefault="00FB3D65">
            <w:pPr>
              <w:widowControl w:val="0"/>
              <w:spacing w:after="0" w:line="240" w:lineRule="auto"/>
              <w:rPr>
                <w:rFonts w:ascii="Montserrat" w:eastAsia="Montserrat" w:hAnsi="Montserrat" w:cs="Montserrat"/>
                <w:b/>
                <w:color w:val="000000"/>
                <w:sz w:val="22"/>
                <w:szCs w:val="22"/>
              </w:rPr>
            </w:pPr>
            <w:r>
              <w:rPr>
                <w:rFonts w:ascii="Montserrat" w:eastAsia="Montserrat" w:hAnsi="Montserrat" w:cs="Montserrat"/>
                <w:b/>
                <w:color w:val="000000"/>
                <w:sz w:val="22"/>
                <w:szCs w:val="22"/>
              </w:rPr>
              <w:lastRenderedPageBreak/>
              <w:t>RECOMMENDATION 2</w:t>
            </w:r>
          </w:p>
          <w:p w14:paraId="3B4DC8C8" w14:textId="77777777" w:rsidR="002F1FCE" w:rsidRDefault="002F1FCE">
            <w:pPr>
              <w:widowControl w:val="0"/>
              <w:spacing w:after="0" w:line="240" w:lineRule="auto"/>
              <w:rPr>
                <w:rFonts w:ascii="Montserrat" w:eastAsia="Montserrat" w:hAnsi="Montserrat" w:cs="Montserrat"/>
                <w:color w:val="000000"/>
              </w:rPr>
            </w:pPr>
          </w:p>
          <w:p w14:paraId="321C7267" w14:textId="77777777" w:rsidR="002F1FCE" w:rsidRDefault="00FB3D65">
            <w:pPr>
              <w:spacing w:after="0"/>
              <w:rPr>
                <w:rFonts w:ascii="Montserrat" w:eastAsia="Montserrat" w:hAnsi="Montserrat" w:cs="Montserrat"/>
                <w:color w:val="000000"/>
              </w:rPr>
            </w:pPr>
            <w:r>
              <w:rPr>
                <w:rFonts w:ascii="Montserrat" w:eastAsia="Montserrat" w:hAnsi="Montserrat" w:cs="Montserrat"/>
                <w:color w:val="000000"/>
              </w:rPr>
              <w:t xml:space="preserve">Ensure teachers are equipped with the knowledge and skills to implement trauma-informed practices in delivering respectful relationships, </w:t>
            </w:r>
            <w:proofErr w:type="gramStart"/>
            <w:r>
              <w:rPr>
                <w:rFonts w:ascii="Montserrat" w:eastAsia="Montserrat" w:hAnsi="Montserrat" w:cs="Montserrat"/>
                <w:color w:val="000000"/>
              </w:rPr>
              <w:t>sex</w:t>
            </w:r>
            <w:proofErr w:type="gramEnd"/>
            <w:r>
              <w:rPr>
                <w:rFonts w:ascii="Montserrat" w:eastAsia="Montserrat" w:hAnsi="Montserrat" w:cs="Montserrat"/>
                <w:color w:val="000000"/>
              </w:rPr>
              <w:t xml:space="preserve"> and consent education.</w:t>
            </w:r>
          </w:p>
        </w:tc>
      </w:tr>
    </w:tbl>
    <w:p w14:paraId="0EACD166" w14:textId="77777777" w:rsidR="002F1FCE" w:rsidRDefault="002F1FCE">
      <w:pPr>
        <w:spacing w:after="0"/>
        <w:rPr>
          <w:color w:val="000000"/>
          <w:sz w:val="17"/>
          <w:szCs w:val="17"/>
        </w:rPr>
      </w:pPr>
    </w:p>
    <w:p w14:paraId="16EA022F" w14:textId="77777777" w:rsidR="002F1FCE" w:rsidRDefault="00FB3D65">
      <w:pPr>
        <w:pStyle w:val="Heading3"/>
        <w:rPr>
          <w:rFonts w:ascii="Verdana" w:eastAsia="Verdana" w:hAnsi="Verdana" w:cs="Verdana"/>
          <w:b w:val="0"/>
          <w:i/>
          <w:color w:val="9900FF"/>
          <w:sz w:val="18"/>
          <w:szCs w:val="18"/>
          <w:highlight w:val="white"/>
        </w:rPr>
      </w:pPr>
      <w:bookmarkStart w:id="7" w:name="_x5w5qy8rz2ph" w:colFirst="0" w:colLast="0"/>
      <w:bookmarkEnd w:id="7"/>
      <w:r>
        <w:br w:type="page"/>
      </w:r>
    </w:p>
    <w:p w14:paraId="2A628D88" w14:textId="77777777" w:rsidR="002F1FCE" w:rsidRDefault="00FB3D65">
      <w:pPr>
        <w:pStyle w:val="Heading3"/>
        <w:rPr>
          <w:color w:val="000000"/>
        </w:rPr>
      </w:pPr>
      <w:bookmarkStart w:id="8" w:name="_py33apkivbx" w:colFirst="0" w:colLast="0"/>
      <w:bookmarkEnd w:id="8"/>
      <w:r>
        <w:rPr>
          <w:color w:val="000000"/>
        </w:rPr>
        <w:lastRenderedPageBreak/>
        <w:t>Content warning</w:t>
      </w:r>
    </w:p>
    <w:p w14:paraId="21DC66AF" w14:textId="77777777" w:rsidR="002F1FCE" w:rsidRDefault="00FB3D65">
      <w:pPr>
        <w:pStyle w:val="Heading3"/>
        <w:rPr>
          <w:color w:val="000000"/>
        </w:rPr>
      </w:pPr>
      <w:bookmarkStart w:id="9" w:name="_wwhgj8gueizg" w:colFirst="0" w:colLast="0"/>
      <w:bookmarkEnd w:id="9"/>
      <w:r>
        <w:rPr>
          <w:color w:val="000000"/>
        </w:rPr>
        <w:t>Appendix: Testimonies shared with Teach Us Consent</w:t>
      </w: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2F1FCE" w14:paraId="5980D790" w14:textId="77777777">
        <w:tc>
          <w:tcPr>
            <w:tcW w:w="9026"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1F5C1DF8" w14:textId="77777777" w:rsidR="002F1FCE" w:rsidRDefault="00FB3D65">
            <w:pPr>
              <w:widowControl w:val="0"/>
              <w:spacing w:after="0" w:line="240" w:lineRule="auto"/>
              <w:rPr>
                <w:b/>
                <w:color w:val="000000"/>
              </w:rPr>
            </w:pPr>
            <w:r>
              <w:rPr>
                <w:b/>
                <w:color w:val="000000"/>
              </w:rPr>
              <w:t>CONTENT WARNING: Sexual assault &amp; violence</w:t>
            </w:r>
          </w:p>
          <w:p w14:paraId="2BF67721" w14:textId="77777777" w:rsidR="002F1FCE" w:rsidRDefault="002F1FCE">
            <w:pPr>
              <w:widowControl w:val="0"/>
              <w:spacing w:after="0" w:line="240" w:lineRule="auto"/>
              <w:rPr>
                <w:b/>
                <w:color w:val="000000"/>
              </w:rPr>
            </w:pPr>
          </w:p>
          <w:p w14:paraId="29450422" w14:textId="77777777" w:rsidR="002F1FCE" w:rsidRDefault="00FB3D65">
            <w:pPr>
              <w:widowControl w:val="0"/>
              <w:spacing w:after="0"/>
              <w:rPr>
                <w:color w:val="000000"/>
              </w:rPr>
            </w:pPr>
            <w:r>
              <w:rPr>
                <w:color w:val="000000"/>
              </w:rPr>
              <w:t>The below are a sample of testimonies of people’s experiences of consent education from students and may include references to sexual assault and violence. These</w:t>
            </w:r>
            <w:r>
              <w:rPr>
                <w:color w:val="000000"/>
              </w:rPr>
              <w:t xml:space="preserve"> accounts have not been </w:t>
            </w:r>
            <w:proofErr w:type="gramStart"/>
            <w:r>
              <w:rPr>
                <w:color w:val="000000"/>
              </w:rPr>
              <w:t>edited, and</w:t>
            </w:r>
            <w:proofErr w:type="gramEnd"/>
            <w:r>
              <w:rPr>
                <w:color w:val="000000"/>
              </w:rPr>
              <w:t xml:space="preserve"> include accounts from young people under 18 about their firsthand experiences.</w:t>
            </w:r>
          </w:p>
          <w:p w14:paraId="57BC4958" w14:textId="77777777" w:rsidR="002F1FCE" w:rsidRDefault="002F1FCE">
            <w:pPr>
              <w:widowControl w:val="0"/>
              <w:spacing w:after="0"/>
              <w:rPr>
                <w:color w:val="000000"/>
              </w:rPr>
            </w:pPr>
          </w:p>
          <w:p w14:paraId="6D568943" w14:textId="77777777" w:rsidR="002F1FCE" w:rsidRDefault="00FB3D65">
            <w:pPr>
              <w:widowControl w:val="0"/>
              <w:spacing w:after="0"/>
              <w:rPr>
                <w:color w:val="000000"/>
              </w:rPr>
            </w:pPr>
            <w:r>
              <w:rPr>
                <w:color w:val="000000"/>
              </w:rPr>
              <w:t>Reading this content may be difficult or triggering. We encourage you to care for your safety and well-being if you choose to engage with th</w:t>
            </w:r>
            <w:r>
              <w:rPr>
                <w:color w:val="000000"/>
              </w:rPr>
              <w:t xml:space="preserve">is content. This content is included to highlight the experiences of students and the impact that teachers’ pedagogy and personal bias can have on students’ knowledge and </w:t>
            </w:r>
            <w:proofErr w:type="spellStart"/>
            <w:r>
              <w:rPr>
                <w:color w:val="000000"/>
              </w:rPr>
              <w:t>behaviour</w:t>
            </w:r>
            <w:proofErr w:type="spellEnd"/>
            <w:r>
              <w:rPr>
                <w:color w:val="000000"/>
              </w:rPr>
              <w:t>. It is not necessary to engage with these testimonies to understand the con</w:t>
            </w:r>
            <w:r>
              <w:rPr>
                <w:color w:val="000000"/>
              </w:rPr>
              <w:t xml:space="preserve">tent of the submission. </w:t>
            </w:r>
          </w:p>
          <w:p w14:paraId="2BDCB671" w14:textId="77777777" w:rsidR="002F1FCE" w:rsidRDefault="00FB3D65">
            <w:pPr>
              <w:pStyle w:val="Heading3"/>
              <w:rPr>
                <w:rFonts w:ascii="Open Sans" w:eastAsia="Open Sans" w:hAnsi="Open Sans" w:cs="Open Sans"/>
                <w:b w:val="0"/>
                <w:color w:val="000000"/>
                <w:sz w:val="18"/>
                <w:szCs w:val="18"/>
              </w:rPr>
            </w:pPr>
            <w:bookmarkStart w:id="10" w:name="_w26f86fr7tq" w:colFirst="0" w:colLast="0"/>
            <w:bookmarkEnd w:id="10"/>
            <w:r>
              <w:rPr>
                <w:rFonts w:ascii="Open Sans" w:eastAsia="Open Sans" w:hAnsi="Open Sans" w:cs="Open Sans"/>
                <w:b w:val="0"/>
                <w:color w:val="000000"/>
                <w:sz w:val="18"/>
                <w:szCs w:val="18"/>
              </w:rPr>
              <w:t xml:space="preserve">Please contact the following helplines for support at any time: </w:t>
            </w:r>
          </w:p>
          <w:p w14:paraId="4D4FE47E" w14:textId="77777777" w:rsidR="002F1FCE" w:rsidRDefault="00FB3D65">
            <w:pPr>
              <w:pStyle w:val="Heading3"/>
              <w:numPr>
                <w:ilvl w:val="0"/>
                <w:numId w:val="1"/>
              </w:numPr>
              <w:spacing w:after="0" w:line="240" w:lineRule="auto"/>
              <w:rPr>
                <w:color w:val="000000"/>
              </w:rPr>
            </w:pPr>
            <w:bookmarkStart w:id="11" w:name="_pmv98kcw52fd" w:colFirst="0" w:colLast="0"/>
            <w:bookmarkEnd w:id="11"/>
            <w:r>
              <w:rPr>
                <w:rFonts w:ascii="Open Sans" w:eastAsia="Open Sans" w:hAnsi="Open Sans" w:cs="Open Sans"/>
                <w:b w:val="0"/>
                <w:color w:val="000000"/>
                <w:sz w:val="18"/>
                <w:szCs w:val="18"/>
              </w:rPr>
              <w:t>1800 Respect national helpline: 1800 737 732</w:t>
            </w:r>
          </w:p>
          <w:p w14:paraId="0CFD8EA4" w14:textId="77777777" w:rsidR="002F1FCE" w:rsidRDefault="00FB3D65">
            <w:pPr>
              <w:pStyle w:val="Heading3"/>
              <w:numPr>
                <w:ilvl w:val="0"/>
                <w:numId w:val="1"/>
              </w:numPr>
              <w:spacing w:before="0" w:after="0" w:line="240" w:lineRule="auto"/>
              <w:rPr>
                <w:color w:val="000000"/>
              </w:rPr>
            </w:pPr>
            <w:bookmarkStart w:id="12" w:name="_resv1x52c6ps" w:colFirst="0" w:colLast="0"/>
            <w:bookmarkEnd w:id="12"/>
            <w:r>
              <w:rPr>
                <w:rFonts w:ascii="Open Sans" w:eastAsia="Open Sans" w:hAnsi="Open Sans" w:cs="Open Sans"/>
                <w:b w:val="0"/>
                <w:color w:val="000000"/>
                <w:sz w:val="18"/>
                <w:szCs w:val="18"/>
              </w:rPr>
              <w:t>Lifeline (</w:t>
            </w:r>
            <w:proofErr w:type="gramStart"/>
            <w:r>
              <w:rPr>
                <w:rFonts w:ascii="Open Sans" w:eastAsia="Open Sans" w:hAnsi="Open Sans" w:cs="Open Sans"/>
                <w:b w:val="0"/>
                <w:color w:val="000000"/>
                <w:sz w:val="18"/>
                <w:szCs w:val="18"/>
              </w:rPr>
              <w:t>24 hour</w:t>
            </w:r>
            <w:proofErr w:type="gramEnd"/>
            <w:r>
              <w:rPr>
                <w:rFonts w:ascii="Open Sans" w:eastAsia="Open Sans" w:hAnsi="Open Sans" w:cs="Open Sans"/>
                <w:b w:val="0"/>
                <w:color w:val="000000"/>
                <w:sz w:val="18"/>
                <w:szCs w:val="18"/>
              </w:rPr>
              <w:t xml:space="preserve"> crisis line): 131 114</w:t>
            </w:r>
          </w:p>
          <w:p w14:paraId="7655ED63" w14:textId="77777777" w:rsidR="002F1FCE" w:rsidRDefault="00FB3D65">
            <w:pPr>
              <w:pStyle w:val="Heading3"/>
              <w:numPr>
                <w:ilvl w:val="0"/>
                <w:numId w:val="1"/>
              </w:numPr>
              <w:spacing w:before="0" w:line="240" w:lineRule="auto"/>
              <w:rPr>
                <w:color w:val="000000"/>
              </w:rPr>
            </w:pPr>
            <w:bookmarkStart w:id="13" w:name="_1pnu2h6090zm" w:colFirst="0" w:colLast="0"/>
            <w:bookmarkEnd w:id="13"/>
            <w:r>
              <w:rPr>
                <w:rFonts w:ascii="Open Sans" w:eastAsia="Open Sans" w:hAnsi="Open Sans" w:cs="Open Sans"/>
                <w:b w:val="0"/>
                <w:color w:val="000000"/>
                <w:sz w:val="18"/>
                <w:szCs w:val="18"/>
              </w:rPr>
              <w:t>Beyond Blue: 1300 224 636</w:t>
            </w:r>
          </w:p>
        </w:tc>
      </w:tr>
    </w:tbl>
    <w:p w14:paraId="3EDA9F08" w14:textId="77777777" w:rsidR="002F1FCE" w:rsidRDefault="002F1FCE">
      <w:pPr>
        <w:widowControl w:val="0"/>
        <w:spacing w:after="0"/>
        <w:rPr>
          <w:color w:val="000000"/>
          <w:sz w:val="17"/>
          <w:szCs w:val="17"/>
        </w:rPr>
      </w:pPr>
    </w:p>
    <w:p w14:paraId="6413C913" w14:textId="77777777" w:rsidR="002F1FCE" w:rsidRDefault="00FB3D65">
      <w:pPr>
        <w:spacing w:after="0"/>
        <w:rPr>
          <w:color w:val="000000"/>
          <w:sz w:val="41"/>
          <w:szCs w:val="41"/>
        </w:rPr>
      </w:pPr>
      <w:r>
        <w:rPr>
          <w:color w:val="000000"/>
          <w:sz w:val="41"/>
          <w:szCs w:val="41"/>
        </w:rPr>
        <w:t>“</w:t>
      </w:r>
    </w:p>
    <w:p w14:paraId="6615CF91" w14:textId="77777777" w:rsidR="002F1FCE" w:rsidRDefault="00FB3D65">
      <w:pPr>
        <w:spacing w:after="0"/>
        <w:rPr>
          <w:color w:val="000000"/>
        </w:rPr>
      </w:pPr>
      <w:r>
        <w:rPr>
          <w:color w:val="000000"/>
        </w:rPr>
        <w:t xml:space="preserve">I also went to Ravenswood and I remember them showing us a teen pregnancy documentary/reality tv show as a scare tactic! </w:t>
      </w:r>
    </w:p>
    <w:p w14:paraId="6DC8DC91" w14:textId="77777777" w:rsidR="002F1FCE" w:rsidRDefault="00FB3D65">
      <w:pPr>
        <w:spacing w:after="0"/>
        <w:jc w:val="right"/>
        <w:rPr>
          <w:color w:val="000000"/>
        </w:rPr>
      </w:pPr>
      <w:r>
        <w:rPr>
          <w:color w:val="000000"/>
          <w:sz w:val="41"/>
          <w:szCs w:val="41"/>
        </w:rPr>
        <w:t>”</w:t>
      </w:r>
    </w:p>
    <w:p w14:paraId="4DC2A049" w14:textId="77777777" w:rsidR="002F1FCE" w:rsidRDefault="00FB3D65">
      <w:pPr>
        <w:spacing w:after="0"/>
        <w:rPr>
          <w:color w:val="000000"/>
        </w:rPr>
      </w:pPr>
      <w:r>
        <w:rPr>
          <w:color w:val="000000"/>
          <w:sz w:val="41"/>
          <w:szCs w:val="41"/>
        </w:rPr>
        <w:t>“</w:t>
      </w:r>
    </w:p>
    <w:p w14:paraId="3E8BE2DE" w14:textId="77777777" w:rsidR="002F1FCE" w:rsidRDefault="00FB3D65">
      <w:pPr>
        <w:rPr>
          <w:color w:val="000000"/>
        </w:rPr>
      </w:pPr>
      <w:r>
        <w:rPr>
          <w:color w:val="000000"/>
        </w:rPr>
        <w:t xml:space="preserve">The only time sex education was </w:t>
      </w:r>
      <w:proofErr w:type="gramStart"/>
      <w:r>
        <w:rPr>
          <w:color w:val="000000"/>
        </w:rPr>
        <w:t>actually even</w:t>
      </w:r>
      <w:proofErr w:type="gramEnd"/>
      <w:r>
        <w:rPr>
          <w:color w:val="000000"/>
        </w:rPr>
        <w:t xml:space="preserve"> addressed to me at school was NOT in </w:t>
      </w:r>
      <w:proofErr w:type="spellStart"/>
      <w:r>
        <w:rPr>
          <w:color w:val="000000"/>
        </w:rPr>
        <w:t>pdhpe</w:t>
      </w:r>
      <w:proofErr w:type="spellEnd"/>
      <w:r>
        <w:rPr>
          <w:color w:val="000000"/>
        </w:rPr>
        <w:t>, but in year 10 religion class, by a strict catholic, male teacher. He taught us that ‘silence is consent’, along with many disgusting and misinformed personal opinion</w:t>
      </w:r>
      <w:r>
        <w:rPr>
          <w:color w:val="000000"/>
        </w:rPr>
        <w:t>s on and around the concept of sexual activities.</w:t>
      </w:r>
    </w:p>
    <w:p w14:paraId="178B2A07" w14:textId="77777777" w:rsidR="002F1FCE" w:rsidRDefault="00FB3D65">
      <w:pPr>
        <w:spacing w:after="0"/>
        <w:jc w:val="right"/>
        <w:rPr>
          <w:color w:val="000000"/>
        </w:rPr>
      </w:pPr>
      <w:r>
        <w:rPr>
          <w:color w:val="000000"/>
          <w:sz w:val="41"/>
          <w:szCs w:val="41"/>
        </w:rPr>
        <w:t>”</w:t>
      </w:r>
    </w:p>
    <w:p w14:paraId="50D81E0B" w14:textId="77777777" w:rsidR="002F1FCE" w:rsidRDefault="00FB3D65">
      <w:pPr>
        <w:spacing w:after="0"/>
        <w:rPr>
          <w:color w:val="000000"/>
        </w:rPr>
      </w:pPr>
      <w:r>
        <w:rPr>
          <w:color w:val="000000"/>
          <w:sz w:val="41"/>
          <w:szCs w:val="41"/>
        </w:rPr>
        <w:t>“</w:t>
      </w:r>
    </w:p>
    <w:p w14:paraId="0E055B20" w14:textId="77777777" w:rsidR="002F1FCE" w:rsidRDefault="00FB3D65">
      <w:pPr>
        <w:rPr>
          <w:color w:val="000000"/>
        </w:rPr>
      </w:pPr>
      <w:r>
        <w:rPr>
          <w:color w:val="000000"/>
        </w:rPr>
        <w:t xml:space="preserve">Went to </w:t>
      </w:r>
      <w:proofErr w:type="spellStart"/>
      <w:r>
        <w:rPr>
          <w:color w:val="000000"/>
        </w:rPr>
        <w:t>Tangara</w:t>
      </w:r>
      <w:proofErr w:type="spellEnd"/>
      <w:r>
        <w:rPr>
          <w:color w:val="000000"/>
        </w:rPr>
        <w:t xml:space="preserve"> School for Girls, finally moved out of there. Anyways barely gave us a sex ed talk, and the PE classes were always rushed (when it got to this topic </w:t>
      </w:r>
      <w:proofErr w:type="spellStart"/>
      <w:r>
        <w:rPr>
          <w:color w:val="000000"/>
        </w:rPr>
        <w:t>aswell</w:t>
      </w:r>
      <w:proofErr w:type="spellEnd"/>
      <w:r>
        <w:rPr>
          <w:color w:val="000000"/>
        </w:rPr>
        <w:t xml:space="preserve"> as mental health). It was a </w:t>
      </w:r>
      <w:proofErr w:type="gramStart"/>
      <w:r>
        <w:rPr>
          <w:color w:val="000000"/>
        </w:rPr>
        <w:t>fu</w:t>
      </w:r>
      <w:r>
        <w:rPr>
          <w:color w:val="000000"/>
        </w:rPr>
        <w:t>ll on</w:t>
      </w:r>
      <w:proofErr w:type="gramEnd"/>
      <w:r>
        <w:rPr>
          <w:color w:val="000000"/>
        </w:rPr>
        <w:t xml:space="preserve"> catholic school that told me sex is a SIN. Also brought up that we </w:t>
      </w:r>
      <w:proofErr w:type="spellStart"/>
      <w:r>
        <w:rPr>
          <w:color w:val="000000"/>
        </w:rPr>
        <w:t>shouldnt</w:t>
      </w:r>
      <w:proofErr w:type="spellEnd"/>
      <w:r>
        <w:rPr>
          <w:color w:val="000000"/>
        </w:rPr>
        <w:t xml:space="preserve"> use contraception because we should be saving it for marriage anyways, and that the purpose of sex is purely and only to conceive.</w:t>
      </w:r>
    </w:p>
    <w:p w14:paraId="7E8586E7" w14:textId="77777777" w:rsidR="002F1FCE" w:rsidRDefault="00FB3D65">
      <w:pPr>
        <w:spacing w:after="0" w:line="240" w:lineRule="auto"/>
        <w:jc w:val="right"/>
        <w:rPr>
          <w:color w:val="000000"/>
          <w:sz w:val="2"/>
          <w:szCs w:val="2"/>
        </w:rPr>
      </w:pPr>
      <w:r>
        <w:rPr>
          <w:color w:val="000000"/>
          <w:sz w:val="41"/>
          <w:szCs w:val="41"/>
        </w:rPr>
        <w:t>”</w:t>
      </w:r>
    </w:p>
    <w:p w14:paraId="63955988" w14:textId="77777777" w:rsidR="002F1FCE" w:rsidRDefault="00FB3D65">
      <w:pPr>
        <w:spacing w:after="0"/>
        <w:rPr>
          <w:color w:val="000000"/>
        </w:rPr>
      </w:pPr>
      <w:r>
        <w:rPr>
          <w:color w:val="000000"/>
          <w:sz w:val="41"/>
          <w:szCs w:val="41"/>
        </w:rPr>
        <w:t>“</w:t>
      </w:r>
    </w:p>
    <w:p w14:paraId="73989BEE" w14:textId="77777777" w:rsidR="002F1FCE" w:rsidRDefault="00FB3D65">
      <w:pPr>
        <w:rPr>
          <w:color w:val="000000"/>
        </w:rPr>
      </w:pPr>
      <w:proofErr w:type="gramStart"/>
      <w:r>
        <w:rPr>
          <w:color w:val="000000"/>
        </w:rPr>
        <w:lastRenderedPageBreak/>
        <w:t>Also</w:t>
      </w:r>
      <w:proofErr w:type="gramEnd"/>
      <w:r>
        <w:rPr>
          <w:color w:val="000000"/>
        </w:rPr>
        <w:t xml:space="preserve"> </w:t>
      </w:r>
      <w:proofErr w:type="spellStart"/>
      <w:r>
        <w:rPr>
          <w:color w:val="000000"/>
        </w:rPr>
        <w:t>dont</w:t>
      </w:r>
      <w:proofErr w:type="spellEnd"/>
      <w:r>
        <w:rPr>
          <w:color w:val="000000"/>
        </w:rPr>
        <w:t xml:space="preserve"> remember learning anything about consent properly which ended up me getting sexually assaulted by my ex and other guys.</w:t>
      </w:r>
    </w:p>
    <w:p w14:paraId="40A2FE62" w14:textId="77777777" w:rsidR="002F1FCE" w:rsidRDefault="00FB3D65">
      <w:pPr>
        <w:spacing w:after="0"/>
        <w:jc w:val="right"/>
        <w:rPr>
          <w:color w:val="000000"/>
        </w:rPr>
      </w:pPr>
      <w:r>
        <w:rPr>
          <w:color w:val="000000"/>
          <w:sz w:val="41"/>
          <w:szCs w:val="41"/>
        </w:rPr>
        <w:t>”</w:t>
      </w:r>
    </w:p>
    <w:p w14:paraId="4805D86F" w14:textId="77777777" w:rsidR="002F1FCE" w:rsidRDefault="00FB3D65">
      <w:pPr>
        <w:spacing w:after="0"/>
        <w:rPr>
          <w:color w:val="000000"/>
        </w:rPr>
      </w:pPr>
      <w:r>
        <w:rPr>
          <w:color w:val="000000"/>
          <w:sz w:val="41"/>
          <w:szCs w:val="41"/>
        </w:rPr>
        <w:t>“</w:t>
      </w:r>
    </w:p>
    <w:p w14:paraId="234CE435" w14:textId="77777777" w:rsidR="002F1FCE" w:rsidRDefault="00FB3D65">
      <w:pPr>
        <w:rPr>
          <w:color w:val="000000"/>
        </w:rPr>
      </w:pPr>
      <w:r>
        <w:rPr>
          <w:color w:val="000000"/>
        </w:rPr>
        <w:t xml:space="preserve">One of my teachers was teaching us about </w:t>
      </w:r>
      <w:proofErr w:type="spellStart"/>
      <w:r>
        <w:rPr>
          <w:color w:val="000000"/>
        </w:rPr>
        <w:t>masterbation</w:t>
      </w:r>
      <w:proofErr w:type="spellEnd"/>
      <w:r>
        <w:rPr>
          <w:color w:val="000000"/>
        </w:rPr>
        <w:t>. Told us that trying it once or twice was normal but if you did it m</w:t>
      </w:r>
      <w:r>
        <w:rPr>
          <w:color w:val="000000"/>
        </w:rPr>
        <w:t>ore, something was wrong with you. You need help.</w:t>
      </w:r>
    </w:p>
    <w:p w14:paraId="57DB7C7A" w14:textId="77777777" w:rsidR="002F1FCE" w:rsidRDefault="00FB3D65">
      <w:pPr>
        <w:spacing w:after="0"/>
        <w:jc w:val="right"/>
        <w:rPr>
          <w:color w:val="000000"/>
        </w:rPr>
      </w:pPr>
      <w:r>
        <w:rPr>
          <w:color w:val="000000"/>
          <w:sz w:val="41"/>
          <w:szCs w:val="41"/>
        </w:rPr>
        <w:t>”</w:t>
      </w:r>
    </w:p>
    <w:p w14:paraId="1A432924" w14:textId="77777777" w:rsidR="002F1FCE" w:rsidRDefault="00FB3D65">
      <w:pPr>
        <w:spacing w:after="0"/>
        <w:rPr>
          <w:color w:val="000000"/>
        </w:rPr>
      </w:pPr>
      <w:r>
        <w:rPr>
          <w:color w:val="000000"/>
          <w:sz w:val="41"/>
          <w:szCs w:val="41"/>
        </w:rPr>
        <w:t>“</w:t>
      </w:r>
    </w:p>
    <w:p w14:paraId="1D8E153C" w14:textId="77777777" w:rsidR="002F1FCE" w:rsidRDefault="00FB3D65">
      <w:pPr>
        <w:rPr>
          <w:color w:val="000000"/>
        </w:rPr>
      </w:pPr>
      <w:r>
        <w:rPr>
          <w:color w:val="000000"/>
        </w:rPr>
        <w:t>Our first sex ed class in year 9 was taught by a known religious teacher and she refused to show us condoms/explain how they worked. After we egged her on a bit, she opened it, touched the condom and sa</w:t>
      </w:r>
      <w:r>
        <w:rPr>
          <w:color w:val="000000"/>
        </w:rPr>
        <w:t xml:space="preserve">id “oh!! It’s sticky!” Threw it in the bin and </w:t>
      </w:r>
      <w:proofErr w:type="gramStart"/>
      <w:r>
        <w:rPr>
          <w:color w:val="000000"/>
        </w:rPr>
        <w:t>said</w:t>
      </w:r>
      <w:proofErr w:type="gramEnd"/>
      <w:r>
        <w:rPr>
          <w:color w:val="000000"/>
        </w:rPr>
        <w:t xml:space="preserve"> “you girls won’t be needing that anyway”. Her communication basically suggested that she wouldn’t teach us the biological facts because “we wouldn’t need it”. We told a science teacher about it next lesso</w:t>
      </w:r>
      <w:r>
        <w:rPr>
          <w:color w:val="000000"/>
        </w:rPr>
        <w:t>n and she set aside her planned lesson to give us a proper sex ed/human biology lesson. We were so grateful to that science teacher.</w:t>
      </w:r>
    </w:p>
    <w:p w14:paraId="6ED15963" w14:textId="77777777" w:rsidR="002F1FCE" w:rsidRDefault="00FB3D65">
      <w:pPr>
        <w:spacing w:after="0"/>
        <w:jc w:val="right"/>
        <w:rPr>
          <w:color w:val="000000"/>
          <w:sz w:val="41"/>
          <w:szCs w:val="41"/>
        </w:rPr>
      </w:pPr>
      <w:r>
        <w:rPr>
          <w:color w:val="000000"/>
          <w:sz w:val="41"/>
          <w:szCs w:val="41"/>
        </w:rPr>
        <w:t>”</w:t>
      </w:r>
    </w:p>
    <w:p w14:paraId="705F2CD0" w14:textId="77777777" w:rsidR="002F1FCE" w:rsidRDefault="00FB3D65">
      <w:pPr>
        <w:rPr>
          <w:color w:val="000000"/>
          <w:sz w:val="41"/>
          <w:szCs w:val="41"/>
        </w:rPr>
      </w:pPr>
      <w:r>
        <w:rPr>
          <w:color w:val="000000"/>
          <w:sz w:val="41"/>
          <w:szCs w:val="41"/>
        </w:rPr>
        <w:t>“</w:t>
      </w:r>
    </w:p>
    <w:p w14:paraId="0E471F87" w14:textId="77777777" w:rsidR="002F1FCE" w:rsidRDefault="00FB3D65">
      <w:pPr>
        <w:rPr>
          <w:color w:val="000000"/>
        </w:rPr>
      </w:pPr>
      <w:r>
        <w:rPr>
          <w:color w:val="000000"/>
        </w:rPr>
        <w:t xml:space="preserve">“And </w:t>
      </w:r>
      <w:proofErr w:type="gramStart"/>
      <w:r>
        <w:rPr>
          <w:color w:val="000000"/>
        </w:rPr>
        <w:t>this is why</w:t>
      </w:r>
      <w:proofErr w:type="gramEnd"/>
      <w:r>
        <w:rPr>
          <w:color w:val="000000"/>
        </w:rPr>
        <w:t xml:space="preserve"> it’s important to make sure you dress appropriately!” and also “see, don’t drink alcohol when </w:t>
      </w:r>
      <w:proofErr w:type="spellStart"/>
      <w:r>
        <w:rPr>
          <w:color w:val="000000"/>
        </w:rPr>
        <w:t>your</w:t>
      </w:r>
      <w:proofErr w:type="spellEnd"/>
      <w:r>
        <w:rPr>
          <w:color w:val="000000"/>
        </w:rPr>
        <w:t xml:space="preserve"> out</w:t>
      </w:r>
      <w:r>
        <w:rPr>
          <w:color w:val="000000"/>
        </w:rPr>
        <w:t>!” Saint Scholastica’s College (</w:t>
      </w:r>
      <w:proofErr w:type="spellStart"/>
      <w:r>
        <w:rPr>
          <w:color w:val="000000"/>
        </w:rPr>
        <w:t>Schols</w:t>
      </w:r>
      <w:proofErr w:type="spellEnd"/>
      <w:r>
        <w:rPr>
          <w:color w:val="000000"/>
        </w:rPr>
        <w:t>) was where it was said in year 9.</w:t>
      </w:r>
    </w:p>
    <w:p w14:paraId="59912A2D" w14:textId="77777777" w:rsidR="002F1FCE" w:rsidRDefault="00FB3D65">
      <w:pPr>
        <w:spacing w:after="0"/>
        <w:jc w:val="right"/>
        <w:rPr>
          <w:color w:val="000000"/>
        </w:rPr>
      </w:pPr>
      <w:r>
        <w:rPr>
          <w:color w:val="000000"/>
          <w:sz w:val="41"/>
          <w:szCs w:val="41"/>
        </w:rPr>
        <w:t>”</w:t>
      </w:r>
    </w:p>
    <w:p w14:paraId="310BD9AA" w14:textId="77777777" w:rsidR="002F1FCE" w:rsidRDefault="00FB3D65">
      <w:pPr>
        <w:rPr>
          <w:color w:val="000000"/>
        </w:rPr>
      </w:pPr>
      <w:r>
        <w:rPr>
          <w:color w:val="000000"/>
          <w:sz w:val="41"/>
          <w:szCs w:val="41"/>
        </w:rPr>
        <w:t>“</w:t>
      </w:r>
    </w:p>
    <w:p w14:paraId="2EAA1604" w14:textId="77777777" w:rsidR="002F1FCE" w:rsidRDefault="00FB3D65">
      <w:pPr>
        <w:rPr>
          <w:color w:val="000000"/>
        </w:rPr>
      </w:pPr>
      <w:r>
        <w:rPr>
          <w:color w:val="000000"/>
        </w:rPr>
        <w:t>​​</w:t>
      </w:r>
      <w:r>
        <w:rPr>
          <w:color w:val="000000"/>
        </w:rPr>
        <w:t xml:space="preserve">The only form of sex education I remember from high school was labelling diagrams of female and male </w:t>
      </w:r>
      <w:proofErr w:type="gramStart"/>
      <w:r>
        <w:rPr>
          <w:color w:val="000000"/>
        </w:rPr>
        <w:t>anatomy, and</w:t>
      </w:r>
      <w:proofErr w:type="gramEnd"/>
      <w:r>
        <w:rPr>
          <w:color w:val="000000"/>
        </w:rPr>
        <w:t xml:space="preserve"> being told not to have sex before we were married. In once clas</w:t>
      </w:r>
      <w:r>
        <w:rPr>
          <w:color w:val="000000"/>
        </w:rPr>
        <w:t xml:space="preserve">s we were given a piece of sticky </w:t>
      </w:r>
      <w:proofErr w:type="gramStart"/>
      <w:r>
        <w:rPr>
          <w:color w:val="000000"/>
        </w:rPr>
        <w:t>tape, and</w:t>
      </w:r>
      <w:proofErr w:type="gramEnd"/>
      <w:r>
        <w:rPr>
          <w:color w:val="000000"/>
        </w:rPr>
        <w:t xml:space="preserve"> told to stick it on different objects around the classroom. When we returned to our desks the teacher asked us to notice how the sticky tape was no longer sticky, and that it was now covered in dirt and fluff. Th</w:t>
      </w:r>
      <w:r>
        <w:rPr>
          <w:color w:val="000000"/>
        </w:rPr>
        <w:t>is was supposed to show us that having sex with numerous people before marriage meant taking on a piece of each person, and losing some of your 'stickiness', preventing you from having any significant connection with subsequent sexual partners. There was n</w:t>
      </w:r>
      <w:r>
        <w:rPr>
          <w:color w:val="000000"/>
        </w:rPr>
        <w:t>o discourse around the complexities of sex, or sexual relationships. We were simply taught 'don't do it'.</w:t>
      </w:r>
    </w:p>
    <w:p w14:paraId="4E1B6753" w14:textId="77777777" w:rsidR="002F1FCE" w:rsidRDefault="00FB3D65">
      <w:pPr>
        <w:spacing w:after="0" w:line="240" w:lineRule="auto"/>
        <w:jc w:val="right"/>
        <w:rPr>
          <w:color w:val="000000"/>
        </w:rPr>
      </w:pPr>
      <w:r>
        <w:rPr>
          <w:color w:val="000000"/>
          <w:sz w:val="41"/>
          <w:szCs w:val="41"/>
        </w:rPr>
        <w:t>”</w:t>
      </w:r>
    </w:p>
    <w:p w14:paraId="0C57CD1F" w14:textId="77777777" w:rsidR="002F1FCE" w:rsidRDefault="00FB3D65">
      <w:pPr>
        <w:spacing w:line="240" w:lineRule="auto"/>
        <w:rPr>
          <w:color w:val="000000"/>
          <w:sz w:val="41"/>
          <w:szCs w:val="41"/>
        </w:rPr>
      </w:pPr>
      <w:r>
        <w:rPr>
          <w:color w:val="000000"/>
          <w:sz w:val="41"/>
          <w:szCs w:val="41"/>
        </w:rPr>
        <w:t>“</w:t>
      </w:r>
    </w:p>
    <w:p w14:paraId="1F64DC4E" w14:textId="77777777" w:rsidR="002F1FCE" w:rsidRDefault="00FB3D65">
      <w:pPr>
        <w:rPr>
          <w:color w:val="000000"/>
        </w:rPr>
      </w:pPr>
      <w:r>
        <w:rPr>
          <w:color w:val="000000"/>
        </w:rPr>
        <w:lastRenderedPageBreak/>
        <w:t>​​</w:t>
      </w:r>
      <w:r>
        <w:rPr>
          <w:color w:val="000000"/>
        </w:rPr>
        <w:t>In our school they made us write up slurs about sexuality and made people say them out loud. They also made us raise our hands if we felt uncomf</w:t>
      </w:r>
      <w:r>
        <w:rPr>
          <w:color w:val="000000"/>
        </w:rPr>
        <w:t xml:space="preserve">ortable with gay people. For the queer people in the </w:t>
      </w:r>
      <w:proofErr w:type="gramStart"/>
      <w:r>
        <w:rPr>
          <w:color w:val="000000"/>
        </w:rPr>
        <w:t>room</w:t>
      </w:r>
      <w:proofErr w:type="gramEnd"/>
      <w:r>
        <w:rPr>
          <w:color w:val="000000"/>
        </w:rPr>
        <w:t xml:space="preserve"> it was so uncomfortable and upsetting.</w:t>
      </w:r>
    </w:p>
    <w:p w14:paraId="7B645F18" w14:textId="77777777" w:rsidR="002F1FCE" w:rsidRDefault="00FB3D65">
      <w:pPr>
        <w:spacing w:after="0"/>
        <w:jc w:val="right"/>
        <w:rPr>
          <w:color w:val="000000"/>
        </w:rPr>
      </w:pPr>
      <w:r>
        <w:rPr>
          <w:color w:val="000000"/>
          <w:sz w:val="41"/>
          <w:szCs w:val="41"/>
        </w:rPr>
        <w:t>”</w:t>
      </w:r>
    </w:p>
    <w:p w14:paraId="54A115DA" w14:textId="77777777" w:rsidR="002F1FCE" w:rsidRDefault="002F1FCE">
      <w:pPr>
        <w:rPr>
          <w:color w:val="000000"/>
        </w:rPr>
        <w:sectPr w:rsidR="002F1FCE">
          <w:headerReference w:type="even" r:id="rId11"/>
          <w:headerReference w:type="default" r:id="rId12"/>
          <w:footerReference w:type="even" r:id="rId13"/>
          <w:footerReference w:type="default" r:id="rId14"/>
          <w:headerReference w:type="first" r:id="rId15"/>
          <w:footerReference w:type="first" r:id="rId16"/>
          <w:pgSz w:w="11906" w:h="16838"/>
          <w:pgMar w:top="1170" w:right="1440" w:bottom="1440" w:left="1440" w:header="0" w:footer="720" w:gutter="0"/>
          <w:pgNumType w:start="1"/>
          <w:cols w:space="720"/>
          <w:titlePg/>
        </w:sectPr>
      </w:pPr>
    </w:p>
    <w:p w14:paraId="42D02908" w14:textId="77777777" w:rsidR="002F1FCE" w:rsidRDefault="00FB3D65">
      <w:pPr>
        <w:rPr>
          <w:rFonts w:ascii="Montserrat" w:eastAsia="Montserrat" w:hAnsi="Montserrat" w:cs="Montserrat"/>
          <w:b/>
          <w:color w:val="000000"/>
          <w:sz w:val="28"/>
          <w:szCs w:val="28"/>
        </w:rPr>
      </w:pPr>
      <w:r>
        <w:br w:type="page"/>
      </w:r>
    </w:p>
    <w:p w14:paraId="46C2F3C5" w14:textId="032ECADC" w:rsidR="002F1FCE" w:rsidRDefault="00FB3D65">
      <w:pPr>
        <w:rPr>
          <w:rFonts w:ascii="Montserrat" w:eastAsia="Montserrat" w:hAnsi="Montserrat" w:cs="Montserrat"/>
          <w:b/>
          <w:color w:val="000000"/>
          <w:sz w:val="28"/>
          <w:szCs w:val="28"/>
        </w:rPr>
      </w:pPr>
      <w:r>
        <w:rPr>
          <w:rFonts w:ascii="Montserrat" w:eastAsia="Montserrat" w:hAnsi="Montserrat" w:cs="Montserrat"/>
          <w:b/>
          <w:color w:val="000000"/>
          <w:sz w:val="28"/>
          <w:szCs w:val="28"/>
        </w:rPr>
        <w:lastRenderedPageBreak/>
        <w:t>About FYA</w:t>
      </w:r>
    </w:p>
    <w:p w14:paraId="400E9A91" w14:textId="77777777" w:rsidR="002F1FCE" w:rsidRDefault="00FB3D65">
      <w:pPr>
        <w:rPr>
          <w:color w:val="000000"/>
        </w:rPr>
      </w:pPr>
      <w:r>
        <w:rPr>
          <w:color w:val="000000"/>
        </w:rPr>
        <w:t xml:space="preserve">Today’s generation of young people in Australia are facing unprecedented and intersecting crises. They also have the skills, </w:t>
      </w:r>
      <w:proofErr w:type="gramStart"/>
      <w:r>
        <w:rPr>
          <w:color w:val="000000"/>
        </w:rPr>
        <w:t>insight</w:t>
      </w:r>
      <w:proofErr w:type="gramEnd"/>
      <w:r>
        <w:rPr>
          <w:color w:val="000000"/>
        </w:rPr>
        <w:t xml:space="preserve"> and ambition to address them.</w:t>
      </w:r>
    </w:p>
    <w:p w14:paraId="0B4C89E4" w14:textId="77777777" w:rsidR="002F1FCE" w:rsidRDefault="00FB3D65">
      <w:pPr>
        <w:rPr>
          <w:color w:val="000000"/>
        </w:rPr>
      </w:pPr>
      <w:r>
        <w:rPr>
          <w:color w:val="000000"/>
        </w:rPr>
        <w:t xml:space="preserve">FYA’s vision is that young people have the power to beat injustice and transform the future. </w:t>
      </w:r>
      <w:r>
        <w:rPr>
          <w:color w:val="000000"/>
        </w:rPr>
        <w:t>In pursuit of this vision, our purpose is to back young people with the trust, resources, skills, and connections to make change.</w:t>
      </w:r>
    </w:p>
    <w:p w14:paraId="1252A1CF" w14:textId="77777777" w:rsidR="002F1FCE" w:rsidRDefault="002F1FCE">
      <w:pPr>
        <w:rPr>
          <w:color w:val="000000"/>
        </w:rPr>
      </w:pPr>
    </w:p>
    <w:p w14:paraId="07163B99" w14:textId="77777777" w:rsidR="002F1FCE" w:rsidRDefault="002F1FCE">
      <w:pPr>
        <w:rPr>
          <w:color w:val="000000"/>
        </w:rPr>
      </w:pPr>
    </w:p>
    <w:p w14:paraId="7AF9154D" w14:textId="77777777" w:rsidR="002F1FCE" w:rsidRDefault="002F1FCE">
      <w:pPr>
        <w:rPr>
          <w:color w:val="000000"/>
        </w:rPr>
      </w:pPr>
    </w:p>
    <w:p w14:paraId="40B31812" w14:textId="77777777" w:rsidR="002F1FCE" w:rsidRDefault="00FB3D65">
      <w:pPr>
        <w:spacing w:after="200" w:line="240" w:lineRule="auto"/>
        <w:rPr>
          <w:rFonts w:ascii="Montserrat" w:eastAsia="Montserrat" w:hAnsi="Montserrat" w:cs="Montserrat"/>
          <w:b/>
          <w:color w:val="000000"/>
          <w:sz w:val="28"/>
          <w:szCs w:val="28"/>
        </w:rPr>
      </w:pPr>
      <w:r>
        <w:rPr>
          <w:rFonts w:ascii="Montserrat" w:eastAsia="Montserrat" w:hAnsi="Montserrat" w:cs="Montserrat"/>
          <w:b/>
          <w:color w:val="000000"/>
          <w:sz w:val="28"/>
          <w:szCs w:val="28"/>
        </w:rPr>
        <w:t>About Teach Us Consent</w:t>
      </w:r>
    </w:p>
    <w:p w14:paraId="31AF3000" w14:textId="77777777" w:rsidR="002F1FCE" w:rsidRDefault="00FB3D65">
      <w:pPr>
        <w:rPr>
          <w:color w:val="000000"/>
        </w:rPr>
      </w:pPr>
      <w:r>
        <w:rPr>
          <w:color w:val="000000"/>
        </w:rPr>
        <w:t xml:space="preserve">Teach Us Consent was started by former </w:t>
      </w:r>
      <w:proofErr w:type="spellStart"/>
      <w:r>
        <w:rPr>
          <w:color w:val="000000"/>
        </w:rPr>
        <w:t>Kambala</w:t>
      </w:r>
      <w:proofErr w:type="spellEnd"/>
      <w:r>
        <w:rPr>
          <w:color w:val="000000"/>
        </w:rPr>
        <w:t xml:space="preserve"> student Chanel </w:t>
      </w:r>
      <w:proofErr w:type="spellStart"/>
      <w:r>
        <w:rPr>
          <w:color w:val="000000"/>
        </w:rPr>
        <w:t>Contos</w:t>
      </w:r>
      <w:proofErr w:type="spellEnd"/>
      <w:r>
        <w:rPr>
          <w:color w:val="000000"/>
        </w:rPr>
        <w:t xml:space="preserve"> because she "was sick of consta</w:t>
      </w:r>
      <w:r>
        <w:rPr>
          <w:color w:val="000000"/>
        </w:rPr>
        <w:t>ntly hearing my friends' experience of sexual abuse</w:t>
      </w:r>
      <w:proofErr w:type="gramStart"/>
      <w:r>
        <w:rPr>
          <w:color w:val="000000"/>
        </w:rPr>
        <w:t>", and</w:t>
      </w:r>
      <w:proofErr w:type="gramEnd"/>
      <w:r>
        <w:rPr>
          <w:color w:val="000000"/>
        </w:rPr>
        <w:t xml:space="preserve"> is now calling for a bigger focus on consent in sexual education in schools.</w:t>
      </w:r>
    </w:p>
    <w:p w14:paraId="28D13217" w14:textId="77777777" w:rsidR="002F1FCE" w:rsidRDefault="00FB3D65">
      <w:pPr>
        <w:rPr>
          <w:color w:val="000000"/>
        </w:rPr>
        <w:sectPr w:rsidR="002F1FCE">
          <w:type w:val="continuous"/>
          <w:pgSz w:w="11906" w:h="16838"/>
          <w:pgMar w:top="1440" w:right="1440" w:bottom="1440" w:left="1440" w:header="720" w:footer="720" w:gutter="0"/>
          <w:cols w:num="2" w:space="720" w:equalWidth="0">
            <w:col w:w="4152" w:space="720"/>
            <w:col w:w="4152" w:space="0"/>
          </w:cols>
        </w:sectPr>
      </w:pPr>
      <w:r>
        <w:rPr>
          <w:color w:val="000000"/>
        </w:rPr>
        <w:t>There needs to be conversations targeted towards girls that talk about issues that affect them more a</w:t>
      </w:r>
      <w:r>
        <w:rPr>
          <w:color w:val="000000"/>
        </w:rPr>
        <w:t>dversely like slut-shaming, sexual coercion, consent, peer pressure and then there need to be conversations towards boys that talk about toxic masculinity.</w:t>
      </w:r>
    </w:p>
    <w:p w14:paraId="7C7B57C5" w14:textId="660C6E96" w:rsidR="002F1FCE" w:rsidRDefault="00A65E7D">
      <w:pPr>
        <w:spacing w:after="0"/>
        <w:rPr>
          <w:rFonts w:ascii="Montserrat" w:eastAsia="Montserrat" w:hAnsi="Montserrat" w:cs="Montserrat"/>
          <w:b/>
          <w:color w:val="000000"/>
          <w:sz w:val="22"/>
          <w:szCs w:val="22"/>
        </w:rPr>
      </w:pPr>
      <w:r>
        <w:rPr>
          <w:noProof/>
          <w:sz w:val="24"/>
          <w:szCs w:val="24"/>
          <w:lang w:val="en-AU"/>
        </w:rPr>
        <mc:AlternateContent>
          <mc:Choice Requires="wps">
            <w:drawing>
              <wp:anchor distT="621665" distB="718185" distL="155575" distR="1707515" simplePos="0" relativeHeight="251668480" behindDoc="0" locked="0" layoutInCell="1" allowOverlap="1" wp14:anchorId="516B28D9" wp14:editId="36FFCE16">
                <wp:simplePos x="0" y="0"/>
                <wp:positionH relativeFrom="margin">
                  <wp:posOffset>3244850</wp:posOffset>
                </wp:positionH>
                <wp:positionV relativeFrom="page">
                  <wp:posOffset>5372735</wp:posOffset>
                </wp:positionV>
                <wp:extent cx="1685290" cy="2101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463C3" w14:textId="77777777" w:rsidR="00A65E7D" w:rsidRDefault="00A65E7D" w:rsidP="00A65E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B28D9" id="_x0000_t202" coordsize="21600,21600" o:spt="202" path="m,l,21600r21600,l21600,xe">
                <v:stroke joinstyle="miter"/>
                <v:path gradientshapeok="t" o:connecttype="rect"/>
              </v:shapetype>
              <v:shape id="Text Box 6" o:spid="_x0000_s1026" type="#_x0000_t202" style="position:absolute;margin-left:255.5pt;margin-top:423.05pt;width:132.7pt;height:16.55pt;z-index:251668480;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" fillcolor="black" stroked="f">
                <v:textbox inset="0,0,0,0">
                  <w:txbxContent>
                    <w:p w14:paraId="363463C3" w14:textId="77777777" w:rsidR="00A65E7D" w:rsidRDefault="00A65E7D" w:rsidP="00A65E7D"/>
                  </w:txbxContent>
                </v:textbox>
                <w10:wrap anchorx="margin" anchory="page"/>
              </v:shape>
            </w:pict>
          </mc:Fallback>
        </mc:AlternateContent>
      </w:r>
    </w:p>
    <w:tbl>
      <w:tblPr>
        <w:tblStyle w:val="a5"/>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660"/>
        <w:gridCol w:w="4200"/>
      </w:tblGrid>
      <w:tr w:rsidR="002F1FCE" w14:paraId="740C1561" w14:textId="77777777">
        <w:tc>
          <w:tcPr>
            <w:tcW w:w="4185" w:type="dxa"/>
            <w:tcBorders>
              <w:top w:val="single" w:sz="18" w:space="0" w:color="EFEFEF"/>
              <w:left w:val="single" w:sz="18" w:space="0" w:color="EFEFEF"/>
              <w:bottom w:val="single" w:sz="18" w:space="0" w:color="EFEFEF"/>
              <w:right w:val="single" w:sz="18" w:space="0" w:color="FFFFFF"/>
            </w:tcBorders>
            <w:shd w:val="clear" w:color="auto" w:fill="EFEFEF"/>
            <w:tcMar>
              <w:top w:w="288" w:type="dxa"/>
              <w:left w:w="288" w:type="dxa"/>
              <w:bottom w:w="288" w:type="dxa"/>
              <w:right w:w="288" w:type="dxa"/>
            </w:tcMar>
          </w:tcPr>
          <w:p w14:paraId="22E32258" w14:textId="77777777" w:rsidR="002F1FCE" w:rsidRDefault="00FB3D65">
            <w:pPr>
              <w:spacing w:after="0"/>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w:t>
            </w:r>
          </w:p>
          <w:p w14:paraId="7EA95485" w14:textId="77777777" w:rsidR="002F1FCE" w:rsidRDefault="002F1FCE">
            <w:pPr>
              <w:spacing w:after="0"/>
              <w:rPr>
                <w:rFonts w:ascii="Montserrat" w:eastAsia="Montserrat" w:hAnsi="Montserrat" w:cs="Montserrat"/>
                <w:b/>
                <w:color w:val="000000"/>
                <w:sz w:val="22"/>
                <w:szCs w:val="22"/>
              </w:rPr>
            </w:pPr>
          </w:p>
          <w:p w14:paraId="411C6841" w14:textId="77777777" w:rsidR="002F1FCE" w:rsidRDefault="00FB3D65">
            <w:pPr>
              <w:spacing w:after="0"/>
              <w:rPr>
                <w:color w:val="000000"/>
              </w:rPr>
            </w:pPr>
            <w:r>
              <w:rPr>
                <w:color w:val="000000"/>
              </w:rPr>
              <w:t>Lee Carnie (they/them)</w:t>
            </w:r>
          </w:p>
          <w:p w14:paraId="79D85BDA" w14:textId="6CDEBA81" w:rsidR="002F1FCE" w:rsidRDefault="00A65E7D">
            <w:pPr>
              <w:spacing w:after="0"/>
              <w:rPr>
                <w:color w:val="000000"/>
              </w:rPr>
            </w:pPr>
            <w:r>
              <w:rPr>
                <w:noProof/>
                <w:sz w:val="24"/>
                <w:szCs w:val="24"/>
                <w:lang w:val="en-AU"/>
              </w:rPr>
              <mc:AlternateContent>
                <mc:Choice Requires="wps">
                  <w:drawing>
                    <wp:anchor distT="621665" distB="718185" distL="155575" distR="1707515" simplePos="0" relativeHeight="251662336" behindDoc="0" locked="0" layoutInCell="1" allowOverlap="1" wp14:anchorId="4CEA502A" wp14:editId="2B821C2C">
                      <wp:simplePos x="0" y="0"/>
                      <wp:positionH relativeFrom="margin">
                        <wp:posOffset>-22225</wp:posOffset>
                      </wp:positionH>
                      <wp:positionV relativeFrom="page">
                        <wp:posOffset>755650</wp:posOffset>
                      </wp:positionV>
                      <wp:extent cx="1685290" cy="2101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0BB2" w14:textId="77777777" w:rsidR="00A65E7D" w:rsidRDefault="00A65E7D" w:rsidP="00A65E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A502A" id="Text Box 13" o:spid="_x0000_s1027" type="#_x0000_t202" style="position:absolute;margin-left:-1.75pt;margin-top:59.5pt;width:132.7pt;height:16.55pt;z-index:251662336;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" fillcolor="black" stroked="f">
                      <v:textbox inset="0,0,0,0">
                        <w:txbxContent>
                          <w:p w14:paraId="66470BB2" w14:textId="77777777" w:rsidR="00A65E7D" w:rsidRDefault="00A65E7D" w:rsidP="00A65E7D"/>
                        </w:txbxContent>
                      </v:textbox>
                      <w10:wrap anchorx="margin" anchory="page"/>
                    </v:shape>
                  </w:pict>
                </mc:Fallback>
              </mc:AlternateContent>
            </w:r>
            <w:r w:rsidR="00FB3D65">
              <w:rPr>
                <w:color w:val="000000"/>
              </w:rPr>
              <w:t>Executive Director - Advocacy</w:t>
            </w:r>
          </w:p>
          <w:p w14:paraId="0D88485A" w14:textId="63B5E641" w:rsidR="002F1FCE" w:rsidRDefault="00A65E7D">
            <w:pPr>
              <w:spacing w:after="0"/>
              <w:rPr>
                <w:color w:val="000000"/>
              </w:rPr>
            </w:pPr>
            <w:r>
              <w:rPr>
                <w:noProof/>
                <w:sz w:val="24"/>
                <w:szCs w:val="24"/>
                <w:lang w:val="en-AU"/>
              </w:rPr>
              <mc:AlternateContent>
                <mc:Choice Requires="wps">
                  <w:drawing>
                    <wp:anchor distT="621665" distB="718185" distL="155575" distR="1707515" simplePos="0" relativeHeight="251664384" behindDoc="0" locked="0" layoutInCell="1" allowOverlap="1" wp14:anchorId="423C12D7" wp14:editId="7BA6C287">
                      <wp:simplePos x="0" y="0"/>
                      <wp:positionH relativeFrom="margin">
                        <wp:posOffset>-13335</wp:posOffset>
                      </wp:positionH>
                      <wp:positionV relativeFrom="page">
                        <wp:posOffset>978535</wp:posOffset>
                      </wp:positionV>
                      <wp:extent cx="1685290" cy="2101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F9BA7" w14:textId="77777777" w:rsidR="00A65E7D" w:rsidRDefault="00A65E7D" w:rsidP="00A65E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12D7" id="Text Box 3" o:spid="_x0000_s1028" type="#_x0000_t202" style="position:absolute;margin-left:-1.05pt;margin-top:77.05pt;width:132.7pt;height:16.55pt;z-index:251664384;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" fillcolor="black" stroked="f">
                      <v:textbox inset="0,0,0,0">
                        <w:txbxContent>
                          <w:p w14:paraId="397F9BA7" w14:textId="77777777" w:rsidR="00A65E7D" w:rsidRDefault="00A65E7D" w:rsidP="00A65E7D"/>
                        </w:txbxContent>
                      </v:textbox>
                      <w10:wrap anchorx="margin" anchory="page"/>
                    </v:shape>
                  </w:pict>
                </mc:Fallback>
              </mc:AlternateContent>
            </w:r>
          </w:p>
        </w:tc>
        <w:tc>
          <w:tcPr>
            <w:tcW w:w="660" w:type="dxa"/>
            <w:tcBorders>
              <w:top w:val="single" w:sz="18" w:space="0" w:color="FFFFFF"/>
              <w:left w:val="single" w:sz="18" w:space="0" w:color="FFFFFF"/>
              <w:bottom w:val="single" w:sz="18" w:space="0" w:color="FFFFFF"/>
              <w:right w:val="single" w:sz="18" w:space="0" w:color="FFFFFF"/>
            </w:tcBorders>
            <w:shd w:val="clear" w:color="auto" w:fill="FFFFFF"/>
            <w:tcMar>
              <w:top w:w="288" w:type="dxa"/>
              <w:left w:w="288" w:type="dxa"/>
              <w:bottom w:w="288" w:type="dxa"/>
              <w:right w:w="288" w:type="dxa"/>
            </w:tcMar>
          </w:tcPr>
          <w:p w14:paraId="404C6EF3" w14:textId="77777777" w:rsidR="002F1FCE" w:rsidRDefault="002F1FCE">
            <w:pPr>
              <w:spacing w:after="0"/>
              <w:rPr>
                <w:rFonts w:ascii="Montserrat" w:eastAsia="Montserrat" w:hAnsi="Montserrat" w:cs="Montserrat"/>
                <w:b/>
                <w:color w:val="000000"/>
                <w:sz w:val="22"/>
                <w:szCs w:val="22"/>
              </w:rPr>
            </w:pPr>
          </w:p>
        </w:tc>
        <w:tc>
          <w:tcPr>
            <w:tcW w:w="4200" w:type="dxa"/>
            <w:tcBorders>
              <w:top w:val="single" w:sz="18" w:space="0" w:color="EFEFEF"/>
              <w:left w:val="single" w:sz="18" w:space="0" w:color="FFFFFF"/>
              <w:bottom w:val="single" w:sz="18" w:space="0" w:color="EFEFEF"/>
              <w:right w:val="single" w:sz="18" w:space="0" w:color="EFEFEF"/>
            </w:tcBorders>
            <w:shd w:val="clear" w:color="auto" w:fill="EFEFEF"/>
            <w:tcMar>
              <w:top w:w="288" w:type="dxa"/>
              <w:left w:w="288" w:type="dxa"/>
              <w:bottom w:w="288" w:type="dxa"/>
              <w:right w:w="288" w:type="dxa"/>
            </w:tcMar>
          </w:tcPr>
          <w:p w14:paraId="4F493A57" w14:textId="77777777" w:rsidR="002F1FCE" w:rsidRDefault="00FB3D65">
            <w:pPr>
              <w:spacing w:after="0"/>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w:t>
            </w:r>
          </w:p>
          <w:p w14:paraId="4750022F" w14:textId="77777777" w:rsidR="002F1FCE" w:rsidRDefault="002F1FCE">
            <w:pPr>
              <w:spacing w:after="0"/>
              <w:rPr>
                <w:rFonts w:ascii="Montserrat" w:eastAsia="Montserrat" w:hAnsi="Montserrat" w:cs="Montserrat"/>
                <w:b/>
                <w:color w:val="000000"/>
                <w:sz w:val="22"/>
                <w:szCs w:val="22"/>
              </w:rPr>
            </w:pPr>
          </w:p>
          <w:p w14:paraId="63709219" w14:textId="77777777" w:rsidR="002F1FCE" w:rsidRDefault="00FB3D65">
            <w:pPr>
              <w:spacing w:after="0"/>
              <w:rPr>
                <w:color w:val="000000"/>
              </w:rPr>
            </w:pPr>
            <w:r>
              <w:rPr>
                <w:color w:val="000000"/>
              </w:rPr>
              <w:t xml:space="preserve">Chanel </w:t>
            </w:r>
            <w:proofErr w:type="spellStart"/>
            <w:r>
              <w:rPr>
                <w:color w:val="000000"/>
              </w:rPr>
              <w:t>Contos</w:t>
            </w:r>
            <w:proofErr w:type="spellEnd"/>
            <w:r>
              <w:rPr>
                <w:color w:val="000000"/>
              </w:rPr>
              <w:t xml:space="preserve"> </w:t>
            </w:r>
          </w:p>
          <w:p w14:paraId="70A1BECB" w14:textId="7E0CC9F7" w:rsidR="002F1FCE" w:rsidRDefault="00A65E7D">
            <w:pPr>
              <w:spacing w:after="0"/>
              <w:rPr>
                <w:color w:val="000000"/>
              </w:rPr>
            </w:pPr>
            <w:r>
              <w:rPr>
                <w:noProof/>
                <w:sz w:val="24"/>
                <w:szCs w:val="24"/>
                <w:lang w:val="en-AU"/>
              </w:rPr>
              <mc:AlternateContent>
                <mc:Choice Requires="wps">
                  <w:drawing>
                    <wp:anchor distT="621665" distB="718185" distL="155575" distR="1707515" simplePos="0" relativeHeight="251666432" behindDoc="0" locked="0" layoutInCell="1" allowOverlap="1" wp14:anchorId="78356B05" wp14:editId="0AD11B32">
                      <wp:simplePos x="0" y="0"/>
                      <wp:positionH relativeFrom="margin">
                        <wp:posOffset>-29210</wp:posOffset>
                      </wp:positionH>
                      <wp:positionV relativeFrom="page">
                        <wp:posOffset>723265</wp:posOffset>
                      </wp:positionV>
                      <wp:extent cx="1685290" cy="210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101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289E9" w14:textId="77777777" w:rsidR="00A65E7D" w:rsidRDefault="00A65E7D" w:rsidP="00A65E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6B05" id="Text Box 4" o:spid="_x0000_s1029" type="#_x0000_t202" style="position:absolute;margin-left:-2.3pt;margin-top:56.95pt;width:132.7pt;height:16.55pt;z-index:251666432;visibility:visible;mso-wrap-style:square;mso-width-percent:0;mso-height-percent:0;mso-wrap-distance-left:12.25pt;mso-wrap-distance-top:48.95pt;mso-wrap-distance-right:134.45pt;mso-wrap-distance-bottom:56.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" fillcolor="black" stroked="f">
                      <v:textbox inset="0,0,0,0">
                        <w:txbxContent>
                          <w:p w14:paraId="7DB289E9" w14:textId="77777777" w:rsidR="00A65E7D" w:rsidRDefault="00A65E7D" w:rsidP="00A65E7D"/>
                        </w:txbxContent>
                      </v:textbox>
                      <w10:wrap anchorx="margin" anchory="page"/>
                    </v:shape>
                  </w:pict>
                </mc:Fallback>
              </mc:AlternateContent>
            </w:r>
            <w:r w:rsidR="00FB3D65">
              <w:rPr>
                <w:color w:val="000000"/>
              </w:rPr>
              <w:t>Founder</w:t>
            </w:r>
          </w:p>
          <w:p w14:paraId="026B93A7" w14:textId="0E20E5F2" w:rsidR="002F1FCE" w:rsidRDefault="002F1FCE">
            <w:pPr>
              <w:spacing w:after="0"/>
              <w:rPr>
                <w:color w:val="000000"/>
              </w:rPr>
            </w:pPr>
          </w:p>
        </w:tc>
      </w:tr>
    </w:tbl>
    <w:p w14:paraId="0E9D0E6C" w14:textId="03D4FC76" w:rsidR="002F1FCE" w:rsidRDefault="002F1FCE">
      <w:pPr>
        <w:spacing w:after="200" w:line="240" w:lineRule="auto"/>
        <w:sectPr w:rsidR="002F1FCE">
          <w:type w:val="continuous"/>
          <w:pgSz w:w="11906" w:h="16838"/>
          <w:pgMar w:top="1440" w:right="1440" w:bottom="1440" w:left="1440" w:header="720" w:footer="720" w:gutter="0"/>
          <w:cols w:space="720"/>
        </w:sectPr>
      </w:pPr>
    </w:p>
    <w:p w14:paraId="3A3F0A18" w14:textId="4E25E146" w:rsidR="002F1FCE" w:rsidRDefault="002F1FCE">
      <w:pPr>
        <w:rPr>
          <w:rFonts w:ascii="Montserrat" w:eastAsia="Montserrat" w:hAnsi="Montserrat" w:cs="Montserrat"/>
          <w:b/>
          <w:color w:val="FC332D"/>
          <w:sz w:val="28"/>
          <w:szCs w:val="28"/>
        </w:rPr>
      </w:pPr>
    </w:p>
    <w:p w14:paraId="1F7311CA" w14:textId="606E2EF8" w:rsidR="002F1FCE" w:rsidRDefault="002F1FCE">
      <w:pPr>
        <w:rPr>
          <w:rFonts w:ascii="Montserrat" w:eastAsia="Montserrat" w:hAnsi="Montserrat" w:cs="Montserrat"/>
          <w:b/>
          <w:color w:val="000000"/>
          <w:sz w:val="28"/>
          <w:szCs w:val="28"/>
        </w:rPr>
        <w:sectPr w:rsidR="002F1FCE">
          <w:type w:val="continuous"/>
          <w:pgSz w:w="11906" w:h="16838"/>
          <w:pgMar w:top="1440" w:right="1440" w:bottom="1440" w:left="1440" w:header="720" w:footer="720" w:gutter="0"/>
          <w:cols w:num="2" w:space="720" w:equalWidth="0">
            <w:col w:w="4152" w:space="720"/>
            <w:col w:w="4152" w:space="0"/>
          </w:cols>
        </w:sectPr>
      </w:pPr>
    </w:p>
    <w:p w14:paraId="1C7E2869" w14:textId="009B5147" w:rsidR="002F1FCE" w:rsidRDefault="002F1FCE">
      <w:pPr>
        <w:rPr>
          <w:rFonts w:ascii="Montserrat" w:eastAsia="Montserrat" w:hAnsi="Montserrat" w:cs="Montserrat"/>
          <w:b/>
          <w:color w:val="000000"/>
          <w:sz w:val="28"/>
          <w:szCs w:val="28"/>
        </w:rPr>
      </w:pPr>
    </w:p>
    <w:p w14:paraId="2EE0F633" w14:textId="16AC2B79" w:rsidR="002F1FCE" w:rsidRDefault="002F1FCE">
      <w:pPr>
        <w:rPr>
          <w:rFonts w:ascii="Montserrat" w:eastAsia="Montserrat" w:hAnsi="Montserrat" w:cs="Montserrat"/>
          <w:color w:val="000000"/>
          <w:sz w:val="20"/>
          <w:szCs w:val="20"/>
        </w:rPr>
      </w:pPr>
    </w:p>
    <w:sectPr w:rsidR="002F1FCE">
      <w:type w:val="continuous"/>
      <w:pgSz w:w="11906" w:h="16838"/>
      <w:pgMar w:top="1440" w:right="1440" w:bottom="1440" w:left="1440" w:header="720" w:footer="720" w:gutter="0"/>
      <w:cols w:space="720"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4B8E9" w14:textId="77777777" w:rsidR="00000000" w:rsidRDefault="00FB3D65">
      <w:pPr>
        <w:spacing w:after="0" w:line="240" w:lineRule="auto"/>
      </w:pPr>
      <w:r>
        <w:separator/>
      </w:r>
    </w:p>
  </w:endnote>
  <w:endnote w:type="continuationSeparator" w:id="0">
    <w:p w14:paraId="3DC27848" w14:textId="77777777" w:rsidR="00000000" w:rsidRDefault="00FB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Proxima Nova">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678A" w14:textId="77777777" w:rsidR="00A65E7D" w:rsidRDefault="00A6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A6D4" w14:textId="77777777" w:rsidR="002F1FCE" w:rsidRDefault="00FB3D65">
    <w:pPr>
      <w:pBdr>
        <w:top w:val="nil"/>
        <w:left w:val="nil"/>
        <w:bottom w:val="nil"/>
        <w:right w:val="nil"/>
        <w:between w:val="nil"/>
      </w:pBdr>
      <w:spacing w:line="240" w:lineRule="auto"/>
      <w:ind w:right="-600"/>
      <w:jc w:val="right"/>
    </w:pPr>
    <w:r>
      <w:rPr>
        <w:b/>
        <w:color w:val="999999"/>
      </w:rPr>
      <w:br/>
    </w:r>
    <w:r>
      <w:rPr>
        <w:b/>
        <w:color w:val="999999"/>
      </w:rPr>
      <w:br/>
    </w:r>
    <w:r>
      <w:rPr>
        <w:rFonts w:ascii="Montserrat" w:eastAsia="Montserrat" w:hAnsi="Montserrat" w:cs="Montserrat"/>
        <w:color w:val="999999"/>
        <w:sz w:val="16"/>
        <w:szCs w:val="16"/>
      </w:rPr>
      <w:t xml:space="preserve">  </w:t>
    </w:r>
    <w:r>
      <w:rPr>
        <w:rFonts w:ascii="Montserrat" w:eastAsia="Montserrat" w:hAnsi="Montserrat" w:cs="Montserrat"/>
        <w:color w:val="999999"/>
        <w:sz w:val="16"/>
        <w:szCs w:val="16"/>
      </w:rPr>
      <w:fldChar w:fldCharType="begin"/>
    </w:r>
    <w:r>
      <w:rPr>
        <w:rFonts w:ascii="Montserrat" w:eastAsia="Montserrat" w:hAnsi="Montserrat" w:cs="Montserrat"/>
        <w:color w:val="999999"/>
        <w:sz w:val="16"/>
        <w:szCs w:val="16"/>
      </w:rPr>
      <w:instrText>PAGE</w:instrText>
    </w:r>
    <w:r w:rsidR="00A65E7D">
      <w:rPr>
        <w:rFonts w:ascii="Montserrat" w:eastAsia="Montserrat" w:hAnsi="Montserrat" w:cs="Montserrat"/>
        <w:color w:val="999999"/>
        <w:sz w:val="16"/>
        <w:szCs w:val="16"/>
      </w:rPr>
      <w:fldChar w:fldCharType="separate"/>
    </w:r>
    <w:r w:rsidR="00A65E7D">
      <w:rPr>
        <w:rFonts w:ascii="Montserrat" w:eastAsia="Montserrat" w:hAnsi="Montserrat" w:cs="Montserrat"/>
        <w:noProof/>
        <w:color w:val="999999"/>
        <w:sz w:val="16"/>
        <w:szCs w:val="16"/>
      </w:rPr>
      <w:t>2</w:t>
    </w:r>
    <w:r>
      <w:rPr>
        <w:rFonts w:ascii="Montserrat" w:eastAsia="Montserrat" w:hAnsi="Montserrat" w:cs="Montserrat"/>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B2BA" w14:textId="77777777" w:rsidR="002F1FCE" w:rsidRDefault="00FB3D65">
    <w:pPr>
      <w:pBdr>
        <w:top w:val="nil"/>
        <w:left w:val="nil"/>
        <w:bottom w:val="nil"/>
        <w:right w:val="nil"/>
        <w:between w:val="nil"/>
      </w:pBdr>
    </w:pPr>
    <w:r>
      <w:rPr>
        <w:noProof/>
      </w:rPr>
      <w:drawing>
        <wp:anchor distT="114300" distB="114300" distL="114300" distR="114300" simplePos="0" relativeHeight="251658240" behindDoc="0" locked="0" layoutInCell="1" hidden="0" allowOverlap="1" wp14:anchorId="1DD1A9B8" wp14:editId="0F68BF41">
          <wp:simplePos x="0" y="0"/>
          <wp:positionH relativeFrom="column">
            <wp:posOffset>4267200</wp:posOffset>
          </wp:positionH>
          <wp:positionV relativeFrom="paragraph">
            <wp:posOffset>899925</wp:posOffset>
          </wp:positionV>
          <wp:extent cx="2333625" cy="9620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8163" b="30612"/>
                  <a:stretch>
                    <a:fillRect/>
                  </a:stretch>
                </pic:blipFill>
                <pic:spPr>
                  <a:xfrm>
                    <a:off x="0" y="0"/>
                    <a:ext cx="2333625" cy="9620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955DA" w14:textId="77777777" w:rsidR="00000000" w:rsidRDefault="00FB3D65">
      <w:pPr>
        <w:spacing w:after="0" w:line="240" w:lineRule="auto"/>
      </w:pPr>
      <w:r>
        <w:separator/>
      </w:r>
    </w:p>
  </w:footnote>
  <w:footnote w:type="continuationSeparator" w:id="0">
    <w:p w14:paraId="46F4FFFB" w14:textId="77777777" w:rsidR="00000000" w:rsidRDefault="00FB3D65">
      <w:pPr>
        <w:spacing w:after="0" w:line="240" w:lineRule="auto"/>
      </w:pPr>
      <w:r>
        <w:continuationSeparator/>
      </w:r>
    </w:p>
  </w:footnote>
  <w:footnote w:id="1">
    <w:p w14:paraId="407DD80F" w14:textId="77777777" w:rsidR="002F1FCE" w:rsidRDefault="00FB3D65">
      <w:pPr>
        <w:spacing w:after="0" w:line="240" w:lineRule="auto"/>
        <w:rPr>
          <w:sz w:val="20"/>
          <w:szCs w:val="20"/>
        </w:rPr>
      </w:pPr>
      <w:r>
        <w:rPr>
          <w:vertAlign w:val="superscript"/>
        </w:rPr>
        <w:footnoteRef/>
      </w:r>
      <w:r>
        <w:rPr>
          <w:sz w:val="20"/>
          <w:szCs w:val="20"/>
        </w:rPr>
        <w:t xml:space="preserve"> </w:t>
      </w:r>
      <w:r>
        <w:rPr>
          <w:color w:val="000000"/>
          <w:sz w:val="16"/>
          <w:szCs w:val="16"/>
        </w:rPr>
        <w:t>Paulina Ezer, Lucille Kerr, Christopher M. Fisher, Andrea Waling, Rosalind Bellamy &amp; Jayne Lucke (2020) School-based relationship and sexuality education: what has changed since the release of t</w:t>
      </w:r>
      <w:r>
        <w:rPr>
          <w:color w:val="000000"/>
          <w:sz w:val="16"/>
          <w:szCs w:val="16"/>
        </w:rPr>
        <w:t>he Australian Curriculum?, Sex Education, 20:6, 642-657, DOI: 10.1080/14681811.2020.1720634</w:t>
      </w:r>
    </w:p>
  </w:footnote>
  <w:footnote w:id="2">
    <w:p w14:paraId="36D6A12D"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ibid.</w:t>
      </w:r>
    </w:p>
  </w:footnote>
  <w:footnote w:id="3">
    <w:p w14:paraId="62F1FA23" w14:textId="77777777" w:rsidR="002F1FCE" w:rsidRDefault="00FB3D65">
      <w:pPr>
        <w:spacing w:after="0" w:line="240" w:lineRule="auto"/>
        <w:rPr>
          <w:sz w:val="16"/>
          <w:szCs w:val="16"/>
        </w:rPr>
      </w:pPr>
      <w:r>
        <w:rPr>
          <w:vertAlign w:val="superscript"/>
        </w:rPr>
        <w:footnoteRef/>
      </w:r>
      <w:r>
        <w:rPr>
          <w:sz w:val="16"/>
          <w:szCs w:val="16"/>
        </w:rPr>
        <w:t xml:space="preserve"> ibid.</w:t>
      </w:r>
    </w:p>
  </w:footnote>
  <w:footnote w:id="4">
    <w:p w14:paraId="7815F2CB" w14:textId="77777777" w:rsidR="002F1FCE" w:rsidRDefault="00FB3D65">
      <w:pPr>
        <w:spacing w:after="0" w:line="240" w:lineRule="auto"/>
        <w:rPr>
          <w:sz w:val="16"/>
          <w:szCs w:val="16"/>
        </w:rPr>
      </w:pPr>
      <w:r>
        <w:rPr>
          <w:vertAlign w:val="superscript"/>
        </w:rPr>
        <w:footnoteRef/>
      </w:r>
      <w:r>
        <w:rPr>
          <w:sz w:val="16"/>
          <w:szCs w:val="16"/>
        </w:rPr>
        <w:t xml:space="preserve"> ibid.</w:t>
      </w:r>
    </w:p>
  </w:footnote>
  <w:footnote w:id="5">
    <w:p w14:paraId="7D104D07" w14:textId="77777777" w:rsidR="002F1FCE" w:rsidRDefault="00FB3D65">
      <w:pPr>
        <w:spacing w:after="0" w:line="240" w:lineRule="auto"/>
        <w:rPr>
          <w:sz w:val="20"/>
          <w:szCs w:val="20"/>
        </w:rPr>
      </w:pPr>
      <w:r>
        <w:rPr>
          <w:vertAlign w:val="superscript"/>
        </w:rPr>
        <w:footnoteRef/>
      </w:r>
      <w:r>
        <w:rPr>
          <w:sz w:val="20"/>
          <w:szCs w:val="20"/>
        </w:rPr>
        <w:t xml:space="preserve"> </w:t>
      </w:r>
      <w:r>
        <w:rPr>
          <w:color w:val="000000"/>
          <w:sz w:val="16"/>
          <w:szCs w:val="16"/>
        </w:rPr>
        <w:t xml:space="preserve"> K. Ann Sondag, Andrew G. Johnson &amp; Mary E. Parrish (2020): School sex education: Teachers' and young adults' perceptions of relevance for LGBT students, Journal </w:t>
      </w:r>
      <w:r>
        <w:rPr>
          <w:color w:val="000000"/>
          <w:sz w:val="16"/>
          <w:szCs w:val="16"/>
        </w:rPr>
        <w:t>of LGBT Youth, DOI: 10.1080/19361653.2020.1789530</w:t>
      </w:r>
    </w:p>
  </w:footnote>
  <w:footnote w:id="6">
    <w:p w14:paraId="75680C56"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ibid.</w:t>
      </w:r>
    </w:p>
  </w:footnote>
  <w:footnote w:id="7">
    <w:p w14:paraId="33AE36C1" w14:textId="77777777" w:rsidR="002F1FCE" w:rsidRDefault="00FB3D65">
      <w:pPr>
        <w:spacing w:after="0" w:line="240" w:lineRule="auto"/>
        <w:rPr>
          <w:color w:val="000000"/>
          <w:sz w:val="16"/>
          <w:szCs w:val="16"/>
        </w:rPr>
      </w:pPr>
      <w:r>
        <w:rPr>
          <w:vertAlign w:val="superscript"/>
        </w:rPr>
        <w:footnoteRef/>
      </w:r>
      <w:r>
        <w:rPr>
          <w:sz w:val="20"/>
          <w:szCs w:val="20"/>
        </w:rPr>
        <w:t xml:space="preserve"> </w:t>
      </w:r>
      <w:r>
        <w:rPr>
          <w:color w:val="000000"/>
          <w:sz w:val="16"/>
          <w:szCs w:val="16"/>
        </w:rPr>
        <w:t>ibid.</w:t>
      </w:r>
    </w:p>
  </w:footnote>
  <w:footnote w:id="8">
    <w:p w14:paraId="3D77592A" w14:textId="77777777" w:rsidR="002F1FCE" w:rsidRDefault="00FB3D65">
      <w:pPr>
        <w:spacing w:after="0" w:line="240" w:lineRule="auto"/>
        <w:rPr>
          <w:color w:val="000000"/>
          <w:sz w:val="16"/>
          <w:szCs w:val="16"/>
        </w:rPr>
      </w:pPr>
      <w:r>
        <w:rPr>
          <w:vertAlign w:val="superscript"/>
        </w:rPr>
        <w:footnoteRef/>
      </w:r>
      <w:r>
        <w:rPr>
          <w:color w:val="000000"/>
          <w:sz w:val="20"/>
          <w:szCs w:val="20"/>
        </w:rPr>
        <w:t xml:space="preserve"> </w:t>
      </w:r>
      <w:r>
        <w:rPr>
          <w:color w:val="000000"/>
          <w:sz w:val="16"/>
          <w:szCs w:val="16"/>
        </w:rPr>
        <w:t>Fida Sanjakdar, Louisa Allen, Mary Lou Rasmussen, Kathleen Quinlivan, Annette Brömdal &amp; Clive Aspin (2015) In Search of Critical Pedagogy in Sexuality Education: Visions, Imaginations, and Paradoxes, Review of Education, Pedagogy, and Cultural Studies, 37:</w:t>
      </w:r>
      <w:r>
        <w:rPr>
          <w:color w:val="000000"/>
          <w:sz w:val="16"/>
          <w:szCs w:val="16"/>
        </w:rPr>
        <w:t>1, 53-70, DOI: 10.1080/10714413.2015.988537</w:t>
      </w:r>
    </w:p>
  </w:footnote>
  <w:footnote w:id="9">
    <w:p w14:paraId="26A46BF0"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ibid.</w:t>
      </w:r>
    </w:p>
  </w:footnote>
  <w:footnote w:id="10">
    <w:p w14:paraId="0CCD9B33"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ibid.</w:t>
      </w:r>
    </w:p>
  </w:footnote>
  <w:footnote w:id="11">
    <w:p w14:paraId="46C7B22B" w14:textId="77777777" w:rsidR="002F1FCE" w:rsidRDefault="00FB3D65">
      <w:pPr>
        <w:spacing w:after="0" w:line="240" w:lineRule="auto"/>
        <w:rPr>
          <w:color w:val="000000"/>
          <w:sz w:val="16"/>
          <w:szCs w:val="16"/>
        </w:rPr>
      </w:pPr>
      <w:r>
        <w:rPr>
          <w:vertAlign w:val="superscript"/>
        </w:rPr>
        <w:footnoteRef/>
      </w:r>
      <w:r>
        <w:rPr>
          <w:color w:val="000000"/>
          <w:sz w:val="20"/>
          <w:szCs w:val="20"/>
        </w:rPr>
        <w:t xml:space="preserve"> </w:t>
      </w:r>
      <w:r>
        <w:rPr>
          <w:color w:val="000000"/>
          <w:sz w:val="16"/>
          <w:szCs w:val="16"/>
        </w:rPr>
        <w:t>ibid.</w:t>
      </w:r>
    </w:p>
  </w:footnote>
  <w:footnote w:id="12">
    <w:p w14:paraId="760AEFC3" w14:textId="77777777" w:rsidR="002F1FCE" w:rsidRDefault="00FB3D65">
      <w:pPr>
        <w:spacing w:after="0" w:line="240" w:lineRule="auto"/>
        <w:rPr>
          <w:sz w:val="16"/>
          <w:szCs w:val="16"/>
        </w:rPr>
      </w:pPr>
      <w:r>
        <w:rPr>
          <w:vertAlign w:val="superscript"/>
        </w:rPr>
        <w:footnoteRef/>
      </w:r>
      <w:r>
        <w:rPr>
          <w:sz w:val="16"/>
          <w:szCs w:val="16"/>
        </w:rPr>
        <w:t xml:space="preserve"> </w:t>
      </w:r>
      <w:r>
        <w:rPr>
          <w:color w:val="000000"/>
          <w:sz w:val="16"/>
          <w:szCs w:val="16"/>
        </w:rPr>
        <w:t>Sarah Oerton &amp; Helen Bowen (2014) Key Issues in Sex Education: reflecting on teaching, learning and assessment, Sex Education, 14:6, 679-691, DOI: 10.1080/14681811.</w:t>
      </w:r>
      <w:r>
        <w:rPr>
          <w:color w:val="000000"/>
          <w:sz w:val="16"/>
          <w:szCs w:val="16"/>
        </w:rPr>
        <w:t>2014.924919</w:t>
      </w:r>
    </w:p>
  </w:footnote>
  <w:footnote w:id="13">
    <w:p w14:paraId="1C9D0B5F" w14:textId="77777777" w:rsidR="002F1FCE" w:rsidRDefault="00FB3D65">
      <w:pPr>
        <w:spacing w:after="0" w:line="240" w:lineRule="auto"/>
        <w:rPr>
          <w:sz w:val="16"/>
          <w:szCs w:val="16"/>
        </w:rPr>
      </w:pPr>
      <w:r>
        <w:rPr>
          <w:vertAlign w:val="superscript"/>
        </w:rPr>
        <w:footnoteRef/>
      </w:r>
      <w:r>
        <w:rPr>
          <w:sz w:val="16"/>
          <w:szCs w:val="16"/>
        </w:rPr>
        <w:t xml:space="preserve"> </w:t>
      </w:r>
      <w:r>
        <w:rPr>
          <w:color w:val="000000"/>
          <w:sz w:val="16"/>
          <w:szCs w:val="16"/>
        </w:rPr>
        <w:t>ibid</w:t>
      </w:r>
      <w:r>
        <w:rPr>
          <w:sz w:val="16"/>
          <w:szCs w:val="16"/>
        </w:rPr>
        <w:t>.</w:t>
      </w:r>
    </w:p>
  </w:footnote>
  <w:footnote w:id="14">
    <w:p w14:paraId="4FC9F4FB" w14:textId="77777777" w:rsidR="002F1FCE" w:rsidRDefault="00FB3D65">
      <w:pPr>
        <w:spacing w:after="0" w:line="240" w:lineRule="auto"/>
        <w:rPr>
          <w:color w:val="000000"/>
          <w:sz w:val="16"/>
          <w:szCs w:val="16"/>
        </w:rPr>
      </w:pPr>
      <w:r>
        <w:rPr>
          <w:vertAlign w:val="superscript"/>
        </w:rPr>
        <w:footnoteRef/>
      </w:r>
      <w:r>
        <w:rPr>
          <w:color w:val="000000"/>
          <w:sz w:val="20"/>
          <w:szCs w:val="20"/>
        </w:rPr>
        <w:t xml:space="preserve"> </w:t>
      </w:r>
      <w:r>
        <w:rPr>
          <w:color w:val="000000"/>
          <w:sz w:val="16"/>
          <w:szCs w:val="16"/>
        </w:rPr>
        <w:t>ibid.</w:t>
      </w:r>
    </w:p>
  </w:footnote>
  <w:footnote w:id="15">
    <w:p w14:paraId="11C8273D" w14:textId="77777777" w:rsidR="002F1FCE" w:rsidRDefault="00FB3D65">
      <w:pPr>
        <w:spacing w:after="0" w:line="240" w:lineRule="auto"/>
        <w:rPr>
          <w:sz w:val="20"/>
          <w:szCs w:val="20"/>
        </w:rPr>
      </w:pPr>
      <w:r>
        <w:rPr>
          <w:vertAlign w:val="superscript"/>
        </w:rPr>
        <w:footnoteRef/>
      </w:r>
      <w:r>
        <w:rPr>
          <w:color w:val="000000"/>
          <w:sz w:val="20"/>
          <w:szCs w:val="20"/>
        </w:rPr>
        <w:t xml:space="preserve"> </w:t>
      </w:r>
      <w:r>
        <w:rPr>
          <w:color w:val="000000"/>
          <w:sz w:val="16"/>
          <w:szCs w:val="16"/>
        </w:rPr>
        <w:t xml:space="preserve">Latrobe University (2019), “National Survey of Secondary Students and Sexual Health 2018.” Available at: </w:t>
      </w:r>
      <w:r>
        <w:rPr>
          <w:color w:val="000000"/>
          <w:sz w:val="20"/>
          <w:szCs w:val="20"/>
        </w:rPr>
        <w:t xml:space="preserve"> </w:t>
      </w:r>
      <w:hyperlink r:id="rId1">
        <w:r>
          <w:rPr>
            <w:color w:val="1155CC"/>
            <w:sz w:val="16"/>
            <w:szCs w:val="16"/>
            <w:u w:val="single"/>
          </w:rPr>
          <w:t>http://te</w:t>
        </w:r>
        <w:r>
          <w:rPr>
            <w:color w:val="1155CC"/>
            <w:sz w:val="16"/>
            <w:szCs w:val="16"/>
            <w:u w:val="single"/>
          </w:rPr>
          <w:t>enhealth.org.au/resources/Reports/SSASH%202018%20National%20Report%20-%20V10%20-%20web.pdf</w:t>
        </w:r>
      </w:hyperlink>
      <w:r>
        <w:rPr>
          <w:sz w:val="16"/>
          <w:szCs w:val="16"/>
        </w:rPr>
        <w:t xml:space="preserve"> </w:t>
      </w:r>
    </w:p>
  </w:footnote>
  <w:footnote w:id="16">
    <w:p w14:paraId="469611C5"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ibid.</w:t>
      </w:r>
    </w:p>
  </w:footnote>
  <w:footnote w:id="17">
    <w:p w14:paraId="06349EC4" w14:textId="77777777" w:rsidR="002F1FCE" w:rsidRDefault="00FB3D65">
      <w:pPr>
        <w:spacing w:after="0" w:line="240" w:lineRule="auto"/>
        <w:rPr>
          <w:sz w:val="16"/>
          <w:szCs w:val="16"/>
        </w:rPr>
      </w:pPr>
      <w:r>
        <w:rPr>
          <w:vertAlign w:val="superscript"/>
        </w:rPr>
        <w:footnoteRef/>
      </w:r>
      <w:r>
        <w:rPr>
          <w:sz w:val="16"/>
          <w:szCs w:val="16"/>
        </w:rPr>
        <w:t xml:space="preserve">  </w:t>
      </w:r>
      <w:r>
        <w:rPr>
          <w:color w:val="1D1D1D"/>
          <w:sz w:val="16"/>
          <w:szCs w:val="16"/>
        </w:rPr>
        <w:t>Janice Carello MA LMSW &amp; Lisa D. Butler PhD (2014) Potentially Perilous Pedagogies: Teaching Trauma Is Not the Same as Trauma-Informed Teaching, Journal of Trauma &amp; Dissociation, 15:2, 153-168, DOI: 10.1</w:t>
      </w:r>
      <w:r>
        <w:rPr>
          <w:color w:val="1D1D1D"/>
          <w:sz w:val="16"/>
          <w:szCs w:val="16"/>
        </w:rPr>
        <w:t xml:space="preserve">080/15299732.2014.867571 </w:t>
      </w:r>
    </w:p>
  </w:footnote>
  <w:footnote w:id="18">
    <w:p w14:paraId="2BBB83C5" w14:textId="77777777" w:rsidR="002F1FCE" w:rsidRDefault="00FB3D65">
      <w:pPr>
        <w:spacing w:after="0" w:line="240" w:lineRule="auto"/>
        <w:rPr>
          <w:sz w:val="20"/>
          <w:szCs w:val="20"/>
        </w:rPr>
      </w:pPr>
      <w:r>
        <w:rPr>
          <w:vertAlign w:val="superscript"/>
        </w:rPr>
        <w:footnoteRef/>
      </w:r>
      <w:r>
        <w:rPr>
          <w:sz w:val="20"/>
          <w:szCs w:val="20"/>
        </w:rPr>
        <w:t xml:space="preserve"> </w:t>
      </w:r>
      <w:r>
        <w:rPr>
          <w:color w:val="000000"/>
          <w:sz w:val="16"/>
          <w:szCs w:val="16"/>
        </w:rPr>
        <w:t>ibid</w:t>
      </w:r>
      <w:r>
        <w:rPr>
          <w:sz w:val="20"/>
          <w:szCs w:val="20"/>
        </w:rPr>
        <w:t>.</w:t>
      </w:r>
    </w:p>
  </w:footnote>
  <w:footnote w:id="19">
    <w:p w14:paraId="53BAE9BE"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Janice Carello MA LMSW &amp; Lisa D. Butler PhD (2014) Potentially Perilous Pedagogies: Teaching Trauma Is Not the Same as Trauma-Informed Teaching, Journal of Trauma &amp; Dissociation, 15:2, 153-168, DOI: 10.1080/15299732.2014.867571 </w:t>
      </w:r>
    </w:p>
    <w:p w14:paraId="44A5FB4F" w14:textId="77777777" w:rsidR="002F1FCE" w:rsidRDefault="00FB3D65">
      <w:pPr>
        <w:spacing w:after="0" w:line="240" w:lineRule="auto"/>
        <w:rPr>
          <w:color w:val="1D1D1D"/>
          <w:sz w:val="16"/>
          <w:szCs w:val="16"/>
        </w:rPr>
      </w:pPr>
      <w:r>
        <w:rPr>
          <w:color w:val="1D1D1D"/>
          <w:sz w:val="16"/>
          <w:szCs w:val="16"/>
        </w:rPr>
        <w:t xml:space="preserve">Note: </w:t>
      </w:r>
      <w:r>
        <w:rPr>
          <w:color w:val="000000"/>
          <w:sz w:val="16"/>
          <w:szCs w:val="16"/>
        </w:rPr>
        <w:t>Retraumatisation ref</w:t>
      </w:r>
      <w:r>
        <w:rPr>
          <w:color w:val="000000"/>
          <w:sz w:val="16"/>
          <w:szCs w:val="16"/>
        </w:rPr>
        <w:t>ers to the triggering or reactivation of trauma-related symptoms originating in earlier traumatic life events, which can be prompted by new traumatic material or cues reminiscent of an earlier adverse event. The concept of secondary traumatization (or vica</w:t>
      </w:r>
      <w:r>
        <w:rPr>
          <w:color w:val="000000"/>
          <w:sz w:val="16"/>
          <w:szCs w:val="16"/>
        </w:rPr>
        <w:t>rious traumatization) can come from learning others’ stories of loss and victimization.</w:t>
      </w:r>
    </w:p>
  </w:footnote>
  <w:footnote w:id="20">
    <w:p w14:paraId="2EA6E502" w14:textId="77777777" w:rsidR="002F1FCE" w:rsidRDefault="00FB3D65">
      <w:pPr>
        <w:spacing w:after="0" w:line="240" w:lineRule="auto"/>
        <w:rPr>
          <w:color w:val="000000"/>
          <w:sz w:val="16"/>
          <w:szCs w:val="16"/>
        </w:rPr>
      </w:pPr>
      <w:r>
        <w:rPr>
          <w:vertAlign w:val="superscript"/>
        </w:rPr>
        <w:footnoteRef/>
      </w:r>
      <w:r>
        <w:rPr>
          <w:color w:val="000000"/>
          <w:sz w:val="16"/>
          <w:szCs w:val="16"/>
        </w:rPr>
        <w:t xml:space="preserve"> Brunzell, Stokes and Waters (2019), “Shifting Teacher Practice in Trauma‑Afected Classrooms: Practice Pedagogy Strategies Within a Trauma‑Informed Positive Education </w:t>
      </w:r>
      <w:r>
        <w:rPr>
          <w:color w:val="000000"/>
          <w:sz w:val="16"/>
          <w:szCs w:val="16"/>
        </w:rPr>
        <w:t>Model.” Available via: https://doi.org/10.1007/s12310-018-09308-8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A78F" w14:textId="77777777" w:rsidR="00A65E7D" w:rsidRDefault="00A65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B14E" w14:textId="77777777" w:rsidR="002F1FCE" w:rsidRDefault="002F1FCE">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33BE3" w14:textId="77777777" w:rsidR="002F1FCE" w:rsidRDefault="002F1FCE"/>
  <w:p w14:paraId="5E8D351A" w14:textId="77777777" w:rsidR="002F1FCE" w:rsidRDefault="002F1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365D"/>
    <w:multiLevelType w:val="multilevel"/>
    <w:tmpl w:val="AEDCE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A58A4"/>
    <w:multiLevelType w:val="multilevel"/>
    <w:tmpl w:val="C63A2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AD7EED"/>
    <w:multiLevelType w:val="multilevel"/>
    <w:tmpl w:val="32925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CE"/>
    <w:rsid w:val="002F1FCE"/>
    <w:rsid w:val="00A65E7D"/>
    <w:rsid w:val="00FB3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44819"/>
  <w15:docId w15:val="{E5ACA2A6-5846-49CB-8FC0-8A819E16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33454F"/>
        <w:sz w:val="18"/>
        <w:szCs w:val="18"/>
        <w:lang w:val="en" w:eastAsia="en-AU" w:bidi="ar-SA"/>
      </w:rPr>
    </w:rPrDefault>
    <w:pPrDefault>
      <w:pPr>
        <w:spacing w:after="2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Montserrat" w:eastAsia="Montserrat" w:hAnsi="Montserrat" w:cs="Montserrat"/>
      <w:b/>
      <w:sz w:val="32"/>
      <w:szCs w:val="32"/>
    </w:rPr>
  </w:style>
  <w:style w:type="paragraph" w:styleId="Heading2">
    <w:name w:val="heading 2"/>
    <w:basedOn w:val="Normal"/>
    <w:next w:val="Normal"/>
    <w:uiPriority w:val="9"/>
    <w:unhideWhenUsed/>
    <w:qFormat/>
    <w:pPr>
      <w:keepNext/>
      <w:keepLines/>
      <w:outlineLvl w:val="1"/>
    </w:pPr>
    <w:rPr>
      <w:rFonts w:ascii="Montserrat" w:eastAsia="Montserrat" w:hAnsi="Montserrat" w:cs="Montserrat"/>
      <w:sz w:val="32"/>
      <w:szCs w:val="32"/>
    </w:rPr>
  </w:style>
  <w:style w:type="paragraph" w:styleId="Heading3">
    <w:name w:val="heading 3"/>
    <w:basedOn w:val="Normal"/>
    <w:next w:val="Normal"/>
    <w:uiPriority w:val="9"/>
    <w:unhideWhenUsed/>
    <w:qFormat/>
    <w:pPr>
      <w:keepNext/>
      <w:keepLines/>
      <w:spacing w:before="240"/>
      <w:outlineLvl w:val="2"/>
    </w:pPr>
    <w:rPr>
      <w:rFonts w:ascii="Montserrat" w:eastAsia="Montserrat" w:hAnsi="Montserrat" w:cs="Montserrat"/>
      <w:b/>
      <w:color w:val="ED1B33"/>
      <w:sz w:val="24"/>
      <w:szCs w:val="24"/>
    </w:rPr>
  </w:style>
  <w:style w:type="paragraph" w:styleId="Heading4">
    <w:name w:val="heading 4"/>
    <w:basedOn w:val="Normal"/>
    <w:next w:val="Normal"/>
    <w:uiPriority w:val="9"/>
    <w:semiHidden/>
    <w:unhideWhenUsed/>
    <w:qFormat/>
    <w:pPr>
      <w:keepNext/>
      <w:keepLines/>
      <w:outlineLvl w:val="3"/>
    </w:pPr>
    <w:rPr>
      <w:rFonts w:ascii="Montserrat" w:eastAsia="Montserrat" w:hAnsi="Montserrat" w:cs="Montserrat"/>
      <w:b/>
    </w:rPr>
  </w:style>
  <w:style w:type="paragraph" w:styleId="Heading5">
    <w:name w:val="heading 5"/>
    <w:basedOn w:val="Normal"/>
    <w:next w:val="Normal"/>
    <w:uiPriority w:val="9"/>
    <w:semiHidden/>
    <w:unhideWhenUsed/>
    <w:qFormat/>
    <w:pPr>
      <w:keepNext/>
      <w:keepLines/>
      <w:outlineLvl w:val="4"/>
    </w:pPr>
    <w:rPr>
      <w:rFonts w:ascii="Proxima Nova" w:eastAsia="Proxima Nova" w:hAnsi="Proxima Nova" w:cs="Proxima Nova"/>
      <w:b/>
      <w:color w:val="999999"/>
    </w:rPr>
  </w:style>
  <w:style w:type="paragraph" w:styleId="Heading6">
    <w:name w:val="heading 6"/>
    <w:basedOn w:val="Normal"/>
    <w:next w:val="Normal"/>
    <w:uiPriority w:val="9"/>
    <w:semiHidden/>
    <w:unhideWhenUsed/>
    <w:qFormat/>
    <w:pPr>
      <w:keepNext/>
      <w:keepLines/>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0" w:after="200" w:line="360" w:lineRule="auto"/>
    </w:pPr>
    <w:rPr>
      <w:rFonts w:ascii="Montserrat" w:eastAsia="Montserrat" w:hAnsi="Montserrat" w:cs="Montserrat"/>
      <w:b/>
      <w:sz w:val="56"/>
      <w:szCs w:val="56"/>
    </w:rPr>
  </w:style>
  <w:style w:type="paragraph" w:styleId="Subtitle">
    <w:name w:val="Subtitle"/>
    <w:basedOn w:val="Normal"/>
    <w:next w:val="Normal"/>
    <w:uiPriority w:val="11"/>
    <w:qFormat/>
    <w:pPr>
      <w:keepNext/>
      <w:keepLines/>
      <w:spacing w:before="80" w:after="200" w:line="360" w:lineRule="auto"/>
    </w:pPr>
    <w:rPr>
      <w:rFonts w:ascii="Montserrat" w:eastAsia="Montserrat" w:hAnsi="Montserrat" w:cs="Montserrat"/>
      <w:b/>
      <w:color w:val="FC332D"/>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6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E7D"/>
  </w:style>
  <w:style w:type="paragraph" w:styleId="Footer">
    <w:name w:val="footer"/>
    <w:basedOn w:val="Normal"/>
    <w:link w:val="FooterChar"/>
    <w:uiPriority w:val="99"/>
    <w:unhideWhenUsed/>
    <w:rsid w:val="00A6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achusconsen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teenhealth.org.au/resources/Reports/SSASH%202018%20National%20Report%20-%20V10%20-%20web.pdf" TargetMode="External"/><Relationship Id="rId4" Type="http://schemas.openxmlformats.org/officeDocument/2006/relationships/webSettings" Target="webSettings.xml"/><Relationship Id="rId9" Type="http://schemas.openxmlformats.org/officeDocument/2006/relationships/hyperlink" Target="https://www.teachusconsent.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teenhealth.org.au/resources/Reports/SSASH%202018%20National%20Report%20-%20V10%20-%20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2282</Words>
  <Characters>13011</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MEGEID,Sheryn</cp:lastModifiedBy>
  <cp:revision>3</cp:revision>
  <cp:lastPrinted>2022-03-04T00:25:00Z</cp:lastPrinted>
  <dcterms:created xsi:type="dcterms:W3CDTF">2022-03-04T00:21:00Z</dcterms:created>
  <dcterms:modified xsi:type="dcterms:W3CDTF">2022-03-04T00:25:00Z</dcterms:modified>
</cp:coreProperties>
</file>