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243C7" w14:textId="77777777" w:rsidR="00A6771E" w:rsidRDefault="000C29E8">
      <w:pPr>
        <w:spacing w:before="34" w:after="221" w:line="522" w:lineRule="exact"/>
        <w:jc w:val="center"/>
        <w:textAlignment w:val="baseline"/>
        <w:rPr>
          <w:rFonts w:ascii="Century Gothic" w:eastAsia="Century Gothic" w:hAnsi="Century Gothic"/>
          <w:b/>
          <w:color w:val="000000"/>
          <w:spacing w:val="-6"/>
          <w:w w:val="105"/>
          <w:sz w:val="43"/>
        </w:rPr>
      </w:pPr>
      <w:r>
        <w:rPr>
          <w:rFonts w:ascii="Century Gothic" w:eastAsia="Century Gothic" w:hAnsi="Century Gothic"/>
          <w:b/>
          <w:color w:val="000000"/>
          <w:spacing w:val="-6"/>
          <w:w w:val="105"/>
          <w:sz w:val="43"/>
        </w:rPr>
        <w:t>SUBMISSION COVER SHEET</w:t>
      </w:r>
    </w:p>
    <w:p w14:paraId="4F8EE982" w14:textId="77777777" w:rsidR="00A6771E" w:rsidRDefault="000C29E8">
      <w:pPr>
        <w:spacing w:after="1117"/>
        <w:ind w:left="2501" w:right="1631"/>
        <w:textAlignment w:val="baseline"/>
      </w:pPr>
      <w:r>
        <w:rPr>
          <w:noProof/>
        </w:rPr>
        <w:drawing>
          <wp:inline distT="0" distB="0" distL="0" distR="0" wp14:anchorId="6E7E8DD8" wp14:editId="08149547">
            <wp:extent cx="2532380" cy="13506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532380" cy="1350645"/>
                    </a:xfrm>
                    <a:prstGeom prst="rect">
                      <a:avLst/>
                    </a:prstGeom>
                  </pic:spPr>
                </pic:pic>
              </a:graphicData>
            </a:graphic>
          </wp:inline>
        </w:drawing>
      </w:r>
    </w:p>
    <w:p w14:paraId="38A0ED41" w14:textId="77777777" w:rsidR="00A6771E" w:rsidRDefault="000C29E8">
      <w:pPr>
        <w:spacing w:before="10" w:line="421" w:lineRule="exact"/>
        <w:jc w:val="center"/>
        <w:textAlignment w:val="baseline"/>
        <w:rPr>
          <w:rFonts w:ascii="Century Gothic" w:eastAsia="Century Gothic" w:hAnsi="Century Gothic"/>
          <w:b/>
          <w:color w:val="000000"/>
          <w:spacing w:val="4"/>
          <w:sz w:val="35"/>
        </w:rPr>
      </w:pPr>
      <w:r>
        <w:rPr>
          <w:rFonts w:ascii="Century Gothic" w:eastAsia="Century Gothic" w:hAnsi="Century Gothic"/>
          <w:b/>
          <w:color w:val="000000"/>
          <w:spacing w:val="4"/>
          <w:sz w:val="35"/>
        </w:rPr>
        <w:t>Independent Education Union of Australia</w:t>
      </w:r>
    </w:p>
    <w:p w14:paraId="10BAA5F7" w14:textId="77777777" w:rsidR="00A6771E" w:rsidRDefault="000C29E8">
      <w:pPr>
        <w:spacing w:before="20" w:line="421" w:lineRule="exact"/>
        <w:jc w:val="center"/>
        <w:textAlignment w:val="baseline"/>
        <w:rPr>
          <w:rFonts w:ascii="Century Gothic" w:eastAsia="Century Gothic" w:hAnsi="Century Gothic"/>
          <w:b/>
          <w:color w:val="000000"/>
          <w:spacing w:val="4"/>
          <w:sz w:val="35"/>
        </w:rPr>
      </w:pPr>
      <w:r>
        <w:rPr>
          <w:rFonts w:ascii="Century Gothic" w:eastAsia="Century Gothic" w:hAnsi="Century Gothic"/>
          <w:b/>
          <w:color w:val="000000"/>
          <w:spacing w:val="4"/>
          <w:sz w:val="35"/>
        </w:rPr>
        <w:t>Quality Initial Teacher Education Review</w:t>
      </w:r>
    </w:p>
    <w:p w14:paraId="637DB5EB" w14:textId="77777777" w:rsidR="00A6771E" w:rsidRDefault="000C29E8">
      <w:pPr>
        <w:spacing w:before="290" w:line="421" w:lineRule="exact"/>
        <w:jc w:val="center"/>
        <w:textAlignment w:val="baseline"/>
        <w:rPr>
          <w:rFonts w:ascii="Century Gothic" w:eastAsia="Century Gothic" w:hAnsi="Century Gothic"/>
          <w:b/>
          <w:color w:val="000000"/>
          <w:spacing w:val="-2"/>
          <w:sz w:val="35"/>
        </w:rPr>
      </w:pPr>
      <w:r>
        <w:rPr>
          <w:rFonts w:ascii="Century Gothic" w:eastAsia="Century Gothic" w:hAnsi="Century Gothic"/>
          <w:b/>
          <w:color w:val="000000"/>
          <w:spacing w:val="-2"/>
          <w:sz w:val="35"/>
        </w:rPr>
        <w:t>July 2021</w:t>
      </w:r>
    </w:p>
    <w:p w14:paraId="68B8D342" w14:textId="77777777" w:rsidR="00A6771E" w:rsidRDefault="000C29E8">
      <w:pPr>
        <w:tabs>
          <w:tab w:val="left" w:pos="2880"/>
        </w:tabs>
        <w:spacing w:before="262" w:line="345" w:lineRule="exact"/>
        <w:ind w:left="2880" w:right="360" w:hanging="2880"/>
        <w:textAlignment w:val="baseline"/>
        <w:rPr>
          <w:rFonts w:ascii="Century Gothic" w:eastAsia="Century Gothic" w:hAnsi="Century Gothic"/>
          <w:b/>
          <w:color w:val="000000"/>
          <w:sz w:val="28"/>
        </w:rPr>
      </w:pPr>
      <w:proofErr w:type="spellStart"/>
      <w:r>
        <w:rPr>
          <w:rFonts w:ascii="Century Gothic" w:eastAsia="Century Gothic" w:hAnsi="Century Gothic"/>
          <w:b/>
          <w:color w:val="000000"/>
          <w:sz w:val="28"/>
        </w:rPr>
        <w:t>Organisation</w:t>
      </w:r>
      <w:proofErr w:type="spellEnd"/>
      <w:r>
        <w:rPr>
          <w:rFonts w:ascii="Century Gothic" w:eastAsia="Century Gothic" w:hAnsi="Century Gothic"/>
          <w:b/>
          <w:color w:val="000000"/>
          <w:sz w:val="28"/>
        </w:rPr>
        <w:t>:</w:t>
      </w:r>
      <w:r>
        <w:rPr>
          <w:rFonts w:ascii="Century Gothic" w:eastAsia="Century Gothic" w:hAnsi="Century Gothic"/>
          <w:b/>
          <w:color w:val="000000"/>
          <w:sz w:val="28"/>
        </w:rPr>
        <w:tab/>
        <w:t>INDEPENDENT EDUCATION UNION OF AUSTRALIA</w:t>
      </w:r>
    </w:p>
    <w:p w14:paraId="158D717B" w14:textId="77777777" w:rsidR="00A6771E" w:rsidRDefault="000C29E8">
      <w:pPr>
        <w:tabs>
          <w:tab w:val="left" w:pos="2880"/>
        </w:tabs>
        <w:spacing w:before="357" w:line="330"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t>Principal contact:</w:t>
      </w:r>
      <w:r>
        <w:rPr>
          <w:rFonts w:ascii="Century Gothic" w:eastAsia="Century Gothic" w:hAnsi="Century Gothic"/>
          <w:b/>
          <w:color w:val="000000"/>
          <w:sz w:val="28"/>
        </w:rPr>
        <w:tab/>
        <w:t>Christine Cooper</w:t>
      </w:r>
    </w:p>
    <w:p w14:paraId="6E4741BD" w14:textId="77777777" w:rsidR="00A6771E" w:rsidRDefault="000C29E8">
      <w:pPr>
        <w:tabs>
          <w:tab w:val="left" w:pos="2880"/>
        </w:tabs>
        <w:spacing w:before="11" w:line="330"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t>Position:</w:t>
      </w:r>
      <w:r>
        <w:rPr>
          <w:rFonts w:ascii="Century Gothic" w:eastAsia="Century Gothic" w:hAnsi="Century Gothic"/>
          <w:b/>
          <w:color w:val="000000"/>
          <w:sz w:val="28"/>
        </w:rPr>
        <w:tab/>
      </w:r>
      <w:r>
        <w:rPr>
          <w:rFonts w:ascii="Century Gothic" w:eastAsia="Century Gothic" w:hAnsi="Century Gothic"/>
          <w:b/>
          <w:color w:val="000000"/>
          <w:sz w:val="28"/>
        </w:rPr>
        <w:t>Acting Federal Secretary</w:t>
      </w:r>
    </w:p>
    <w:p w14:paraId="3EB1E97E" w14:textId="541A32AA" w:rsidR="00A6771E" w:rsidRDefault="00B87BB1">
      <w:pPr>
        <w:tabs>
          <w:tab w:val="left" w:pos="2880"/>
        </w:tabs>
        <w:spacing w:before="308" w:line="330" w:lineRule="exact"/>
        <w:textAlignment w:val="baseline"/>
        <w:rPr>
          <w:rFonts w:ascii="Century Gothic" w:eastAsia="Century Gothic" w:hAnsi="Century Gothic"/>
          <w:b/>
          <w:color w:val="000000"/>
          <w:sz w:val="28"/>
        </w:rPr>
      </w:pPr>
      <w:r>
        <w:rPr>
          <w:noProof/>
          <w:sz w:val="24"/>
          <w:szCs w:val="24"/>
          <w:lang w:val="en-AU" w:eastAsia="en-AU"/>
        </w:rPr>
        <mc:AlternateContent>
          <mc:Choice Requires="wps">
            <w:drawing>
              <wp:anchor distT="621665" distB="718185" distL="155575" distR="1707515" simplePos="0" relativeHeight="251660800" behindDoc="1" locked="0" layoutInCell="1" allowOverlap="1" wp14:anchorId="47CEED70" wp14:editId="5C55774A">
                <wp:simplePos x="0" y="0"/>
                <wp:positionH relativeFrom="margin">
                  <wp:posOffset>1809750</wp:posOffset>
                </wp:positionH>
                <wp:positionV relativeFrom="page">
                  <wp:posOffset>5932805</wp:posOffset>
                </wp:positionV>
                <wp:extent cx="1685290" cy="2101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7CD6F" w14:textId="77777777" w:rsidR="00B87BB1" w:rsidRDefault="00B87BB1" w:rsidP="00B87BB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EED70" id="_x0000_t202" coordsize="21600,21600" o:spt="202" path="m,l,21600r21600,l21600,xe">
                <v:stroke joinstyle="miter"/>
                <v:path gradientshapeok="t" o:connecttype="rect"/>
              </v:shapetype>
              <v:shape id="Text Box 13" o:spid="_x0000_s1026" type="#_x0000_t202" style="position:absolute;margin-left:142.5pt;margin-top:467.15pt;width:132.7pt;height:16.55pt;z-index:-251655680;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" fillcolor="black" stroked="f">
                <v:textbox inset="0,0,0,0">
                  <w:txbxContent>
                    <w:p w14:paraId="6877CD6F" w14:textId="77777777" w:rsidR="00B87BB1" w:rsidRDefault="00B87BB1" w:rsidP="00B87BB1"/>
                  </w:txbxContent>
                </v:textbox>
                <w10:wrap anchorx="margin" anchory="page"/>
              </v:shape>
            </w:pict>
          </mc:Fallback>
        </mc:AlternateContent>
      </w:r>
      <w:r w:rsidR="000C29E8">
        <w:rPr>
          <w:rFonts w:ascii="Century Gothic" w:eastAsia="Century Gothic" w:hAnsi="Century Gothic"/>
          <w:b/>
          <w:color w:val="000000"/>
          <w:sz w:val="28"/>
        </w:rPr>
        <w:t>Mobile:</w:t>
      </w:r>
      <w:r w:rsidR="000C29E8">
        <w:rPr>
          <w:rFonts w:ascii="Century Gothic" w:eastAsia="Century Gothic" w:hAnsi="Century Gothic"/>
          <w:b/>
          <w:color w:val="000000"/>
          <w:sz w:val="28"/>
        </w:rPr>
        <w:tab/>
      </w:r>
    </w:p>
    <w:p w14:paraId="4A576E19" w14:textId="6392803C" w:rsidR="00A6771E" w:rsidRDefault="00B87BB1">
      <w:pPr>
        <w:tabs>
          <w:tab w:val="left" w:pos="2880"/>
        </w:tabs>
        <w:spacing w:before="356" w:line="330" w:lineRule="exact"/>
        <w:textAlignment w:val="baseline"/>
        <w:rPr>
          <w:rFonts w:ascii="Century Gothic" w:eastAsia="Century Gothic" w:hAnsi="Century Gothic"/>
          <w:b/>
          <w:color w:val="000000"/>
          <w:sz w:val="28"/>
        </w:rPr>
      </w:pPr>
      <w:r>
        <w:rPr>
          <w:noProof/>
          <w:sz w:val="24"/>
          <w:szCs w:val="24"/>
          <w:lang w:val="en-AU" w:eastAsia="en-AU"/>
        </w:rPr>
        <mc:AlternateContent>
          <mc:Choice Requires="wps">
            <w:drawing>
              <wp:anchor distT="621665" distB="718185" distL="155575" distR="1707515" simplePos="0" relativeHeight="251662848" behindDoc="1" locked="0" layoutInCell="1" allowOverlap="1" wp14:anchorId="1893DBC2" wp14:editId="22295D43">
                <wp:simplePos x="0" y="0"/>
                <wp:positionH relativeFrom="margin">
                  <wp:posOffset>1790700</wp:posOffset>
                </wp:positionH>
                <wp:positionV relativeFrom="page">
                  <wp:posOffset>6369685</wp:posOffset>
                </wp:positionV>
                <wp:extent cx="1685290" cy="2101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254F3" w14:textId="77777777" w:rsidR="00B87BB1" w:rsidRDefault="00B87BB1" w:rsidP="00B87BB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DBC2" id="Text Box 3" o:spid="_x0000_s1027" type="#_x0000_t202" style="position:absolute;margin-left:141pt;margin-top:501.55pt;width:132.7pt;height:16.55pt;z-index:-251653632;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" fillcolor="black" stroked="f">
                <v:textbox inset="0,0,0,0">
                  <w:txbxContent>
                    <w:p w14:paraId="7B6254F3" w14:textId="77777777" w:rsidR="00B87BB1" w:rsidRDefault="00B87BB1" w:rsidP="00B87BB1"/>
                  </w:txbxContent>
                </v:textbox>
                <w10:wrap anchorx="margin" anchory="page"/>
              </v:shape>
            </w:pict>
          </mc:Fallback>
        </mc:AlternateContent>
      </w:r>
      <w:r w:rsidR="000C29E8">
        <w:rPr>
          <w:rFonts w:ascii="Century Gothic" w:eastAsia="Century Gothic" w:hAnsi="Century Gothic"/>
          <w:b/>
          <w:color w:val="000000"/>
          <w:sz w:val="28"/>
        </w:rPr>
        <w:t>Email address:</w:t>
      </w:r>
      <w:r w:rsidR="000C29E8">
        <w:rPr>
          <w:rFonts w:ascii="Century Gothic" w:eastAsia="Century Gothic" w:hAnsi="Century Gothic"/>
          <w:b/>
          <w:color w:val="000000"/>
          <w:sz w:val="28"/>
        </w:rPr>
        <w:tab/>
      </w:r>
      <w:r w:rsidR="000C29E8">
        <w:rPr>
          <w:rFonts w:ascii="Century Gothic" w:eastAsia="Century Gothic" w:hAnsi="Century Gothic"/>
          <w:b/>
          <w:color w:val="000000"/>
          <w:sz w:val="28"/>
        </w:rPr>
        <w:t xml:space="preserve"> </w:t>
      </w:r>
    </w:p>
    <w:p w14:paraId="1727A16E" w14:textId="3FC72B46" w:rsidR="00A6771E" w:rsidRDefault="000C29E8">
      <w:pPr>
        <w:tabs>
          <w:tab w:val="left" w:pos="2880"/>
        </w:tabs>
        <w:spacing w:before="357" w:line="330"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t>Street address:</w:t>
      </w:r>
      <w:r>
        <w:rPr>
          <w:rFonts w:ascii="Century Gothic" w:eastAsia="Century Gothic" w:hAnsi="Century Gothic"/>
          <w:b/>
          <w:color w:val="000000"/>
          <w:sz w:val="28"/>
        </w:rPr>
        <w:tab/>
        <w:t>Unit 10, 40 Brisbane Avenue</w:t>
      </w:r>
    </w:p>
    <w:p w14:paraId="6668C576" w14:textId="77777777" w:rsidR="00A6771E" w:rsidRDefault="000C29E8">
      <w:pPr>
        <w:tabs>
          <w:tab w:val="left" w:pos="2880"/>
        </w:tabs>
        <w:spacing w:before="15" w:line="330"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t>Suburb/City:</w:t>
      </w:r>
      <w:r>
        <w:rPr>
          <w:rFonts w:ascii="Century Gothic" w:eastAsia="Century Gothic" w:hAnsi="Century Gothic"/>
          <w:b/>
          <w:color w:val="000000"/>
          <w:sz w:val="28"/>
        </w:rPr>
        <w:tab/>
        <w:t>Barton ACT 2600</w:t>
      </w:r>
    </w:p>
    <w:p w14:paraId="5C6C2B2A" w14:textId="77777777" w:rsidR="00A6771E" w:rsidRDefault="000C29E8">
      <w:pPr>
        <w:tabs>
          <w:tab w:val="left" w:pos="2880"/>
        </w:tabs>
        <w:spacing w:before="357" w:line="330"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t>Postal address:</w:t>
      </w:r>
      <w:r>
        <w:rPr>
          <w:rFonts w:ascii="Century Gothic" w:eastAsia="Century Gothic" w:hAnsi="Century Gothic"/>
          <w:b/>
          <w:color w:val="000000"/>
          <w:sz w:val="28"/>
        </w:rPr>
        <w:tab/>
        <w:t>PO Box 177</w:t>
      </w:r>
    </w:p>
    <w:p w14:paraId="3CC0C84B" w14:textId="77777777" w:rsidR="00A6771E" w:rsidRDefault="000C29E8">
      <w:pPr>
        <w:tabs>
          <w:tab w:val="left" w:pos="2880"/>
        </w:tabs>
        <w:spacing w:before="11" w:line="330"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t>Suburb/City:</w:t>
      </w:r>
      <w:r>
        <w:rPr>
          <w:rFonts w:ascii="Century Gothic" w:eastAsia="Century Gothic" w:hAnsi="Century Gothic"/>
          <w:b/>
          <w:color w:val="000000"/>
          <w:sz w:val="28"/>
        </w:rPr>
        <w:tab/>
        <w:t>Deakin West ACT 2600</w:t>
      </w:r>
    </w:p>
    <w:p w14:paraId="4AD0BD83" w14:textId="77777777" w:rsidR="00A6771E" w:rsidRDefault="000C29E8">
      <w:pPr>
        <w:tabs>
          <w:tab w:val="left" w:pos="2880"/>
        </w:tabs>
        <w:spacing w:before="356" w:line="335" w:lineRule="exact"/>
        <w:textAlignment w:val="baseline"/>
        <w:rPr>
          <w:rFonts w:ascii="Century Gothic" w:eastAsia="Century Gothic" w:hAnsi="Century Gothic"/>
          <w:b/>
          <w:color w:val="000000"/>
          <w:spacing w:val="-1"/>
          <w:sz w:val="28"/>
        </w:rPr>
      </w:pPr>
      <w:r>
        <w:rPr>
          <w:rFonts w:ascii="Century Gothic" w:eastAsia="Century Gothic" w:hAnsi="Century Gothic"/>
          <w:b/>
          <w:color w:val="000000"/>
          <w:spacing w:val="-1"/>
          <w:sz w:val="28"/>
        </w:rPr>
        <w:t>Submitted to:</w:t>
      </w:r>
      <w:r>
        <w:rPr>
          <w:rFonts w:ascii="Century Gothic" w:eastAsia="Century Gothic" w:hAnsi="Century Gothic"/>
          <w:b/>
          <w:color w:val="0000FF"/>
          <w:spacing w:val="-1"/>
          <w:sz w:val="28"/>
          <w:u w:val="single"/>
        </w:rPr>
        <w:tab/>
      </w:r>
      <w:hyperlink r:id="rId8" w:anchor="section1">
        <w:r>
          <w:rPr>
            <w:rFonts w:ascii="Century Gothic" w:eastAsia="Century Gothic" w:hAnsi="Century Gothic"/>
            <w:b/>
            <w:color w:val="0000FF"/>
            <w:spacing w:val="-1"/>
            <w:sz w:val="28"/>
            <w:u w:val="single"/>
          </w:rPr>
          <w:t>https://qitereview.dese.gov.au/get-</w:t>
        </w:r>
      </w:hyperlink>
      <w:r>
        <w:rPr>
          <w:rFonts w:ascii="Century Gothic" w:eastAsia="Century Gothic" w:hAnsi="Century Gothic"/>
          <w:color w:val="000000"/>
          <w:sz w:val="24"/>
        </w:rPr>
        <w:t xml:space="preserve"> </w:t>
      </w:r>
    </w:p>
    <w:p w14:paraId="45032361" w14:textId="77777777" w:rsidR="00A6771E" w:rsidRDefault="000C29E8">
      <w:pPr>
        <w:spacing w:before="11" w:line="335" w:lineRule="exact"/>
        <w:ind w:left="2808"/>
        <w:textAlignment w:val="baseline"/>
        <w:rPr>
          <w:rFonts w:ascii="Century Gothic" w:eastAsia="Century Gothic" w:hAnsi="Century Gothic"/>
          <w:b/>
          <w:color w:val="0000FF"/>
          <w:sz w:val="28"/>
          <w:u w:val="single"/>
        </w:rPr>
      </w:pPr>
      <w:hyperlink r:id="rId9" w:anchor="section1">
        <w:r>
          <w:rPr>
            <w:rFonts w:ascii="Century Gothic" w:eastAsia="Century Gothic" w:hAnsi="Century Gothic"/>
            <w:b/>
            <w:color w:val="0000FF"/>
            <w:sz w:val="28"/>
            <w:u w:val="single"/>
          </w:rPr>
          <w:t>involved/#secti</w:t>
        </w:r>
        <w:r>
          <w:rPr>
            <w:rFonts w:ascii="Century Gothic" w:eastAsia="Century Gothic" w:hAnsi="Century Gothic"/>
            <w:b/>
            <w:color w:val="0000FF"/>
            <w:sz w:val="28"/>
            <w:u w:val="single"/>
          </w:rPr>
          <w:t>on1</w:t>
        </w:r>
      </w:hyperlink>
      <w:r>
        <w:rPr>
          <w:rFonts w:ascii="Century Gothic" w:eastAsia="Century Gothic" w:hAnsi="Century Gothic"/>
          <w:b/>
          <w:color w:val="000000"/>
          <w:sz w:val="28"/>
        </w:rPr>
        <w:t xml:space="preserve"> </w:t>
      </w:r>
    </w:p>
    <w:p w14:paraId="24712372" w14:textId="77777777" w:rsidR="00A6771E" w:rsidRDefault="000C29E8">
      <w:pPr>
        <w:tabs>
          <w:tab w:val="left" w:pos="2880"/>
        </w:tabs>
        <w:spacing w:before="351" w:line="330" w:lineRule="exact"/>
        <w:textAlignment w:val="baseline"/>
        <w:rPr>
          <w:rFonts w:ascii="Century Gothic" w:eastAsia="Century Gothic" w:hAnsi="Century Gothic"/>
          <w:b/>
          <w:color w:val="000000"/>
          <w:sz w:val="28"/>
        </w:rPr>
      </w:pPr>
      <w:r>
        <w:pict w14:anchorId="18AF775F">
          <v:shape id="_x0000_s0" o:spid="_x0000_s1028" type="#_x0000_t202" style="position:absolute;margin-left:515.75pt;margin-top:778.75pt;width:7.95pt;height:11.4pt;z-index:-251659776;mso-wrap-distance-left:0;mso-wrap-distance-right:0;mso-position-horizontal-relative:page;mso-position-vertical-relative:page" filled="f" stroked="f">
            <v:textbox inset="0,0,0,0">
              <w:txbxContent>
                <w:p w14:paraId="1D200814" w14:textId="77777777" w:rsidR="00A6771E" w:rsidRDefault="000C29E8">
                  <w:pPr>
                    <w:spacing w:line="221" w:lineRule="exact"/>
                    <w:textAlignment w:val="baseline"/>
                    <w:rPr>
                      <w:rFonts w:ascii="Tahoma" w:eastAsia="Tahoma" w:hAnsi="Tahoma"/>
                      <w:b/>
                      <w:color w:val="000000"/>
                      <w:sz w:val="17"/>
                    </w:rPr>
                  </w:pPr>
                  <w:r>
                    <w:rPr>
                      <w:rFonts w:ascii="Tahoma" w:eastAsia="Tahoma" w:hAnsi="Tahoma"/>
                      <w:b/>
                      <w:color w:val="000000"/>
                      <w:sz w:val="17"/>
                    </w:rPr>
                    <w:t>1</w:t>
                  </w:r>
                </w:p>
              </w:txbxContent>
            </v:textbox>
            <w10:wrap type="square" anchorx="page" anchory="page"/>
          </v:shape>
        </w:pict>
      </w:r>
      <w:r>
        <w:rPr>
          <w:rFonts w:ascii="Century Gothic" w:eastAsia="Century Gothic" w:hAnsi="Century Gothic"/>
          <w:b/>
          <w:color w:val="000000"/>
          <w:sz w:val="28"/>
        </w:rPr>
        <w:t>Email:</w:t>
      </w:r>
      <w:r>
        <w:rPr>
          <w:rFonts w:ascii="Century Gothic" w:eastAsia="Century Gothic" w:hAnsi="Century Gothic"/>
          <w:b/>
          <w:color w:val="000000"/>
          <w:sz w:val="28"/>
        </w:rPr>
        <w:tab/>
      </w:r>
      <w:hyperlink r:id="rId10">
        <w:r>
          <w:rPr>
            <w:rFonts w:ascii="Century Gothic" w:eastAsia="Century Gothic" w:hAnsi="Century Gothic"/>
            <w:b/>
            <w:color w:val="0000FF"/>
            <w:sz w:val="28"/>
            <w:u w:val="single"/>
          </w:rPr>
          <w:t>ITEReview@dese.gov.au</w:t>
        </w:r>
      </w:hyperlink>
      <w:r>
        <w:rPr>
          <w:rFonts w:ascii="Century Gothic" w:eastAsia="Century Gothic" w:hAnsi="Century Gothic"/>
          <w:b/>
          <w:color w:val="000000"/>
          <w:sz w:val="28"/>
        </w:rPr>
        <w:t xml:space="preserve"> </w:t>
      </w:r>
    </w:p>
    <w:p w14:paraId="236992C6" w14:textId="77777777" w:rsidR="00A6771E" w:rsidRDefault="00A6771E">
      <w:pPr>
        <w:sectPr w:rsidR="00A6771E">
          <w:headerReference w:type="even" r:id="rId11"/>
          <w:headerReference w:type="default" r:id="rId12"/>
          <w:footerReference w:type="even" r:id="rId13"/>
          <w:footerReference w:type="default" r:id="rId14"/>
          <w:headerReference w:type="first" r:id="rId15"/>
          <w:footerReference w:type="first" r:id="rId16"/>
          <w:pgSz w:w="11909" w:h="16838"/>
          <w:pgMar w:top="1440" w:right="2344" w:bottom="622" w:left="144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478"/>
        <w:gridCol w:w="7642"/>
      </w:tblGrid>
      <w:tr w:rsidR="00A6771E" w14:paraId="50BE74D3" w14:textId="77777777">
        <w:tblPrEx>
          <w:tblCellMar>
            <w:top w:w="0" w:type="dxa"/>
            <w:bottom w:w="0" w:type="dxa"/>
          </w:tblCellMar>
        </w:tblPrEx>
        <w:trPr>
          <w:trHeight w:hRule="exact" w:val="831"/>
        </w:trPr>
        <w:tc>
          <w:tcPr>
            <w:tcW w:w="1478" w:type="dxa"/>
          </w:tcPr>
          <w:p w14:paraId="24307EE9" w14:textId="77777777" w:rsidR="00A6771E" w:rsidRDefault="000C29E8">
            <w:pPr>
              <w:spacing w:before="1" w:after="5"/>
              <w:jc w:val="center"/>
              <w:textAlignment w:val="baseline"/>
            </w:pPr>
            <w:r>
              <w:rPr>
                <w:noProof/>
              </w:rPr>
              <w:lastRenderedPageBreak/>
              <w:drawing>
                <wp:inline distT="0" distB="0" distL="0" distR="0" wp14:anchorId="1E83424B" wp14:editId="2C92F55D">
                  <wp:extent cx="938530" cy="5086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7"/>
                          <a:stretch>
                            <a:fillRect/>
                          </a:stretch>
                        </pic:blipFill>
                        <pic:spPr>
                          <a:xfrm>
                            <a:off x="0" y="0"/>
                            <a:ext cx="938530" cy="508635"/>
                          </a:xfrm>
                          <a:prstGeom prst="rect">
                            <a:avLst/>
                          </a:prstGeom>
                        </pic:spPr>
                      </pic:pic>
                    </a:graphicData>
                  </a:graphic>
                </wp:inline>
              </w:drawing>
            </w:r>
          </w:p>
        </w:tc>
        <w:tc>
          <w:tcPr>
            <w:tcW w:w="7642" w:type="dxa"/>
          </w:tcPr>
          <w:p w14:paraId="73818755" w14:textId="77777777" w:rsidR="00A6771E" w:rsidRDefault="000C29E8">
            <w:pPr>
              <w:spacing w:before="43" w:line="378" w:lineRule="exact"/>
              <w:ind w:right="2716"/>
              <w:jc w:val="right"/>
              <w:textAlignment w:val="baseline"/>
              <w:rPr>
                <w:rFonts w:ascii="Century Gothic" w:eastAsia="Century Gothic" w:hAnsi="Century Gothic"/>
                <w:b/>
                <w:i/>
                <w:color w:val="000000"/>
                <w:sz w:val="31"/>
              </w:rPr>
            </w:pPr>
            <w:r>
              <w:rPr>
                <w:rFonts w:ascii="Century Gothic" w:eastAsia="Century Gothic" w:hAnsi="Century Gothic"/>
                <w:b/>
                <w:i/>
                <w:color w:val="000000"/>
                <w:sz w:val="31"/>
              </w:rPr>
              <w:t>Submission to</w:t>
            </w:r>
          </w:p>
          <w:p w14:paraId="4B31CE26" w14:textId="77777777" w:rsidR="00A6771E" w:rsidRDefault="000C29E8">
            <w:pPr>
              <w:spacing w:before="16" w:line="389" w:lineRule="exact"/>
              <w:jc w:val="center"/>
              <w:textAlignment w:val="baseline"/>
              <w:rPr>
                <w:rFonts w:ascii="Century Gothic" w:eastAsia="Century Gothic" w:hAnsi="Century Gothic"/>
                <w:b/>
                <w:color w:val="000000"/>
                <w:sz w:val="33"/>
              </w:rPr>
            </w:pPr>
            <w:r>
              <w:rPr>
                <w:rFonts w:ascii="Century Gothic" w:eastAsia="Century Gothic" w:hAnsi="Century Gothic"/>
                <w:b/>
                <w:color w:val="000000"/>
                <w:sz w:val="33"/>
              </w:rPr>
              <w:t>Quality Initial Teacher Education Review</w:t>
            </w:r>
          </w:p>
        </w:tc>
      </w:tr>
    </w:tbl>
    <w:p w14:paraId="3594A782" w14:textId="77777777" w:rsidR="00A6771E" w:rsidRDefault="00A6771E">
      <w:pPr>
        <w:spacing w:after="376" w:line="20" w:lineRule="exact"/>
      </w:pPr>
    </w:p>
    <w:p w14:paraId="22EAEC70" w14:textId="77777777" w:rsidR="00A6771E" w:rsidRDefault="000C29E8">
      <w:pPr>
        <w:spacing w:line="268" w:lineRule="exact"/>
        <w:ind w:right="360"/>
        <w:textAlignment w:val="baseline"/>
        <w:rPr>
          <w:rFonts w:ascii="Century Gothic" w:eastAsia="Century Gothic" w:hAnsi="Century Gothic"/>
          <w:color w:val="000000"/>
        </w:rPr>
      </w:pPr>
      <w:r>
        <w:rPr>
          <w:rFonts w:ascii="Century Gothic" w:eastAsia="Century Gothic" w:hAnsi="Century Gothic"/>
          <w:color w:val="000000"/>
        </w:rPr>
        <w:t>The Independent Education Union of Australia (IEUA) welcomes the opportunity to provide feedback on the Quality Initial Teacher Education Review.</w:t>
      </w:r>
    </w:p>
    <w:p w14:paraId="297D3FBC" w14:textId="77777777" w:rsidR="00A6771E" w:rsidRDefault="000C29E8">
      <w:pPr>
        <w:spacing w:before="120" w:line="270" w:lineRule="exact"/>
        <w:ind w:right="288"/>
        <w:textAlignment w:val="baseline"/>
        <w:rPr>
          <w:rFonts w:ascii="Century Gothic" w:eastAsia="Century Gothic" w:hAnsi="Century Gothic"/>
          <w:color w:val="000000"/>
        </w:rPr>
      </w:pPr>
      <w:r>
        <w:rPr>
          <w:rFonts w:ascii="Century Gothic" w:eastAsia="Century Gothic" w:hAnsi="Century Gothic"/>
          <w:color w:val="000000"/>
        </w:rPr>
        <w:t>The IEUA represents 75,000 teachers, principals, support staff and ancillary staff in non-government education</w:t>
      </w:r>
      <w:r>
        <w:rPr>
          <w:rFonts w:ascii="Century Gothic" w:eastAsia="Century Gothic" w:hAnsi="Century Gothic"/>
          <w:color w:val="000000"/>
        </w:rPr>
        <w:t xml:space="preserve"> institutions across Australia, including early childhood </w:t>
      </w:r>
      <w:proofErr w:type="spellStart"/>
      <w:r>
        <w:rPr>
          <w:rFonts w:ascii="Century Gothic" w:eastAsia="Century Gothic" w:hAnsi="Century Gothic"/>
          <w:color w:val="000000"/>
        </w:rPr>
        <w:t>centres</w:t>
      </w:r>
      <w:proofErr w:type="spellEnd"/>
      <w:r>
        <w:rPr>
          <w:rFonts w:ascii="Century Gothic" w:eastAsia="Century Gothic" w:hAnsi="Century Gothic"/>
          <w:color w:val="000000"/>
        </w:rPr>
        <w:t>, kindergartens, schools, and post-secondary colleges. The IEUA consistently engages in education debate at both State and National levels.</w:t>
      </w:r>
    </w:p>
    <w:p w14:paraId="4502C7DE" w14:textId="77777777" w:rsidR="00A6771E" w:rsidRDefault="000C29E8">
      <w:pPr>
        <w:spacing w:before="135" w:line="330"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t>Summary</w:t>
      </w:r>
    </w:p>
    <w:p w14:paraId="16BA6ECF" w14:textId="77777777" w:rsidR="00A6771E" w:rsidRDefault="000C29E8">
      <w:pPr>
        <w:spacing w:before="129" w:line="261" w:lineRule="exact"/>
        <w:textAlignment w:val="baseline"/>
        <w:rPr>
          <w:rFonts w:ascii="Century Gothic" w:eastAsia="Century Gothic" w:hAnsi="Century Gothic"/>
          <w:b/>
          <w:color w:val="233E5F"/>
        </w:rPr>
      </w:pPr>
      <w:r>
        <w:rPr>
          <w:rFonts w:ascii="Century Gothic" w:eastAsia="Century Gothic" w:hAnsi="Century Gothic"/>
          <w:b/>
          <w:color w:val="233E5F"/>
        </w:rPr>
        <w:t>Part A- Attracting and selecting high quali</w:t>
      </w:r>
      <w:r>
        <w:rPr>
          <w:rFonts w:ascii="Century Gothic" w:eastAsia="Century Gothic" w:hAnsi="Century Gothic"/>
          <w:b/>
          <w:color w:val="233E5F"/>
        </w:rPr>
        <w:t>ty candidates into the teaching profession.</w:t>
      </w:r>
    </w:p>
    <w:p w14:paraId="0939C8E7" w14:textId="77777777" w:rsidR="00A6771E" w:rsidRDefault="000C29E8">
      <w:pPr>
        <w:spacing w:before="119" w:line="270" w:lineRule="exact"/>
        <w:ind w:left="720" w:right="288" w:hanging="360"/>
        <w:textAlignment w:val="baseline"/>
        <w:rPr>
          <w:rFonts w:ascii="Century Gothic" w:eastAsia="Century Gothic" w:hAnsi="Century Gothic"/>
          <w:color w:val="000000"/>
        </w:rPr>
      </w:pPr>
      <w:r>
        <w:rPr>
          <w:rFonts w:ascii="Century Gothic" w:eastAsia="Century Gothic" w:hAnsi="Century Gothic"/>
          <w:color w:val="000000"/>
        </w:rPr>
        <w:t>1. The IEUA strongly believes that programs and/or policies which are aimed at attracting and retaining a high-quality teaching workforce must also acknowledge that there are significant issues around public perc</w:t>
      </w:r>
      <w:r>
        <w:rPr>
          <w:rFonts w:ascii="Century Gothic" w:eastAsia="Century Gothic" w:hAnsi="Century Gothic"/>
          <w:color w:val="000000"/>
        </w:rPr>
        <w:t>eptions of teaching.</w:t>
      </w:r>
    </w:p>
    <w:p w14:paraId="08DD0742" w14:textId="77777777" w:rsidR="00A6771E" w:rsidRDefault="000C29E8">
      <w:pPr>
        <w:spacing w:before="123" w:line="268" w:lineRule="exact"/>
        <w:ind w:left="720" w:right="288" w:hanging="360"/>
        <w:textAlignment w:val="baseline"/>
        <w:rPr>
          <w:rFonts w:ascii="Century Gothic" w:eastAsia="Century Gothic" w:hAnsi="Century Gothic"/>
          <w:color w:val="000000"/>
        </w:rPr>
      </w:pPr>
      <w:r>
        <w:rPr>
          <w:rFonts w:ascii="Century Gothic" w:eastAsia="Century Gothic" w:hAnsi="Century Gothic"/>
          <w:color w:val="000000"/>
        </w:rPr>
        <w:t>2. The IEUA supports the principles that there should be a range of high-quality pathways into initial teacher education (ITE) to ensure that disadvantage is not a barrier to entry, and that candidates reflecting the diversity of the c</w:t>
      </w:r>
      <w:r>
        <w:rPr>
          <w:rFonts w:ascii="Century Gothic" w:eastAsia="Century Gothic" w:hAnsi="Century Gothic"/>
          <w:color w:val="000000"/>
        </w:rPr>
        <w:t>ommunity can enter the profession.</w:t>
      </w:r>
    </w:p>
    <w:p w14:paraId="226C3171" w14:textId="77777777" w:rsidR="00A6771E" w:rsidRDefault="000C29E8">
      <w:pPr>
        <w:spacing w:before="118" w:line="271" w:lineRule="exact"/>
        <w:ind w:left="720" w:right="144"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3. The IEUA believes there is a need for transparency and consistency in respect to entry into teacher education and the profession from multiple pathways, and for rigorous monitoring of the standard of bridging or pathway programs.</w:t>
      </w:r>
    </w:p>
    <w:p w14:paraId="2BB173F3" w14:textId="77777777" w:rsidR="00A6771E" w:rsidRDefault="000C29E8">
      <w:pPr>
        <w:spacing w:before="120" w:line="270" w:lineRule="exact"/>
        <w:ind w:left="720" w:right="144"/>
        <w:textAlignment w:val="baseline"/>
        <w:rPr>
          <w:rFonts w:ascii="Century Gothic" w:eastAsia="Century Gothic" w:hAnsi="Century Gothic"/>
          <w:color w:val="000000"/>
        </w:rPr>
      </w:pPr>
      <w:r>
        <w:rPr>
          <w:rFonts w:ascii="Century Gothic" w:eastAsia="Century Gothic" w:hAnsi="Century Gothic"/>
          <w:color w:val="000000"/>
        </w:rPr>
        <w:t>Further, the IEUA belie</w:t>
      </w:r>
      <w:r>
        <w:rPr>
          <w:rFonts w:ascii="Century Gothic" w:eastAsia="Century Gothic" w:hAnsi="Century Gothic"/>
          <w:color w:val="000000"/>
        </w:rPr>
        <w:t xml:space="preserve">ves that models of initial teacher education need to be rigorous and of sufficient length to ensure that students who graduate </w:t>
      </w:r>
      <w:proofErr w:type="gramStart"/>
      <w:r>
        <w:rPr>
          <w:rFonts w:ascii="Century Gothic" w:eastAsia="Century Gothic" w:hAnsi="Century Gothic"/>
          <w:color w:val="000000"/>
        </w:rPr>
        <w:t>are able to</w:t>
      </w:r>
      <w:proofErr w:type="gramEnd"/>
      <w:r>
        <w:rPr>
          <w:rFonts w:ascii="Century Gothic" w:eastAsia="Century Gothic" w:hAnsi="Century Gothic"/>
          <w:color w:val="000000"/>
        </w:rPr>
        <w:t xml:space="preserve"> meet the Graduate Professional Teaching Standards before commencing employment as teachers.</w:t>
      </w:r>
    </w:p>
    <w:p w14:paraId="51B9F815" w14:textId="77777777" w:rsidR="00A6771E" w:rsidRDefault="000C29E8">
      <w:pPr>
        <w:spacing w:before="124" w:line="269" w:lineRule="exact"/>
        <w:ind w:left="720" w:right="72" w:hanging="360"/>
        <w:textAlignment w:val="baseline"/>
        <w:rPr>
          <w:rFonts w:ascii="Century Gothic" w:eastAsia="Century Gothic" w:hAnsi="Century Gothic"/>
          <w:color w:val="000000"/>
        </w:rPr>
      </w:pPr>
      <w:r>
        <w:rPr>
          <w:rFonts w:ascii="Century Gothic" w:eastAsia="Century Gothic" w:hAnsi="Century Gothic"/>
          <w:color w:val="000000"/>
        </w:rPr>
        <w:t xml:space="preserve">4. The IEUA has concerns </w:t>
      </w:r>
      <w:r>
        <w:rPr>
          <w:rFonts w:ascii="Century Gothic" w:eastAsia="Century Gothic" w:hAnsi="Century Gothic"/>
          <w:color w:val="000000"/>
        </w:rPr>
        <w:t>that the Teach for Australia (TFA) model fails to address the fundamental recruitment and retention issues facing the profession. The IEUA believes that if mainstream initial teacher education programs were supported and resourced to the extent that the TF</w:t>
      </w:r>
      <w:r>
        <w:rPr>
          <w:rFonts w:ascii="Century Gothic" w:eastAsia="Century Gothic" w:hAnsi="Century Gothic"/>
          <w:color w:val="000000"/>
        </w:rPr>
        <w:t>A Associates enjoyed there would be far fewer ITE student dropouts and an increased early career retention rate as students experienced a more positive introduction into the teaching profession.</w:t>
      </w:r>
    </w:p>
    <w:p w14:paraId="666F306B" w14:textId="77777777" w:rsidR="00A6771E" w:rsidRDefault="000C29E8">
      <w:pPr>
        <w:spacing w:before="121" w:line="268" w:lineRule="exact"/>
        <w:ind w:left="720" w:right="144" w:hanging="360"/>
        <w:jc w:val="both"/>
        <w:textAlignment w:val="baseline"/>
        <w:rPr>
          <w:rFonts w:ascii="Century Gothic" w:eastAsia="Century Gothic" w:hAnsi="Century Gothic"/>
          <w:color w:val="000000"/>
        </w:rPr>
      </w:pPr>
      <w:r>
        <w:rPr>
          <w:rFonts w:ascii="Century Gothic" w:eastAsia="Century Gothic" w:hAnsi="Century Gothic"/>
          <w:color w:val="000000"/>
        </w:rPr>
        <w:t xml:space="preserve">5. The IEUA believes that Teach for Australia and other such </w:t>
      </w:r>
      <w:r>
        <w:rPr>
          <w:rFonts w:ascii="Century Gothic" w:eastAsia="Century Gothic" w:hAnsi="Century Gothic"/>
          <w:color w:val="000000"/>
        </w:rPr>
        <w:t>similar programs fail to address the following:</w:t>
      </w:r>
    </w:p>
    <w:p w14:paraId="52A15D33" w14:textId="77777777" w:rsidR="00A6771E" w:rsidRDefault="000C29E8">
      <w:pPr>
        <w:numPr>
          <w:ilvl w:val="0"/>
          <w:numId w:val="1"/>
        </w:numPr>
        <w:tabs>
          <w:tab w:val="clear" w:pos="288"/>
          <w:tab w:val="left" w:pos="1440"/>
        </w:tabs>
        <w:spacing w:before="134" w:line="260" w:lineRule="exact"/>
        <w:ind w:left="1440" w:hanging="288"/>
        <w:textAlignment w:val="baseline"/>
        <w:rPr>
          <w:rFonts w:ascii="Century Gothic" w:eastAsia="Century Gothic" w:hAnsi="Century Gothic"/>
          <w:color w:val="000000"/>
        </w:rPr>
      </w:pPr>
      <w:r>
        <w:rPr>
          <w:rFonts w:ascii="Century Gothic" w:eastAsia="Century Gothic" w:hAnsi="Century Gothic"/>
          <w:color w:val="000000"/>
        </w:rPr>
        <w:t>Teacher shortage problems in both the short and long-term</w:t>
      </w:r>
    </w:p>
    <w:p w14:paraId="13814FB0" w14:textId="77777777" w:rsidR="00A6771E" w:rsidRDefault="000C29E8">
      <w:pPr>
        <w:numPr>
          <w:ilvl w:val="0"/>
          <w:numId w:val="1"/>
        </w:numPr>
        <w:tabs>
          <w:tab w:val="clear" w:pos="288"/>
          <w:tab w:val="left" w:pos="1440"/>
        </w:tabs>
        <w:spacing w:before="122" w:line="268" w:lineRule="exact"/>
        <w:ind w:left="1440" w:right="144" w:hanging="288"/>
        <w:jc w:val="both"/>
        <w:textAlignment w:val="baseline"/>
        <w:rPr>
          <w:rFonts w:ascii="Century Gothic" w:eastAsia="Century Gothic" w:hAnsi="Century Gothic"/>
          <w:color w:val="000000"/>
        </w:rPr>
      </w:pPr>
      <w:r>
        <w:rPr>
          <w:rFonts w:ascii="Century Gothic" w:eastAsia="Century Gothic" w:hAnsi="Century Gothic"/>
          <w:color w:val="000000"/>
        </w:rPr>
        <w:t>The retention of the program graduates in disadvantaged schools and schools experiencing subject shortage problems, and indeed retention in the teaching profession beyond the two-year placement</w:t>
      </w:r>
    </w:p>
    <w:p w14:paraId="62DAC477" w14:textId="77777777" w:rsidR="00A6771E" w:rsidRDefault="000C29E8">
      <w:pPr>
        <w:numPr>
          <w:ilvl w:val="0"/>
          <w:numId w:val="1"/>
        </w:numPr>
        <w:tabs>
          <w:tab w:val="clear" w:pos="288"/>
          <w:tab w:val="left" w:pos="1440"/>
        </w:tabs>
        <w:spacing w:before="129" w:line="260" w:lineRule="exact"/>
        <w:ind w:left="1440" w:hanging="288"/>
        <w:jc w:val="both"/>
        <w:textAlignment w:val="baseline"/>
        <w:rPr>
          <w:rFonts w:ascii="Century Gothic" w:eastAsia="Century Gothic" w:hAnsi="Century Gothic"/>
          <w:color w:val="000000"/>
        </w:rPr>
      </w:pPr>
      <w:r>
        <w:rPr>
          <w:rFonts w:ascii="Century Gothic" w:eastAsia="Century Gothic" w:hAnsi="Century Gothic"/>
          <w:color w:val="000000"/>
        </w:rPr>
        <w:t>The challenges identified in the ACER evaluation of the progra</w:t>
      </w:r>
      <w:r>
        <w:rPr>
          <w:rFonts w:ascii="Century Gothic" w:eastAsia="Century Gothic" w:hAnsi="Century Gothic"/>
          <w:color w:val="000000"/>
        </w:rPr>
        <w:t>m.</w:t>
      </w:r>
    </w:p>
    <w:p w14:paraId="7DAFE58A" w14:textId="77777777" w:rsidR="00A6771E" w:rsidRDefault="000C29E8">
      <w:pPr>
        <w:spacing w:before="125" w:line="269" w:lineRule="exact"/>
        <w:ind w:left="720" w:right="504" w:hanging="360"/>
        <w:textAlignment w:val="baseline"/>
        <w:rPr>
          <w:rFonts w:ascii="Century Gothic" w:eastAsia="Century Gothic" w:hAnsi="Century Gothic"/>
          <w:color w:val="000000"/>
        </w:rPr>
      </w:pPr>
      <w:r>
        <w:rPr>
          <w:rFonts w:ascii="Century Gothic" w:eastAsia="Century Gothic" w:hAnsi="Century Gothic"/>
          <w:color w:val="000000"/>
        </w:rPr>
        <w:t>6. The IEUA believes that Commonwealth initiatives should extend State and Territory incentives to include:</w:t>
      </w:r>
    </w:p>
    <w:p w14:paraId="6005D6F1" w14:textId="77777777" w:rsidR="00A6771E" w:rsidRDefault="000C29E8">
      <w:pPr>
        <w:numPr>
          <w:ilvl w:val="0"/>
          <w:numId w:val="2"/>
        </w:numPr>
        <w:tabs>
          <w:tab w:val="clear" w:pos="288"/>
          <w:tab w:val="left" w:pos="1440"/>
        </w:tabs>
        <w:spacing w:before="8" w:line="260" w:lineRule="exact"/>
        <w:ind w:left="1440" w:hanging="288"/>
        <w:textAlignment w:val="baseline"/>
        <w:rPr>
          <w:rFonts w:ascii="Century Gothic" w:eastAsia="Century Gothic" w:hAnsi="Century Gothic"/>
          <w:color w:val="000000"/>
        </w:rPr>
      </w:pPr>
      <w:r>
        <w:rPr>
          <w:rFonts w:ascii="Century Gothic" w:eastAsia="Century Gothic" w:hAnsi="Century Gothic"/>
          <w:color w:val="000000"/>
        </w:rPr>
        <w:t>Funding for Rural ITE campuses</w:t>
      </w:r>
    </w:p>
    <w:p w14:paraId="5B13C679" w14:textId="77777777" w:rsidR="00A6771E" w:rsidRDefault="000C29E8">
      <w:pPr>
        <w:numPr>
          <w:ilvl w:val="0"/>
          <w:numId w:val="2"/>
        </w:numPr>
        <w:tabs>
          <w:tab w:val="clear" w:pos="288"/>
          <w:tab w:val="left" w:pos="1440"/>
        </w:tabs>
        <w:spacing w:before="14" w:line="260" w:lineRule="exact"/>
        <w:ind w:left="1440" w:hanging="288"/>
        <w:textAlignment w:val="baseline"/>
        <w:rPr>
          <w:rFonts w:ascii="Century Gothic" w:eastAsia="Century Gothic" w:hAnsi="Century Gothic"/>
          <w:color w:val="000000"/>
        </w:rPr>
      </w:pPr>
      <w:r>
        <w:rPr>
          <w:rFonts w:ascii="Century Gothic" w:eastAsia="Century Gothic" w:hAnsi="Century Gothic"/>
          <w:color w:val="000000"/>
        </w:rPr>
        <w:t>Scholarships and fee payment schemes</w:t>
      </w:r>
    </w:p>
    <w:p w14:paraId="20B1F184" w14:textId="77777777" w:rsidR="00A6771E" w:rsidRDefault="000C29E8">
      <w:pPr>
        <w:spacing w:before="217" w:line="253" w:lineRule="exact"/>
        <w:jc w:val="right"/>
        <w:textAlignment w:val="baseline"/>
        <w:rPr>
          <w:rFonts w:ascii="Tahoma" w:eastAsia="Tahoma" w:hAnsi="Tahoma"/>
          <w:color w:val="000000"/>
        </w:rPr>
      </w:pPr>
      <w:r>
        <w:rPr>
          <w:rFonts w:ascii="Tahoma" w:eastAsia="Tahoma" w:hAnsi="Tahoma"/>
          <w:color w:val="000000"/>
        </w:rPr>
        <w:t>2</w:t>
      </w:r>
    </w:p>
    <w:p w14:paraId="658B1B75" w14:textId="77777777" w:rsidR="00A6771E" w:rsidRDefault="00A6771E">
      <w:pPr>
        <w:sectPr w:rsidR="00A6771E">
          <w:pgSz w:w="11909" w:h="16838"/>
          <w:pgMar w:top="1420" w:right="1373" w:bottom="622" w:left="1416" w:header="720" w:footer="720" w:gutter="0"/>
          <w:cols w:space="720"/>
        </w:sectPr>
      </w:pPr>
    </w:p>
    <w:p w14:paraId="24A954C9" w14:textId="77777777" w:rsidR="00A6771E" w:rsidRDefault="000C29E8">
      <w:pPr>
        <w:numPr>
          <w:ilvl w:val="0"/>
          <w:numId w:val="3"/>
        </w:numPr>
        <w:tabs>
          <w:tab w:val="clear" w:pos="360"/>
          <w:tab w:val="left" w:pos="792"/>
        </w:tabs>
        <w:spacing w:line="273" w:lineRule="exact"/>
        <w:ind w:left="792" w:right="504" w:hanging="360"/>
        <w:textAlignment w:val="baseline"/>
        <w:rPr>
          <w:rFonts w:ascii="Century Gothic" w:eastAsia="Century Gothic" w:hAnsi="Century Gothic"/>
          <w:color w:val="000000"/>
        </w:rPr>
      </w:pPr>
      <w:r>
        <w:rPr>
          <w:rFonts w:ascii="Century Gothic" w:eastAsia="Century Gothic" w:hAnsi="Century Gothic"/>
          <w:color w:val="000000"/>
        </w:rPr>
        <w:lastRenderedPageBreak/>
        <w:t xml:space="preserve">The IEUA strongly believes there needs to be a genuine, long term commitment to </w:t>
      </w:r>
      <w:proofErr w:type="spellStart"/>
      <w:r>
        <w:rPr>
          <w:rFonts w:ascii="Century Gothic" w:eastAsia="Century Gothic" w:hAnsi="Century Gothic"/>
          <w:color w:val="000000"/>
        </w:rPr>
        <w:t>recognise</w:t>
      </w:r>
      <w:proofErr w:type="spellEnd"/>
      <w:r>
        <w:rPr>
          <w:rFonts w:ascii="Century Gothic" w:eastAsia="Century Gothic" w:hAnsi="Century Gothic"/>
          <w:color w:val="000000"/>
        </w:rPr>
        <w:t xml:space="preserve"> and reward the work of teachers and other educational professionals if we are to attract high quality candidates into initial teacher education courses.</w:t>
      </w:r>
    </w:p>
    <w:p w14:paraId="0F267179" w14:textId="77777777" w:rsidR="00A6771E" w:rsidRDefault="000C29E8">
      <w:pPr>
        <w:numPr>
          <w:ilvl w:val="0"/>
          <w:numId w:val="3"/>
        </w:numPr>
        <w:tabs>
          <w:tab w:val="clear" w:pos="360"/>
          <w:tab w:val="left" w:pos="792"/>
        </w:tabs>
        <w:spacing w:before="109" w:line="274" w:lineRule="exact"/>
        <w:ind w:left="792" w:right="144" w:hanging="360"/>
        <w:textAlignment w:val="baseline"/>
        <w:rPr>
          <w:rFonts w:ascii="Century Gothic" w:eastAsia="Century Gothic" w:hAnsi="Century Gothic"/>
          <w:color w:val="000000"/>
        </w:rPr>
      </w:pPr>
      <w:r>
        <w:rPr>
          <w:rFonts w:ascii="Century Gothic" w:eastAsia="Century Gothic" w:hAnsi="Century Gothic"/>
          <w:color w:val="000000"/>
        </w:rPr>
        <w:t>The IEUA stro</w:t>
      </w:r>
      <w:r>
        <w:rPr>
          <w:rFonts w:ascii="Century Gothic" w:eastAsia="Century Gothic" w:hAnsi="Century Gothic"/>
          <w:color w:val="000000"/>
        </w:rPr>
        <w:t>ngly believes that a quality practicum component of ITE is crucial in the development of preservice teachers’ professional skills, abilities, and confidence in responding to different educational contexts.</w:t>
      </w:r>
    </w:p>
    <w:p w14:paraId="50DBE940" w14:textId="77777777" w:rsidR="00A6771E" w:rsidRDefault="000C29E8">
      <w:pPr>
        <w:numPr>
          <w:ilvl w:val="0"/>
          <w:numId w:val="3"/>
        </w:numPr>
        <w:tabs>
          <w:tab w:val="clear" w:pos="360"/>
          <w:tab w:val="left" w:pos="792"/>
        </w:tabs>
        <w:spacing w:before="122" w:line="268" w:lineRule="exact"/>
        <w:ind w:left="792" w:right="144" w:hanging="360"/>
        <w:textAlignment w:val="baseline"/>
        <w:rPr>
          <w:rFonts w:ascii="Century Gothic" w:eastAsia="Century Gothic" w:hAnsi="Century Gothic"/>
          <w:color w:val="000000"/>
          <w:spacing w:val="-2"/>
        </w:rPr>
      </w:pPr>
      <w:r>
        <w:rPr>
          <w:rFonts w:ascii="Century Gothic" w:eastAsia="Century Gothic" w:hAnsi="Century Gothic"/>
          <w:color w:val="000000"/>
          <w:spacing w:val="-2"/>
        </w:rPr>
        <w:t>The IEUA believes that to ensure a quality practic</w:t>
      </w:r>
      <w:r>
        <w:rPr>
          <w:rFonts w:ascii="Century Gothic" w:eastAsia="Century Gothic" w:hAnsi="Century Gothic"/>
          <w:color w:val="000000"/>
          <w:spacing w:val="-2"/>
        </w:rPr>
        <w:t>um component, professional and industrial issues must be addressed. The workload involved in taking on a preservice teacher far exceeds the time and resources allocated. It is</w:t>
      </w:r>
    </w:p>
    <w:p w14:paraId="1F90223B" w14:textId="77777777" w:rsidR="00A6771E" w:rsidRDefault="000C29E8">
      <w:pPr>
        <w:spacing w:line="270" w:lineRule="exact"/>
        <w:ind w:left="792" w:right="144"/>
        <w:textAlignment w:val="baseline"/>
        <w:rPr>
          <w:rFonts w:ascii="Century Gothic" w:eastAsia="Century Gothic" w:hAnsi="Century Gothic"/>
          <w:color w:val="000000"/>
        </w:rPr>
      </w:pPr>
      <w:r>
        <w:rPr>
          <w:rFonts w:ascii="Century Gothic" w:eastAsia="Century Gothic" w:hAnsi="Century Gothic"/>
          <w:color w:val="000000"/>
        </w:rPr>
        <w:t>essential that there is greater provision of time release for supervising teachers to hold reflective discussions, and greater support from universities and employers is provided.</w:t>
      </w:r>
    </w:p>
    <w:p w14:paraId="777DED13" w14:textId="77777777" w:rsidR="00A6771E" w:rsidRDefault="000C29E8">
      <w:pPr>
        <w:numPr>
          <w:ilvl w:val="0"/>
          <w:numId w:val="3"/>
        </w:numPr>
        <w:tabs>
          <w:tab w:val="clear" w:pos="360"/>
          <w:tab w:val="left" w:pos="792"/>
        </w:tabs>
        <w:spacing w:before="104" w:line="274" w:lineRule="exact"/>
        <w:ind w:left="792" w:right="288" w:hanging="360"/>
        <w:textAlignment w:val="baseline"/>
        <w:rPr>
          <w:rFonts w:ascii="Century Gothic" w:eastAsia="Century Gothic" w:hAnsi="Century Gothic"/>
          <w:color w:val="000000"/>
        </w:rPr>
      </w:pPr>
      <w:r>
        <w:rPr>
          <w:rFonts w:ascii="Century Gothic" w:eastAsia="Century Gothic" w:hAnsi="Century Gothic"/>
          <w:color w:val="000000"/>
        </w:rPr>
        <w:t>The IEUA calls for meaningful investment in incentives for graduates to move</w:t>
      </w:r>
      <w:r>
        <w:rPr>
          <w:rFonts w:ascii="Century Gothic" w:eastAsia="Century Gothic" w:hAnsi="Century Gothic"/>
          <w:color w:val="000000"/>
        </w:rPr>
        <w:t xml:space="preserve"> to rural and regional areas and/or development of rural/regional training facilities.</w:t>
      </w:r>
    </w:p>
    <w:p w14:paraId="34FCE239" w14:textId="77777777" w:rsidR="00A6771E" w:rsidRDefault="000C29E8">
      <w:pPr>
        <w:numPr>
          <w:ilvl w:val="0"/>
          <w:numId w:val="3"/>
        </w:numPr>
        <w:tabs>
          <w:tab w:val="clear" w:pos="360"/>
          <w:tab w:val="left" w:pos="792"/>
        </w:tabs>
        <w:spacing w:before="93" w:line="274" w:lineRule="exact"/>
        <w:ind w:left="792" w:right="144" w:hanging="360"/>
        <w:textAlignment w:val="baseline"/>
        <w:rPr>
          <w:rFonts w:ascii="Century Gothic" w:eastAsia="Century Gothic" w:hAnsi="Century Gothic"/>
          <w:color w:val="000000"/>
        </w:rPr>
      </w:pPr>
      <w:r>
        <w:rPr>
          <w:rFonts w:ascii="Century Gothic" w:eastAsia="Century Gothic" w:hAnsi="Century Gothic"/>
          <w:color w:val="000000"/>
        </w:rPr>
        <w:t>The IEUA believes that solving the issues of initial teacher education requires more than increasing pressures and demands on teachers and principals. The retention of q</w:t>
      </w:r>
      <w:r>
        <w:rPr>
          <w:rFonts w:ascii="Century Gothic" w:eastAsia="Century Gothic" w:hAnsi="Century Gothic"/>
          <w:color w:val="000000"/>
        </w:rPr>
        <w:t xml:space="preserve">uality education professionals can only be ensured through greater provision of additional supports (beyond classroom teachers and even beyond Education Support </w:t>
      </w:r>
      <w:proofErr w:type="gramStart"/>
      <w:r>
        <w:rPr>
          <w:rFonts w:ascii="Century Gothic" w:eastAsia="Century Gothic" w:hAnsi="Century Gothic"/>
          <w:color w:val="000000"/>
        </w:rPr>
        <w:t>Staff )</w:t>
      </w:r>
      <w:proofErr w:type="gramEnd"/>
      <w:r>
        <w:rPr>
          <w:rFonts w:ascii="Century Gothic" w:eastAsia="Century Gothic" w:hAnsi="Century Gothic"/>
          <w:color w:val="000000"/>
        </w:rPr>
        <w:t xml:space="preserve"> which can be accessed to engage students from disadvantaged and challenging backgrounds</w:t>
      </w:r>
      <w:r>
        <w:rPr>
          <w:rFonts w:ascii="Century Gothic" w:eastAsia="Century Gothic" w:hAnsi="Century Gothic"/>
          <w:color w:val="000000"/>
        </w:rPr>
        <w:t xml:space="preserve"> and thereby addressing the challenges.</w:t>
      </w:r>
    </w:p>
    <w:p w14:paraId="647F62F8" w14:textId="77777777" w:rsidR="00A6771E" w:rsidRDefault="000C29E8">
      <w:pPr>
        <w:spacing w:before="130" w:line="261" w:lineRule="exact"/>
        <w:ind w:left="72"/>
        <w:textAlignment w:val="baseline"/>
        <w:rPr>
          <w:rFonts w:ascii="Century Gothic" w:eastAsia="Century Gothic" w:hAnsi="Century Gothic"/>
          <w:b/>
          <w:color w:val="233E5F"/>
        </w:rPr>
      </w:pPr>
      <w:r>
        <w:rPr>
          <w:rFonts w:ascii="Century Gothic" w:eastAsia="Century Gothic" w:hAnsi="Century Gothic"/>
          <w:b/>
          <w:color w:val="233E5F"/>
        </w:rPr>
        <w:t>PART B – Preparing ITE students to be effective teachers</w:t>
      </w:r>
    </w:p>
    <w:p w14:paraId="0604C221" w14:textId="77777777" w:rsidR="00A6771E" w:rsidRDefault="000C29E8">
      <w:pPr>
        <w:numPr>
          <w:ilvl w:val="0"/>
          <w:numId w:val="3"/>
        </w:numPr>
        <w:tabs>
          <w:tab w:val="clear" w:pos="360"/>
          <w:tab w:val="left" w:pos="792"/>
        </w:tabs>
        <w:spacing w:before="97" w:line="274" w:lineRule="exact"/>
        <w:ind w:left="792" w:right="504" w:hanging="360"/>
        <w:textAlignment w:val="baseline"/>
        <w:rPr>
          <w:rFonts w:ascii="Century Gothic" w:eastAsia="Century Gothic" w:hAnsi="Century Gothic"/>
          <w:color w:val="000000"/>
        </w:rPr>
      </w:pPr>
      <w:r>
        <w:rPr>
          <w:rFonts w:ascii="Century Gothic" w:eastAsia="Century Gothic" w:hAnsi="Century Gothic"/>
          <w:color w:val="000000"/>
        </w:rPr>
        <w:t>The IEUA notes that the introduction of Higher Accomplished and Lead Teacher (HALT) certification was supposed to recognize quality classroom practitioners. Ca</w:t>
      </w:r>
      <w:r>
        <w:rPr>
          <w:rFonts w:ascii="Century Gothic" w:eastAsia="Century Gothic" w:hAnsi="Century Gothic"/>
          <w:color w:val="000000"/>
        </w:rPr>
        <w:t>re is needed to ensure that these excellent practitioners remain in schools, where they can guide less experienced colleagues to develop and improve their own practice.</w:t>
      </w:r>
    </w:p>
    <w:p w14:paraId="7F980D07" w14:textId="77777777" w:rsidR="00A6771E" w:rsidRDefault="000C29E8">
      <w:pPr>
        <w:numPr>
          <w:ilvl w:val="0"/>
          <w:numId w:val="3"/>
        </w:numPr>
        <w:tabs>
          <w:tab w:val="clear" w:pos="360"/>
          <w:tab w:val="left" w:pos="792"/>
        </w:tabs>
        <w:spacing w:before="104" w:line="274" w:lineRule="exact"/>
        <w:ind w:left="792" w:right="144" w:hanging="360"/>
        <w:textAlignment w:val="baseline"/>
        <w:rPr>
          <w:rFonts w:ascii="Century Gothic" w:eastAsia="Century Gothic" w:hAnsi="Century Gothic"/>
          <w:color w:val="000000"/>
        </w:rPr>
      </w:pPr>
      <w:r>
        <w:rPr>
          <w:rFonts w:ascii="Century Gothic" w:eastAsia="Century Gothic" w:hAnsi="Century Gothic"/>
          <w:color w:val="000000"/>
        </w:rPr>
        <w:t>The IEUA notes that TEMAG reforms have brought about significant changes in the way ITE</w:t>
      </w:r>
      <w:r>
        <w:rPr>
          <w:rFonts w:ascii="Century Gothic" w:eastAsia="Century Gothic" w:hAnsi="Century Gothic"/>
          <w:color w:val="000000"/>
        </w:rPr>
        <w:t xml:space="preserve"> programs are accredited and these reforms are still being worked into practice. Now is not the time to </w:t>
      </w:r>
      <w:proofErr w:type="spellStart"/>
      <w:r>
        <w:rPr>
          <w:rFonts w:ascii="Century Gothic" w:eastAsia="Century Gothic" w:hAnsi="Century Gothic"/>
          <w:color w:val="000000"/>
        </w:rPr>
        <w:t>destabilise</w:t>
      </w:r>
      <w:proofErr w:type="spellEnd"/>
      <w:r>
        <w:rPr>
          <w:rFonts w:ascii="Century Gothic" w:eastAsia="Century Gothic" w:hAnsi="Century Gothic"/>
          <w:color w:val="000000"/>
        </w:rPr>
        <w:t xml:space="preserve"> by introducing further change.</w:t>
      </w:r>
    </w:p>
    <w:p w14:paraId="0738C9B8" w14:textId="77777777" w:rsidR="00A6771E" w:rsidRDefault="000C29E8">
      <w:pPr>
        <w:numPr>
          <w:ilvl w:val="0"/>
          <w:numId w:val="3"/>
        </w:numPr>
        <w:tabs>
          <w:tab w:val="clear" w:pos="360"/>
          <w:tab w:val="left" w:pos="792"/>
        </w:tabs>
        <w:spacing w:before="123" w:line="268" w:lineRule="exact"/>
        <w:ind w:left="792" w:right="144" w:hanging="360"/>
        <w:textAlignment w:val="baseline"/>
        <w:rPr>
          <w:rFonts w:ascii="Century Gothic" w:eastAsia="Century Gothic" w:hAnsi="Century Gothic"/>
          <w:color w:val="000000"/>
        </w:rPr>
      </w:pPr>
      <w:r>
        <w:rPr>
          <w:rFonts w:ascii="Century Gothic" w:eastAsia="Century Gothic" w:hAnsi="Century Gothic"/>
          <w:color w:val="000000"/>
        </w:rPr>
        <w:t>The IEUA notes that feedback on existing TPAs suggests reforms have initiated significant cross-institutional</w:t>
      </w:r>
      <w:r>
        <w:rPr>
          <w:rFonts w:ascii="Century Gothic" w:eastAsia="Century Gothic" w:hAnsi="Century Gothic"/>
          <w:color w:val="000000"/>
        </w:rPr>
        <w:t xml:space="preserve"> collaboration (specifically sharing of assessment processes and products to allow moderation) which is leading to better practice in ITE.</w:t>
      </w:r>
    </w:p>
    <w:p w14:paraId="289F5B35" w14:textId="77777777" w:rsidR="00A6771E" w:rsidRDefault="000C29E8">
      <w:pPr>
        <w:numPr>
          <w:ilvl w:val="0"/>
          <w:numId w:val="3"/>
        </w:numPr>
        <w:tabs>
          <w:tab w:val="clear" w:pos="360"/>
          <w:tab w:val="left" w:pos="792"/>
        </w:tabs>
        <w:spacing w:before="126" w:line="268" w:lineRule="exact"/>
        <w:ind w:left="792" w:right="936"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The IEUA believes that it is essential to retain some diversity in TPAs, to encourage ITE providers to continue working on quality improvement.</w:t>
      </w:r>
    </w:p>
    <w:p w14:paraId="047ABF0C" w14:textId="77777777" w:rsidR="00A6771E" w:rsidRDefault="000C29E8">
      <w:pPr>
        <w:numPr>
          <w:ilvl w:val="0"/>
          <w:numId w:val="3"/>
        </w:numPr>
        <w:tabs>
          <w:tab w:val="clear" w:pos="360"/>
          <w:tab w:val="left" w:pos="792"/>
        </w:tabs>
        <w:spacing w:before="105" w:line="274" w:lineRule="exact"/>
        <w:ind w:left="792" w:right="144" w:hanging="360"/>
        <w:textAlignment w:val="baseline"/>
        <w:rPr>
          <w:rFonts w:ascii="Century Gothic" w:eastAsia="Century Gothic" w:hAnsi="Century Gothic"/>
          <w:color w:val="000000"/>
        </w:rPr>
      </w:pPr>
      <w:r>
        <w:rPr>
          <w:rFonts w:ascii="Century Gothic" w:eastAsia="Century Gothic" w:hAnsi="Century Gothic"/>
          <w:color w:val="000000"/>
        </w:rPr>
        <w:t>The IEUA strongly believes that lead teachers and principals should be kept in practice inside schools, where they can support and influence beginning teachers.</w:t>
      </w:r>
    </w:p>
    <w:p w14:paraId="73FFEB13" w14:textId="77777777" w:rsidR="00A6771E" w:rsidRDefault="000C29E8">
      <w:pPr>
        <w:spacing w:before="114" w:line="274" w:lineRule="exact"/>
        <w:ind w:left="792" w:right="144"/>
        <w:textAlignment w:val="baseline"/>
        <w:rPr>
          <w:rFonts w:ascii="Century Gothic" w:eastAsia="Century Gothic" w:hAnsi="Century Gothic"/>
          <w:color w:val="000000"/>
        </w:rPr>
      </w:pPr>
      <w:r>
        <w:rPr>
          <w:rFonts w:ascii="Century Gothic" w:eastAsia="Century Gothic" w:hAnsi="Century Gothic"/>
          <w:color w:val="000000"/>
        </w:rPr>
        <w:t xml:space="preserve">Further, the IEUA is opposed to the idea of creating specialist ‘teacher training schools,’ as </w:t>
      </w:r>
      <w:r>
        <w:rPr>
          <w:rFonts w:ascii="Century Gothic" w:eastAsia="Century Gothic" w:hAnsi="Century Gothic"/>
          <w:color w:val="000000"/>
        </w:rPr>
        <w:t>this runs counter to what the profession knows about context-dependent practice.</w:t>
      </w:r>
    </w:p>
    <w:p w14:paraId="3BEA2F30" w14:textId="77777777" w:rsidR="00A6771E" w:rsidRDefault="000C29E8">
      <w:pPr>
        <w:spacing w:before="265" w:line="247" w:lineRule="exact"/>
        <w:jc w:val="right"/>
        <w:textAlignment w:val="baseline"/>
        <w:rPr>
          <w:rFonts w:ascii="Tahoma" w:eastAsia="Tahoma" w:hAnsi="Tahoma"/>
          <w:b/>
          <w:color w:val="000000"/>
          <w:sz w:val="20"/>
        </w:rPr>
      </w:pPr>
      <w:r>
        <w:rPr>
          <w:rFonts w:ascii="Tahoma" w:eastAsia="Tahoma" w:hAnsi="Tahoma"/>
          <w:b/>
          <w:color w:val="000000"/>
          <w:sz w:val="20"/>
        </w:rPr>
        <w:t>3</w:t>
      </w:r>
    </w:p>
    <w:p w14:paraId="222124DF" w14:textId="77777777" w:rsidR="00A6771E" w:rsidRDefault="00A6771E">
      <w:pPr>
        <w:sectPr w:rsidR="00A6771E">
          <w:pgSz w:w="11909" w:h="16838"/>
          <w:pgMar w:top="1820" w:right="1390" w:bottom="622" w:left="1399" w:header="720" w:footer="720" w:gutter="0"/>
          <w:cols w:space="720"/>
        </w:sectPr>
      </w:pPr>
    </w:p>
    <w:p w14:paraId="6C905015" w14:textId="77777777" w:rsidR="00A6771E" w:rsidRDefault="000C29E8">
      <w:pPr>
        <w:spacing w:line="273"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lastRenderedPageBreak/>
        <w:t>17. The IEUA recommends ITE providers continue to provide background knowledge and quality practicum experiences for pre-service teachers, and not diversify in</w:t>
      </w:r>
      <w:r>
        <w:rPr>
          <w:rFonts w:ascii="Century Gothic" w:eastAsia="Century Gothic" w:hAnsi="Century Gothic"/>
          <w:color w:val="000000"/>
        </w:rPr>
        <w:t>to the provision of post-graduation PD. There are already ample offerings in this space.</w:t>
      </w:r>
    </w:p>
    <w:p w14:paraId="775D23FF" w14:textId="77777777" w:rsidR="00A6771E" w:rsidRDefault="000C29E8">
      <w:pPr>
        <w:spacing w:before="136" w:line="335" w:lineRule="exact"/>
        <w:ind w:left="72"/>
        <w:textAlignment w:val="baseline"/>
        <w:rPr>
          <w:rFonts w:ascii="Century Gothic" w:eastAsia="Century Gothic" w:hAnsi="Century Gothic"/>
          <w:b/>
          <w:color w:val="000000"/>
          <w:spacing w:val="-3"/>
          <w:sz w:val="28"/>
        </w:rPr>
      </w:pPr>
      <w:r>
        <w:rPr>
          <w:rFonts w:ascii="Century Gothic" w:eastAsia="Century Gothic" w:hAnsi="Century Gothic"/>
          <w:b/>
          <w:color w:val="000000"/>
          <w:spacing w:val="-3"/>
          <w:sz w:val="28"/>
        </w:rPr>
        <w:t>Submission</w:t>
      </w:r>
    </w:p>
    <w:p w14:paraId="4B3ADCE8" w14:textId="77777777" w:rsidR="00A6771E" w:rsidRDefault="000C29E8">
      <w:pPr>
        <w:spacing w:before="114" w:line="269" w:lineRule="exact"/>
        <w:ind w:left="72" w:right="1080"/>
        <w:textAlignment w:val="baseline"/>
        <w:rPr>
          <w:rFonts w:ascii="Century Gothic" w:eastAsia="Century Gothic" w:hAnsi="Century Gothic"/>
          <w:b/>
          <w:color w:val="233E5F"/>
        </w:rPr>
      </w:pPr>
      <w:r>
        <w:rPr>
          <w:rFonts w:ascii="Century Gothic" w:eastAsia="Century Gothic" w:hAnsi="Century Gothic"/>
          <w:b/>
          <w:color w:val="233E5F"/>
        </w:rPr>
        <w:t>PART A - Attracting and selecting high-quality candidates into the teaching profession</w:t>
      </w:r>
    </w:p>
    <w:p w14:paraId="2C398015" w14:textId="77777777" w:rsidR="00A6771E" w:rsidRDefault="000C29E8">
      <w:pPr>
        <w:spacing w:before="119" w:line="270" w:lineRule="exact"/>
        <w:ind w:left="288" w:right="576" w:hanging="216"/>
        <w:textAlignment w:val="baseline"/>
        <w:rPr>
          <w:rFonts w:ascii="Century Gothic" w:eastAsia="Century Gothic" w:hAnsi="Century Gothic"/>
          <w:b/>
          <w:i/>
          <w:color w:val="000000"/>
        </w:rPr>
      </w:pPr>
      <w:r>
        <w:rPr>
          <w:rFonts w:ascii="Century Gothic" w:eastAsia="Century Gothic" w:hAnsi="Century Gothic"/>
          <w:b/>
          <w:i/>
          <w:color w:val="000000"/>
        </w:rPr>
        <w:t xml:space="preserve">1. How can we further encourage high-performing and highly motivated </w:t>
      </w:r>
      <w:r>
        <w:rPr>
          <w:rFonts w:ascii="Century Gothic" w:eastAsia="Century Gothic" w:hAnsi="Century Gothic"/>
          <w:b/>
          <w:i/>
          <w:color w:val="000000"/>
        </w:rPr>
        <w:t>school leavers to enter ITE and choose teaching as a career?</w:t>
      </w:r>
    </w:p>
    <w:p w14:paraId="34F36A44" w14:textId="77777777" w:rsidR="00A6771E" w:rsidRDefault="000C29E8">
      <w:pPr>
        <w:spacing w:before="103" w:line="274" w:lineRule="exact"/>
        <w:ind w:left="72" w:right="216"/>
        <w:textAlignment w:val="baseline"/>
        <w:rPr>
          <w:rFonts w:ascii="Century Gothic" w:eastAsia="Century Gothic" w:hAnsi="Century Gothic"/>
          <w:color w:val="000000"/>
        </w:rPr>
      </w:pPr>
      <w:r>
        <w:rPr>
          <w:rFonts w:ascii="Century Gothic" w:eastAsia="Century Gothic" w:hAnsi="Century Gothic"/>
          <w:color w:val="000000"/>
        </w:rPr>
        <w:t>The IEUA notes that the reasons for high achievers not choosing to enter the profession are complex and it is not genuinely possible to separate recruitment and retention issues. Comments relating to pathway and access are made further into the submission.</w:t>
      </w:r>
    </w:p>
    <w:p w14:paraId="794074DD" w14:textId="77777777" w:rsidR="00A6771E" w:rsidRDefault="000C29E8">
      <w:pPr>
        <w:spacing w:before="109" w:line="274" w:lineRule="exact"/>
        <w:ind w:left="72" w:right="216"/>
        <w:textAlignment w:val="baseline"/>
        <w:rPr>
          <w:rFonts w:ascii="Century Gothic" w:eastAsia="Century Gothic" w:hAnsi="Century Gothic"/>
          <w:color w:val="000000"/>
          <w:spacing w:val="-1"/>
        </w:rPr>
      </w:pPr>
      <w:r>
        <w:rPr>
          <w:rFonts w:ascii="Century Gothic" w:eastAsia="Century Gothic" w:hAnsi="Century Gothic"/>
          <w:color w:val="000000"/>
          <w:spacing w:val="-1"/>
        </w:rPr>
        <w:t>The IEUA strongly believes that programs and/or policies which are aimed at attracting and retaining a high-quality teaching workforce must also acknowledge that there are significant issues around public perceptions of teaching.</w:t>
      </w:r>
    </w:p>
    <w:p w14:paraId="38D02B09" w14:textId="77777777" w:rsidR="00A6771E" w:rsidRDefault="000C29E8">
      <w:pPr>
        <w:spacing w:before="115" w:line="274" w:lineRule="exact"/>
        <w:ind w:left="72"/>
        <w:textAlignment w:val="baseline"/>
        <w:rPr>
          <w:rFonts w:ascii="Century Gothic" w:eastAsia="Century Gothic" w:hAnsi="Century Gothic"/>
          <w:color w:val="000000"/>
        </w:rPr>
      </w:pPr>
      <w:r>
        <w:rPr>
          <w:rFonts w:ascii="Century Gothic" w:eastAsia="Century Gothic" w:hAnsi="Century Gothic"/>
          <w:color w:val="000000"/>
        </w:rPr>
        <w:t>The IEUA believes it is i</w:t>
      </w:r>
      <w:r>
        <w:rPr>
          <w:rFonts w:ascii="Century Gothic" w:eastAsia="Century Gothic" w:hAnsi="Century Gothic"/>
          <w:color w:val="000000"/>
        </w:rPr>
        <w:t>mportant to note that:</w:t>
      </w:r>
    </w:p>
    <w:p w14:paraId="250FCFB6" w14:textId="77777777" w:rsidR="00A6771E" w:rsidRDefault="000C29E8">
      <w:pPr>
        <w:numPr>
          <w:ilvl w:val="0"/>
          <w:numId w:val="4"/>
        </w:numPr>
        <w:tabs>
          <w:tab w:val="clear" w:pos="360"/>
          <w:tab w:val="left" w:pos="792"/>
        </w:tabs>
        <w:spacing w:before="108" w:line="280"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Government/media rhetoric implying that those currently working in teaching are deficient in skills and knowledge</w:t>
      </w:r>
      <w:r>
        <w:rPr>
          <w:rFonts w:ascii="Tahoma" w:eastAsia="Tahoma" w:hAnsi="Tahoma"/>
          <w:color w:val="000000"/>
          <w:vertAlign w:val="superscript"/>
        </w:rPr>
        <w:t>1</w:t>
      </w:r>
      <w:r>
        <w:rPr>
          <w:rFonts w:ascii="Century Gothic" w:eastAsia="Century Gothic" w:hAnsi="Century Gothic"/>
          <w:color w:val="000000"/>
        </w:rPr>
        <w:t xml:space="preserve"> fails to acknowledge the professionalism of </w:t>
      </w:r>
      <w:proofErr w:type="spellStart"/>
      <w:r>
        <w:rPr>
          <w:rFonts w:ascii="Century Gothic" w:eastAsia="Century Gothic" w:hAnsi="Century Gothic"/>
          <w:color w:val="000000"/>
        </w:rPr>
        <w:t>practising</w:t>
      </w:r>
      <w:proofErr w:type="spellEnd"/>
      <w:r>
        <w:rPr>
          <w:rFonts w:ascii="Century Gothic" w:eastAsia="Century Gothic" w:hAnsi="Century Gothic"/>
          <w:color w:val="000000"/>
        </w:rPr>
        <w:t xml:space="preserve"> teachers and does nothing to address negative perceptions of th</w:t>
      </w:r>
      <w:r>
        <w:rPr>
          <w:rFonts w:ascii="Century Gothic" w:eastAsia="Century Gothic" w:hAnsi="Century Gothic"/>
          <w:color w:val="000000"/>
        </w:rPr>
        <w:t>e profession.</w:t>
      </w:r>
    </w:p>
    <w:p w14:paraId="6AA051FB" w14:textId="77777777" w:rsidR="00A6771E" w:rsidRDefault="000C29E8">
      <w:pPr>
        <w:numPr>
          <w:ilvl w:val="0"/>
          <w:numId w:val="4"/>
        </w:numPr>
        <w:tabs>
          <w:tab w:val="clear" w:pos="360"/>
          <w:tab w:val="left" w:pos="792"/>
        </w:tabs>
        <w:spacing w:before="113" w:line="274" w:lineRule="exact"/>
        <w:ind w:left="792" w:right="72" w:hanging="360"/>
        <w:textAlignment w:val="baseline"/>
        <w:rPr>
          <w:rFonts w:ascii="Century Gothic" w:eastAsia="Century Gothic" w:hAnsi="Century Gothic"/>
          <w:color w:val="000000"/>
          <w:spacing w:val="-4"/>
        </w:rPr>
      </w:pPr>
      <w:r>
        <w:rPr>
          <w:rFonts w:ascii="Century Gothic" w:eastAsia="Century Gothic" w:hAnsi="Century Gothic"/>
          <w:color w:val="000000"/>
          <w:spacing w:val="-4"/>
        </w:rPr>
        <w:t xml:space="preserve">Studies of teachers who leave the profession indicate that negative perceptions are reinforced by a lack of legitimate career pathways including employers’ excessive use of casual and short-term contracts, excessive workloads, and relatively </w:t>
      </w:r>
      <w:r>
        <w:rPr>
          <w:rFonts w:ascii="Century Gothic" w:eastAsia="Century Gothic" w:hAnsi="Century Gothic"/>
          <w:color w:val="000000"/>
          <w:spacing w:val="-4"/>
        </w:rPr>
        <w:t>low remuneration compared to other professions</w:t>
      </w:r>
      <w:r>
        <w:rPr>
          <w:rFonts w:ascii="Tahoma" w:eastAsia="Tahoma" w:hAnsi="Tahoma"/>
          <w:color w:val="000000"/>
          <w:spacing w:val="-4"/>
          <w:vertAlign w:val="superscript"/>
        </w:rPr>
        <w:t>2</w:t>
      </w:r>
      <w:r>
        <w:rPr>
          <w:rFonts w:ascii="Century Gothic" w:eastAsia="Century Gothic" w:hAnsi="Century Gothic"/>
          <w:color w:val="000000"/>
          <w:spacing w:val="-4"/>
          <w:vertAlign w:val="superscript"/>
        </w:rPr>
        <w:t>,</w:t>
      </w:r>
      <w:r>
        <w:rPr>
          <w:rFonts w:ascii="Tahoma" w:eastAsia="Tahoma" w:hAnsi="Tahoma"/>
          <w:color w:val="000000"/>
          <w:spacing w:val="-4"/>
          <w:vertAlign w:val="superscript"/>
        </w:rPr>
        <w:t>3</w:t>
      </w:r>
      <w:r>
        <w:rPr>
          <w:rFonts w:ascii="Century Gothic" w:eastAsia="Century Gothic" w:hAnsi="Century Gothic"/>
          <w:color w:val="000000"/>
          <w:spacing w:val="-4"/>
          <w:vertAlign w:val="superscript"/>
        </w:rPr>
        <w:t>,</w:t>
      </w:r>
      <w:r>
        <w:rPr>
          <w:rFonts w:ascii="Tahoma" w:eastAsia="Tahoma" w:hAnsi="Tahoma"/>
          <w:color w:val="000000"/>
          <w:spacing w:val="-4"/>
          <w:vertAlign w:val="superscript"/>
        </w:rPr>
        <w:t>4</w:t>
      </w:r>
      <w:r>
        <w:rPr>
          <w:rFonts w:ascii="Century Gothic" w:eastAsia="Century Gothic" w:hAnsi="Century Gothic"/>
          <w:color w:val="000000"/>
          <w:spacing w:val="-4"/>
        </w:rPr>
        <w:t>.</w:t>
      </w:r>
    </w:p>
    <w:p w14:paraId="2375F45C" w14:textId="77777777" w:rsidR="00A6771E" w:rsidRDefault="000C29E8">
      <w:pPr>
        <w:spacing w:before="141" w:line="270" w:lineRule="exact"/>
        <w:ind w:left="288" w:right="216" w:hanging="216"/>
        <w:textAlignment w:val="baseline"/>
        <w:rPr>
          <w:rFonts w:ascii="Century Gothic" w:eastAsia="Century Gothic" w:hAnsi="Century Gothic"/>
          <w:b/>
          <w:i/>
          <w:color w:val="000000"/>
        </w:rPr>
      </w:pPr>
      <w:r>
        <w:rPr>
          <w:rFonts w:ascii="Century Gothic" w:eastAsia="Century Gothic" w:hAnsi="Century Gothic"/>
          <w:b/>
          <w:i/>
          <w:color w:val="000000"/>
        </w:rPr>
        <w:t>2. What changes to admissions and degree requirements, including recognition of prior experience, would better attract and support suitable mid- and late-career professionals from other fields transition into the profession and become quality teachers?</w:t>
      </w:r>
    </w:p>
    <w:p w14:paraId="7F2C2FA8" w14:textId="77777777" w:rsidR="00A6771E" w:rsidRDefault="000C29E8">
      <w:pPr>
        <w:spacing w:before="114" w:line="274" w:lineRule="exact"/>
        <w:ind w:left="72"/>
        <w:textAlignment w:val="baseline"/>
        <w:rPr>
          <w:rFonts w:ascii="Century Gothic" w:eastAsia="Century Gothic" w:hAnsi="Century Gothic"/>
          <w:color w:val="000000"/>
          <w:spacing w:val="10"/>
        </w:rPr>
      </w:pPr>
      <w:r>
        <w:rPr>
          <w:rFonts w:ascii="Century Gothic" w:eastAsia="Century Gothic" w:hAnsi="Century Gothic"/>
          <w:color w:val="000000"/>
          <w:spacing w:val="10"/>
        </w:rPr>
        <w:t>2.1</w:t>
      </w:r>
      <w:r>
        <w:rPr>
          <w:rFonts w:ascii="Century Gothic" w:eastAsia="Century Gothic" w:hAnsi="Century Gothic"/>
          <w:color w:val="000000"/>
          <w:spacing w:val="10"/>
        </w:rPr>
        <w:t xml:space="preserve"> ITE Pathways</w:t>
      </w:r>
    </w:p>
    <w:p w14:paraId="5D2D2FBF" w14:textId="77777777" w:rsidR="00A6771E" w:rsidRDefault="000C29E8">
      <w:pPr>
        <w:spacing w:before="122" w:after="817" w:line="268" w:lineRule="exact"/>
        <w:ind w:left="72" w:right="648"/>
        <w:textAlignment w:val="baseline"/>
        <w:rPr>
          <w:rFonts w:ascii="Century Gothic" w:eastAsia="Century Gothic" w:hAnsi="Century Gothic"/>
          <w:color w:val="000000"/>
          <w:spacing w:val="-1"/>
        </w:rPr>
      </w:pPr>
      <w:r>
        <w:rPr>
          <w:rFonts w:ascii="Century Gothic" w:eastAsia="Century Gothic" w:hAnsi="Century Gothic"/>
          <w:color w:val="000000"/>
          <w:spacing w:val="-1"/>
        </w:rPr>
        <w:t>The IEUA supports the principle that there should be a range of high-quality pathways into ITE to ensure that disadvantage is not a barrier to entry, and that candidates reflecting the diversity of the community can enter the profession.</w:t>
      </w:r>
    </w:p>
    <w:p w14:paraId="298DABFF" w14:textId="77777777" w:rsidR="00A6771E" w:rsidRDefault="000C29E8">
      <w:pPr>
        <w:spacing w:line="222" w:lineRule="exact"/>
        <w:ind w:left="72" w:right="432"/>
        <w:textAlignment w:val="baseline"/>
        <w:rPr>
          <w:rFonts w:ascii="Calibri" w:eastAsia="Calibri" w:hAnsi="Calibri"/>
          <w:color w:val="000000"/>
          <w:sz w:val="12"/>
        </w:rPr>
      </w:pPr>
      <w:r>
        <w:pict w14:anchorId="1CDBBA84">
          <v:line id="_x0000_s1027" style="position:absolute;left:0;text-align:left;z-index:251657728;mso-position-horizontal-relative:page;mso-position-vertical-relative:page" from="69.85pt,650.65pt" to="216.3pt,650.65pt" strokeweight=".7pt">
            <w10:wrap anchorx="page" anchory="page"/>
          </v:line>
        </w:pict>
      </w:r>
      <w:r>
        <w:rPr>
          <w:rFonts w:ascii="Calibri" w:eastAsia="Calibri" w:hAnsi="Calibri"/>
          <w:color w:val="000000"/>
          <w:sz w:val="12"/>
        </w:rPr>
        <w:t xml:space="preserve">1 </w:t>
      </w:r>
      <w:r>
        <w:rPr>
          <w:rFonts w:ascii="Calibri" w:eastAsia="Calibri" w:hAnsi="Calibri"/>
          <w:color w:val="000000"/>
          <w:sz w:val="19"/>
        </w:rPr>
        <w:t>P</w:t>
      </w:r>
      <w:r>
        <w:rPr>
          <w:rFonts w:ascii="Calibri" w:eastAsia="Calibri" w:hAnsi="Calibri"/>
          <w:color w:val="000000"/>
          <w:sz w:val="19"/>
        </w:rPr>
        <w:t>anahi, R. (2014) Teaching should not be a last resort as a career choice. Herald Sun: 20</w:t>
      </w:r>
      <w:r>
        <w:rPr>
          <w:rFonts w:ascii="Calibri" w:eastAsia="Calibri" w:hAnsi="Calibri"/>
          <w:color w:val="000000"/>
          <w:sz w:val="19"/>
          <w:vertAlign w:val="superscript"/>
        </w:rPr>
        <w:t>th</w:t>
      </w:r>
      <w:r>
        <w:rPr>
          <w:rFonts w:ascii="Calibri" w:eastAsia="Calibri" w:hAnsi="Calibri"/>
          <w:color w:val="000000"/>
          <w:sz w:val="19"/>
        </w:rPr>
        <w:t xml:space="preserve"> April 2014. </w:t>
      </w:r>
      <w:hyperlink r:id="rId18">
        <w:r>
          <w:rPr>
            <w:rFonts w:ascii="Calibri" w:eastAsia="Calibri" w:hAnsi="Calibri"/>
            <w:color w:val="0000FF"/>
            <w:sz w:val="19"/>
            <w:u w:val="single"/>
          </w:rPr>
          <w:t>http://www.heraldsun.com.au/news/opinion/teaching-should-not-be-a-last-resort-as-a-career-choice/story-fni0fhh1-1226890573359</w:t>
        </w:r>
      </w:hyperlink>
      <w:r>
        <w:rPr>
          <w:rFonts w:ascii="Calibri" w:eastAsia="Calibri" w:hAnsi="Calibri"/>
          <w:color w:val="000000"/>
          <w:sz w:val="19"/>
        </w:rPr>
        <w:t xml:space="preserve"> </w:t>
      </w:r>
    </w:p>
    <w:p w14:paraId="3B0C27E9" w14:textId="77777777" w:rsidR="00A6771E" w:rsidRDefault="000C29E8">
      <w:pPr>
        <w:spacing w:before="2" w:line="217" w:lineRule="exact"/>
        <w:ind w:left="72"/>
        <w:jc w:val="both"/>
        <w:textAlignment w:val="baseline"/>
        <w:rPr>
          <w:rFonts w:ascii="Calibri" w:eastAsia="Calibri" w:hAnsi="Calibri"/>
          <w:color w:val="000000"/>
          <w:spacing w:val="-5"/>
          <w:sz w:val="12"/>
        </w:rPr>
      </w:pPr>
      <w:r>
        <w:rPr>
          <w:rFonts w:ascii="Calibri" w:eastAsia="Calibri" w:hAnsi="Calibri"/>
          <w:color w:val="000000"/>
          <w:spacing w:val="-5"/>
          <w:sz w:val="12"/>
        </w:rPr>
        <w:t xml:space="preserve">2 </w:t>
      </w:r>
      <w:r>
        <w:rPr>
          <w:rFonts w:ascii="Calibri" w:eastAsia="Calibri" w:hAnsi="Calibri"/>
          <w:color w:val="000000"/>
          <w:spacing w:val="-5"/>
          <w:sz w:val="19"/>
        </w:rPr>
        <w:t xml:space="preserve">OECD (2005) Teachers Matter: Attracting, Developing and Retaining Effective Teachers. OECD: Paris. </w:t>
      </w:r>
      <w:hyperlink r:id="rId19">
        <w:r>
          <w:rPr>
            <w:rFonts w:ascii="Calibri" w:eastAsia="Calibri" w:hAnsi="Calibri"/>
            <w:color w:val="0000FF"/>
            <w:spacing w:val="-5"/>
            <w:sz w:val="19"/>
            <w:u w:val="single"/>
          </w:rPr>
          <w:t>http://www.oecd.org/e</w:t>
        </w:r>
        <w:r>
          <w:rPr>
            <w:rFonts w:ascii="Calibri" w:eastAsia="Calibri" w:hAnsi="Calibri"/>
            <w:color w:val="0000FF"/>
            <w:spacing w:val="-5"/>
            <w:sz w:val="19"/>
            <w:u w:val="single"/>
          </w:rPr>
          <w:t>ducation/school/attractingdevelopingandretainingeffectiveteachers-finalreportteachersmatter.htm</w:t>
        </w:r>
      </w:hyperlink>
      <w:r>
        <w:rPr>
          <w:rFonts w:ascii="Calibri" w:eastAsia="Calibri" w:hAnsi="Calibri"/>
          <w:color w:val="0000FF"/>
          <w:spacing w:val="-5"/>
          <w:sz w:val="19"/>
        </w:rPr>
        <w:t xml:space="preserve"> </w:t>
      </w:r>
    </w:p>
    <w:p w14:paraId="5C63DA0D" w14:textId="77777777" w:rsidR="00A6771E" w:rsidRDefault="000C29E8">
      <w:pPr>
        <w:spacing w:line="221" w:lineRule="exact"/>
        <w:ind w:left="72" w:right="864"/>
        <w:textAlignment w:val="baseline"/>
        <w:rPr>
          <w:rFonts w:ascii="Calibri" w:eastAsia="Calibri" w:hAnsi="Calibri"/>
          <w:color w:val="000000"/>
          <w:spacing w:val="-5"/>
          <w:sz w:val="12"/>
        </w:rPr>
      </w:pPr>
      <w:r>
        <w:rPr>
          <w:rFonts w:ascii="Calibri" w:eastAsia="Calibri" w:hAnsi="Calibri"/>
          <w:color w:val="000000"/>
          <w:spacing w:val="-5"/>
          <w:sz w:val="12"/>
        </w:rPr>
        <w:t xml:space="preserve">3 </w:t>
      </w:r>
      <w:r>
        <w:rPr>
          <w:rFonts w:ascii="Calibri" w:eastAsia="Calibri" w:hAnsi="Calibri"/>
          <w:color w:val="000000"/>
          <w:spacing w:val="-5"/>
          <w:sz w:val="19"/>
        </w:rPr>
        <w:t>O’Brien, Goddard &amp; Keefe (2008) O’Brien, P., Goddard, R. and Keefe, M. (2008) Burnout Confirmed as a Viable Explanation for Beginning Teacher Attrition. AARE</w:t>
      </w:r>
      <w:r>
        <w:rPr>
          <w:rFonts w:ascii="Calibri" w:eastAsia="Calibri" w:hAnsi="Calibri"/>
          <w:color w:val="000000"/>
          <w:spacing w:val="-5"/>
          <w:sz w:val="19"/>
        </w:rPr>
        <w:t xml:space="preserve"> International Education Research Conference: Fremantle.</w:t>
      </w:r>
    </w:p>
    <w:p w14:paraId="7DB11EB4" w14:textId="77777777" w:rsidR="00A6771E" w:rsidRDefault="000C29E8">
      <w:pPr>
        <w:spacing w:before="11" w:line="248" w:lineRule="exact"/>
        <w:ind w:left="72" w:right="72"/>
        <w:textAlignment w:val="baseline"/>
        <w:rPr>
          <w:rFonts w:ascii="Tahoma" w:eastAsia="Tahoma" w:hAnsi="Tahoma"/>
          <w:color w:val="000000"/>
          <w:sz w:val="12"/>
        </w:rPr>
      </w:pPr>
      <w:r>
        <w:rPr>
          <w:rFonts w:ascii="Tahoma" w:eastAsia="Tahoma" w:hAnsi="Tahoma"/>
          <w:color w:val="000000"/>
          <w:sz w:val="12"/>
        </w:rPr>
        <w:t xml:space="preserve">4 </w:t>
      </w:r>
      <w:r>
        <w:rPr>
          <w:rFonts w:ascii="Tahoma" w:eastAsia="Tahoma" w:hAnsi="Tahoma"/>
          <w:color w:val="000000"/>
          <w:sz w:val="18"/>
        </w:rPr>
        <w:t xml:space="preserve">Schuck, S., Aubusson, P., Buchanan, J., Prescott, A. Louviere, J. and Burke, P. (2011) Retaining Effective Early Career Teachers in NSW Schools. University of Technology: Sydney. </w:t>
      </w:r>
      <w:hyperlink r:id="rId20">
        <w:r>
          <w:rPr>
            <w:rFonts w:ascii="Tahoma" w:eastAsia="Tahoma" w:hAnsi="Tahoma"/>
            <w:color w:val="0000FF"/>
            <w:sz w:val="18"/>
            <w:u w:val="single"/>
          </w:rPr>
          <w:t>www.rilc.uts.edu.au/pdfs/Beginning_</w:t>
        </w:r>
      </w:hyperlink>
      <w:hyperlink r:id="rId21">
        <w:r>
          <w:rPr>
            <w:rFonts w:ascii="Arial" w:eastAsia="Arial" w:hAnsi="Arial"/>
            <w:b/>
            <w:color w:val="0000FF"/>
            <w:sz w:val="18"/>
            <w:u w:val="single"/>
          </w:rPr>
          <w:t>Teacher</w:t>
        </w:r>
      </w:hyperlink>
      <w:hyperlink r:id="rId22">
        <w:r>
          <w:rPr>
            <w:rFonts w:ascii="Tahoma" w:eastAsia="Tahoma" w:hAnsi="Tahoma"/>
            <w:color w:val="0000FF"/>
            <w:sz w:val="18"/>
            <w:u w:val="single"/>
          </w:rPr>
          <w:t>_Retention_Report.pdf</w:t>
        </w:r>
      </w:hyperlink>
      <w:r>
        <w:rPr>
          <w:rFonts w:ascii="Tahoma" w:eastAsia="Tahoma" w:hAnsi="Tahoma"/>
          <w:color w:val="0000FF"/>
          <w:sz w:val="18"/>
        </w:rPr>
        <w:t xml:space="preserve"> </w:t>
      </w:r>
    </w:p>
    <w:p w14:paraId="0EF3D482" w14:textId="77777777" w:rsidR="00A6771E" w:rsidRDefault="000C29E8">
      <w:pPr>
        <w:spacing w:before="153" w:line="253" w:lineRule="exact"/>
        <w:ind w:left="72"/>
        <w:jc w:val="right"/>
        <w:textAlignment w:val="baseline"/>
        <w:rPr>
          <w:rFonts w:ascii="Tahoma" w:eastAsia="Tahoma" w:hAnsi="Tahoma"/>
          <w:color w:val="000000"/>
        </w:rPr>
      </w:pPr>
      <w:r>
        <w:rPr>
          <w:rFonts w:ascii="Tahoma" w:eastAsia="Tahoma" w:hAnsi="Tahoma"/>
          <w:color w:val="000000"/>
        </w:rPr>
        <w:t>4</w:t>
      </w:r>
    </w:p>
    <w:p w14:paraId="3B2C2F1B" w14:textId="77777777" w:rsidR="00A6771E" w:rsidRDefault="00A6771E">
      <w:pPr>
        <w:sectPr w:rsidR="00A6771E">
          <w:pgSz w:w="11909" w:h="16838"/>
          <w:pgMar w:top="1820" w:right="1392" w:bottom="622" w:left="1397" w:header="720" w:footer="720" w:gutter="0"/>
          <w:cols w:space="720"/>
        </w:sectPr>
      </w:pPr>
    </w:p>
    <w:p w14:paraId="2917FB46" w14:textId="77777777" w:rsidR="00A6771E" w:rsidRDefault="000C29E8">
      <w:pPr>
        <w:spacing w:line="269" w:lineRule="exact"/>
        <w:textAlignment w:val="baseline"/>
        <w:rPr>
          <w:rFonts w:ascii="Century Gothic" w:eastAsia="Century Gothic" w:hAnsi="Century Gothic"/>
          <w:color w:val="000000"/>
        </w:rPr>
      </w:pPr>
      <w:r>
        <w:rPr>
          <w:rFonts w:ascii="Century Gothic" w:eastAsia="Century Gothic" w:hAnsi="Century Gothic"/>
          <w:color w:val="000000"/>
        </w:rPr>
        <w:lastRenderedPageBreak/>
        <w:t>There is currently a range of pathways into teacher education courses for candidates who successfully complete advanced diplomas, associate degrees, and vocational</w:t>
      </w:r>
      <w:r>
        <w:rPr>
          <w:rFonts w:ascii="Century Gothic" w:eastAsia="Century Gothic" w:hAnsi="Century Gothic"/>
          <w:color w:val="000000"/>
        </w:rPr>
        <w:t xml:space="preserve"> and training courses. However, the challenge is for ITE providers to have identified that candidates have or will acquire the requisite skills and knowledge to complete the teaching qualification and that bridging and other support programs are adequate t</w:t>
      </w:r>
      <w:r>
        <w:rPr>
          <w:rFonts w:ascii="Century Gothic" w:eastAsia="Century Gothic" w:hAnsi="Century Gothic"/>
          <w:color w:val="000000"/>
        </w:rPr>
        <w:t>o achieve this.</w:t>
      </w:r>
    </w:p>
    <w:p w14:paraId="180F6574" w14:textId="77777777" w:rsidR="00A6771E" w:rsidRDefault="000C29E8">
      <w:pPr>
        <w:spacing w:before="118" w:line="271" w:lineRule="exact"/>
        <w:ind w:right="504"/>
        <w:textAlignment w:val="baseline"/>
        <w:rPr>
          <w:rFonts w:ascii="Century Gothic" w:eastAsia="Century Gothic" w:hAnsi="Century Gothic"/>
          <w:color w:val="000000"/>
        </w:rPr>
      </w:pPr>
      <w:r>
        <w:rPr>
          <w:rFonts w:ascii="Century Gothic" w:eastAsia="Century Gothic" w:hAnsi="Century Gothic"/>
          <w:color w:val="000000"/>
        </w:rPr>
        <w:t>The IEUA believes there is a need for transparency and consistency in respect to entry into teacher education and the profession from multiple pathways, and for rigorous monitoring of the standard of bridging or pathway programs.</w:t>
      </w:r>
    </w:p>
    <w:p w14:paraId="21B3CF63" w14:textId="77777777" w:rsidR="00A6771E" w:rsidRDefault="000C29E8">
      <w:pPr>
        <w:spacing w:before="120" w:line="270" w:lineRule="exact"/>
        <w:ind w:right="432"/>
        <w:textAlignment w:val="baseline"/>
        <w:rPr>
          <w:rFonts w:ascii="Century Gothic" w:eastAsia="Century Gothic" w:hAnsi="Century Gothic"/>
          <w:color w:val="000000"/>
        </w:rPr>
      </w:pPr>
      <w:r>
        <w:rPr>
          <w:rFonts w:ascii="Century Gothic" w:eastAsia="Century Gothic" w:hAnsi="Century Gothic"/>
          <w:color w:val="000000"/>
        </w:rPr>
        <w:t>Further, t</w:t>
      </w:r>
      <w:r>
        <w:rPr>
          <w:rFonts w:ascii="Century Gothic" w:eastAsia="Century Gothic" w:hAnsi="Century Gothic"/>
          <w:color w:val="000000"/>
        </w:rPr>
        <w:t xml:space="preserve">he IEUA believes that models of initial teacher education need to be rigorous and of sufficient length to ensure that students who graduate </w:t>
      </w:r>
      <w:proofErr w:type="gramStart"/>
      <w:r>
        <w:rPr>
          <w:rFonts w:ascii="Century Gothic" w:eastAsia="Century Gothic" w:hAnsi="Century Gothic"/>
          <w:color w:val="000000"/>
        </w:rPr>
        <w:t>are able to</w:t>
      </w:r>
      <w:proofErr w:type="gramEnd"/>
      <w:r>
        <w:rPr>
          <w:rFonts w:ascii="Century Gothic" w:eastAsia="Century Gothic" w:hAnsi="Century Gothic"/>
          <w:color w:val="000000"/>
        </w:rPr>
        <w:t xml:space="preserve"> meet the Graduate Professional Teaching Standards before commencing employment as teachers.</w:t>
      </w:r>
    </w:p>
    <w:p w14:paraId="0A27BDF1" w14:textId="77777777" w:rsidR="00A6771E" w:rsidRDefault="000C29E8">
      <w:pPr>
        <w:spacing w:before="130" w:line="259" w:lineRule="exact"/>
        <w:textAlignment w:val="baseline"/>
        <w:rPr>
          <w:rFonts w:ascii="Century Gothic" w:eastAsia="Century Gothic" w:hAnsi="Century Gothic"/>
          <w:color w:val="000000"/>
          <w:spacing w:val="6"/>
        </w:rPr>
      </w:pPr>
      <w:r>
        <w:rPr>
          <w:rFonts w:ascii="Century Gothic" w:eastAsia="Century Gothic" w:hAnsi="Century Gothic"/>
          <w:color w:val="000000"/>
          <w:spacing w:val="6"/>
        </w:rPr>
        <w:t>2.2 Employme</w:t>
      </w:r>
      <w:r>
        <w:rPr>
          <w:rFonts w:ascii="Century Gothic" w:eastAsia="Century Gothic" w:hAnsi="Century Gothic"/>
          <w:color w:val="000000"/>
          <w:spacing w:val="6"/>
        </w:rPr>
        <w:t>nt embedded Models</w:t>
      </w:r>
    </w:p>
    <w:p w14:paraId="31AE8A23" w14:textId="77777777" w:rsidR="00A6771E" w:rsidRDefault="000C29E8">
      <w:pPr>
        <w:spacing w:before="119" w:line="269" w:lineRule="exact"/>
        <w:ind w:right="144"/>
        <w:textAlignment w:val="baseline"/>
        <w:rPr>
          <w:rFonts w:ascii="Century Gothic" w:eastAsia="Century Gothic" w:hAnsi="Century Gothic"/>
          <w:color w:val="000000"/>
        </w:rPr>
      </w:pPr>
      <w:r>
        <w:rPr>
          <w:rFonts w:ascii="Century Gothic" w:eastAsia="Century Gothic" w:hAnsi="Century Gothic"/>
          <w:color w:val="000000"/>
        </w:rPr>
        <w:t xml:space="preserve">There has been much current debate on the quality and </w:t>
      </w:r>
      <w:proofErr w:type="spellStart"/>
      <w:r>
        <w:rPr>
          <w:rFonts w:ascii="Century Gothic" w:eastAsia="Century Gothic" w:hAnsi="Century Gothic"/>
          <w:color w:val="000000"/>
        </w:rPr>
        <w:t>rigour</w:t>
      </w:r>
      <w:proofErr w:type="spellEnd"/>
      <w:r>
        <w:rPr>
          <w:rFonts w:ascii="Century Gothic" w:eastAsia="Century Gothic" w:hAnsi="Century Gothic"/>
          <w:color w:val="000000"/>
        </w:rPr>
        <w:t xml:space="preserve"> of ITE courses – from student selection into courses, to the appropriate length of courses. The implementation of initiatives such as the move to a two-year post-graduate</w:t>
      </w:r>
    </w:p>
    <w:p w14:paraId="0FF6346A" w14:textId="77777777" w:rsidR="00A6771E" w:rsidRDefault="000C29E8">
      <w:pPr>
        <w:spacing w:before="6" w:line="268" w:lineRule="exact"/>
        <w:ind w:right="72"/>
        <w:textAlignment w:val="baseline"/>
        <w:rPr>
          <w:rFonts w:ascii="Century Gothic" w:eastAsia="Century Gothic" w:hAnsi="Century Gothic"/>
          <w:color w:val="000000"/>
          <w:spacing w:val="-1"/>
        </w:rPr>
      </w:pPr>
      <w:proofErr w:type="gramStart"/>
      <w:r>
        <w:rPr>
          <w:rFonts w:ascii="Century Gothic" w:eastAsia="Century Gothic" w:hAnsi="Century Gothic"/>
          <w:color w:val="000000"/>
          <w:spacing w:val="-1"/>
        </w:rPr>
        <w:t>program</w:t>
      </w:r>
      <w:proofErr w:type="gramEnd"/>
      <w:r>
        <w:rPr>
          <w:rFonts w:ascii="Century Gothic" w:eastAsia="Century Gothic" w:hAnsi="Century Gothic"/>
          <w:color w:val="000000"/>
          <w:spacing w:val="-1"/>
        </w:rPr>
        <w:t xml:space="preserve"> have general pro</w:t>
      </w:r>
      <w:r>
        <w:rPr>
          <w:rFonts w:ascii="Century Gothic" w:eastAsia="Century Gothic" w:hAnsi="Century Gothic"/>
          <w:color w:val="000000"/>
          <w:spacing w:val="-1"/>
        </w:rPr>
        <w:t>fessional and community support because they better enable graduates to be ‘classroom ready’ before entry into the teaching profession.</w:t>
      </w:r>
    </w:p>
    <w:p w14:paraId="734575DC" w14:textId="77777777" w:rsidR="00A6771E" w:rsidRDefault="000C29E8">
      <w:pPr>
        <w:spacing w:before="202" w:line="270" w:lineRule="exact"/>
        <w:ind w:right="360"/>
        <w:textAlignment w:val="baseline"/>
        <w:rPr>
          <w:rFonts w:ascii="Century Gothic" w:eastAsia="Century Gothic" w:hAnsi="Century Gothic"/>
          <w:color w:val="000000"/>
        </w:rPr>
      </w:pPr>
      <w:r>
        <w:rPr>
          <w:rFonts w:ascii="Century Gothic" w:eastAsia="Century Gothic" w:hAnsi="Century Gothic"/>
          <w:color w:val="000000"/>
        </w:rPr>
        <w:t>Current employment-embedded models of teacher education, such as Teach for Australia (TFA), place the employment of pers</w:t>
      </w:r>
      <w:r>
        <w:rPr>
          <w:rFonts w:ascii="Century Gothic" w:eastAsia="Century Gothic" w:hAnsi="Century Gothic"/>
          <w:color w:val="000000"/>
        </w:rPr>
        <w:t>ons who have had minimal pedagogical preparation as teachers under a Permission to Teach form of registration.</w:t>
      </w:r>
    </w:p>
    <w:p w14:paraId="4AC77155" w14:textId="77777777" w:rsidR="00A6771E" w:rsidRDefault="000C29E8">
      <w:pPr>
        <w:spacing w:before="193" w:line="273" w:lineRule="exact"/>
        <w:ind w:right="504"/>
        <w:textAlignment w:val="baseline"/>
        <w:rPr>
          <w:rFonts w:ascii="Century Gothic" w:eastAsia="Century Gothic" w:hAnsi="Century Gothic"/>
          <w:color w:val="000000"/>
        </w:rPr>
      </w:pPr>
      <w:r>
        <w:rPr>
          <w:rFonts w:ascii="Century Gothic" w:eastAsia="Century Gothic" w:hAnsi="Century Gothic"/>
          <w:color w:val="000000"/>
        </w:rPr>
        <w:t xml:space="preserve">It must be </w:t>
      </w:r>
      <w:proofErr w:type="spellStart"/>
      <w:r>
        <w:rPr>
          <w:rFonts w:ascii="Century Gothic" w:eastAsia="Century Gothic" w:hAnsi="Century Gothic"/>
          <w:color w:val="000000"/>
        </w:rPr>
        <w:t>emphasised</w:t>
      </w:r>
      <w:proofErr w:type="spellEnd"/>
      <w:r>
        <w:rPr>
          <w:rFonts w:ascii="Century Gothic" w:eastAsia="Century Gothic" w:hAnsi="Century Gothic"/>
          <w:color w:val="000000"/>
        </w:rPr>
        <w:t xml:space="preserve"> though, that these teachers cannot be ‘classroom ready’ until well down the track of the two-year program.</w:t>
      </w:r>
    </w:p>
    <w:p w14:paraId="60539FD2" w14:textId="77777777" w:rsidR="00A6771E" w:rsidRDefault="000C29E8">
      <w:pPr>
        <w:spacing w:before="197"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 xml:space="preserve">The current TFA pathway is a heavily resourced teacher education model aimed at attracting high quality candidates to shortage </w:t>
      </w:r>
      <w:r>
        <w:rPr>
          <w:rFonts w:ascii="Century Gothic" w:eastAsia="Century Gothic" w:hAnsi="Century Gothic"/>
          <w:color w:val="000000"/>
        </w:rPr>
        <w:t>areas such as science and mathematics. To date there is little evidence the restricted nature of the program seriously addresses these concerns.</w:t>
      </w:r>
    </w:p>
    <w:p w14:paraId="0327223F" w14:textId="77777777" w:rsidR="00A6771E" w:rsidRDefault="000C29E8">
      <w:pPr>
        <w:spacing w:before="201" w:line="269" w:lineRule="exact"/>
        <w:ind w:right="576"/>
        <w:textAlignment w:val="baseline"/>
        <w:rPr>
          <w:rFonts w:ascii="Century Gothic" w:eastAsia="Century Gothic" w:hAnsi="Century Gothic"/>
          <w:color w:val="000000"/>
          <w:spacing w:val="-1"/>
        </w:rPr>
      </w:pPr>
      <w:r>
        <w:rPr>
          <w:rFonts w:ascii="Century Gothic" w:eastAsia="Century Gothic" w:hAnsi="Century Gothic"/>
          <w:color w:val="000000"/>
          <w:spacing w:val="-1"/>
        </w:rPr>
        <w:t>The IEUA believes that all Initial Teacher Education students should be supported and resourced to the extent t</w:t>
      </w:r>
      <w:r>
        <w:rPr>
          <w:rFonts w:ascii="Century Gothic" w:eastAsia="Century Gothic" w:hAnsi="Century Gothic"/>
          <w:color w:val="000000"/>
          <w:spacing w:val="-1"/>
        </w:rPr>
        <w:t>hat Teach for Australia Associates enjoy, including:</w:t>
      </w:r>
    </w:p>
    <w:p w14:paraId="0F596E08" w14:textId="77777777" w:rsidR="00A6771E" w:rsidRDefault="000C29E8">
      <w:pPr>
        <w:numPr>
          <w:ilvl w:val="0"/>
          <w:numId w:val="4"/>
        </w:numPr>
        <w:tabs>
          <w:tab w:val="clear" w:pos="360"/>
          <w:tab w:val="left" w:pos="792"/>
        </w:tabs>
        <w:spacing w:before="120" w:line="269"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A significant level of resourcing dedicated to the school to ensure high quality mentoring</w:t>
      </w:r>
    </w:p>
    <w:p w14:paraId="74DEE3A6" w14:textId="77777777" w:rsidR="00A6771E" w:rsidRDefault="000C29E8">
      <w:pPr>
        <w:numPr>
          <w:ilvl w:val="0"/>
          <w:numId w:val="4"/>
        </w:numPr>
        <w:tabs>
          <w:tab w:val="clear" w:pos="360"/>
          <w:tab w:val="left" w:pos="792"/>
        </w:tabs>
        <w:spacing w:before="123" w:line="266"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Significant associate in-school support including reduced teaching loads</w:t>
      </w:r>
    </w:p>
    <w:p w14:paraId="25D057BC" w14:textId="77777777" w:rsidR="00A6771E" w:rsidRDefault="000C29E8">
      <w:pPr>
        <w:numPr>
          <w:ilvl w:val="0"/>
          <w:numId w:val="4"/>
        </w:numPr>
        <w:tabs>
          <w:tab w:val="clear" w:pos="360"/>
          <w:tab w:val="left" w:pos="792"/>
        </w:tabs>
        <w:spacing w:before="127" w:line="266" w:lineRule="exact"/>
        <w:ind w:left="792"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 xml:space="preserve">The development of closer partnerships </w:t>
      </w:r>
      <w:r>
        <w:rPr>
          <w:rFonts w:ascii="Century Gothic" w:eastAsia="Century Gothic" w:hAnsi="Century Gothic"/>
          <w:color w:val="000000"/>
          <w:spacing w:val="-1"/>
        </w:rPr>
        <w:t>between schools and the ITE provider.</w:t>
      </w:r>
    </w:p>
    <w:p w14:paraId="44C287A9" w14:textId="77777777" w:rsidR="00A6771E" w:rsidRDefault="000C29E8">
      <w:pPr>
        <w:spacing w:before="120" w:line="269" w:lineRule="exact"/>
        <w:ind w:right="144"/>
        <w:textAlignment w:val="baseline"/>
        <w:rPr>
          <w:rFonts w:ascii="Century Gothic" w:eastAsia="Century Gothic" w:hAnsi="Century Gothic"/>
          <w:color w:val="000000"/>
        </w:rPr>
      </w:pPr>
      <w:r>
        <w:rPr>
          <w:rFonts w:ascii="Century Gothic" w:eastAsia="Century Gothic" w:hAnsi="Century Gothic"/>
          <w:color w:val="000000"/>
        </w:rPr>
        <w:t>This additional resourcing would go some way towards addressing the dropout rates from ITE courses and assist in the retention of early career teachers as they experience a more comprehensive and supported induction in</w:t>
      </w:r>
      <w:r>
        <w:rPr>
          <w:rFonts w:ascii="Century Gothic" w:eastAsia="Century Gothic" w:hAnsi="Century Gothic"/>
          <w:color w:val="000000"/>
        </w:rPr>
        <w:t>to the profession.</w:t>
      </w:r>
    </w:p>
    <w:p w14:paraId="75DB395B" w14:textId="77777777" w:rsidR="00A6771E" w:rsidRDefault="000C29E8">
      <w:pPr>
        <w:spacing w:before="114" w:line="274" w:lineRule="exact"/>
        <w:ind w:right="576"/>
        <w:textAlignment w:val="baseline"/>
        <w:rPr>
          <w:rFonts w:ascii="Century Gothic" w:eastAsia="Century Gothic" w:hAnsi="Century Gothic"/>
          <w:color w:val="000000"/>
        </w:rPr>
      </w:pPr>
      <w:r>
        <w:rPr>
          <w:rFonts w:ascii="Century Gothic" w:eastAsia="Century Gothic" w:hAnsi="Century Gothic"/>
          <w:color w:val="000000"/>
        </w:rPr>
        <w:t>The IEUA believes that Teach for Australia and other such similar programs fail to address the following:</w:t>
      </w:r>
    </w:p>
    <w:p w14:paraId="76344587" w14:textId="77777777" w:rsidR="00A6771E" w:rsidRDefault="000C29E8">
      <w:pPr>
        <w:numPr>
          <w:ilvl w:val="0"/>
          <w:numId w:val="4"/>
        </w:numPr>
        <w:tabs>
          <w:tab w:val="clear" w:pos="360"/>
          <w:tab w:val="left" w:pos="792"/>
        </w:tabs>
        <w:spacing w:before="200" w:line="266"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Teacher shortage problems in both the short and long-term</w:t>
      </w:r>
    </w:p>
    <w:p w14:paraId="4E5C346B" w14:textId="77777777" w:rsidR="00A6771E" w:rsidRDefault="000C29E8">
      <w:pPr>
        <w:numPr>
          <w:ilvl w:val="0"/>
          <w:numId w:val="4"/>
        </w:numPr>
        <w:tabs>
          <w:tab w:val="clear" w:pos="360"/>
          <w:tab w:val="left" w:pos="792"/>
        </w:tabs>
        <w:spacing w:before="4" w:line="269" w:lineRule="exact"/>
        <w:ind w:left="792" w:right="144" w:hanging="360"/>
        <w:textAlignment w:val="baseline"/>
        <w:rPr>
          <w:rFonts w:ascii="Century Gothic" w:eastAsia="Century Gothic" w:hAnsi="Century Gothic"/>
          <w:color w:val="000000"/>
        </w:rPr>
      </w:pPr>
      <w:r>
        <w:rPr>
          <w:rFonts w:ascii="Century Gothic" w:eastAsia="Century Gothic" w:hAnsi="Century Gothic"/>
          <w:color w:val="000000"/>
        </w:rPr>
        <w:t>The retention of the program graduates in disadvantaged schools and schools experiencing subject shortage problems, and indeed retention in the teaching profession beyond the two-year placement</w:t>
      </w:r>
    </w:p>
    <w:p w14:paraId="4253C7C2" w14:textId="77777777" w:rsidR="00A6771E" w:rsidRDefault="000C29E8">
      <w:pPr>
        <w:spacing w:before="165" w:line="253" w:lineRule="exact"/>
        <w:jc w:val="right"/>
        <w:textAlignment w:val="baseline"/>
        <w:rPr>
          <w:rFonts w:ascii="Tahoma" w:eastAsia="Tahoma" w:hAnsi="Tahoma"/>
          <w:color w:val="000000"/>
        </w:rPr>
      </w:pPr>
      <w:r>
        <w:rPr>
          <w:rFonts w:ascii="Tahoma" w:eastAsia="Tahoma" w:hAnsi="Tahoma"/>
          <w:color w:val="000000"/>
        </w:rPr>
        <w:t>5</w:t>
      </w:r>
    </w:p>
    <w:p w14:paraId="232343FB" w14:textId="77777777" w:rsidR="00A6771E" w:rsidRDefault="00A6771E">
      <w:pPr>
        <w:sectPr w:rsidR="00A6771E">
          <w:pgSz w:w="11909" w:h="16838"/>
          <w:pgMar w:top="1440" w:right="1397" w:bottom="622" w:left="1392" w:header="720" w:footer="720" w:gutter="0"/>
          <w:cols w:space="720"/>
        </w:sectPr>
      </w:pPr>
    </w:p>
    <w:p w14:paraId="1AF3BA3E" w14:textId="77777777" w:rsidR="00A6771E" w:rsidRDefault="000C29E8">
      <w:pPr>
        <w:numPr>
          <w:ilvl w:val="0"/>
          <w:numId w:val="4"/>
        </w:numPr>
        <w:tabs>
          <w:tab w:val="clear" w:pos="360"/>
          <w:tab w:val="left" w:pos="792"/>
        </w:tabs>
        <w:spacing w:before="107" w:line="266"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lastRenderedPageBreak/>
        <w:t>The challenges identified in the ACER evaluation</w:t>
      </w:r>
      <w:r>
        <w:rPr>
          <w:rFonts w:ascii="Century Gothic" w:eastAsia="Century Gothic" w:hAnsi="Century Gothic"/>
          <w:color w:val="000000"/>
        </w:rPr>
        <w:t xml:space="preserve"> of the program.</w:t>
      </w:r>
    </w:p>
    <w:p w14:paraId="133CAFFF" w14:textId="77777777" w:rsidR="00A6771E" w:rsidRDefault="000C29E8">
      <w:pPr>
        <w:tabs>
          <w:tab w:val="left" w:pos="792"/>
        </w:tabs>
        <w:spacing w:before="130" w:line="259" w:lineRule="exact"/>
        <w:textAlignment w:val="baseline"/>
        <w:rPr>
          <w:rFonts w:ascii="Century Gothic" w:eastAsia="Century Gothic" w:hAnsi="Century Gothic"/>
          <w:color w:val="000000"/>
          <w:spacing w:val="-1"/>
        </w:rPr>
      </w:pPr>
      <w:r>
        <w:rPr>
          <w:rFonts w:ascii="Century Gothic" w:eastAsia="Century Gothic" w:hAnsi="Century Gothic"/>
          <w:color w:val="000000"/>
          <w:spacing w:val="-1"/>
        </w:rPr>
        <w:t>2.3</w:t>
      </w:r>
      <w:r>
        <w:rPr>
          <w:rFonts w:ascii="Century Gothic" w:eastAsia="Century Gothic" w:hAnsi="Century Gothic"/>
          <w:color w:val="000000"/>
          <w:spacing w:val="-1"/>
        </w:rPr>
        <w:tab/>
        <w:t>Provision of Incentives</w:t>
      </w:r>
    </w:p>
    <w:p w14:paraId="1A388A74" w14:textId="77777777" w:rsidR="00A6771E" w:rsidRDefault="000C29E8">
      <w:pPr>
        <w:spacing w:before="124" w:line="269" w:lineRule="exact"/>
        <w:ind w:right="216"/>
        <w:textAlignment w:val="baseline"/>
        <w:rPr>
          <w:rFonts w:ascii="Century Gothic" w:eastAsia="Century Gothic" w:hAnsi="Century Gothic"/>
          <w:color w:val="000000"/>
        </w:rPr>
      </w:pPr>
      <w:r>
        <w:rPr>
          <w:rFonts w:ascii="Century Gothic" w:eastAsia="Century Gothic" w:hAnsi="Century Gothic"/>
          <w:color w:val="000000"/>
        </w:rPr>
        <w:t>The IEUA notes the provision of incentives as a mechanism of attracting candidates into ITE.</w:t>
      </w:r>
    </w:p>
    <w:p w14:paraId="06243C31" w14:textId="77777777" w:rsidR="00A6771E" w:rsidRDefault="000C29E8">
      <w:pPr>
        <w:spacing w:before="120"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 xml:space="preserve">It is noted that </w:t>
      </w:r>
      <w:proofErr w:type="gramStart"/>
      <w:r>
        <w:rPr>
          <w:rFonts w:ascii="Century Gothic" w:eastAsia="Century Gothic" w:hAnsi="Century Gothic"/>
          <w:color w:val="000000"/>
        </w:rPr>
        <w:t>a number of</w:t>
      </w:r>
      <w:proofErr w:type="gramEnd"/>
      <w:r>
        <w:rPr>
          <w:rFonts w:ascii="Century Gothic" w:eastAsia="Century Gothic" w:hAnsi="Century Gothic"/>
          <w:color w:val="000000"/>
        </w:rPr>
        <w:t xml:space="preserve"> states, particularly Departments of Education, have introduced incentive schemes to attra</w:t>
      </w:r>
      <w:r>
        <w:rPr>
          <w:rFonts w:ascii="Century Gothic" w:eastAsia="Century Gothic" w:hAnsi="Century Gothic"/>
          <w:color w:val="000000"/>
        </w:rPr>
        <w:t>ct high quality candidates, particularly in subject shortage areas, into ITE courses at both undergraduate and graduate levels. Such incentive schemes include:</w:t>
      </w:r>
    </w:p>
    <w:p w14:paraId="3725D22F" w14:textId="77777777" w:rsidR="00A6771E" w:rsidRDefault="000C29E8">
      <w:pPr>
        <w:numPr>
          <w:ilvl w:val="0"/>
          <w:numId w:val="4"/>
        </w:numPr>
        <w:tabs>
          <w:tab w:val="clear" w:pos="360"/>
          <w:tab w:val="left" w:pos="792"/>
        </w:tabs>
        <w:spacing w:before="123" w:line="266" w:lineRule="exact"/>
        <w:ind w:left="792" w:hanging="360"/>
        <w:textAlignment w:val="baseline"/>
        <w:rPr>
          <w:rFonts w:ascii="Century Gothic" w:eastAsia="Century Gothic" w:hAnsi="Century Gothic"/>
          <w:color w:val="000000"/>
          <w:spacing w:val="-2"/>
        </w:rPr>
      </w:pPr>
      <w:r>
        <w:rPr>
          <w:rFonts w:ascii="Century Gothic" w:eastAsia="Century Gothic" w:hAnsi="Century Gothic"/>
          <w:color w:val="000000"/>
          <w:spacing w:val="-2"/>
        </w:rPr>
        <w:t>Scholarships</w:t>
      </w:r>
    </w:p>
    <w:p w14:paraId="40FD1942" w14:textId="77777777" w:rsidR="00A6771E" w:rsidRDefault="000C29E8">
      <w:pPr>
        <w:numPr>
          <w:ilvl w:val="0"/>
          <w:numId w:val="4"/>
        </w:numPr>
        <w:tabs>
          <w:tab w:val="clear" w:pos="360"/>
          <w:tab w:val="left" w:pos="792"/>
        </w:tabs>
        <w:spacing w:before="123" w:line="266" w:lineRule="exact"/>
        <w:ind w:left="792"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Payment of course fees (in part or in total)</w:t>
      </w:r>
    </w:p>
    <w:p w14:paraId="48BEDE0E" w14:textId="77777777" w:rsidR="00A6771E" w:rsidRDefault="000C29E8">
      <w:pPr>
        <w:numPr>
          <w:ilvl w:val="0"/>
          <w:numId w:val="4"/>
        </w:numPr>
        <w:tabs>
          <w:tab w:val="clear" w:pos="360"/>
          <w:tab w:val="left" w:pos="792"/>
        </w:tabs>
        <w:spacing w:before="119" w:line="269" w:lineRule="exact"/>
        <w:ind w:left="792" w:right="1152" w:hanging="360"/>
        <w:textAlignment w:val="baseline"/>
        <w:rPr>
          <w:rFonts w:ascii="Century Gothic" w:eastAsia="Century Gothic" w:hAnsi="Century Gothic"/>
          <w:color w:val="000000"/>
        </w:rPr>
      </w:pPr>
      <w:r>
        <w:rPr>
          <w:rFonts w:ascii="Century Gothic" w:eastAsia="Century Gothic" w:hAnsi="Century Gothic"/>
          <w:color w:val="000000"/>
        </w:rPr>
        <w:t>Rural placements, including lost income replacement opportunities, supported accommodation etc.</w:t>
      </w:r>
    </w:p>
    <w:p w14:paraId="5D599A33" w14:textId="77777777" w:rsidR="00A6771E" w:rsidRDefault="000C29E8">
      <w:pPr>
        <w:spacing w:before="125" w:line="269" w:lineRule="exact"/>
        <w:ind w:right="360"/>
        <w:textAlignment w:val="baseline"/>
        <w:rPr>
          <w:rFonts w:ascii="Century Gothic" w:eastAsia="Century Gothic" w:hAnsi="Century Gothic"/>
          <w:color w:val="000000"/>
        </w:rPr>
      </w:pPr>
      <w:r>
        <w:rPr>
          <w:rFonts w:ascii="Century Gothic" w:eastAsia="Century Gothic" w:hAnsi="Century Gothic"/>
          <w:color w:val="000000"/>
        </w:rPr>
        <w:t>The IEUA believes that Commonwealth initiatives should extend State and Territory incentives to include:</w:t>
      </w:r>
    </w:p>
    <w:p w14:paraId="517D6B92" w14:textId="77777777" w:rsidR="00A6771E" w:rsidRDefault="000C29E8">
      <w:pPr>
        <w:numPr>
          <w:ilvl w:val="0"/>
          <w:numId w:val="4"/>
        </w:numPr>
        <w:tabs>
          <w:tab w:val="clear" w:pos="360"/>
          <w:tab w:val="left" w:pos="792"/>
        </w:tabs>
        <w:spacing w:before="122" w:line="266"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Funding for Rural ITE campuses</w:t>
      </w:r>
    </w:p>
    <w:p w14:paraId="5394A019" w14:textId="77777777" w:rsidR="00A6771E" w:rsidRDefault="000C29E8">
      <w:pPr>
        <w:numPr>
          <w:ilvl w:val="0"/>
          <w:numId w:val="4"/>
        </w:numPr>
        <w:tabs>
          <w:tab w:val="clear" w:pos="360"/>
          <w:tab w:val="left" w:pos="792"/>
        </w:tabs>
        <w:spacing w:before="123" w:line="266"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Scholarships and fee payment schemes</w:t>
      </w:r>
    </w:p>
    <w:p w14:paraId="07CEB3AE" w14:textId="77777777" w:rsidR="00A6771E" w:rsidRDefault="000C29E8">
      <w:pPr>
        <w:numPr>
          <w:ilvl w:val="0"/>
          <w:numId w:val="5"/>
        </w:numPr>
        <w:spacing w:before="121" w:line="271" w:lineRule="exact"/>
        <w:ind w:left="432" w:right="432" w:hanging="432"/>
        <w:textAlignment w:val="baseline"/>
        <w:rPr>
          <w:rFonts w:ascii="Century Gothic" w:eastAsia="Century Gothic" w:hAnsi="Century Gothic"/>
          <w:b/>
          <w:i/>
          <w:color w:val="000000"/>
        </w:rPr>
      </w:pPr>
      <w:r>
        <w:rPr>
          <w:rFonts w:ascii="Century Gothic" w:eastAsia="Century Gothic" w:hAnsi="Century Gothic"/>
          <w:b/>
          <w:i/>
          <w:color w:val="000000"/>
        </w:rPr>
        <w:t xml:space="preserve">How can we increase ITE completion rates so that quality ITE students graduate and </w:t>
      </w:r>
      <w:r>
        <w:rPr>
          <w:rFonts w:ascii="Century Gothic" w:eastAsia="Century Gothic" w:hAnsi="Century Gothic"/>
          <w:b/>
          <w:i/>
          <w:color w:val="000000"/>
        </w:rPr>
        <w:t>pursue careers as quality teachers?</w:t>
      </w:r>
    </w:p>
    <w:p w14:paraId="1FCFD076" w14:textId="77777777" w:rsidR="00A6771E" w:rsidRDefault="000C29E8">
      <w:pPr>
        <w:spacing w:before="129" w:line="259" w:lineRule="exact"/>
        <w:textAlignment w:val="baseline"/>
        <w:rPr>
          <w:rFonts w:ascii="Century Gothic" w:eastAsia="Century Gothic" w:hAnsi="Century Gothic"/>
          <w:color w:val="000000"/>
        </w:rPr>
      </w:pPr>
      <w:r>
        <w:rPr>
          <w:rFonts w:ascii="Century Gothic" w:eastAsia="Century Gothic" w:hAnsi="Century Gothic"/>
          <w:color w:val="000000"/>
        </w:rPr>
        <w:t>The IEUA challenges the simplistic import of this question.</w:t>
      </w:r>
    </w:p>
    <w:p w14:paraId="027D05D4" w14:textId="77777777" w:rsidR="00A6771E" w:rsidRDefault="000C29E8">
      <w:pPr>
        <w:tabs>
          <w:tab w:val="left" w:pos="648"/>
        </w:tabs>
        <w:spacing w:before="130" w:line="259" w:lineRule="exact"/>
        <w:textAlignment w:val="baseline"/>
        <w:rPr>
          <w:rFonts w:ascii="Century Gothic" w:eastAsia="Century Gothic" w:hAnsi="Century Gothic"/>
          <w:color w:val="000000"/>
          <w:spacing w:val="-1"/>
        </w:rPr>
      </w:pPr>
      <w:r>
        <w:rPr>
          <w:rFonts w:ascii="Century Gothic" w:eastAsia="Century Gothic" w:hAnsi="Century Gothic"/>
          <w:color w:val="000000"/>
          <w:spacing w:val="-1"/>
        </w:rPr>
        <w:t>3.1</w:t>
      </w:r>
      <w:r>
        <w:rPr>
          <w:rFonts w:ascii="Century Gothic" w:eastAsia="Century Gothic" w:hAnsi="Century Gothic"/>
          <w:color w:val="000000"/>
          <w:spacing w:val="-1"/>
        </w:rPr>
        <w:tab/>
        <w:t>Quality and well-resourced Practicum</w:t>
      </w:r>
    </w:p>
    <w:p w14:paraId="11554A05" w14:textId="77777777" w:rsidR="00A6771E" w:rsidRDefault="000C29E8">
      <w:pPr>
        <w:spacing w:before="124" w:line="269" w:lineRule="exact"/>
        <w:ind w:right="288"/>
        <w:textAlignment w:val="baseline"/>
        <w:rPr>
          <w:rFonts w:ascii="Century Gothic" w:eastAsia="Century Gothic" w:hAnsi="Century Gothic"/>
          <w:color w:val="000000"/>
        </w:rPr>
      </w:pPr>
      <w:r>
        <w:rPr>
          <w:rFonts w:ascii="Century Gothic" w:eastAsia="Century Gothic" w:hAnsi="Century Gothic"/>
          <w:color w:val="000000"/>
        </w:rPr>
        <w:t>The reality of teaching is that it is a very challenging profession, made more so with constant reform and resultant ex</w:t>
      </w:r>
      <w:r>
        <w:rPr>
          <w:rFonts w:ascii="Century Gothic" w:eastAsia="Century Gothic" w:hAnsi="Century Gothic"/>
          <w:color w:val="000000"/>
        </w:rPr>
        <w:t>pansion of duties and tasks expected of teachers. If we want quality teachers, maligning of the profession must stop. This includes conducting reviews such as this one to which we are currently responding, which appears to imply there is a simple, isolated</w:t>
      </w:r>
      <w:r>
        <w:rPr>
          <w:rFonts w:ascii="Century Gothic" w:eastAsia="Century Gothic" w:hAnsi="Century Gothic"/>
          <w:color w:val="000000"/>
        </w:rPr>
        <w:t xml:space="preserve"> problem with a straightforward solution when the reality is complex and nuanced.</w:t>
      </w:r>
    </w:p>
    <w:p w14:paraId="1005578C" w14:textId="77777777" w:rsidR="00A6771E" w:rsidRDefault="000C29E8">
      <w:pPr>
        <w:spacing w:before="118" w:line="271" w:lineRule="exact"/>
        <w:ind w:right="144"/>
        <w:textAlignment w:val="baseline"/>
        <w:rPr>
          <w:rFonts w:ascii="Century Gothic" w:eastAsia="Century Gothic" w:hAnsi="Century Gothic"/>
          <w:color w:val="000000"/>
        </w:rPr>
      </w:pPr>
      <w:r>
        <w:rPr>
          <w:rFonts w:ascii="Century Gothic" w:eastAsia="Century Gothic" w:hAnsi="Century Gothic"/>
          <w:color w:val="000000"/>
        </w:rPr>
        <w:t>The IEUA strongly believes that a quality practicum component of ITE is crucial in the development of preservice teachers’ professional skills, abilities and therefore confid</w:t>
      </w:r>
      <w:r>
        <w:rPr>
          <w:rFonts w:ascii="Century Gothic" w:eastAsia="Century Gothic" w:hAnsi="Century Gothic"/>
          <w:color w:val="000000"/>
        </w:rPr>
        <w:t>ence in response to different educational contexts.</w:t>
      </w:r>
    </w:p>
    <w:p w14:paraId="37FC430B" w14:textId="77777777" w:rsidR="00A6771E" w:rsidRDefault="000C29E8">
      <w:pPr>
        <w:spacing w:before="119" w:line="270" w:lineRule="exact"/>
        <w:ind w:right="216"/>
        <w:textAlignment w:val="baseline"/>
        <w:rPr>
          <w:rFonts w:ascii="Century Gothic" w:eastAsia="Century Gothic" w:hAnsi="Century Gothic"/>
          <w:color w:val="000000"/>
        </w:rPr>
      </w:pPr>
      <w:r>
        <w:rPr>
          <w:rFonts w:ascii="Century Gothic" w:eastAsia="Century Gothic" w:hAnsi="Century Gothic"/>
          <w:color w:val="000000"/>
        </w:rPr>
        <w:t>The IEUA believes that, to ensure a quality practicum component, professional and industrial issues must be addressed. The workload involved in taking on a preservice teacher far exceeds the time and reso</w:t>
      </w:r>
      <w:r>
        <w:rPr>
          <w:rFonts w:ascii="Century Gothic" w:eastAsia="Century Gothic" w:hAnsi="Century Gothic"/>
          <w:color w:val="000000"/>
        </w:rPr>
        <w:t>urces allocated. It is essential that there is greater provision of time release for supervising teachers to hold reflective discussions, and greater support from universities and employers is provided.</w:t>
      </w:r>
    </w:p>
    <w:p w14:paraId="63A4C4C7" w14:textId="77777777" w:rsidR="00A6771E" w:rsidRDefault="000C29E8">
      <w:pPr>
        <w:numPr>
          <w:ilvl w:val="0"/>
          <w:numId w:val="5"/>
        </w:numPr>
        <w:spacing w:before="115" w:line="271" w:lineRule="exact"/>
        <w:ind w:left="432" w:right="216" w:hanging="432"/>
        <w:textAlignment w:val="baseline"/>
        <w:rPr>
          <w:rFonts w:ascii="Century Gothic" w:eastAsia="Century Gothic" w:hAnsi="Century Gothic"/>
          <w:b/>
          <w:i/>
          <w:color w:val="000000"/>
        </w:rPr>
      </w:pPr>
      <w:r>
        <w:rPr>
          <w:rFonts w:ascii="Century Gothic" w:eastAsia="Century Gothic" w:hAnsi="Century Gothic"/>
          <w:b/>
          <w:i/>
          <w:color w:val="000000"/>
        </w:rPr>
        <w:t xml:space="preserve">What more can be done to address issues with workforce supply in some subject areas (particularly </w:t>
      </w:r>
      <w:proofErr w:type="spellStart"/>
      <w:r>
        <w:rPr>
          <w:rFonts w:ascii="Century Gothic" w:eastAsia="Century Gothic" w:hAnsi="Century Gothic"/>
          <w:b/>
          <w:i/>
          <w:color w:val="000000"/>
        </w:rPr>
        <w:t>maths</w:t>
      </w:r>
      <w:proofErr w:type="spellEnd"/>
      <w:r>
        <w:rPr>
          <w:rFonts w:ascii="Century Gothic" w:eastAsia="Century Gothic" w:hAnsi="Century Gothic"/>
          <w:b/>
          <w:i/>
          <w:color w:val="000000"/>
        </w:rPr>
        <w:t>) and schools?</w:t>
      </w:r>
    </w:p>
    <w:p w14:paraId="431DE095" w14:textId="77777777" w:rsidR="00A6771E" w:rsidRDefault="000C29E8">
      <w:pPr>
        <w:tabs>
          <w:tab w:val="left" w:pos="648"/>
        </w:tabs>
        <w:spacing w:before="130" w:line="259" w:lineRule="exact"/>
        <w:textAlignment w:val="baseline"/>
        <w:rPr>
          <w:rFonts w:ascii="Century Gothic" w:eastAsia="Century Gothic" w:hAnsi="Century Gothic"/>
          <w:color w:val="000000"/>
        </w:rPr>
      </w:pPr>
      <w:r>
        <w:rPr>
          <w:rFonts w:ascii="Century Gothic" w:eastAsia="Century Gothic" w:hAnsi="Century Gothic"/>
          <w:color w:val="000000"/>
        </w:rPr>
        <w:t>4.1</w:t>
      </w:r>
      <w:r>
        <w:rPr>
          <w:rFonts w:ascii="Century Gothic" w:eastAsia="Century Gothic" w:hAnsi="Century Gothic"/>
          <w:color w:val="000000"/>
        </w:rPr>
        <w:tab/>
        <w:t>Address the Underlying Professional and Industrial Issues</w:t>
      </w:r>
    </w:p>
    <w:p w14:paraId="6C3D893F" w14:textId="77777777" w:rsidR="00A6771E" w:rsidRDefault="000C29E8">
      <w:pPr>
        <w:spacing w:before="120" w:after="439"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 xml:space="preserve">The IEUA </w:t>
      </w:r>
      <w:proofErr w:type="spellStart"/>
      <w:r>
        <w:rPr>
          <w:rFonts w:ascii="Century Gothic" w:eastAsia="Century Gothic" w:hAnsi="Century Gothic"/>
          <w:color w:val="000000"/>
        </w:rPr>
        <w:t>recognises</w:t>
      </w:r>
      <w:proofErr w:type="spellEnd"/>
      <w:r>
        <w:rPr>
          <w:rFonts w:ascii="Century Gothic" w:eastAsia="Century Gothic" w:hAnsi="Century Gothic"/>
          <w:color w:val="000000"/>
        </w:rPr>
        <w:t xml:space="preserve"> that research is demonstrating that shortages of </w:t>
      </w:r>
      <w:proofErr w:type="spellStart"/>
      <w:r>
        <w:rPr>
          <w:rFonts w:ascii="Century Gothic" w:eastAsia="Century Gothic" w:hAnsi="Century Gothic"/>
          <w:color w:val="000000"/>
        </w:rPr>
        <w:t>maths</w:t>
      </w:r>
      <w:proofErr w:type="spellEnd"/>
      <w:r>
        <w:rPr>
          <w:rFonts w:ascii="Century Gothic" w:eastAsia="Century Gothic" w:hAnsi="Century Gothic"/>
          <w:color w:val="000000"/>
        </w:rPr>
        <w:t xml:space="preserve"> a</w:t>
      </w:r>
      <w:r>
        <w:rPr>
          <w:rFonts w:ascii="Century Gothic" w:eastAsia="Century Gothic" w:hAnsi="Century Gothic"/>
          <w:color w:val="000000"/>
        </w:rPr>
        <w:t>nd science teachers is particularly linked to the capacity of graduates in these areas to earn higher salaries in other fields</w:t>
      </w:r>
      <w:r>
        <w:rPr>
          <w:rFonts w:ascii="Century Gothic" w:eastAsia="Century Gothic" w:hAnsi="Century Gothic"/>
          <w:color w:val="000000"/>
          <w:vertAlign w:val="superscript"/>
        </w:rPr>
        <w:t>5</w:t>
      </w:r>
      <w:r>
        <w:rPr>
          <w:rFonts w:ascii="Century Gothic" w:eastAsia="Century Gothic" w:hAnsi="Century Gothic"/>
          <w:color w:val="000000"/>
        </w:rPr>
        <w:t>. As such, it would be preferable to encourage</w:t>
      </w:r>
    </w:p>
    <w:p w14:paraId="0FC71CEB" w14:textId="77777777" w:rsidR="00A6771E" w:rsidRDefault="000C29E8">
      <w:pPr>
        <w:spacing w:before="104" w:after="153" w:line="221" w:lineRule="exact"/>
        <w:ind w:right="216"/>
        <w:textAlignment w:val="baseline"/>
        <w:rPr>
          <w:rFonts w:ascii="Calibri" w:eastAsia="Calibri" w:hAnsi="Calibri"/>
          <w:color w:val="000000"/>
          <w:sz w:val="12"/>
        </w:rPr>
      </w:pPr>
      <w:r>
        <w:pict w14:anchorId="348F299A">
          <v:line id="_x0000_s1026" style="position:absolute;z-index:251658752;mso-position-horizontal-relative:page;mso-position-vertical-relative:page" from="69.75pt,742.3pt" to="216.3pt,742.3pt" strokeweight=".7pt">
            <w10:wrap anchorx="page" anchory="page"/>
          </v:line>
        </w:pict>
      </w:r>
      <w:r>
        <w:rPr>
          <w:rFonts w:ascii="Calibri" w:eastAsia="Calibri" w:hAnsi="Calibri"/>
          <w:color w:val="000000"/>
          <w:sz w:val="12"/>
        </w:rPr>
        <w:t xml:space="preserve">5 </w:t>
      </w:r>
      <w:r>
        <w:rPr>
          <w:rFonts w:ascii="Calibri" w:eastAsia="Calibri" w:hAnsi="Calibri"/>
          <w:color w:val="000000"/>
          <w:sz w:val="19"/>
        </w:rPr>
        <w:t>Productivity Commission (2012) Schools Workforce: Productivity Commission Research Report. Australian Government: Canberra.</w:t>
      </w:r>
      <w:hyperlink r:id="rId23">
        <w:r>
          <w:rPr>
            <w:rFonts w:ascii="Calibri" w:eastAsia="Calibri" w:hAnsi="Calibri"/>
            <w:color w:val="0000FF"/>
            <w:sz w:val="19"/>
            <w:u w:val="single"/>
          </w:rPr>
          <w:t xml:space="preserve"> http://www.pc.gov.au/projects/study/educat</w:t>
        </w:r>
        <w:r>
          <w:rPr>
            <w:rFonts w:ascii="Calibri" w:eastAsia="Calibri" w:hAnsi="Calibri"/>
            <w:color w:val="0000FF"/>
            <w:sz w:val="19"/>
            <w:u w:val="single"/>
          </w:rPr>
          <w:t>ion-workforce/schools/report</w:t>
        </w:r>
      </w:hyperlink>
      <w:r>
        <w:rPr>
          <w:rFonts w:ascii="Calibri" w:eastAsia="Calibri" w:hAnsi="Calibri"/>
          <w:color w:val="000000"/>
          <w:sz w:val="19"/>
        </w:rPr>
        <w:t xml:space="preserve"> </w:t>
      </w:r>
    </w:p>
    <w:p w14:paraId="64AD0D8E" w14:textId="77777777" w:rsidR="00A6771E" w:rsidRDefault="000C29E8">
      <w:pPr>
        <w:spacing w:line="253" w:lineRule="exact"/>
        <w:jc w:val="right"/>
        <w:textAlignment w:val="baseline"/>
        <w:rPr>
          <w:rFonts w:ascii="Tahoma" w:eastAsia="Tahoma" w:hAnsi="Tahoma"/>
          <w:i/>
          <w:color w:val="000000"/>
        </w:rPr>
      </w:pPr>
      <w:r>
        <w:rPr>
          <w:rFonts w:ascii="Tahoma" w:eastAsia="Tahoma" w:hAnsi="Tahoma"/>
          <w:i/>
          <w:color w:val="000000"/>
        </w:rPr>
        <w:t>6</w:t>
      </w:r>
    </w:p>
    <w:p w14:paraId="5DEDE48A" w14:textId="77777777" w:rsidR="00A6771E" w:rsidRDefault="00A6771E">
      <w:pPr>
        <w:sectPr w:rsidR="00A6771E">
          <w:pgSz w:w="11909" w:h="16838"/>
          <w:pgMar w:top="1340" w:right="1394" w:bottom="622" w:left="1395" w:header="720" w:footer="720" w:gutter="0"/>
          <w:cols w:space="720"/>
        </w:sectPr>
      </w:pPr>
    </w:p>
    <w:p w14:paraId="0A6567D0" w14:textId="77777777" w:rsidR="00A6771E" w:rsidRDefault="000C29E8">
      <w:pPr>
        <w:spacing w:line="271" w:lineRule="exact"/>
        <w:ind w:right="792"/>
        <w:textAlignment w:val="baseline"/>
        <w:rPr>
          <w:rFonts w:ascii="Century Gothic" w:eastAsia="Century Gothic" w:hAnsi="Century Gothic"/>
          <w:color w:val="000000"/>
        </w:rPr>
      </w:pPr>
      <w:r>
        <w:rPr>
          <w:rFonts w:ascii="Century Gothic" w:eastAsia="Century Gothic" w:hAnsi="Century Gothic"/>
          <w:color w:val="000000"/>
        </w:rPr>
        <w:lastRenderedPageBreak/>
        <w:t xml:space="preserve">students with skills and ability in these areas to study education, rather than to attempt to draw teaching graduates from other fields into science/ </w:t>
      </w:r>
      <w:proofErr w:type="spellStart"/>
      <w:r>
        <w:rPr>
          <w:rFonts w:ascii="Century Gothic" w:eastAsia="Century Gothic" w:hAnsi="Century Gothic"/>
          <w:color w:val="000000"/>
        </w:rPr>
        <w:t>maths</w:t>
      </w:r>
      <w:proofErr w:type="spellEnd"/>
      <w:r>
        <w:rPr>
          <w:rFonts w:ascii="Century Gothic" w:eastAsia="Century Gothic" w:hAnsi="Century Gothic"/>
          <w:color w:val="000000"/>
        </w:rPr>
        <w:t>/ languages.</w:t>
      </w:r>
    </w:p>
    <w:p w14:paraId="6F4C5CB1" w14:textId="77777777" w:rsidR="00A6771E" w:rsidRDefault="000C29E8">
      <w:pPr>
        <w:spacing w:before="120" w:line="269" w:lineRule="exact"/>
        <w:ind w:right="288"/>
        <w:textAlignment w:val="baseline"/>
        <w:rPr>
          <w:rFonts w:ascii="Century Gothic" w:eastAsia="Century Gothic" w:hAnsi="Century Gothic"/>
          <w:color w:val="000000"/>
        </w:rPr>
      </w:pPr>
      <w:r>
        <w:rPr>
          <w:rFonts w:ascii="Century Gothic" w:eastAsia="Century Gothic" w:hAnsi="Century Gothic"/>
          <w:color w:val="000000"/>
        </w:rPr>
        <w:t>However, long-standing failures by success</w:t>
      </w:r>
      <w:r>
        <w:rPr>
          <w:rFonts w:ascii="Century Gothic" w:eastAsia="Century Gothic" w:hAnsi="Century Gothic"/>
          <w:color w:val="000000"/>
        </w:rPr>
        <w:t>ive governments to address professional and industrial issues has undermined the appeal of the profession.</w:t>
      </w:r>
    </w:p>
    <w:p w14:paraId="5F8CF31A" w14:textId="77777777" w:rsidR="00A6771E" w:rsidRDefault="000C29E8">
      <w:pPr>
        <w:spacing w:before="118" w:line="271" w:lineRule="exact"/>
        <w:ind w:right="432"/>
        <w:textAlignment w:val="baseline"/>
        <w:rPr>
          <w:rFonts w:ascii="Century Gothic" w:eastAsia="Century Gothic" w:hAnsi="Century Gothic"/>
          <w:color w:val="000000"/>
        </w:rPr>
      </w:pPr>
      <w:r>
        <w:rPr>
          <w:rFonts w:ascii="Century Gothic" w:eastAsia="Century Gothic" w:hAnsi="Century Gothic"/>
          <w:color w:val="000000"/>
        </w:rPr>
        <w:t xml:space="preserve">The IEUA strongly believes that repairing this damage will require a genuine, </w:t>
      </w:r>
      <w:proofErr w:type="spellStart"/>
      <w:r>
        <w:rPr>
          <w:rFonts w:ascii="Century Gothic" w:eastAsia="Century Gothic" w:hAnsi="Century Gothic"/>
          <w:color w:val="000000"/>
        </w:rPr>
        <w:t>long</w:t>
      </w:r>
      <w:r>
        <w:rPr>
          <w:rFonts w:ascii="Century Gothic" w:eastAsia="Century Gothic" w:hAnsi="Century Gothic"/>
          <w:color w:val="000000"/>
        </w:rPr>
        <w:softHyphen/>
        <w:t>term</w:t>
      </w:r>
      <w:proofErr w:type="spellEnd"/>
      <w:r>
        <w:rPr>
          <w:rFonts w:ascii="Century Gothic" w:eastAsia="Century Gothic" w:hAnsi="Century Gothic"/>
          <w:color w:val="000000"/>
        </w:rPr>
        <w:t xml:space="preserve"> commitment that </w:t>
      </w:r>
      <w:proofErr w:type="spellStart"/>
      <w:r>
        <w:rPr>
          <w:rFonts w:ascii="Century Gothic" w:eastAsia="Century Gothic" w:hAnsi="Century Gothic"/>
          <w:color w:val="000000"/>
        </w:rPr>
        <w:t>recognises</w:t>
      </w:r>
      <w:proofErr w:type="spellEnd"/>
      <w:r>
        <w:rPr>
          <w:rFonts w:ascii="Century Gothic" w:eastAsia="Century Gothic" w:hAnsi="Century Gothic"/>
          <w:color w:val="000000"/>
        </w:rPr>
        <w:t xml:space="preserve"> and rewards the work of teachers a</w:t>
      </w:r>
      <w:r>
        <w:rPr>
          <w:rFonts w:ascii="Century Gothic" w:eastAsia="Century Gothic" w:hAnsi="Century Gothic"/>
          <w:color w:val="000000"/>
        </w:rPr>
        <w:t>nd other education professionals.</w:t>
      </w:r>
    </w:p>
    <w:p w14:paraId="3D570F93" w14:textId="77777777" w:rsidR="00A6771E" w:rsidRDefault="000C29E8">
      <w:pPr>
        <w:spacing w:before="129" w:line="260" w:lineRule="exact"/>
        <w:textAlignment w:val="baseline"/>
        <w:rPr>
          <w:rFonts w:ascii="Century Gothic" w:eastAsia="Century Gothic" w:hAnsi="Century Gothic"/>
          <w:color w:val="000000"/>
          <w:spacing w:val="7"/>
        </w:rPr>
      </w:pPr>
      <w:r>
        <w:rPr>
          <w:rFonts w:ascii="Century Gothic" w:eastAsia="Century Gothic" w:hAnsi="Century Gothic"/>
          <w:color w:val="000000"/>
          <w:spacing w:val="7"/>
        </w:rPr>
        <w:t>4.2 Rural and Remote Areas</w:t>
      </w:r>
    </w:p>
    <w:p w14:paraId="4FFD6028" w14:textId="77777777" w:rsidR="00A6771E" w:rsidRDefault="000C29E8">
      <w:pPr>
        <w:spacing w:before="121" w:line="268" w:lineRule="exact"/>
        <w:ind w:right="360"/>
        <w:textAlignment w:val="baseline"/>
        <w:rPr>
          <w:rFonts w:ascii="Century Gothic" w:eastAsia="Century Gothic" w:hAnsi="Century Gothic"/>
          <w:color w:val="000000"/>
        </w:rPr>
      </w:pPr>
      <w:r>
        <w:rPr>
          <w:rFonts w:ascii="Century Gothic" w:eastAsia="Century Gothic" w:hAnsi="Century Gothic"/>
          <w:color w:val="000000"/>
        </w:rPr>
        <w:t>Further, the IEUA highlights that teacher shortages (in numerous subject areas) are also experienced by schools in rural and regional areas.</w:t>
      </w:r>
    </w:p>
    <w:p w14:paraId="465EABA2" w14:textId="77777777" w:rsidR="00A6771E" w:rsidRDefault="000C29E8">
      <w:pPr>
        <w:spacing w:before="120"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In geographically diverse states this is exacerbated by the fact that teacher training courses are offered primaril</w:t>
      </w:r>
      <w:r>
        <w:rPr>
          <w:rFonts w:ascii="Century Gothic" w:eastAsia="Century Gothic" w:hAnsi="Century Gothic"/>
          <w:color w:val="000000"/>
        </w:rPr>
        <w:t>y by universities based in predominantly metropolitan areas. Graduates of those programs are reluctant to relocate, even when their chances of gaining employment would be greatly enhanced.</w:t>
      </w:r>
    </w:p>
    <w:p w14:paraId="38EB3C2B" w14:textId="77777777" w:rsidR="00A6771E" w:rsidRDefault="000C29E8">
      <w:pPr>
        <w:spacing w:before="120" w:line="269" w:lineRule="exact"/>
        <w:ind w:right="72"/>
        <w:textAlignment w:val="baseline"/>
        <w:rPr>
          <w:rFonts w:ascii="Century Gothic" w:eastAsia="Century Gothic" w:hAnsi="Century Gothic"/>
          <w:color w:val="000000"/>
          <w:spacing w:val="-1"/>
        </w:rPr>
      </w:pPr>
      <w:r>
        <w:rPr>
          <w:rFonts w:ascii="Century Gothic" w:eastAsia="Century Gothic" w:hAnsi="Century Gothic"/>
          <w:color w:val="000000"/>
          <w:spacing w:val="-1"/>
        </w:rPr>
        <w:t>The IEUA calls for meaningful investment in incentives for graduates to be recruited from rural and regional areas and/or development of rural/regional training facilities.</w:t>
      </w:r>
    </w:p>
    <w:p w14:paraId="3370210D" w14:textId="77777777" w:rsidR="00A6771E" w:rsidRDefault="000C29E8">
      <w:pPr>
        <w:spacing w:before="126" w:line="268" w:lineRule="exact"/>
        <w:ind w:right="288"/>
        <w:textAlignment w:val="baseline"/>
        <w:rPr>
          <w:rFonts w:ascii="Century Gothic" w:eastAsia="Century Gothic" w:hAnsi="Century Gothic"/>
          <w:color w:val="000000"/>
        </w:rPr>
      </w:pPr>
      <w:r>
        <w:rPr>
          <w:rFonts w:ascii="Century Gothic" w:eastAsia="Century Gothic" w:hAnsi="Century Gothic"/>
          <w:color w:val="000000"/>
        </w:rPr>
        <w:t>The IEUA also calls for meaningful investment in incentives for graduates to accept</w:t>
      </w:r>
      <w:r>
        <w:rPr>
          <w:rFonts w:ascii="Century Gothic" w:eastAsia="Century Gothic" w:hAnsi="Century Gothic"/>
          <w:color w:val="000000"/>
        </w:rPr>
        <w:t xml:space="preserve"> practicums and initial teacher placements in rural and regional areas.</w:t>
      </w:r>
    </w:p>
    <w:p w14:paraId="6FB0CAFC" w14:textId="77777777" w:rsidR="00A6771E" w:rsidRDefault="000C29E8">
      <w:pPr>
        <w:spacing w:before="129" w:line="260" w:lineRule="exact"/>
        <w:textAlignment w:val="baseline"/>
        <w:rPr>
          <w:rFonts w:ascii="Century Gothic" w:eastAsia="Century Gothic" w:hAnsi="Century Gothic"/>
          <w:color w:val="000000"/>
          <w:spacing w:val="5"/>
        </w:rPr>
      </w:pPr>
      <w:r>
        <w:rPr>
          <w:rFonts w:ascii="Century Gothic" w:eastAsia="Century Gothic" w:hAnsi="Century Gothic"/>
          <w:color w:val="000000"/>
          <w:spacing w:val="5"/>
        </w:rPr>
        <w:t>4.3 Resource Challenging Urban Areas</w:t>
      </w:r>
    </w:p>
    <w:p w14:paraId="6C680886" w14:textId="77777777" w:rsidR="00A6771E" w:rsidRDefault="000C29E8">
      <w:pPr>
        <w:spacing w:before="119"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The IEUA also acknowledges the broader issue of recruitment and retention in challenging urban environments. While various state and territory gove</w:t>
      </w:r>
      <w:r>
        <w:rPr>
          <w:rFonts w:ascii="Century Gothic" w:eastAsia="Century Gothic" w:hAnsi="Century Gothic"/>
          <w:color w:val="000000"/>
        </w:rPr>
        <w:t>rnments have recently enhanced powers of principals to help protect teachers from outright hostility directed toward them in some settings, there remains the significant contributing factor, namely, the disengagement of school students in classrooms.</w:t>
      </w:r>
    </w:p>
    <w:p w14:paraId="6E1BFAEE" w14:textId="77777777" w:rsidR="00A6771E" w:rsidRDefault="000C29E8">
      <w:pPr>
        <w:spacing w:before="120" w:line="269" w:lineRule="exact"/>
        <w:ind w:right="360"/>
        <w:textAlignment w:val="baseline"/>
        <w:rPr>
          <w:rFonts w:ascii="Century Gothic" w:eastAsia="Century Gothic" w:hAnsi="Century Gothic"/>
          <w:color w:val="000000"/>
        </w:rPr>
      </w:pPr>
      <w:r>
        <w:rPr>
          <w:rFonts w:ascii="Century Gothic" w:eastAsia="Century Gothic" w:hAnsi="Century Gothic"/>
          <w:color w:val="000000"/>
        </w:rPr>
        <w:t>The I</w:t>
      </w:r>
      <w:r>
        <w:rPr>
          <w:rFonts w:ascii="Century Gothic" w:eastAsia="Century Gothic" w:hAnsi="Century Gothic"/>
          <w:color w:val="000000"/>
        </w:rPr>
        <w:t>EUA believes that solving this problem requires more than increasing pressures and demands on teachers and principals.</w:t>
      </w:r>
    </w:p>
    <w:p w14:paraId="42767F36" w14:textId="77777777" w:rsidR="00A6771E" w:rsidRDefault="000C29E8">
      <w:pPr>
        <w:spacing w:before="128" w:line="268" w:lineRule="exact"/>
        <w:ind w:right="720"/>
        <w:textAlignment w:val="baseline"/>
        <w:rPr>
          <w:rFonts w:ascii="Century Gothic" w:eastAsia="Century Gothic" w:hAnsi="Century Gothic"/>
          <w:color w:val="000000"/>
        </w:rPr>
      </w:pPr>
      <w:r>
        <w:rPr>
          <w:rFonts w:ascii="Century Gothic" w:eastAsia="Century Gothic" w:hAnsi="Century Gothic"/>
          <w:color w:val="000000"/>
        </w:rPr>
        <w:t>The retention of quality education professionals can only be ensured through greater provision of additional supports (beyond classroom t</w:t>
      </w:r>
      <w:r>
        <w:rPr>
          <w:rFonts w:ascii="Century Gothic" w:eastAsia="Century Gothic" w:hAnsi="Century Gothic"/>
          <w:color w:val="000000"/>
        </w:rPr>
        <w:t>eachers and even beyond Teacher Aides) which can be accessed to engage students from disadvantaged and challenging backgrounds and thereby addressing these challenges.</w:t>
      </w:r>
    </w:p>
    <w:p w14:paraId="56FB131B" w14:textId="77777777" w:rsidR="00A6771E" w:rsidRDefault="000C29E8">
      <w:pPr>
        <w:spacing w:before="113" w:line="274" w:lineRule="exact"/>
        <w:ind w:left="288" w:right="360" w:hanging="288"/>
        <w:textAlignment w:val="baseline"/>
        <w:rPr>
          <w:rFonts w:ascii="Century Gothic" w:eastAsia="Century Gothic" w:hAnsi="Century Gothic"/>
          <w:b/>
          <w:i/>
          <w:color w:val="000000"/>
        </w:rPr>
      </w:pPr>
      <w:r>
        <w:rPr>
          <w:rFonts w:ascii="Century Gothic" w:eastAsia="Century Gothic" w:hAnsi="Century Gothic"/>
          <w:b/>
          <w:i/>
          <w:color w:val="000000"/>
        </w:rPr>
        <w:t xml:space="preserve">5. How can we attract a more diverse cohort into ITE so that teachers better mirror the </w:t>
      </w:r>
      <w:r>
        <w:rPr>
          <w:rFonts w:ascii="Century Gothic" w:eastAsia="Century Gothic" w:hAnsi="Century Gothic"/>
          <w:b/>
          <w:i/>
          <w:color w:val="000000"/>
        </w:rPr>
        <w:t>diversity in school students and society?</w:t>
      </w:r>
    </w:p>
    <w:p w14:paraId="7918E080" w14:textId="77777777" w:rsidR="00A6771E" w:rsidRDefault="000C29E8">
      <w:pPr>
        <w:spacing w:before="124" w:line="268" w:lineRule="exact"/>
        <w:ind w:right="432"/>
        <w:textAlignment w:val="baseline"/>
        <w:rPr>
          <w:rFonts w:ascii="Century Gothic" w:eastAsia="Century Gothic" w:hAnsi="Century Gothic"/>
          <w:color w:val="000000"/>
        </w:rPr>
      </w:pPr>
      <w:r>
        <w:rPr>
          <w:rFonts w:ascii="Century Gothic" w:eastAsia="Century Gothic" w:hAnsi="Century Gothic"/>
          <w:color w:val="000000"/>
        </w:rPr>
        <w:t xml:space="preserve">The IEUA </w:t>
      </w:r>
      <w:proofErr w:type="spellStart"/>
      <w:r>
        <w:rPr>
          <w:rFonts w:ascii="Century Gothic" w:eastAsia="Century Gothic" w:hAnsi="Century Gothic"/>
          <w:color w:val="000000"/>
        </w:rPr>
        <w:t>recognises</w:t>
      </w:r>
      <w:proofErr w:type="spellEnd"/>
      <w:r>
        <w:rPr>
          <w:rFonts w:ascii="Century Gothic" w:eastAsia="Century Gothic" w:hAnsi="Century Gothic"/>
          <w:color w:val="000000"/>
        </w:rPr>
        <w:t xml:space="preserve"> that a diverse teaching workforce is essential for success with students from a range of backgrounds and that teachers must possess a broad repertoire of teaching practices that they can draw up</w:t>
      </w:r>
      <w:r>
        <w:rPr>
          <w:rFonts w:ascii="Century Gothic" w:eastAsia="Century Gothic" w:hAnsi="Century Gothic"/>
          <w:color w:val="000000"/>
        </w:rPr>
        <w:t>on.</w:t>
      </w:r>
    </w:p>
    <w:p w14:paraId="4A698BB4" w14:textId="77777777" w:rsidR="00A6771E" w:rsidRDefault="000C29E8">
      <w:pPr>
        <w:spacing w:before="118" w:line="271" w:lineRule="exact"/>
        <w:ind w:right="144"/>
        <w:textAlignment w:val="baseline"/>
        <w:rPr>
          <w:rFonts w:ascii="Century Gothic" w:eastAsia="Century Gothic" w:hAnsi="Century Gothic"/>
          <w:color w:val="000000"/>
        </w:rPr>
      </w:pPr>
      <w:r>
        <w:rPr>
          <w:rFonts w:ascii="Century Gothic" w:eastAsia="Century Gothic" w:hAnsi="Century Gothic"/>
          <w:color w:val="000000"/>
        </w:rPr>
        <w:t>As stated elsewhere, the programs and policies that aim at attracting and retaining a quality teaching workforce must also acknowledge and address the significant issues of:</w:t>
      </w:r>
    </w:p>
    <w:p w14:paraId="4E21664F" w14:textId="77777777" w:rsidR="00A6771E" w:rsidRDefault="000C29E8">
      <w:pPr>
        <w:numPr>
          <w:ilvl w:val="0"/>
          <w:numId w:val="4"/>
        </w:numPr>
        <w:tabs>
          <w:tab w:val="clear" w:pos="360"/>
          <w:tab w:val="left" w:pos="792"/>
        </w:tabs>
        <w:spacing w:before="122" w:line="267"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Public perception and Government messaging of the teaching workforce</w:t>
      </w:r>
    </w:p>
    <w:p w14:paraId="725ED071" w14:textId="77777777" w:rsidR="00A6771E" w:rsidRDefault="000C29E8">
      <w:pPr>
        <w:numPr>
          <w:ilvl w:val="0"/>
          <w:numId w:val="4"/>
        </w:numPr>
        <w:tabs>
          <w:tab w:val="clear" w:pos="360"/>
          <w:tab w:val="left" w:pos="792"/>
        </w:tabs>
        <w:spacing w:before="122" w:line="267"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Professio</w:t>
      </w:r>
      <w:r>
        <w:rPr>
          <w:rFonts w:ascii="Century Gothic" w:eastAsia="Century Gothic" w:hAnsi="Century Gothic"/>
          <w:color w:val="000000"/>
        </w:rPr>
        <w:t>nal and industrial issues relating to work in schools</w:t>
      </w:r>
    </w:p>
    <w:p w14:paraId="3A6F86E5" w14:textId="77777777" w:rsidR="00A6771E" w:rsidRDefault="000C29E8">
      <w:pPr>
        <w:numPr>
          <w:ilvl w:val="0"/>
          <w:numId w:val="4"/>
        </w:numPr>
        <w:tabs>
          <w:tab w:val="clear" w:pos="360"/>
          <w:tab w:val="left" w:pos="792"/>
        </w:tabs>
        <w:spacing w:before="116" w:line="273" w:lineRule="exact"/>
        <w:ind w:left="792" w:right="144" w:hanging="360"/>
        <w:textAlignment w:val="baseline"/>
        <w:rPr>
          <w:rFonts w:ascii="Century Gothic" w:eastAsia="Century Gothic" w:hAnsi="Century Gothic"/>
          <w:color w:val="000000"/>
        </w:rPr>
      </w:pPr>
      <w:r>
        <w:rPr>
          <w:rFonts w:ascii="Century Gothic" w:eastAsia="Century Gothic" w:hAnsi="Century Gothic"/>
          <w:color w:val="000000"/>
        </w:rPr>
        <w:t>Access to and encouragement of regional and remote and lower economic urban students.</w:t>
      </w:r>
    </w:p>
    <w:p w14:paraId="6396E52B" w14:textId="77777777" w:rsidR="00A6771E" w:rsidRDefault="000C29E8">
      <w:pPr>
        <w:spacing w:before="205" w:line="251" w:lineRule="exact"/>
        <w:jc w:val="right"/>
        <w:textAlignment w:val="baseline"/>
        <w:rPr>
          <w:rFonts w:ascii="Tahoma" w:eastAsia="Tahoma" w:hAnsi="Tahoma"/>
          <w:i/>
          <w:color w:val="000000"/>
          <w:sz w:val="21"/>
        </w:rPr>
      </w:pPr>
      <w:r>
        <w:rPr>
          <w:rFonts w:ascii="Tahoma" w:eastAsia="Tahoma" w:hAnsi="Tahoma"/>
          <w:i/>
          <w:color w:val="000000"/>
          <w:sz w:val="21"/>
        </w:rPr>
        <w:t>7</w:t>
      </w:r>
    </w:p>
    <w:p w14:paraId="2EE284A1" w14:textId="77777777" w:rsidR="00A6771E" w:rsidRDefault="00A6771E">
      <w:pPr>
        <w:sectPr w:rsidR="00A6771E">
          <w:pgSz w:w="11909" w:h="16838"/>
          <w:pgMar w:top="1440" w:right="1397" w:bottom="622" w:left="1392" w:header="720" w:footer="720" w:gutter="0"/>
          <w:cols w:space="720"/>
        </w:sectPr>
      </w:pPr>
    </w:p>
    <w:p w14:paraId="4306DE71" w14:textId="77777777" w:rsidR="00A6771E" w:rsidRDefault="000C29E8">
      <w:pPr>
        <w:spacing w:line="261" w:lineRule="exact"/>
        <w:textAlignment w:val="baseline"/>
        <w:rPr>
          <w:rFonts w:ascii="Century Gothic" w:eastAsia="Century Gothic" w:hAnsi="Century Gothic"/>
          <w:b/>
          <w:color w:val="233E5F"/>
        </w:rPr>
      </w:pPr>
      <w:r>
        <w:rPr>
          <w:rFonts w:ascii="Century Gothic" w:eastAsia="Century Gothic" w:hAnsi="Century Gothic"/>
          <w:b/>
          <w:color w:val="233E5F"/>
        </w:rPr>
        <w:lastRenderedPageBreak/>
        <w:t>PART B – Preparing ITE students to be effective teachers</w:t>
      </w:r>
    </w:p>
    <w:p w14:paraId="7990799A" w14:textId="77777777" w:rsidR="00A6771E" w:rsidRDefault="000C29E8">
      <w:pPr>
        <w:numPr>
          <w:ilvl w:val="0"/>
          <w:numId w:val="6"/>
        </w:numPr>
        <w:spacing w:before="118" w:line="271" w:lineRule="exact"/>
        <w:ind w:left="360" w:right="144" w:hanging="360"/>
        <w:textAlignment w:val="baseline"/>
        <w:rPr>
          <w:rFonts w:ascii="Century Gothic" w:eastAsia="Century Gothic" w:hAnsi="Century Gothic"/>
          <w:b/>
          <w:i/>
          <w:color w:val="000000"/>
          <w:spacing w:val="-1"/>
        </w:rPr>
      </w:pPr>
      <w:r>
        <w:rPr>
          <w:rFonts w:ascii="Century Gothic" w:eastAsia="Century Gothic" w:hAnsi="Century Gothic"/>
          <w:b/>
          <w:i/>
          <w:color w:val="000000"/>
          <w:spacing w:val="-1"/>
        </w:rPr>
        <w:t>What more can we do to ensure that ITE curriculum is evidence-</w:t>
      </w:r>
      <w:proofErr w:type="gramStart"/>
      <w:r>
        <w:rPr>
          <w:rFonts w:ascii="Century Gothic" w:eastAsia="Century Gothic" w:hAnsi="Century Gothic"/>
          <w:b/>
          <w:i/>
          <w:color w:val="000000"/>
          <w:spacing w:val="-1"/>
        </w:rPr>
        <w:t>based</w:t>
      </w:r>
      <w:proofErr w:type="gramEnd"/>
      <w:r>
        <w:rPr>
          <w:rFonts w:ascii="Century Gothic" w:eastAsia="Century Gothic" w:hAnsi="Century Gothic"/>
          <w:b/>
          <w:i/>
          <w:color w:val="000000"/>
          <w:spacing w:val="-1"/>
        </w:rPr>
        <w:t xml:space="preserve"> and all future teachers are equipped to implement evidence-based teaching practices?</w:t>
      </w:r>
    </w:p>
    <w:p w14:paraId="36960002" w14:textId="77777777" w:rsidR="00A6771E" w:rsidRDefault="000C29E8">
      <w:pPr>
        <w:tabs>
          <w:tab w:val="left" w:pos="648"/>
        </w:tabs>
        <w:spacing w:before="130" w:line="259" w:lineRule="exact"/>
        <w:textAlignment w:val="baseline"/>
        <w:rPr>
          <w:rFonts w:ascii="Century Gothic" w:eastAsia="Century Gothic" w:hAnsi="Century Gothic"/>
          <w:color w:val="000000"/>
          <w:spacing w:val="-1"/>
        </w:rPr>
      </w:pPr>
      <w:r>
        <w:rPr>
          <w:rFonts w:ascii="Century Gothic" w:eastAsia="Century Gothic" w:hAnsi="Century Gothic"/>
          <w:color w:val="000000"/>
          <w:spacing w:val="-1"/>
        </w:rPr>
        <w:t>6.1</w:t>
      </w:r>
      <w:r>
        <w:rPr>
          <w:rFonts w:ascii="Century Gothic" w:eastAsia="Century Gothic" w:hAnsi="Century Gothic"/>
          <w:color w:val="000000"/>
          <w:spacing w:val="-1"/>
        </w:rPr>
        <w:tab/>
        <w:t>Existence of Evidence Based Teaching</w:t>
      </w:r>
    </w:p>
    <w:p w14:paraId="338B1855" w14:textId="77777777" w:rsidR="00A6771E" w:rsidRDefault="000C29E8">
      <w:pPr>
        <w:spacing w:before="122" w:line="268" w:lineRule="exact"/>
        <w:ind w:right="504"/>
        <w:textAlignment w:val="baseline"/>
        <w:rPr>
          <w:rFonts w:ascii="Century Gothic" w:eastAsia="Century Gothic" w:hAnsi="Century Gothic"/>
          <w:color w:val="000000"/>
        </w:rPr>
      </w:pPr>
      <w:r>
        <w:rPr>
          <w:rFonts w:ascii="Century Gothic" w:eastAsia="Century Gothic" w:hAnsi="Century Gothic"/>
          <w:color w:val="000000"/>
        </w:rPr>
        <w:t>The I</w:t>
      </w:r>
      <w:r>
        <w:rPr>
          <w:rFonts w:ascii="Century Gothic" w:eastAsia="Century Gothic" w:hAnsi="Century Gothic"/>
          <w:color w:val="000000"/>
        </w:rPr>
        <w:t>EUA challenges the assertion that teachers do not currently use evidence-based teaching practices. Planning, implementing, and reflecting on success or challenges to modify future implementation are standard practice for teachers.</w:t>
      </w:r>
    </w:p>
    <w:p w14:paraId="7A3132EB" w14:textId="77777777" w:rsidR="00A6771E" w:rsidRDefault="000C29E8">
      <w:pPr>
        <w:spacing w:before="125" w:line="269" w:lineRule="exact"/>
        <w:ind w:right="144"/>
        <w:textAlignment w:val="baseline"/>
        <w:rPr>
          <w:rFonts w:ascii="Century Gothic" w:eastAsia="Century Gothic" w:hAnsi="Century Gothic"/>
          <w:color w:val="000000"/>
        </w:rPr>
      </w:pPr>
      <w:r>
        <w:rPr>
          <w:rFonts w:ascii="Century Gothic" w:eastAsia="Century Gothic" w:hAnsi="Century Gothic"/>
          <w:color w:val="000000"/>
        </w:rPr>
        <w:t>It is ridiculous to sugge</w:t>
      </w:r>
      <w:r>
        <w:rPr>
          <w:rFonts w:ascii="Century Gothic" w:eastAsia="Century Gothic" w:hAnsi="Century Gothic"/>
          <w:color w:val="000000"/>
        </w:rPr>
        <w:t>st that teachers should also be engaging in formal, academic research to prove their capacity to do this.</w:t>
      </w:r>
    </w:p>
    <w:p w14:paraId="4C7B4A7F" w14:textId="77777777" w:rsidR="00A6771E" w:rsidRDefault="000C29E8">
      <w:pPr>
        <w:spacing w:before="120" w:line="270" w:lineRule="exact"/>
        <w:ind w:right="216"/>
        <w:textAlignment w:val="baseline"/>
        <w:rPr>
          <w:rFonts w:ascii="Century Gothic" w:eastAsia="Century Gothic" w:hAnsi="Century Gothic"/>
          <w:color w:val="000000"/>
          <w:spacing w:val="-1"/>
        </w:rPr>
      </w:pPr>
      <w:r>
        <w:rPr>
          <w:rFonts w:ascii="Century Gothic" w:eastAsia="Century Gothic" w:hAnsi="Century Gothic"/>
          <w:color w:val="000000"/>
          <w:spacing w:val="-1"/>
        </w:rPr>
        <w:t>ITE providers are also research institutions and the IEUA assumes that these providers would also challenge the premise of the above question that ITE</w:t>
      </w:r>
      <w:r>
        <w:rPr>
          <w:rFonts w:ascii="Century Gothic" w:eastAsia="Century Gothic" w:hAnsi="Century Gothic"/>
          <w:color w:val="000000"/>
          <w:spacing w:val="-1"/>
        </w:rPr>
        <w:t xml:space="preserve"> curriculum is not evidence-based. Presumably, ITE curriculum is guided by evidence-based teaching practices endorsed by the Australian Education Research </w:t>
      </w:r>
      <w:proofErr w:type="spellStart"/>
      <w:r>
        <w:rPr>
          <w:rFonts w:ascii="Century Gothic" w:eastAsia="Century Gothic" w:hAnsi="Century Gothic"/>
          <w:color w:val="000000"/>
          <w:spacing w:val="-1"/>
        </w:rPr>
        <w:t>Organisation</w:t>
      </w:r>
      <w:proofErr w:type="spellEnd"/>
      <w:r>
        <w:rPr>
          <w:rFonts w:ascii="Century Gothic" w:eastAsia="Century Gothic" w:hAnsi="Century Gothic"/>
          <w:color w:val="000000"/>
          <w:spacing w:val="-1"/>
        </w:rPr>
        <w:t xml:space="preserve"> (AERO).</w:t>
      </w:r>
    </w:p>
    <w:p w14:paraId="30E5BDFC" w14:textId="77777777" w:rsidR="00A6771E" w:rsidRDefault="000C29E8">
      <w:pPr>
        <w:spacing w:before="130" w:line="259" w:lineRule="exact"/>
        <w:textAlignment w:val="baseline"/>
        <w:rPr>
          <w:rFonts w:ascii="Century Gothic" w:eastAsia="Century Gothic" w:hAnsi="Century Gothic"/>
          <w:color w:val="000000"/>
          <w:spacing w:val="3"/>
        </w:rPr>
      </w:pPr>
      <w:r>
        <w:rPr>
          <w:rFonts w:ascii="Century Gothic" w:eastAsia="Century Gothic" w:hAnsi="Century Gothic"/>
          <w:color w:val="000000"/>
          <w:spacing w:val="3"/>
        </w:rPr>
        <w:t>6.2 Quality Practitioners Must Remain in Classroom</w:t>
      </w:r>
    </w:p>
    <w:p w14:paraId="78B629D6" w14:textId="77777777" w:rsidR="00A6771E" w:rsidRDefault="000C29E8">
      <w:pPr>
        <w:spacing w:before="120"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The IEUA notes that the introduction of HALT certification was supposed to recognize quality classroom practitioners. Care is needed to ensure that these excellent practitioners remain in schools, where they can guide less experienced colleagues to develop</w:t>
      </w:r>
      <w:r>
        <w:rPr>
          <w:rFonts w:ascii="Century Gothic" w:eastAsia="Century Gothic" w:hAnsi="Century Gothic"/>
          <w:color w:val="000000"/>
        </w:rPr>
        <w:t xml:space="preserve"> and improve their own practice.</w:t>
      </w:r>
    </w:p>
    <w:p w14:paraId="7F6FE6E8" w14:textId="77777777" w:rsidR="00A6771E" w:rsidRDefault="000C29E8">
      <w:pPr>
        <w:numPr>
          <w:ilvl w:val="0"/>
          <w:numId w:val="6"/>
        </w:numPr>
        <w:spacing w:before="115" w:line="271" w:lineRule="exact"/>
        <w:ind w:left="360" w:right="216" w:hanging="360"/>
        <w:textAlignment w:val="baseline"/>
        <w:rPr>
          <w:rFonts w:ascii="Century Gothic" w:eastAsia="Century Gothic" w:hAnsi="Century Gothic"/>
          <w:b/>
          <w:i/>
          <w:color w:val="000000"/>
          <w:spacing w:val="-1"/>
        </w:rPr>
      </w:pPr>
      <w:r>
        <w:rPr>
          <w:rFonts w:ascii="Century Gothic" w:eastAsia="Century Gothic" w:hAnsi="Century Gothic"/>
          <w:b/>
          <w:i/>
          <w:color w:val="000000"/>
          <w:spacing w:val="-1"/>
        </w:rPr>
        <w:t>What more can ITE providers and employers do to ensure ITE students are getting the practical experience they need before they start their teaching careers?</w:t>
      </w:r>
    </w:p>
    <w:p w14:paraId="02FA4F57" w14:textId="77777777" w:rsidR="00A6771E" w:rsidRDefault="000C29E8">
      <w:pPr>
        <w:spacing w:before="130" w:line="259" w:lineRule="exact"/>
        <w:textAlignment w:val="baseline"/>
        <w:rPr>
          <w:rFonts w:ascii="Century Gothic" w:eastAsia="Century Gothic" w:hAnsi="Century Gothic"/>
          <w:color w:val="000000"/>
          <w:spacing w:val="4"/>
        </w:rPr>
      </w:pPr>
      <w:r>
        <w:rPr>
          <w:rFonts w:ascii="Century Gothic" w:eastAsia="Century Gothic" w:hAnsi="Century Gothic"/>
          <w:color w:val="000000"/>
          <w:spacing w:val="4"/>
        </w:rPr>
        <w:t>7.1 Importance of Resourcing Practicum</w:t>
      </w:r>
    </w:p>
    <w:p w14:paraId="57C27639" w14:textId="77777777" w:rsidR="00A6771E" w:rsidRDefault="000C29E8">
      <w:pPr>
        <w:spacing w:before="116" w:line="273" w:lineRule="exact"/>
        <w:ind w:right="576"/>
        <w:textAlignment w:val="baseline"/>
        <w:rPr>
          <w:rFonts w:ascii="Century Gothic" w:eastAsia="Century Gothic" w:hAnsi="Century Gothic"/>
          <w:color w:val="000000"/>
        </w:rPr>
      </w:pPr>
      <w:r>
        <w:rPr>
          <w:rFonts w:ascii="Century Gothic" w:eastAsia="Century Gothic" w:hAnsi="Century Gothic"/>
          <w:color w:val="000000"/>
        </w:rPr>
        <w:t>ITE providers need to deliver high quality practicum experie</w:t>
      </w:r>
      <w:r>
        <w:rPr>
          <w:rFonts w:ascii="Century Gothic" w:eastAsia="Century Gothic" w:hAnsi="Century Gothic"/>
          <w:color w:val="000000"/>
        </w:rPr>
        <w:t>nces (which include significant levels of mentoring and ongoing support) for all pre-service teachers.</w:t>
      </w:r>
    </w:p>
    <w:p w14:paraId="5A3E5CB2" w14:textId="77777777" w:rsidR="00A6771E" w:rsidRDefault="000C29E8">
      <w:pPr>
        <w:spacing w:before="120" w:line="269" w:lineRule="exact"/>
        <w:ind w:right="72"/>
        <w:textAlignment w:val="baseline"/>
        <w:rPr>
          <w:rFonts w:ascii="Century Gothic" w:eastAsia="Century Gothic" w:hAnsi="Century Gothic"/>
          <w:color w:val="000000"/>
        </w:rPr>
      </w:pPr>
      <w:r>
        <w:rPr>
          <w:rFonts w:ascii="Century Gothic" w:eastAsia="Century Gothic" w:hAnsi="Century Gothic"/>
          <w:color w:val="000000"/>
        </w:rPr>
        <w:t xml:space="preserve">Presently, a small number of individuals receive high levels of investment in extended practicum (internships, </w:t>
      </w:r>
      <w:proofErr w:type="gramStart"/>
      <w:r>
        <w:rPr>
          <w:rFonts w:ascii="Century Gothic" w:eastAsia="Century Gothic" w:hAnsi="Century Gothic"/>
          <w:color w:val="000000"/>
        </w:rPr>
        <w:t>Teach</w:t>
      </w:r>
      <w:proofErr w:type="gramEnd"/>
      <w:r>
        <w:rPr>
          <w:rFonts w:ascii="Century Gothic" w:eastAsia="Century Gothic" w:hAnsi="Century Gothic"/>
          <w:color w:val="000000"/>
        </w:rPr>
        <w:t xml:space="preserve"> for Australia) and evidence indicate</w:t>
      </w:r>
      <w:r>
        <w:rPr>
          <w:rFonts w:ascii="Century Gothic" w:eastAsia="Century Gothic" w:hAnsi="Century Gothic"/>
          <w:color w:val="000000"/>
        </w:rPr>
        <w:t>s that a considerable proportion of these do not remain in the profession.</w:t>
      </w:r>
    </w:p>
    <w:p w14:paraId="25771067" w14:textId="77777777" w:rsidR="00A6771E" w:rsidRDefault="000C29E8">
      <w:pPr>
        <w:spacing w:before="116" w:line="273" w:lineRule="exact"/>
        <w:ind w:right="576"/>
        <w:textAlignment w:val="baseline"/>
        <w:rPr>
          <w:rFonts w:ascii="Century Gothic" w:eastAsia="Century Gothic" w:hAnsi="Century Gothic"/>
          <w:color w:val="000000"/>
        </w:rPr>
      </w:pPr>
      <w:r>
        <w:rPr>
          <w:rFonts w:ascii="Century Gothic" w:eastAsia="Century Gothic" w:hAnsi="Century Gothic"/>
          <w:color w:val="000000"/>
        </w:rPr>
        <w:t>IEUA member feedback highlights the importance of practicum and practicum assessment as integral to attracting and retaining ITE students.</w:t>
      </w:r>
    </w:p>
    <w:p w14:paraId="63BCFCEF" w14:textId="77777777" w:rsidR="00A6771E" w:rsidRDefault="000C29E8">
      <w:pPr>
        <w:spacing w:before="130" w:line="259" w:lineRule="exact"/>
        <w:textAlignment w:val="baseline"/>
        <w:rPr>
          <w:rFonts w:ascii="Century Gothic" w:eastAsia="Century Gothic" w:hAnsi="Century Gothic"/>
          <w:color w:val="000000"/>
        </w:rPr>
      </w:pPr>
      <w:r>
        <w:rPr>
          <w:rFonts w:ascii="Century Gothic" w:eastAsia="Century Gothic" w:hAnsi="Century Gothic"/>
          <w:color w:val="000000"/>
        </w:rPr>
        <w:t>Teachers and Principals stress:</w:t>
      </w:r>
    </w:p>
    <w:p w14:paraId="64403B88" w14:textId="77777777" w:rsidR="00A6771E" w:rsidRDefault="000C29E8">
      <w:pPr>
        <w:numPr>
          <w:ilvl w:val="0"/>
          <w:numId w:val="4"/>
        </w:numPr>
        <w:tabs>
          <w:tab w:val="clear" w:pos="360"/>
          <w:tab w:val="left" w:pos="792"/>
        </w:tabs>
        <w:spacing w:before="122" w:line="268" w:lineRule="exact"/>
        <w:ind w:left="792" w:right="216"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The import</w:t>
      </w:r>
      <w:r>
        <w:rPr>
          <w:rFonts w:ascii="Century Gothic" w:eastAsia="Century Gothic" w:hAnsi="Century Gothic"/>
          <w:color w:val="000000"/>
          <w:spacing w:val="-1"/>
        </w:rPr>
        <w:t>ance of practicum – immersive preparation experiences spanning the course is ideal. ITE students attending schools for “observation periods” instead of structured practicum experiences are seen of little value.</w:t>
      </w:r>
    </w:p>
    <w:p w14:paraId="0F38C107" w14:textId="77777777" w:rsidR="00A6771E" w:rsidRDefault="000C29E8">
      <w:pPr>
        <w:numPr>
          <w:ilvl w:val="0"/>
          <w:numId w:val="4"/>
        </w:numPr>
        <w:tabs>
          <w:tab w:val="clear" w:pos="360"/>
          <w:tab w:val="left" w:pos="792"/>
        </w:tabs>
        <w:spacing w:before="122" w:line="270"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The need for schools to better resource the r</w:t>
      </w:r>
      <w:r>
        <w:rPr>
          <w:rFonts w:ascii="Century Gothic" w:eastAsia="Century Gothic" w:hAnsi="Century Gothic"/>
          <w:color w:val="000000"/>
        </w:rPr>
        <w:t xml:space="preserve">ole of their experienced teachers in the practicum. Teachers are reluctant to undertake supervision work because of the heavy time demands and additional pressures already being experienced in, for example, the introduction of new curriculum, mentoring of </w:t>
      </w:r>
      <w:r>
        <w:rPr>
          <w:rFonts w:ascii="Century Gothic" w:eastAsia="Century Gothic" w:hAnsi="Century Gothic"/>
          <w:color w:val="000000"/>
        </w:rPr>
        <w:t xml:space="preserve">beginning teachers in their schools, the increasing focus on </w:t>
      </w:r>
      <w:proofErr w:type="spellStart"/>
      <w:r>
        <w:rPr>
          <w:rFonts w:ascii="Century Gothic" w:eastAsia="Century Gothic" w:hAnsi="Century Gothic"/>
          <w:color w:val="000000"/>
        </w:rPr>
        <w:t>individualised</w:t>
      </w:r>
      <w:proofErr w:type="spellEnd"/>
      <w:r>
        <w:rPr>
          <w:rFonts w:ascii="Century Gothic" w:eastAsia="Century Gothic" w:hAnsi="Century Gothic"/>
          <w:color w:val="000000"/>
        </w:rPr>
        <w:t xml:space="preserve"> student learning and assessment, and the massive increase in administrative tasks which must be undertaken by teachers.</w:t>
      </w:r>
    </w:p>
    <w:p w14:paraId="0F51DD3F" w14:textId="77777777" w:rsidR="00A6771E" w:rsidRDefault="000C29E8">
      <w:pPr>
        <w:numPr>
          <w:ilvl w:val="0"/>
          <w:numId w:val="4"/>
        </w:numPr>
        <w:tabs>
          <w:tab w:val="clear" w:pos="360"/>
          <w:tab w:val="left" w:pos="792"/>
        </w:tabs>
        <w:spacing w:before="119" w:line="269" w:lineRule="exact"/>
        <w:ind w:left="792" w:right="360" w:hanging="360"/>
        <w:textAlignment w:val="baseline"/>
        <w:rPr>
          <w:rFonts w:ascii="Century Gothic" w:eastAsia="Century Gothic" w:hAnsi="Century Gothic"/>
          <w:color w:val="000000"/>
        </w:rPr>
      </w:pPr>
      <w:r>
        <w:rPr>
          <w:rFonts w:ascii="Century Gothic" w:eastAsia="Century Gothic" w:hAnsi="Century Gothic"/>
          <w:color w:val="000000"/>
        </w:rPr>
        <w:t>The need for ITE providers to work in closer partnership wit</w:t>
      </w:r>
      <w:r>
        <w:rPr>
          <w:rFonts w:ascii="Century Gothic" w:eastAsia="Century Gothic" w:hAnsi="Century Gothic"/>
          <w:color w:val="000000"/>
        </w:rPr>
        <w:t>h schools – many supervising teachers report minimal or non-existent contact by ITE providers during practicum.</w:t>
      </w:r>
    </w:p>
    <w:p w14:paraId="52A17A19" w14:textId="77777777" w:rsidR="00A6771E" w:rsidRDefault="000C29E8">
      <w:pPr>
        <w:numPr>
          <w:ilvl w:val="0"/>
          <w:numId w:val="4"/>
        </w:numPr>
        <w:tabs>
          <w:tab w:val="clear" w:pos="360"/>
          <w:tab w:val="left" w:pos="792"/>
        </w:tabs>
        <w:spacing w:before="116" w:line="273" w:lineRule="exact"/>
        <w:ind w:left="792" w:right="720" w:hanging="360"/>
        <w:textAlignment w:val="baseline"/>
        <w:rPr>
          <w:rFonts w:ascii="Century Gothic" w:eastAsia="Century Gothic" w:hAnsi="Century Gothic"/>
          <w:color w:val="000000"/>
        </w:rPr>
      </w:pPr>
      <w:r>
        <w:rPr>
          <w:rFonts w:ascii="Century Gothic" w:eastAsia="Century Gothic" w:hAnsi="Century Gothic"/>
          <w:color w:val="000000"/>
        </w:rPr>
        <w:t>That the currency of teaching practice of teacher educators should be enhanced.</w:t>
      </w:r>
    </w:p>
    <w:p w14:paraId="17D60479" w14:textId="77777777" w:rsidR="00A6771E" w:rsidRDefault="000C29E8">
      <w:pPr>
        <w:spacing w:before="206" w:line="251" w:lineRule="exact"/>
        <w:jc w:val="right"/>
        <w:textAlignment w:val="baseline"/>
        <w:rPr>
          <w:rFonts w:ascii="Tahoma" w:eastAsia="Tahoma" w:hAnsi="Tahoma"/>
          <w:color w:val="000000"/>
          <w:sz w:val="21"/>
        </w:rPr>
      </w:pPr>
      <w:r>
        <w:rPr>
          <w:rFonts w:ascii="Tahoma" w:eastAsia="Tahoma" w:hAnsi="Tahoma"/>
          <w:color w:val="000000"/>
          <w:sz w:val="21"/>
        </w:rPr>
        <w:t>8</w:t>
      </w:r>
    </w:p>
    <w:p w14:paraId="0876654F" w14:textId="77777777" w:rsidR="00A6771E" w:rsidRDefault="00A6771E">
      <w:pPr>
        <w:sectPr w:rsidR="00A6771E">
          <w:pgSz w:w="11909" w:h="16838"/>
          <w:pgMar w:top="1440" w:right="1397" w:bottom="622" w:left="1392" w:header="720" w:footer="720" w:gutter="0"/>
          <w:cols w:space="720"/>
        </w:sectPr>
      </w:pPr>
    </w:p>
    <w:p w14:paraId="411948E3" w14:textId="77777777" w:rsidR="00A6771E" w:rsidRDefault="000C29E8">
      <w:pPr>
        <w:numPr>
          <w:ilvl w:val="0"/>
          <w:numId w:val="7"/>
        </w:numPr>
        <w:tabs>
          <w:tab w:val="clear" w:pos="432"/>
          <w:tab w:val="left" w:pos="792"/>
        </w:tabs>
        <w:spacing w:before="103" w:line="270" w:lineRule="exact"/>
        <w:ind w:left="792" w:right="72" w:hanging="432"/>
        <w:textAlignment w:val="baseline"/>
        <w:rPr>
          <w:rFonts w:ascii="Century Gothic" w:eastAsia="Century Gothic" w:hAnsi="Century Gothic"/>
          <w:color w:val="000000"/>
          <w:spacing w:val="-2"/>
        </w:rPr>
      </w:pPr>
      <w:r>
        <w:rPr>
          <w:rFonts w:ascii="Century Gothic" w:eastAsia="Century Gothic" w:hAnsi="Century Gothic"/>
          <w:color w:val="000000"/>
          <w:spacing w:val="-2"/>
        </w:rPr>
        <w:lastRenderedPageBreak/>
        <w:t xml:space="preserve">That practicum assessment requirements vary considerably between universities, and some are very time consuming and do not “add value”. Teachers highlight the need for assessment approaches </w:t>
      </w:r>
      <w:proofErr w:type="gramStart"/>
      <w:r>
        <w:rPr>
          <w:rFonts w:ascii="Century Gothic" w:eastAsia="Century Gothic" w:hAnsi="Century Gothic"/>
          <w:color w:val="000000"/>
          <w:spacing w:val="-2"/>
        </w:rPr>
        <w:t>similar to</w:t>
      </w:r>
      <w:proofErr w:type="gramEnd"/>
      <w:r>
        <w:rPr>
          <w:rFonts w:ascii="Century Gothic" w:eastAsia="Century Gothic" w:hAnsi="Century Gothic"/>
          <w:color w:val="000000"/>
          <w:spacing w:val="-2"/>
        </w:rPr>
        <w:t xml:space="preserve"> the Stanford university approach, which reflects best p</w:t>
      </w:r>
      <w:r>
        <w:rPr>
          <w:rFonts w:ascii="Century Gothic" w:eastAsia="Century Gothic" w:hAnsi="Century Gothic"/>
          <w:color w:val="000000"/>
          <w:spacing w:val="-2"/>
        </w:rPr>
        <w:t>ractice for teachers in schools, with emphasis on assessment being self-driven and a learning experience in itself.</w:t>
      </w:r>
    </w:p>
    <w:p w14:paraId="020E075B" w14:textId="77777777" w:rsidR="00A6771E" w:rsidRDefault="000C29E8">
      <w:pPr>
        <w:numPr>
          <w:ilvl w:val="0"/>
          <w:numId w:val="7"/>
        </w:numPr>
        <w:tabs>
          <w:tab w:val="clear" w:pos="432"/>
          <w:tab w:val="left" w:pos="792"/>
        </w:tabs>
        <w:spacing w:before="118" w:line="271" w:lineRule="exact"/>
        <w:ind w:left="792" w:right="72" w:hanging="432"/>
        <w:textAlignment w:val="baseline"/>
        <w:rPr>
          <w:rFonts w:ascii="Century Gothic" w:eastAsia="Century Gothic" w:hAnsi="Century Gothic"/>
          <w:color w:val="000000"/>
        </w:rPr>
      </w:pPr>
      <w:r>
        <w:rPr>
          <w:rFonts w:ascii="Century Gothic" w:eastAsia="Century Gothic" w:hAnsi="Century Gothic"/>
          <w:color w:val="000000"/>
        </w:rPr>
        <w:t>The need for regular forums with representatives from key stakeholders which provide current and practical feedback for evaluation, re-struc</w:t>
      </w:r>
      <w:r>
        <w:rPr>
          <w:rFonts w:ascii="Century Gothic" w:eastAsia="Century Gothic" w:hAnsi="Century Gothic"/>
          <w:color w:val="000000"/>
        </w:rPr>
        <w:t>ture of courses etc. Some university faculties do this very well.</w:t>
      </w:r>
    </w:p>
    <w:p w14:paraId="6F3CEE32" w14:textId="77777777" w:rsidR="00A6771E" w:rsidRDefault="000C29E8">
      <w:pPr>
        <w:numPr>
          <w:ilvl w:val="0"/>
          <w:numId w:val="6"/>
        </w:numPr>
        <w:spacing w:before="121" w:line="269" w:lineRule="exact"/>
        <w:ind w:left="360" w:right="432" w:hanging="360"/>
        <w:textAlignment w:val="baseline"/>
        <w:rPr>
          <w:rFonts w:ascii="Century Gothic" w:eastAsia="Century Gothic" w:hAnsi="Century Gothic"/>
          <w:b/>
          <w:i/>
          <w:color w:val="000000"/>
        </w:rPr>
      </w:pPr>
      <w:r>
        <w:rPr>
          <w:rFonts w:ascii="Century Gothic" w:eastAsia="Century Gothic" w:hAnsi="Century Gothic"/>
          <w:b/>
          <w:i/>
          <w:color w:val="000000"/>
        </w:rPr>
        <w:t>How can Teaching Performance Assessment arrangements be strengthened to ensure graduate teachers are well-prepared for the classroom?</w:t>
      </w:r>
    </w:p>
    <w:p w14:paraId="0F8AE097" w14:textId="77777777" w:rsidR="00A6771E" w:rsidRDefault="000C29E8">
      <w:pPr>
        <w:spacing w:before="128" w:line="259" w:lineRule="exact"/>
        <w:ind w:right="72"/>
        <w:textAlignment w:val="baseline"/>
        <w:rPr>
          <w:rFonts w:ascii="Century Gothic" w:eastAsia="Century Gothic" w:hAnsi="Century Gothic"/>
          <w:color w:val="000000"/>
          <w:spacing w:val="10"/>
        </w:rPr>
      </w:pPr>
      <w:r>
        <w:rPr>
          <w:rFonts w:ascii="Century Gothic" w:eastAsia="Century Gothic" w:hAnsi="Century Gothic"/>
          <w:color w:val="000000"/>
          <w:spacing w:val="10"/>
        </w:rPr>
        <w:t>8.1 TEMAG Reforms</w:t>
      </w:r>
    </w:p>
    <w:p w14:paraId="5DD6C4F7" w14:textId="77777777" w:rsidR="00A6771E" w:rsidRDefault="000C29E8">
      <w:pPr>
        <w:spacing w:before="119" w:line="271" w:lineRule="exact"/>
        <w:ind w:right="504"/>
        <w:textAlignment w:val="baseline"/>
        <w:rPr>
          <w:rFonts w:ascii="Century Gothic" w:eastAsia="Century Gothic" w:hAnsi="Century Gothic"/>
          <w:color w:val="000000"/>
        </w:rPr>
      </w:pPr>
      <w:r>
        <w:rPr>
          <w:rFonts w:ascii="Century Gothic" w:eastAsia="Century Gothic" w:hAnsi="Century Gothic"/>
          <w:color w:val="000000"/>
        </w:rPr>
        <w:t>Teacher Performance Assessment is a re</w:t>
      </w:r>
      <w:r>
        <w:rPr>
          <w:rFonts w:ascii="Century Gothic" w:eastAsia="Century Gothic" w:hAnsi="Century Gothic"/>
          <w:color w:val="000000"/>
        </w:rPr>
        <w:t>latively recent introduction, as part of reforms from the TEMAG review. Many institutions have implemented the reforms and several exemplary TPAs have emerged.</w:t>
      </w:r>
    </w:p>
    <w:p w14:paraId="134F15D8" w14:textId="77777777" w:rsidR="00A6771E" w:rsidRDefault="000C29E8">
      <w:pPr>
        <w:spacing w:before="119" w:line="269" w:lineRule="exact"/>
        <w:ind w:right="72"/>
        <w:textAlignment w:val="baseline"/>
        <w:rPr>
          <w:rFonts w:ascii="Century Gothic" w:eastAsia="Century Gothic" w:hAnsi="Century Gothic"/>
          <w:color w:val="000000"/>
        </w:rPr>
      </w:pPr>
      <w:r>
        <w:rPr>
          <w:rFonts w:ascii="Century Gothic" w:eastAsia="Century Gothic" w:hAnsi="Century Gothic"/>
          <w:color w:val="000000"/>
        </w:rPr>
        <w:t>The IEUA notes that TEMAG reforms have brought about significant changes in the way ITE programs</w:t>
      </w:r>
      <w:r>
        <w:rPr>
          <w:rFonts w:ascii="Century Gothic" w:eastAsia="Century Gothic" w:hAnsi="Century Gothic"/>
          <w:color w:val="000000"/>
        </w:rPr>
        <w:t xml:space="preserve"> are accredited and these reforms are still be worked into practice. Now is not the time to </w:t>
      </w:r>
      <w:proofErr w:type="spellStart"/>
      <w:r>
        <w:rPr>
          <w:rFonts w:ascii="Century Gothic" w:eastAsia="Century Gothic" w:hAnsi="Century Gothic"/>
          <w:color w:val="000000"/>
        </w:rPr>
        <w:t>destabilise</w:t>
      </w:r>
      <w:proofErr w:type="spellEnd"/>
      <w:r>
        <w:rPr>
          <w:rFonts w:ascii="Century Gothic" w:eastAsia="Century Gothic" w:hAnsi="Century Gothic"/>
          <w:color w:val="000000"/>
        </w:rPr>
        <w:t xml:space="preserve"> by introducing further change.</w:t>
      </w:r>
    </w:p>
    <w:p w14:paraId="5C05B857" w14:textId="77777777" w:rsidR="00A6771E" w:rsidRDefault="000C29E8">
      <w:pPr>
        <w:spacing w:before="126" w:line="268" w:lineRule="exact"/>
        <w:ind w:right="288"/>
        <w:textAlignment w:val="baseline"/>
        <w:rPr>
          <w:rFonts w:ascii="Century Gothic" w:eastAsia="Century Gothic" w:hAnsi="Century Gothic"/>
          <w:color w:val="000000"/>
        </w:rPr>
      </w:pPr>
      <w:r>
        <w:rPr>
          <w:rFonts w:ascii="Century Gothic" w:eastAsia="Century Gothic" w:hAnsi="Century Gothic"/>
          <w:color w:val="000000"/>
        </w:rPr>
        <w:t xml:space="preserve">Further, the IEUA strongly believes that it is not appropriate to punish </w:t>
      </w:r>
      <w:proofErr w:type="gramStart"/>
      <w:r>
        <w:rPr>
          <w:rFonts w:ascii="Century Gothic" w:eastAsia="Century Gothic" w:hAnsi="Century Gothic"/>
          <w:color w:val="000000"/>
        </w:rPr>
        <w:t>the majority of</w:t>
      </w:r>
      <w:proofErr w:type="gramEnd"/>
      <w:r>
        <w:rPr>
          <w:rFonts w:ascii="Century Gothic" w:eastAsia="Century Gothic" w:hAnsi="Century Gothic"/>
          <w:color w:val="000000"/>
        </w:rPr>
        <w:t xml:space="preserve"> providers for the failings of a few institutions.</w:t>
      </w:r>
    </w:p>
    <w:p w14:paraId="627DB646" w14:textId="77777777" w:rsidR="00A6771E" w:rsidRDefault="000C29E8">
      <w:pPr>
        <w:spacing w:before="120" w:line="270" w:lineRule="exact"/>
        <w:ind w:right="216"/>
        <w:textAlignment w:val="baseline"/>
        <w:rPr>
          <w:rFonts w:ascii="Century Gothic" w:eastAsia="Century Gothic" w:hAnsi="Century Gothic"/>
          <w:color w:val="000000"/>
        </w:rPr>
      </w:pPr>
      <w:r>
        <w:rPr>
          <w:rFonts w:ascii="Century Gothic" w:eastAsia="Century Gothic" w:hAnsi="Century Gothic"/>
          <w:color w:val="000000"/>
        </w:rPr>
        <w:t>The IEUA notes that feedback on existing TPAs is that the reform has initiated significant cross-institutional collab</w:t>
      </w:r>
      <w:r>
        <w:rPr>
          <w:rFonts w:ascii="Century Gothic" w:eastAsia="Century Gothic" w:hAnsi="Century Gothic"/>
          <w:color w:val="000000"/>
        </w:rPr>
        <w:t>oration (specifically sharing of assessment processes and products to allow moderation) which is leading to better practice in ITE.</w:t>
      </w:r>
    </w:p>
    <w:p w14:paraId="0BC67F03" w14:textId="77777777" w:rsidR="00A6771E" w:rsidRDefault="000C29E8">
      <w:pPr>
        <w:spacing w:before="120" w:line="269" w:lineRule="exact"/>
        <w:ind w:right="72"/>
        <w:textAlignment w:val="baseline"/>
        <w:rPr>
          <w:rFonts w:ascii="Century Gothic" w:eastAsia="Century Gothic" w:hAnsi="Century Gothic"/>
          <w:color w:val="000000"/>
        </w:rPr>
      </w:pPr>
      <w:r>
        <w:rPr>
          <w:rFonts w:ascii="Century Gothic" w:eastAsia="Century Gothic" w:hAnsi="Century Gothic"/>
          <w:color w:val="000000"/>
        </w:rPr>
        <w:t>The IEUA believes that it is essential to retain some diversity in TPAs, to encourage ITE providers to continue working on q</w:t>
      </w:r>
      <w:r>
        <w:rPr>
          <w:rFonts w:ascii="Century Gothic" w:eastAsia="Century Gothic" w:hAnsi="Century Gothic"/>
          <w:color w:val="000000"/>
        </w:rPr>
        <w:t>uality improvement.</w:t>
      </w:r>
    </w:p>
    <w:p w14:paraId="590358ED" w14:textId="77777777" w:rsidR="00A6771E" w:rsidRDefault="000C29E8">
      <w:pPr>
        <w:numPr>
          <w:ilvl w:val="0"/>
          <w:numId w:val="6"/>
        </w:numPr>
        <w:spacing w:before="121" w:line="269" w:lineRule="exact"/>
        <w:ind w:left="360" w:right="1152" w:hanging="360"/>
        <w:textAlignment w:val="baseline"/>
        <w:rPr>
          <w:rFonts w:ascii="Century Gothic" w:eastAsia="Century Gothic" w:hAnsi="Century Gothic"/>
          <w:b/>
          <w:i/>
          <w:color w:val="000000"/>
        </w:rPr>
      </w:pPr>
      <w:r>
        <w:rPr>
          <w:rFonts w:ascii="Century Gothic" w:eastAsia="Century Gothic" w:hAnsi="Century Gothic"/>
          <w:b/>
          <w:i/>
          <w:color w:val="000000"/>
        </w:rPr>
        <w:t>How can leading teachers, principals and schools play a greater role in supporting the development of ITE students?</w:t>
      </w:r>
    </w:p>
    <w:p w14:paraId="707756D5" w14:textId="77777777" w:rsidR="00A6771E" w:rsidRDefault="000C29E8">
      <w:pPr>
        <w:tabs>
          <w:tab w:val="left" w:pos="576"/>
        </w:tabs>
        <w:spacing w:before="133" w:line="259" w:lineRule="exact"/>
        <w:ind w:right="72"/>
        <w:textAlignment w:val="baseline"/>
        <w:rPr>
          <w:rFonts w:ascii="Century Gothic" w:eastAsia="Century Gothic" w:hAnsi="Century Gothic"/>
          <w:color w:val="000000"/>
        </w:rPr>
      </w:pPr>
      <w:r>
        <w:rPr>
          <w:rFonts w:ascii="Century Gothic" w:eastAsia="Century Gothic" w:hAnsi="Century Gothic"/>
          <w:color w:val="000000"/>
        </w:rPr>
        <w:t>9.1</w:t>
      </w:r>
      <w:r>
        <w:rPr>
          <w:rFonts w:ascii="Century Gothic" w:eastAsia="Century Gothic" w:hAnsi="Century Gothic"/>
          <w:color w:val="000000"/>
        </w:rPr>
        <w:tab/>
        <w:t>Significant, systematic support</w:t>
      </w:r>
    </w:p>
    <w:p w14:paraId="2D4B284F" w14:textId="77777777" w:rsidR="00A6771E" w:rsidRDefault="000C29E8">
      <w:pPr>
        <w:spacing w:before="124" w:line="268" w:lineRule="exact"/>
        <w:ind w:right="72"/>
        <w:textAlignment w:val="baseline"/>
        <w:rPr>
          <w:rFonts w:ascii="Century Gothic" w:eastAsia="Century Gothic" w:hAnsi="Century Gothic"/>
          <w:color w:val="000000"/>
        </w:rPr>
      </w:pPr>
      <w:r>
        <w:rPr>
          <w:rFonts w:ascii="Century Gothic" w:eastAsia="Century Gothic" w:hAnsi="Century Gothic"/>
          <w:color w:val="000000"/>
        </w:rPr>
        <w:t xml:space="preserve">Development of ITE students into effective teachers requires significant, </w:t>
      </w:r>
      <w:proofErr w:type="gramStart"/>
      <w:r>
        <w:rPr>
          <w:rFonts w:ascii="Century Gothic" w:eastAsia="Century Gothic" w:hAnsi="Century Gothic"/>
          <w:color w:val="000000"/>
        </w:rPr>
        <w:t>systematic</w:t>
      </w:r>
      <w:proofErr w:type="gramEnd"/>
      <w:r>
        <w:rPr>
          <w:rFonts w:ascii="Century Gothic" w:eastAsia="Century Gothic" w:hAnsi="Century Gothic"/>
          <w:color w:val="000000"/>
        </w:rPr>
        <w:t xml:space="preserve"> and enduring support. Leading teachers, regardless of whether they are accredited at Highly Accomplished or Lead Teacher, must be provided with sufficient release time to work with ITE students on an ongoing basis, and financial compensation that appropri</w:t>
      </w:r>
      <w:r>
        <w:rPr>
          <w:rFonts w:ascii="Century Gothic" w:eastAsia="Century Gothic" w:hAnsi="Century Gothic"/>
          <w:color w:val="000000"/>
        </w:rPr>
        <w:t xml:space="preserve">ately </w:t>
      </w:r>
      <w:proofErr w:type="spellStart"/>
      <w:r>
        <w:rPr>
          <w:rFonts w:ascii="Century Gothic" w:eastAsia="Century Gothic" w:hAnsi="Century Gothic"/>
          <w:color w:val="000000"/>
        </w:rPr>
        <w:t>recognises</w:t>
      </w:r>
      <w:proofErr w:type="spellEnd"/>
      <w:r>
        <w:rPr>
          <w:rFonts w:ascii="Century Gothic" w:eastAsia="Century Gothic" w:hAnsi="Century Gothic"/>
          <w:color w:val="000000"/>
        </w:rPr>
        <w:t xml:space="preserve"> the value of this work.</w:t>
      </w:r>
    </w:p>
    <w:p w14:paraId="37562D26" w14:textId="77777777" w:rsidR="00A6771E" w:rsidRDefault="000C29E8">
      <w:pPr>
        <w:spacing w:before="125" w:line="269" w:lineRule="exact"/>
        <w:ind w:right="216"/>
        <w:textAlignment w:val="baseline"/>
        <w:rPr>
          <w:rFonts w:ascii="Century Gothic" w:eastAsia="Century Gothic" w:hAnsi="Century Gothic"/>
          <w:color w:val="000000"/>
        </w:rPr>
      </w:pPr>
      <w:r>
        <w:rPr>
          <w:rFonts w:ascii="Century Gothic" w:eastAsia="Century Gothic" w:hAnsi="Century Gothic"/>
          <w:color w:val="000000"/>
        </w:rPr>
        <w:t>The IEUA strongly believes that leading teachers and principals should be kept in practice inside schools, where they can support and influence beginning teachers.</w:t>
      </w:r>
    </w:p>
    <w:p w14:paraId="000EEB77" w14:textId="77777777" w:rsidR="00A6771E" w:rsidRDefault="000C29E8">
      <w:pPr>
        <w:spacing w:before="119" w:after="2300" w:line="269" w:lineRule="exact"/>
        <w:ind w:right="72"/>
        <w:textAlignment w:val="baseline"/>
        <w:rPr>
          <w:rFonts w:ascii="Century Gothic" w:eastAsia="Century Gothic" w:hAnsi="Century Gothic"/>
          <w:color w:val="000000"/>
        </w:rPr>
      </w:pPr>
      <w:r>
        <w:rPr>
          <w:rFonts w:ascii="Century Gothic" w:eastAsia="Century Gothic" w:hAnsi="Century Gothic"/>
          <w:color w:val="000000"/>
        </w:rPr>
        <w:t>Further, the IEUA is opposed to the idea of creatin</w:t>
      </w:r>
      <w:r>
        <w:rPr>
          <w:rFonts w:ascii="Century Gothic" w:eastAsia="Century Gothic" w:hAnsi="Century Gothic"/>
          <w:color w:val="000000"/>
        </w:rPr>
        <w:t>g specialist ‘teacher training schools,’ as this runs counter to what the profession knows about context-dependent practice.</w:t>
      </w:r>
    </w:p>
    <w:p w14:paraId="576BF3D8" w14:textId="77777777" w:rsidR="00A6771E" w:rsidRDefault="00A6771E">
      <w:pPr>
        <w:spacing w:before="119" w:after="2300" w:line="269" w:lineRule="exact"/>
        <w:sectPr w:rsidR="00A6771E">
          <w:pgSz w:w="11909" w:h="16838"/>
          <w:pgMar w:top="1340" w:right="1394" w:bottom="622" w:left="1395" w:header="720" w:footer="720" w:gutter="0"/>
          <w:cols w:space="720"/>
        </w:sectPr>
      </w:pPr>
    </w:p>
    <w:p w14:paraId="63768779" w14:textId="77777777" w:rsidR="00A6771E" w:rsidRDefault="000C29E8">
      <w:pPr>
        <w:spacing w:line="251" w:lineRule="exact"/>
        <w:textAlignment w:val="baseline"/>
        <w:rPr>
          <w:rFonts w:ascii="Tahoma" w:eastAsia="Tahoma" w:hAnsi="Tahoma"/>
          <w:color w:val="000000"/>
          <w:sz w:val="21"/>
        </w:rPr>
      </w:pPr>
      <w:r>
        <w:rPr>
          <w:rFonts w:ascii="Tahoma" w:eastAsia="Tahoma" w:hAnsi="Tahoma"/>
          <w:color w:val="000000"/>
          <w:sz w:val="21"/>
        </w:rPr>
        <w:t>9</w:t>
      </w:r>
    </w:p>
    <w:p w14:paraId="55382AE9" w14:textId="77777777" w:rsidR="00A6771E" w:rsidRDefault="00A6771E">
      <w:pPr>
        <w:sectPr w:rsidR="00A6771E">
          <w:type w:val="continuous"/>
          <w:pgSz w:w="11909" w:h="16838"/>
          <w:pgMar w:top="1340" w:right="1376" w:bottom="622" w:left="10273" w:header="720" w:footer="720" w:gutter="0"/>
          <w:cols w:space="720"/>
        </w:sectPr>
      </w:pPr>
    </w:p>
    <w:p w14:paraId="66D31372" w14:textId="77777777" w:rsidR="00A6771E" w:rsidRDefault="000C29E8">
      <w:pPr>
        <w:tabs>
          <w:tab w:val="left" w:pos="648"/>
        </w:tabs>
        <w:spacing w:before="4" w:line="269" w:lineRule="exact"/>
        <w:ind w:left="576" w:right="504" w:hanging="504"/>
        <w:textAlignment w:val="baseline"/>
        <w:rPr>
          <w:rFonts w:ascii="Century Gothic" w:eastAsia="Century Gothic" w:hAnsi="Century Gothic"/>
          <w:b/>
          <w:i/>
          <w:color w:val="000000"/>
        </w:rPr>
      </w:pPr>
      <w:r>
        <w:rPr>
          <w:rFonts w:ascii="Century Gothic" w:eastAsia="Century Gothic" w:hAnsi="Century Gothic"/>
          <w:b/>
          <w:i/>
          <w:color w:val="000000"/>
        </w:rPr>
        <w:lastRenderedPageBreak/>
        <w:t>10.</w:t>
      </w:r>
      <w:r>
        <w:rPr>
          <w:rFonts w:ascii="Century Gothic" w:eastAsia="Century Gothic" w:hAnsi="Century Gothic"/>
          <w:b/>
          <w:i/>
          <w:color w:val="000000"/>
        </w:rPr>
        <w:tab/>
      </w:r>
      <w:r>
        <w:rPr>
          <w:rFonts w:ascii="Century Gothic" w:eastAsia="Century Gothic" w:hAnsi="Century Gothic"/>
          <w:b/>
          <w:i/>
          <w:color w:val="000000"/>
        </w:rPr>
        <w:t>Can ITE providers play a stronger role in ongoing professional development and support of teachers?</w:t>
      </w:r>
    </w:p>
    <w:p w14:paraId="4A9DDE58" w14:textId="77777777" w:rsidR="00A6771E" w:rsidRDefault="000C29E8">
      <w:pPr>
        <w:spacing w:before="134" w:line="259" w:lineRule="exact"/>
        <w:ind w:left="72"/>
        <w:textAlignment w:val="baseline"/>
        <w:rPr>
          <w:rFonts w:ascii="Century Gothic" w:eastAsia="Century Gothic" w:hAnsi="Century Gothic"/>
          <w:color w:val="000000"/>
        </w:rPr>
      </w:pPr>
      <w:r>
        <w:rPr>
          <w:rFonts w:ascii="Century Gothic" w:eastAsia="Century Gothic" w:hAnsi="Century Gothic"/>
          <w:color w:val="000000"/>
        </w:rPr>
        <w:t>10.1 Existing Professional Development Opportunities</w:t>
      </w:r>
    </w:p>
    <w:p w14:paraId="2567BF52" w14:textId="77777777" w:rsidR="00A6771E" w:rsidRDefault="000C29E8">
      <w:pPr>
        <w:spacing w:before="120" w:line="269" w:lineRule="exact"/>
        <w:ind w:left="72" w:right="144"/>
        <w:textAlignment w:val="baseline"/>
        <w:rPr>
          <w:rFonts w:ascii="Century Gothic" w:eastAsia="Century Gothic" w:hAnsi="Century Gothic"/>
          <w:color w:val="000000"/>
        </w:rPr>
      </w:pPr>
      <w:r>
        <w:rPr>
          <w:rFonts w:ascii="Century Gothic" w:eastAsia="Century Gothic" w:hAnsi="Century Gothic"/>
          <w:color w:val="000000"/>
        </w:rPr>
        <w:t xml:space="preserve">The central problem here is the widespread assumption that the day-to-day tasks of planning, teaching, </w:t>
      </w:r>
      <w:r>
        <w:rPr>
          <w:rFonts w:ascii="Century Gothic" w:eastAsia="Century Gothic" w:hAnsi="Century Gothic"/>
          <w:color w:val="000000"/>
        </w:rPr>
        <w:t xml:space="preserve">assessing, and reflecting on practice are not inherently complex, </w:t>
      </w:r>
      <w:proofErr w:type="spellStart"/>
      <w:r>
        <w:rPr>
          <w:rFonts w:ascii="Century Gothic" w:eastAsia="Century Gothic" w:hAnsi="Century Gothic"/>
          <w:color w:val="000000"/>
        </w:rPr>
        <w:t>contextualised</w:t>
      </w:r>
      <w:proofErr w:type="spellEnd"/>
      <w:r>
        <w:rPr>
          <w:rFonts w:ascii="Century Gothic" w:eastAsia="Century Gothic" w:hAnsi="Century Gothic"/>
          <w:color w:val="000000"/>
        </w:rPr>
        <w:t xml:space="preserve"> work.</w:t>
      </w:r>
    </w:p>
    <w:p w14:paraId="18236F1A" w14:textId="77777777" w:rsidR="00A6771E" w:rsidRDefault="000C29E8">
      <w:pPr>
        <w:spacing w:before="114" w:line="274" w:lineRule="exact"/>
        <w:ind w:left="72" w:right="432"/>
        <w:textAlignment w:val="baseline"/>
        <w:rPr>
          <w:rFonts w:ascii="Century Gothic" w:eastAsia="Century Gothic" w:hAnsi="Century Gothic"/>
          <w:color w:val="000000"/>
        </w:rPr>
      </w:pPr>
      <w:r>
        <w:rPr>
          <w:rFonts w:ascii="Century Gothic" w:eastAsia="Century Gothic" w:hAnsi="Century Gothic"/>
          <w:color w:val="000000"/>
        </w:rPr>
        <w:t xml:space="preserve">Both politicians and the </w:t>
      </w:r>
      <w:proofErr w:type="gramStart"/>
      <w:r>
        <w:rPr>
          <w:rFonts w:ascii="Century Gothic" w:eastAsia="Century Gothic" w:hAnsi="Century Gothic"/>
          <w:color w:val="000000"/>
        </w:rPr>
        <w:t>general public</w:t>
      </w:r>
      <w:proofErr w:type="gramEnd"/>
      <w:r>
        <w:rPr>
          <w:rFonts w:ascii="Century Gothic" w:eastAsia="Century Gothic" w:hAnsi="Century Gothic"/>
          <w:color w:val="000000"/>
        </w:rPr>
        <w:t xml:space="preserve"> underestimate the intelligence, creativity, and resilience required of teachers.</w:t>
      </w:r>
    </w:p>
    <w:p w14:paraId="226A08C5" w14:textId="77777777" w:rsidR="00A6771E" w:rsidRDefault="000C29E8">
      <w:pPr>
        <w:spacing w:before="124" w:line="269" w:lineRule="exact"/>
        <w:ind w:left="72" w:right="72"/>
        <w:textAlignment w:val="baseline"/>
        <w:rPr>
          <w:rFonts w:ascii="Century Gothic" w:eastAsia="Century Gothic" w:hAnsi="Century Gothic"/>
          <w:color w:val="000000"/>
        </w:rPr>
      </w:pPr>
      <w:r>
        <w:rPr>
          <w:rFonts w:ascii="Century Gothic" w:eastAsia="Century Gothic" w:hAnsi="Century Gothic"/>
          <w:color w:val="000000"/>
        </w:rPr>
        <w:t>Teachers actively seek out learning/PD opportuni</w:t>
      </w:r>
      <w:r>
        <w:rPr>
          <w:rFonts w:ascii="Century Gothic" w:eastAsia="Century Gothic" w:hAnsi="Century Gothic"/>
          <w:color w:val="000000"/>
        </w:rPr>
        <w:t>ties according to the professional assessment of their needs, or the specific needs of their students/classes. Enforced engagement with academics through involvement in/engagement with ‘education research’ ignores the reality of the teacher’s work. The IEU</w:t>
      </w:r>
      <w:r>
        <w:rPr>
          <w:rFonts w:ascii="Century Gothic" w:eastAsia="Century Gothic" w:hAnsi="Century Gothic"/>
          <w:color w:val="000000"/>
        </w:rPr>
        <w:t>A does not believe ITE providers should be engaging substantially in post-graduation PD. There are already ample offerings in this space.</w:t>
      </w:r>
    </w:p>
    <w:p w14:paraId="58DF3C9D" w14:textId="77777777" w:rsidR="00A6771E" w:rsidRDefault="000C29E8">
      <w:pPr>
        <w:spacing w:before="120" w:line="270" w:lineRule="exact"/>
        <w:ind w:left="72" w:right="288"/>
        <w:textAlignment w:val="baseline"/>
        <w:rPr>
          <w:rFonts w:ascii="Century Gothic" w:eastAsia="Century Gothic" w:hAnsi="Century Gothic"/>
          <w:color w:val="000000"/>
        </w:rPr>
      </w:pPr>
      <w:r>
        <w:rPr>
          <w:rFonts w:ascii="Century Gothic" w:eastAsia="Century Gothic" w:hAnsi="Century Gothic"/>
          <w:color w:val="000000"/>
        </w:rPr>
        <w:t xml:space="preserve">If our previous recommendation to enhance the support offered to ITE students in schools is taken seriously, the area </w:t>
      </w:r>
      <w:r>
        <w:rPr>
          <w:rFonts w:ascii="Century Gothic" w:eastAsia="Century Gothic" w:hAnsi="Century Gothic"/>
          <w:color w:val="000000"/>
        </w:rPr>
        <w:t>where ITE providers might potentially take a critical leading role is that of dedicated mentor training for teachers supporting ITE students in schools.</w:t>
      </w:r>
    </w:p>
    <w:p w14:paraId="07254514" w14:textId="77777777" w:rsidR="00A6771E" w:rsidRDefault="000C29E8">
      <w:pPr>
        <w:spacing w:before="129" w:line="263" w:lineRule="exact"/>
        <w:ind w:left="72"/>
        <w:textAlignment w:val="baseline"/>
        <w:rPr>
          <w:rFonts w:ascii="Century Gothic" w:eastAsia="Century Gothic" w:hAnsi="Century Gothic"/>
          <w:b/>
          <w:color w:val="000000"/>
          <w:spacing w:val="-2"/>
        </w:rPr>
      </w:pPr>
      <w:r>
        <w:rPr>
          <w:rFonts w:ascii="Century Gothic" w:eastAsia="Century Gothic" w:hAnsi="Century Gothic"/>
          <w:b/>
          <w:color w:val="000000"/>
          <w:spacing w:val="-2"/>
        </w:rPr>
        <w:t>Conclusion</w:t>
      </w:r>
    </w:p>
    <w:p w14:paraId="3BD7D546" w14:textId="77777777" w:rsidR="00A6771E" w:rsidRDefault="000C29E8">
      <w:pPr>
        <w:spacing w:before="116" w:line="269" w:lineRule="exact"/>
        <w:ind w:left="72" w:right="288"/>
        <w:textAlignment w:val="baseline"/>
        <w:rPr>
          <w:rFonts w:ascii="Century Gothic" w:eastAsia="Century Gothic" w:hAnsi="Century Gothic"/>
          <w:color w:val="000000"/>
        </w:rPr>
      </w:pPr>
      <w:r>
        <w:rPr>
          <w:rFonts w:ascii="Century Gothic" w:eastAsia="Century Gothic" w:hAnsi="Century Gothic"/>
          <w:color w:val="000000"/>
        </w:rPr>
        <w:t>The timing and limited timeframe for this review has restricted consultation with practition</w:t>
      </w:r>
      <w:r>
        <w:rPr>
          <w:rFonts w:ascii="Century Gothic" w:eastAsia="Century Gothic" w:hAnsi="Century Gothic"/>
          <w:color w:val="000000"/>
        </w:rPr>
        <w:t>ers and once again, the IEUA highlights the disconnection between such reviews and the profession.</w:t>
      </w:r>
    </w:p>
    <w:p w14:paraId="621DC36E" w14:textId="77777777" w:rsidR="00A6771E" w:rsidRDefault="000C29E8">
      <w:pPr>
        <w:spacing w:before="124" w:line="269" w:lineRule="exact"/>
        <w:ind w:left="72" w:right="432"/>
        <w:textAlignment w:val="baseline"/>
        <w:rPr>
          <w:rFonts w:ascii="Century Gothic" w:eastAsia="Century Gothic" w:hAnsi="Century Gothic"/>
          <w:color w:val="000000"/>
        </w:rPr>
      </w:pPr>
      <w:r>
        <w:rPr>
          <w:rFonts w:ascii="Century Gothic" w:eastAsia="Century Gothic" w:hAnsi="Century Gothic"/>
          <w:color w:val="000000"/>
        </w:rPr>
        <w:t>The IEUA is on record calling for real and ongoing consultation with the profession and will continue to do so.</w:t>
      </w:r>
    </w:p>
    <w:p w14:paraId="2ADF4D78" w14:textId="77777777" w:rsidR="00A6771E" w:rsidRDefault="000C29E8">
      <w:pPr>
        <w:spacing w:before="124" w:line="269" w:lineRule="exact"/>
        <w:ind w:left="72" w:right="72"/>
        <w:textAlignment w:val="baseline"/>
        <w:rPr>
          <w:rFonts w:ascii="Century Gothic" w:eastAsia="Century Gothic" w:hAnsi="Century Gothic"/>
          <w:color w:val="000000"/>
        </w:rPr>
      </w:pPr>
      <w:r>
        <w:rPr>
          <w:rFonts w:ascii="Century Gothic" w:eastAsia="Century Gothic" w:hAnsi="Century Gothic"/>
          <w:color w:val="000000"/>
        </w:rPr>
        <w:t>The IEUA notes that the predominant and histo</w:t>
      </w:r>
      <w:r>
        <w:rPr>
          <w:rFonts w:ascii="Century Gothic" w:eastAsia="Century Gothic" w:hAnsi="Century Gothic"/>
          <w:color w:val="000000"/>
        </w:rPr>
        <w:t>ric models of initial teacher education involve either a practicum placement or ‘internship” arrangement. These clearly have resource commitments and expectations and there have been many commitments by governments, and opposition parties who have subseque</w:t>
      </w:r>
      <w:r>
        <w:rPr>
          <w:rFonts w:ascii="Century Gothic" w:eastAsia="Century Gothic" w:hAnsi="Century Gothic"/>
          <w:color w:val="000000"/>
        </w:rPr>
        <w:t>ntly gained government, into resourcing and consulting with the profession regarding current ITE in-school experiences.</w:t>
      </w:r>
    </w:p>
    <w:p w14:paraId="53ABCDC2" w14:textId="77777777" w:rsidR="00A6771E" w:rsidRDefault="000C29E8">
      <w:pPr>
        <w:spacing w:before="119" w:line="270" w:lineRule="exact"/>
        <w:ind w:left="72" w:right="288"/>
        <w:textAlignment w:val="baseline"/>
        <w:rPr>
          <w:rFonts w:ascii="Century Gothic" w:eastAsia="Century Gothic" w:hAnsi="Century Gothic"/>
          <w:color w:val="000000"/>
        </w:rPr>
      </w:pPr>
      <w:r>
        <w:rPr>
          <w:rFonts w:ascii="Century Gothic" w:eastAsia="Century Gothic" w:hAnsi="Century Gothic"/>
          <w:color w:val="000000"/>
        </w:rPr>
        <w:t>Unfortunately, the experience of the IEUA over decades has seen a continued approach by governments and teacher education institutions to avoid their responsibilities to engage with the profession or provide the committed resources. This is having consider</w:t>
      </w:r>
      <w:r>
        <w:rPr>
          <w:rFonts w:ascii="Century Gothic" w:eastAsia="Century Gothic" w:hAnsi="Century Gothic"/>
          <w:color w:val="000000"/>
        </w:rPr>
        <w:t>able workload implications for classroom teachers facing an ever increasing, imposed, political agenda</w:t>
      </w:r>
    </w:p>
    <w:p w14:paraId="01016B2A" w14:textId="77777777" w:rsidR="00A6771E" w:rsidRDefault="000C29E8">
      <w:pPr>
        <w:spacing w:before="119" w:line="269" w:lineRule="exact"/>
        <w:ind w:left="72" w:right="144"/>
        <w:textAlignment w:val="baseline"/>
        <w:rPr>
          <w:rFonts w:ascii="Century Gothic" w:eastAsia="Century Gothic" w:hAnsi="Century Gothic"/>
          <w:color w:val="000000"/>
        </w:rPr>
      </w:pPr>
      <w:r>
        <w:rPr>
          <w:rFonts w:ascii="Century Gothic" w:eastAsia="Century Gothic" w:hAnsi="Century Gothic"/>
          <w:color w:val="000000"/>
        </w:rPr>
        <w:t>Quality initial teacher education cannot be supported in a situation where staff and schools are considerably time poor and struggling with inadequate re</w:t>
      </w:r>
      <w:r>
        <w:rPr>
          <w:rFonts w:ascii="Century Gothic" w:eastAsia="Century Gothic" w:hAnsi="Century Gothic"/>
          <w:color w:val="000000"/>
        </w:rPr>
        <w:t>sources.</w:t>
      </w:r>
    </w:p>
    <w:p w14:paraId="2E78DC03" w14:textId="77777777" w:rsidR="00A6771E" w:rsidRDefault="000C29E8">
      <w:pPr>
        <w:spacing w:before="118" w:line="271" w:lineRule="exact"/>
        <w:ind w:left="72" w:right="288"/>
        <w:textAlignment w:val="baseline"/>
        <w:rPr>
          <w:rFonts w:ascii="Century Gothic" w:eastAsia="Century Gothic" w:hAnsi="Century Gothic"/>
          <w:color w:val="000000"/>
        </w:rPr>
      </w:pPr>
      <w:r>
        <w:rPr>
          <w:rFonts w:ascii="Century Gothic" w:eastAsia="Century Gothic" w:hAnsi="Century Gothic"/>
          <w:color w:val="000000"/>
        </w:rPr>
        <w:t>The IEUA notes that the TEMAG reforms have brought about significant changes in the way ITE programs are accredited and that these reforms are still working their way into practice.</w:t>
      </w:r>
    </w:p>
    <w:p w14:paraId="6D9D29F1" w14:textId="77777777" w:rsidR="00A6771E" w:rsidRDefault="000C29E8">
      <w:pPr>
        <w:spacing w:before="120" w:line="269" w:lineRule="exact"/>
        <w:ind w:left="72" w:right="216"/>
        <w:textAlignment w:val="baseline"/>
        <w:rPr>
          <w:rFonts w:ascii="Century Gothic" w:eastAsia="Century Gothic" w:hAnsi="Century Gothic"/>
          <w:color w:val="000000"/>
          <w:spacing w:val="-2"/>
        </w:rPr>
      </w:pPr>
      <w:r>
        <w:rPr>
          <w:rFonts w:ascii="Century Gothic" w:eastAsia="Century Gothic" w:hAnsi="Century Gothic"/>
          <w:color w:val="000000"/>
          <w:spacing w:val="-2"/>
        </w:rPr>
        <w:t xml:space="preserve">The IEUA believes that now is not the time to </w:t>
      </w:r>
      <w:proofErr w:type="spellStart"/>
      <w:r>
        <w:rPr>
          <w:rFonts w:ascii="Century Gothic" w:eastAsia="Century Gothic" w:hAnsi="Century Gothic"/>
          <w:color w:val="000000"/>
          <w:spacing w:val="-2"/>
        </w:rPr>
        <w:t>destabilise</w:t>
      </w:r>
      <w:proofErr w:type="spellEnd"/>
      <w:r>
        <w:rPr>
          <w:rFonts w:ascii="Century Gothic" w:eastAsia="Century Gothic" w:hAnsi="Century Gothic"/>
          <w:color w:val="000000"/>
          <w:spacing w:val="-2"/>
        </w:rPr>
        <w:t xml:space="preserve"> ITE pro</w:t>
      </w:r>
      <w:r>
        <w:rPr>
          <w:rFonts w:ascii="Century Gothic" w:eastAsia="Century Gothic" w:hAnsi="Century Gothic"/>
          <w:color w:val="000000"/>
          <w:spacing w:val="-2"/>
        </w:rPr>
        <w:t>grams by introducing even more change. It would be far more beneficial to see governments provide additional resources to support and enhance existing structures.</w:t>
      </w:r>
    </w:p>
    <w:p w14:paraId="415EF980" w14:textId="77777777" w:rsidR="00A6771E" w:rsidRDefault="000C29E8">
      <w:pPr>
        <w:spacing w:before="134" w:after="568" w:line="263" w:lineRule="exact"/>
        <w:ind w:left="72"/>
        <w:textAlignment w:val="baseline"/>
        <w:rPr>
          <w:rFonts w:ascii="Century Gothic" w:eastAsia="Century Gothic" w:hAnsi="Century Gothic"/>
          <w:i/>
          <w:color w:val="000000"/>
          <w:spacing w:val="-2"/>
        </w:rPr>
      </w:pPr>
      <w:r>
        <w:rPr>
          <w:rFonts w:ascii="Century Gothic" w:eastAsia="Century Gothic" w:hAnsi="Century Gothic"/>
          <w:i/>
          <w:color w:val="000000"/>
          <w:spacing w:val="-2"/>
        </w:rPr>
        <w:t>End of submission</w:t>
      </w:r>
    </w:p>
    <w:p w14:paraId="739677CB" w14:textId="77777777" w:rsidR="00A6771E" w:rsidRDefault="000C29E8">
      <w:pPr>
        <w:spacing w:line="241" w:lineRule="exact"/>
        <w:ind w:left="72"/>
        <w:jc w:val="right"/>
        <w:textAlignment w:val="baseline"/>
        <w:rPr>
          <w:rFonts w:ascii="Tahoma" w:eastAsia="Tahoma" w:hAnsi="Tahoma"/>
          <w:i/>
          <w:color w:val="000000"/>
          <w:sz w:val="20"/>
        </w:rPr>
      </w:pPr>
      <w:r>
        <w:rPr>
          <w:rFonts w:ascii="Tahoma" w:eastAsia="Tahoma" w:hAnsi="Tahoma"/>
          <w:i/>
          <w:color w:val="000000"/>
          <w:sz w:val="20"/>
        </w:rPr>
        <w:t>10</w:t>
      </w:r>
    </w:p>
    <w:sectPr w:rsidR="00A6771E">
      <w:pgSz w:w="11909" w:h="16838"/>
      <w:pgMar w:top="1440" w:right="1397" w:bottom="622" w:left="13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4DA8D" w14:textId="77777777" w:rsidR="00000000" w:rsidRDefault="000C29E8">
      <w:r>
        <w:separator/>
      </w:r>
    </w:p>
  </w:endnote>
  <w:endnote w:type="continuationSeparator" w:id="0">
    <w:p w14:paraId="69780BE2" w14:textId="77777777" w:rsidR="00000000" w:rsidRDefault="000C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entury Gothic">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426C0" w14:textId="77777777" w:rsidR="00B87BB1" w:rsidRDefault="00B87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F7E7B" w14:textId="77777777" w:rsidR="00B87BB1" w:rsidRDefault="00B87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54A8" w14:textId="77777777" w:rsidR="00B87BB1" w:rsidRDefault="00B8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BD601" w14:textId="77777777" w:rsidR="00A6771E" w:rsidRDefault="00A6771E"/>
  </w:footnote>
  <w:footnote w:type="continuationSeparator" w:id="0">
    <w:p w14:paraId="31363B11" w14:textId="77777777" w:rsidR="00A6771E" w:rsidRDefault="000C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9CD9" w14:textId="77777777" w:rsidR="00B87BB1" w:rsidRDefault="00B87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297E" w14:textId="77777777" w:rsidR="00B87BB1" w:rsidRDefault="00B87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E7A9" w14:textId="77777777" w:rsidR="00B87BB1" w:rsidRDefault="00B87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978"/>
    <w:multiLevelType w:val="multilevel"/>
    <w:tmpl w:val="CFB62A4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628DB"/>
    <w:multiLevelType w:val="multilevel"/>
    <w:tmpl w:val="0CD21A48"/>
    <w:lvl w:ilvl="0">
      <w:numFmt w:val="bullet"/>
      <w:lvlText w:val="·"/>
      <w:lvlJc w:val="left"/>
      <w:pPr>
        <w:tabs>
          <w:tab w:val="left" w:pos="432"/>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5222E"/>
    <w:multiLevelType w:val="multilevel"/>
    <w:tmpl w:val="056C7CCE"/>
    <w:lvl w:ilvl="0">
      <w:start w:val="1"/>
      <w:numFmt w:val="lowerLetter"/>
      <w:lvlText w:val="%1."/>
      <w:lvlJc w:val="left"/>
      <w:pPr>
        <w:tabs>
          <w:tab w:val="left" w:pos="288"/>
        </w:tabs>
      </w:pPr>
      <w:rPr>
        <w:rFonts w:ascii="Century Gothic" w:eastAsia="Century Gothic" w:hAnsi="Century Gothic"/>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AE3940"/>
    <w:multiLevelType w:val="multilevel"/>
    <w:tmpl w:val="0DE42442"/>
    <w:lvl w:ilvl="0">
      <w:start w:val="3"/>
      <w:numFmt w:val="decimal"/>
      <w:lvlText w:val="%1."/>
      <w:lvlJc w:val="left"/>
      <w:pPr>
        <w:tabs>
          <w:tab w:val="left" w:pos="432"/>
        </w:tabs>
      </w:pPr>
      <w:rPr>
        <w:rFonts w:ascii="Century Gothic" w:eastAsia="Century Gothic" w:hAnsi="Century Gothic"/>
        <w:b/>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E96C3C"/>
    <w:multiLevelType w:val="multilevel"/>
    <w:tmpl w:val="F384C084"/>
    <w:lvl w:ilvl="0">
      <w:start w:val="7"/>
      <w:numFmt w:val="decimal"/>
      <w:lvlText w:val="%1."/>
      <w:lvlJc w:val="left"/>
      <w:pPr>
        <w:tabs>
          <w:tab w:val="left" w:pos="360"/>
        </w:tabs>
      </w:pPr>
      <w:rPr>
        <w:rFonts w:ascii="Century Gothic" w:eastAsia="Century Gothic" w:hAnsi="Century Gothic"/>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51FA9"/>
    <w:multiLevelType w:val="multilevel"/>
    <w:tmpl w:val="ADC60752"/>
    <w:lvl w:ilvl="0">
      <w:start w:val="6"/>
      <w:numFmt w:val="decimal"/>
      <w:lvlText w:val="%1."/>
      <w:lvlJc w:val="left"/>
      <w:pPr>
        <w:tabs>
          <w:tab w:val="left" w:pos="360"/>
        </w:tabs>
      </w:pPr>
      <w:rPr>
        <w:rFonts w:ascii="Century Gothic" w:eastAsia="Century Gothic" w:hAnsi="Century Gothic"/>
        <w:b/>
        <w: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47CE8"/>
    <w:multiLevelType w:val="multilevel"/>
    <w:tmpl w:val="6D82AECC"/>
    <w:lvl w:ilvl="0">
      <w:start w:val="1"/>
      <w:numFmt w:val="lowerLetter"/>
      <w:lvlText w:val="%1."/>
      <w:lvlJc w:val="left"/>
      <w:pPr>
        <w:tabs>
          <w:tab w:val="left" w:pos="288"/>
        </w:tabs>
      </w:pPr>
      <w:rPr>
        <w:rFonts w:ascii="Century Gothic" w:eastAsia="Century Gothic" w:hAnsi="Century Gothic"/>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1E"/>
    <w:rsid w:val="000C29E8"/>
    <w:rsid w:val="00A6771E"/>
    <w:rsid w:val="00B87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444C"/>
  <w15:docId w15:val="{C36E17DF-666C-4FF7-9136-9B8D7D1A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BB1"/>
    <w:pPr>
      <w:tabs>
        <w:tab w:val="center" w:pos="4513"/>
        <w:tab w:val="right" w:pos="9026"/>
      </w:tabs>
    </w:pPr>
  </w:style>
  <w:style w:type="character" w:customStyle="1" w:styleId="HeaderChar">
    <w:name w:val="Header Char"/>
    <w:basedOn w:val="DefaultParagraphFont"/>
    <w:link w:val="Header"/>
    <w:uiPriority w:val="99"/>
    <w:rsid w:val="00B87BB1"/>
  </w:style>
  <w:style w:type="paragraph" w:styleId="Footer">
    <w:name w:val="footer"/>
    <w:basedOn w:val="Normal"/>
    <w:link w:val="FooterChar"/>
    <w:uiPriority w:val="99"/>
    <w:unhideWhenUsed/>
    <w:rsid w:val="00B87BB1"/>
    <w:pPr>
      <w:tabs>
        <w:tab w:val="center" w:pos="4513"/>
        <w:tab w:val="right" w:pos="9026"/>
      </w:tabs>
    </w:pPr>
  </w:style>
  <w:style w:type="character" w:customStyle="1" w:styleId="FooterChar">
    <w:name w:val="Footer Char"/>
    <w:basedOn w:val="DefaultParagraphFont"/>
    <w:link w:val="Footer"/>
    <w:uiPriority w:val="99"/>
    <w:rsid w:val="00B8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qitereview.dese.gov.au/get-involved/" TargetMode="External"/><Relationship Id="rId13" Type="http://schemas.openxmlformats.org/officeDocument/2006/relationships/footer" Target="footer1.xml"/><Relationship Id="rId18" Type="http://schemas.openxmlformats.org/officeDocument/2006/relationships/hyperlink" Target="http://www.heraldsun.com.au/news/opinion/teaching-should-not-be-a-last-resort-as-a-career-choice/story-fni0fhh1-1226890573359" TargetMode="External"/><Relationship Id="rId3" Type="http://schemas.openxmlformats.org/officeDocument/2006/relationships/settings" Target="settings.xml"/><Relationship Id="rId21" Type="http://schemas.openxmlformats.org/officeDocument/2006/relationships/hyperlink" Target="http://www.rilc.uts.edu.au/pdfs/Beginning_Teacher_Retention_Report.pdf" TargetMode="Externa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rilc.uts.edu.au/pdfs/Beginning_Teacher_Retention_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pc.gov.au/projects/study/education-workforce/schools/report" TargetMode="External"/><Relationship Id="rId10" Type="http://schemas.openxmlformats.org/officeDocument/2006/relationships/hyperlink" Target="mailto:ITEReview@dese.gov.au" TargetMode="External"/><Relationship Id="rId19" Type="http://schemas.openxmlformats.org/officeDocument/2006/relationships/hyperlink" Target="http://www.oecd.org/education/school/attractingdevelopingandretainingeffectiveteachers-finalreportteachersmatter.htm" TargetMode="External"/><Relationship Id="rId4" Type="http://schemas.openxmlformats.org/officeDocument/2006/relationships/webSettings" Target="webSettings.xml"/><Relationship Id="rId9" Type="http://schemas.openxmlformats.org/officeDocument/2006/relationships/hyperlink" Target="https://qitereview.dese.gov.au/get-involved/" TargetMode="External"/><Relationship Id="rId14" Type="http://schemas.openxmlformats.org/officeDocument/2006/relationships/footer" Target="footer2.xml"/><Relationship Id="rId22" Type="http://schemas.openxmlformats.org/officeDocument/2006/relationships/hyperlink" Target="http://www.rilc.uts.edu.au/pdfs/Beginning_Teacher_Retention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4019</Words>
  <Characters>22914</Characters>
  <Application>Microsoft Office Word</Application>
  <DocSecurity>0</DocSecurity>
  <Lines>190</Lines>
  <Paragraphs>53</Paragraphs>
  <ScaleCrop>false</ScaleCrop>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Cooper</dc:creator>
  <cp:lastModifiedBy>MEGEID,Sheryn</cp:lastModifiedBy>
  <cp:revision>3</cp:revision>
  <cp:lastPrinted>2022-03-04T00:06:00Z</cp:lastPrinted>
  <dcterms:created xsi:type="dcterms:W3CDTF">2021-10-05T03:21:00Z</dcterms:created>
  <dcterms:modified xsi:type="dcterms:W3CDTF">2022-03-04T00:06:00Z</dcterms:modified>
</cp:coreProperties>
</file>