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851B1" w14:textId="7E41B51B" w:rsidR="00A71325" w:rsidRDefault="00A71325" w:rsidP="00A71325">
      <w:pPr>
        <w:spacing w:before="240"/>
        <w:rPr>
          <w:sz w:val="28"/>
          <w:szCs w:val="28"/>
        </w:rPr>
      </w:pPr>
      <w:r>
        <w:rPr>
          <w:sz w:val="28"/>
          <w:szCs w:val="28"/>
        </w:rPr>
        <w:t xml:space="preserve">July </w:t>
      </w:r>
      <w:proofErr w:type="gramStart"/>
      <w:r>
        <w:rPr>
          <w:sz w:val="28"/>
          <w:szCs w:val="28"/>
        </w:rPr>
        <w:t>18</w:t>
      </w:r>
      <w:proofErr w:type="gramEnd"/>
      <w:r>
        <w:rPr>
          <w:sz w:val="28"/>
          <w:szCs w:val="28"/>
        </w:rPr>
        <w:t xml:space="preserve"> 2021</w:t>
      </w:r>
      <w:r w:rsidR="00993DFB">
        <w:rPr>
          <w:sz w:val="28"/>
          <w:szCs w:val="28"/>
        </w:rPr>
        <w:tab/>
      </w:r>
      <w:r w:rsidR="00993DFB">
        <w:rPr>
          <w:sz w:val="28"/>
          <w:szCs w:val="28"/>
        </w:rPr>
        <w:tab/>
      </w:r>
      <w:r w:rsidR="00993DFB">
        <w:rPr>
          <w:sz w:val="28"/>
          <w:szCs w:val="28"/>
        </w:rPr>
        <w:tab/>
      </w:r>
      <w:r w:rsidR="00993DFB">
        <w:rPr>
          <w:sz w:val="28"/>
          <w:szCs w:val="28"/>
        </w:rPr>
        <w:tab/>
      </w:r>
      <w:r w:rsidR="00993DFB">
        <w:rPr>
          <w:sz w:val="28"/>
          <w:szCs w:val="28"/>
        </w:rPr>
        <w:tab/>
      </w:r>
      <w:r w:rsidR="00993DFB">
        <w:rPr>
          <w:sz w:val="28"/>
          <w:szCs w:val="28"/>
        </w:rPr>
        <w:tab/>
      </w:r>
      <w:r w:rsidR="00993DFB">
        <w:rPr>
          <w:sz w:val="28"/>
          <w:szCs w:val="28"/>
        </w:rPr>
        <w:tab/>
      </w:r>
      <w:r w:rsidR="00993DFB">
        <w:rPr>
          <w:sz w:val="28"/>
          <w:szCs w:val="28"/>
        </w:rPr>
        <w:tab/>
      </w:r>
      <w:r w:rsidR="00993DFB">
        <w:rPr>
          <w:sz w:val="28"/>
          <w:szCs w:val="28"/>
        </w:rPr>
        <w:tab/>
      </w:r>
    </w:p>
    <w:p w14:paraId="5F734B2A" w14:textId="77777777" w:rsidR="00A71325" w:rsidRDefault="00A71325" w:rsidP="00A71325">
      <w:pPr>
        <w:spacing w:before="240"/>
        <w:rPr>
          <w:sz w:val="28"/>
          <w:szCs w:val="28"/>
        </w:rPr>
      </w:pPr>
    </w:p>
    <w:p w14:paraId="43B8E393" w14:textId="46DD52F1" w:rsidR="00A71325" w:rsidRPr="00C00B49" w:rsidRDefault="00A71325" w:rsidP="00C00B49">
      <w:pPr>
        <w:pStyle w:val="NoSpacing"/>
        <w:rPr>
          <w:sz w:val="24"/>
          <w:szCs w:val="24"/>
        </w:rPr>
      </w:pPr>
      <w:r w:rsidRPr="00C00B49">
        <w:rPr>
          <w:sz w:val="24"/>
          <w:szCs w:val="24"/>
        </w:rPr>
        <w:t>The Hon Minister for Education and Youth</w:t>
      </w:r>
    </w:p>
    <w:p w14:paraId="0EB343D7" w14:textId="1FAEB6DF" w:rsidR="00A71325" w:rsidRPr="00C00B49" w:rsidRDefault="00A71325" w:rsidP="00C00B49">
      <w:pPr>
        <w:pStyle w:val="NoSpacing"/>
        <w:rPr>
          <w:sz w:val="24"/>
          <w:szCs w:val="24"/>
        </w:rPr>
      </w:pPr>
      <w:r w:rsidRPr="00C00B49">
        <w:rPr>
          <w:sz w:val="24"/>
          <w:szCs w:val="24"/>
        </w:rPr>
        <w:t>Mr Alan Tudge MP</w:t>
      </w:r>
    </w:p>
    <w:p w14:paraId="3AF36D60" w14:textId="713FF134" w:rsidR="009F6470" w:rsidRPr="00C00B49" w:rsidRDefault="00A71325" w:rsidP="00C00B49">
      <w:pPr>
        <w:pStyle w:val="NoSpacing"/>
        <w:rPr>
          <w:sz w:val="24"/>
          <w:szCs w:val="24"/>
        </w:rPr>
      </w:pPr>
      <w:r w:rsidRPr="00C00B49">
        <w:rPr>
          <w:sz w:val="24"/>
          <w:szCs w:val="24"/>
        </w:rPr>
        <w:t>Parliament House</w:t>
      </w:r>
    </w:p>
    <w:p w14:paraId="3449B020" w14:textId="3D154BF4" w:rsidR="00A71325" w:rsidRPr="00A71325" w:rsidRDefault="00A71325" w:rsidP="00C00B49">
      <w:pPr>
        <w:pStyle w:val="NoSpacing"/>
      </w:pPr>
      <w:r w:rsidRPr="00C00B49">
        <w:rPr>
          <w:sz w:val="24"/>
          <w:szCs w:val="24"/>
        </w:rPr>
        <w:t>Canberra</w:t>
      </w:r>
    </w:p>
    <w:p w14:paraId="771E53A9" w14:textId="77777777" w:rsidR="00A71325" w:rsidRDefault="00A71325" w:rsidP="00A71325">
      <w:pPr>
        <w:pStyle w:val="NoSpacing"/>
        <w:spacing w:before="240"/>
        <w:rPr>
          <w:sz w:val="24"/>
          <w:szCs w:val="24"/>
        </w:rPr>
      </w:pPr>
    </w:p>
    <w:p w14:paraId="0089251F" w14:textId="2776CBE1" w:rsidR="00A71325" w:rsidRDefault="00A71325" w:rsidP="00A71325">
      <w:pPr>
        <w:pStyle w:val="NoSpacing"/>
        <w:spacing w:before="240"/>
        <w:rPr>
          <w:sz w:val="24"/>
          <w:szCs w:val="24"/>
        </w:rPr>
      </w:pPr>
      <w:r w:rsidRPr="00A71325">
        <w:rPr>
          <w:sz w:val="24"/>
          <w:szCs w:val="24"/>
        </w:rPr>
        <w:t xml:space="preserve">Dear </w:t>
      </w:r>
      <w:proofErr w:type="gramStart"/>
      <w:r w:rsidRPr="00A71325">
        <w:rPr>
          <w:sz w:val="24"/>
          <w:szCs w:val="24"/>
        </w:rPr>
        <w:t>M</w:t>
      </w:r>
      <w:r w:rsidR="009E5BCB">
        <w:rPr>
          <w:sz w:val="24"/>
          <w:szCs w:val="24"/>
        </w:rPr>
        <w:t>inister</w:t>
      </w:r>
      <w:proofErr w:type="gramEnd"/>
      <w:r w:rsidRPr="00A71325">
        <w:rPr>
          <w:sz w:val="24"/>
          <w:szCs w:val="24"/>
        </w:rPr>
        <w:t xml:space="preserve"> Tudge</w:t>
      </w:r>
      <w:r w:rsidR="009E5BCB">
        <w:rPr>
          <w:sz w:val="24"/>
          <w:szCs w:val="24"/>
        </w:rPr>
        <w:t>,</w:t>
      </w:r>
    </w:p>
    <w:p w14:paraId="4B5CBFA2" w14:textId="57DDA331" w:rsidR="00A71325" w:rsidRDefault="00A71325" w:rsidP="00A71325">
      <w:pPr>
        <w:pStyle w:val="NoSpacing"/>
        <w:spacing w:before="240"/>
        <w:rPr>
          <w:sz w:val="24"/>
          <w:szCs w:val="24"/>
        </w:rPr>
      </w:pPr>
      <w:r>
        <w:rPr>
          <w:sz w:val="24"/>
          <w:szCs w:val="24"/>
        </w:rPr>
        <w:t xml:space="preserve">Thanks to you and your Department for a very comprehensive Discussion Paper in preparation for the Initial Teacher Education Review. As a teacher educator of forty years, having been employed across </w:t>
      </w:r>
      <w:r w:rsidR="00C00B49">
        <w:rPr>
          <w:sz w:val="24"/>
          <w:szCs w:val="24"/>
        </w:rPr>
        <w:t>several</w:t>
      </w:r>
      <w:r>
        <w:rPr>
          <w:sz w:val="24"/>
          <w:szCs w:val="24"/>
        </w:rPr>
        <w:t xml:space="preserve"> jurisdictions, and as the immediate past president of the Australian Council of Deans of Education, and a past President of the Australian Teacher Educators Association,</w:t>
      </w:r>
      <w:r w:rsidR="004E4855">
        <w:rPr>
          <w:sz w:val="24"/>
          <w:szCs w:val="24"/>
        </w:rPr>
        <w:t xml:space="preserve"> could I offer three propositions for your consideration please?</w:t>
      </w:r>
    </w:p>
    <w:p w14:paraId="394CCA8D" w14:textId="389C8E47" w:rsidR="004E4855" w:rsidRDefault="004E4855" w:rsidP="00A71325">
      <w:pPr>
        <w:pStyle w:val="NoSpacing"/>
        <w:spacing w:before="240"/>
        <w:rPr>
          <w:sz w:val="24"/>
          <w:szCs w:val="24"/>
        </w:rPr>
      </w:pPr>
      <w:r w:rsidRPr="004B11FF">
        <w:rPr>
          <w:b/>
          <w:sz w:val="24"/>
          <w:szCs w:val="24"/>
        </w:rPr>
        <w:t>Firstly</w:t>
      </w:r>
      <w:r w:rsidR="00C00B49">
        <w:rPr>
          <w:b/>
          <w:sz w:val="24"/>
          <w:szCs w:val="24"/>
        </w:rPr>
        <w:t>,</w:t>
      </w:r>
      <w:r w:rsidRPr="004B11FF">
        <w:rPr>
          <w:b/>
          <w:sz w:val="24"/>
          <w:szCs w:val="24"/>
        </w:rPr>
        <w:t xml:space="preserve"> an affirmation</w:t>
      </w:r>
      <w:r>
        <w:rPr>
          <w:sz w:val="24"/>
          <w:szCs w:val="24"/>
        </w:rPr>
        <w:t xml:space="preserve">: The introduction of the TPA has seen one of the strongest innovations in Teacher Education in Australia. Its success has been clearly demonstrated through the research conducted by the two largest consortiums GTPA and </w:t>
      </w:r>
      <w:proofErr w:type="spellStart"/>
      <w:r>
        <w:rPr>
          <w:sz w:val="24"/>
          <w:szCs w:val="24"/>
        </w:rPr>
        <w:t>AfGT</w:t>
      </w:r>
      <w:proofErr w:type="spellEnd"/>
      <w:r>
        <w:rPr>
          <w:sz w:val="24"/>
          <w:szCs w:val="24"/>
        </w:rPr>
        <w:t>. The consolidation of the TPA</w:t>
      </w:r>
      <w:r w:rsidR="00C00B49">
        <w:rPr>
          <w:sz w:val="24"/>
          <w:szCs w:val="24"/>
        </w:rPr>
        <w:t>s</w:t>
      </w:r>
      <w:r>
        <w:rPr>
          <w:sz w:val="24"/>
          <w:szCs w:val="24"/>
        </w:rPr>
        <w:t xml:space="preserve"> across Australia has promoted public confidence in teacher graduates and heightened the quality if ITE programs around Australia. </w:t>
      </w:r>
    </w:p>
    <w:p w14:paraId="599F602B" w14:textId="6692FB54" w:rsidR="004E4855" w:rsidRDefault="004E4855" w:rsidP="00A71325">
      <w:pPr>
        <w:pStyle w:val="NoSpacing"/>
        <w:spacing w:before="240"/>
        <w:rPr>
          <w:sz w:val="24"/>
          <w:szCs w:val="24"/>
        </w:rPr>
      </w:pPr>
      <w:r w:rsidRPr="000C43FC">
        <w:rPr>
          <w:b/>
          <w:sz w:val="24"/>
          <w:szCs w:val="24"/>
        </w:rPr>
        <w:t>Secondly a recommendation to focus on entry:</w:t>
      </w:r>
      <w:r>
        <w:rPr>
          <w:sz w:val="24"/>
          <w:szCs w:val="24"/>
        </w:rPr>
        <w:t xml:space="preserve"> </w:t>
      </w:r>
      <w:r w:rsidR="00503BBA">
        <w:rPr>
          <w:sz w:val="24"/>
          <w:szCs w:val="24"/>
        </w:rPr>
        <w:t xml:space="preserve">The Deans of Education asked government to shift the focus away from </w:t>
      </w:r>
      <w:r w:rsidR="000C43FC">
        <w:rPr>
          <w:sz w:val="24"/>
          <w:szCs w:val="24"/>
        </w:rPr>
        <w:t>admis</w:t>
      </w:r>
      <w:r w:rsidR="00C00B49">
        <w:rPr>
          <w:sz w:val="24"/>
          <w:szCs w:val="24"/>
        </w:rPr>
        <w:t>s</w:t>
      </w:r>
      <w:r w:rsidR="000C43FC">
        <w:rPr>
          <w:sz w:val="24"/>
          <w:szCs w:val="24"/>
        </w:rPr>
        <w:t>ion</w:t>
      </w:r>
      <w:r w:rsidR="00503BBA">
        <w:rPr>
          <w:sz w:val="24"/>
          <w:szCs w:val="24"/>
        </w:rPr>
        <w:t xml:space="preserve"> into ITE and highlight the quality of graduates on exit. Now that this has been achieved through the TPA</w:t>
      </w:r>
      <w:r w:rsidR="00C00B49">
        <w:rPr>
          <w:sz w:val="24"/>
          <w:szCs w:val="24"/>
        </w:rPr>
        <w:t>s</w:t>
      </w:r>
      <w:r w:rsidR="00503BBA">
        <w:rPr>
          <w:sz w:val="24"/>
          <w:szCs w:val="24"/>
        </w:rPr>
        <w:t xml:space="preserve">, it is timely to focus on a strategic, rigorous and transparent approach to selection into teacher preparation programs. </w:t>
      </w:r>
    </w:p>
    <w:p w14:paraId="0E763F0B" w14:textId="7B348874" w:rsidR="00503BBA" w:rsidRDefault="00503BBA" w:rsidP="00A71325">
      <w:pPr>
        <w:pStyle w:val="NoSpacing"/>
        <w:spacing w:before="240"/>
        <w:rPr>
          <w:sz w:val="24"/>
          <w:szCs w:val="24"/>
        </w:rPr>
      </w:pPr>
      <w:r>
        <w:rPr>
          <w:sz w:val="24"/>
          <w:szCs w:val="24"/>
        </w:rPr>
        <w:t xml:space="preserve">Selection into </w:t>
      </w:r>
      <w:r w:rsidR="000C43FC">
        <w:rPr>
          <w:sz w:val="24"/>
          <w:szCs w:val="24"/>
        </w:rPr>
        <w:t>the profession,</w:t>
      </w:r>
      <w:r>
        <w:rPr>
          <w:sz w:val="24"/>
          <w:szCs w:val="24"/>
        </w:rPr>
        <w:t xml:space="preserve"> by the profession</w:t>
      </w:r>
      <w:r w:rsidR="000C43FC">
        <w:rPr>
          <w:sz w:val="24"/>
          <w:szCs w:val="24"/>
        </w:rPr>
        <w:t>,</w:t>
      </w:r>
      <w:r>
        <w:rPr>
          <w:sz w:val="24"/>
          <w:szCs w:val="24"/>
        </w:rPr>
        <w:t xml:space="preserve"> could be initiated and </w:t>
      </w:r>
      <w:r w:rsidR="00C00B49">
        <w:rPr>
          <w:sz w:val="24"/>
          <w:szCs w:val="24"/>
        </w:rPr>
        <w:t>governed through</w:t>
      </w:r>
      <w:r>
        <w:rPr>
          <w:sz w:val="24"/>
          <w:szCs w:val="24"/>
        </w:rPr>
        <w:t xml:space="preserve"> a process of selection </w:t>
      </w:r>
      <w:r w:rsidR="00C00B49">
        <w:rPr>
          <w:sz w:val="24"/>
          <w:szCs w:val="24"/>
        </w:rPr>
        <w:t>like that of</w:t>
      </w:r>
      <w:r>
        <w:rPr>
          <w:sz w:val="24"/>
          <w:szCs w:val="24"/>
        </w:rPr>
        <w:t xml:space="preserve"> the medical profession</w:t>
      </w:r>
      <w:r w:rsidR="000C43FC">
        <w:rPr>
          <w:sz w:val="24"/>
          <w:szCs w:val="24"/>
        </w:rPr>
        <w:t>:</w:t>
      </w:r>
      <w:r>
        <w:rPr>
          <w:sz w:val="24"/>
          <w:szCs w:val="24"/>
        </w:rPr>
        <w:t xml:space="preserve">  the development of a selection procedure </w:t>
      </w:r>
      <w:proofErr w:type="gramStart"/>
      <w:r>
        <w:rPr>
          <w:sz w:val="24"/>
          <w:szCs w:val="24"/>
        </w:rPr>
        <w:t>similar to</w:t>
      </w:r>
      <w:proofErr w:type="gramEnd"/>
      <w:r>
        <w:rPr>
          <w:sz w:val="24"/>
          <w:szCs w:val="24"/>
        </w:rPr>
        <w:t xml:space="preserve"> GAMSAT. The process need not necessarily be restricted to graduates as is the case in the medical profession but could include </w:t>
      </w:r>
      <w:r w:rsidR="000C43FC">
        <w:rPr>
          <w:sz w:val="24"/>
          <w:szCs w:val="24"/>
        </w:rPr>
        <w:t>anyone,</w:t>
      </w:r>
      <w:r>
        <w:rPr>
          <w:sz w:val="24"/>
          <w:szCs w:val="24"/>
        </w:rPr>
        <w:t xml:space="preserve"> including school leavers who has an aspiration to enter a teacher preparation p</w:t>
      </w:r>
      <w:r w:rsidR="00C00B49">
        <w:rPr>
          <w:sz w:val="24"/>
          <w:szCs w:val="24"/>
        </w:rPr>
        <w:t>r</w:t>
      </w:r>
      <w:r>
        <w:rPr>
          <w:sz w:val="24"/>
          <w:szCs w:val="24"/>
        </w:rPr>
        <w:t>ogram – graduate or undergraduate. The process could be designed</w:t>
      </w:r>
      <w:r w:rsidR="00C00B49">
        <w:rPr>
          <w:sz w:val="24"/>
          <w:szCs w:val="24"/>
        </w:rPr>
        <w:t>,</w:t>
      </w:r>
      <w:r>
        <w:rPr>
          <w:sz w:val="24"/>
          <w:szCs w:val="24"/>
        </w:rPr>
        <w:t xml:space="preserve"> implemented and governed by a Board </w:t>
      </w:r>
      <w:r w:rsidR="000C43FC">
        <w:rPr>
          <w:sz w:val="24"/>
          <w:szCs w:val="24"/>
        </w:rPr>
        <w:t>r</w:t>
      </w:r>
      <w:r>
        <w:rPr>
          <w:sz w:val="24"/>
          <w:szCs w:val="24"/>
        </w:rPr>
        <w:t xml:space="preserve">epresentative of teacher educators, teachers and government. </w:t>
      </w:r>
      <w:r w:rsidR="000C43FC">
        <w:rPr>
          <w:sz w:val="24"/>
          <w:szCs w:val="24"/>
        </w:rPr>
        <w:t>Some principles to consider include:</w:t>
      </w:r>
    </w:p>
    <w:p w14:paraId="23FA1F0A" w14:textId="2963B1D8" w:rsidR="000C43FC" w:rsidRDefault="000C43FC" w:rsidP="00A71325">
      <w:pPr>
        <w:pStyle w:val="NoSpacing"/>
        <w:spacing w:before="240"/>
        <w:rPr>
          <w:sz w:val="24"/>
          <w:szCs w:val="24"/>
        </w:rPr>
      </w:pPr>
      <w:r>
        <w:rPr>
          <w:sz w:val="24"/>
          <w:szCs w:val="24"/>
        </w:rPr>
        <w:tab/>
        <w:t>(</w:t>
      </w:r>
      <w:proofErr w:type="spellStart"/>
      <w:r>
        <w:rPr>
          <w:sz w:val="24"/>
          <w:szCs w:val="24"/>
        </w:rPr>
        <w:t>i</w:t>
      </w:r>
      <w:proofErr w:type="spellEnd"/>
      <w:r>
        <w:rPr>
          <w:sz w:val="24"/>
          <w:szCs w:val="24"/>
        </w:rPr>
        <w:t xml:space="preserve">)The purpose is to assess the prerequisite knowledge, capacities and dispositions of potential entrants in an equitable, consistent and transparent manner nationally prior to </w:t>
      </w:r>
      <w:proofErr w:type="gramStart"/>
      <w:r>
        <w:rPr>
          <w:sz w:val="24"/>
          <w:szCs w:val="24"/>
        </w:rPr>
        <w:t>entry ;</w:t>
      </w:r>
      <w:proofErr w:type="gramEnd"/>
    </w:p>
    <w:p w14:paraId="1FC27FBA" w14:textId="47F39977" w:rsidR="000C43FC" w:rsidRDefault="000C43FC" w:rsidP="00A71325">
      <w:pPr>
        <w:pStyle w:val="NoSpacing"/>
        <w:spacing w:before="240"/>
        <w:rPr>
          <w:sz w:val="24"/>
          <w:szCs w:val="24"/>
        </w:rPr>
      </w:pPr>
      <w:r>
        <w:rPr>
          <w:sz w:val="24"/>
          <w:szCs w:val="24"/>
        </w:rPr>
        <w:tab/>
        <w:t xml:space="preserve">(ii) Applicants can adequately prepare for the assessments through practice assessments, short courses, or further study so that they </w:t>
      </w:r>
      <w:r w:rsidR="00C00B49">
        <w:rPr>
          <w:sz w:val="24"/>
          <w:szCs w:val="24"/>
        </w:rPr>
        <w:t>a</w:t>
      </w:r>
      <w:r>
        <w:rPr>
          <w:sz w:val="24"/>
          <w:szCs w:val="24"/>
        </w:rPr>
        <w:t>re adequately prepared to meet the expectations</w:t>
      </w:r>
      <w:r w:rsidR="00C00B49">
        <w:rPr>
          <w:sz w:val="24"/>
          <w:szCs w:val="24"/>
        </w:rPr>
        <w:t xml:space="preserve"> inherent in becoming a graduate teacher</w:t>
      </w:r>
      <w:r>
        <w:rPr>
          <w:sz w:val="24"/>
          <w:szCs w:val="24"/>
        </w:rPr>
        <w:t xml:space="preserve">; </w:t>
      </w:r>
    </w:p>
    <w:p w14:paraId="77D41DA4" w14:textId="61281934" w:rsidR="000C43FC" w:rsidRDefault="000C43FC" w:rsidP="00A71325">
      <w:pPr>
        <w:pStyle w:val="NoSpacing"/>
        <w:spacing w:before="240"/>
        <w:rPr>
          <w:sz w:val="24"/>
          <w:szCs w:val="24"/>
        </w:rPr>
      </w:pPr>
      <w:r>
        <w:rPr>
          <w:sz w:val="24"/>
          <w:szCs w:val="24"/>
        </w:rPr>
        <w:tab/>
        <w:t xml:space="preserve">(iii) The assessment/s can be prepared and validated by the profession based on </w:t>
      </w:r>
      <w:r w:rsidR="00C00B49">
        <w:rPr>
          <w:sz w:val="24"/>
          <w:szCs w:val="24"/>
        </w:rPr>
        <w:t xml:space="preserve">research </w:t>
      </w:r>
      <w:r>
        <w:rPr>
          <w:sz w:val="24"/>
          <w:szCs w:val="24"/>
        </w:rPr>
        <w:t>evidence of what knowledg</w:t>
      </w:r>
      <w:r w:rsidR="003E4238">
        <w:rPr>
          <w:sz w:val="24"/>
          <w:szCs w:val="24"/>
        </w:rPr>
        <w:t>e</w:t>
      </w:r>
      <w:r>
        <w:rPr>
          <w:sz w:val="24"/>
          <w:szCs w:val="24"/>
        </w:rPr>
        <w:t>, capacities and dispositions are de</w:t>
      </w:r>
      <w:r w:rsidR="003E4238">
        <w:rPr>
          <w:sz w:val="24"/>
          <w:szCs w:val="24"/>
        </w:rPr>
        <w:t>sirable</w:t>
      </w:r>
      <w:r>
        <w:rPr>
          <w:sz w:val="24"/>
          <w:szCs w:val="24"/>
        </w:rPr>
        <w:t xml:space="preserve"> for entry </w:t>
      </w:r>
      <w:r>
        <w:rPr>
          <w:sz w:val="24"/>
          <w:szCs w:val="24"/>
        </w:rPr>
        <w:lastRenderedPageBreak/>
        <w:t>into the profession of teaching</w:t>
      </w:r>
      <w:r w:rsidR="00C00B49">
        <w:rPr>
          <w:sz w:val="24"/>
          <w:szCs w:val="24"/>
        </w:rPr>
        <w:t xml:space="preserve"> </w:t>
      </w:r>
      <w:r w:rsidR="003E4238">
        <w:rPr>
          <w:sz w:val="24"/>
          <w:szCs w:val="24"/>
        </w:rPr>
        <w:t>- this would shape the structure and the content of the assessments</w:t>
      </w:r>
      <w:r>
        <w:rPr>
          <w:sz w:val="24"/>
          <w:szCs w:val="24"/>
        </w:rPr>
        <w:t xml:space="preserve">; </w:t>
      </w:r>
    </w:p>
    <w:p w14:paraId="5859217A" w14:textId="4F2BC91B" w:rsidR="003E4238" w:rsidRDefault="003E4238" w:rsidP="00A71325">
      <w:pPr>
        <w:pStyle w:val="NoSpacing"/>
        <w:spacing w:before="240"/>
        <w:rPr>
          <w:sz w:val="24"/>
          <w:szCs w:val="24"/>
        </w:rPr>
      </w:pPr>
      <w:r>
        <w:rPr>
          <w:sz w:val="24"/>
          <w:szCs w:val="24"/>
        </w:rPr>
        <w:tab/>
        <w:t xml:space="preserve">(iv) The assessments </w:t>
      </w:r>
      <w:r w:rsidR="00C00B49">
        <w:rPr>
          <w:sz w:val="24"/>
          <w:szCs w:val="24"/>
        </w:rPr>
        <w:t xml:space="preserve">could </w:t>
      </w:r>
      <w:r>
        <w:rPr>
          <w:sz w:val="24"/>
          <w:szCs w:val="24"/>
        </w:rPr>
        <w:t xml:space="preserve">be conducted through a blended approach supported by trained assessors from within the professions of teacher education and teaching across the national – in capital cities, and in regional and rural areas. </w:t>
      </w:r>
    </w:p>
    <w:p w14:paraId="0CC1467E" w14:textId="5ED84C96" w:rsidR="003E4238" w:rsidRDefault="003E4238" w:rsidP="00A71325">
      <w:pPr>
        <w:pStyle w:val="NoSpacing"/>
        <w:spacing w:before="240"/>
        <w:rPr>
          <w:sz w:val="24"/>
          <w:szCs w:val="24"/>
        </w:rPr>
      </w:pPr>
      <w:r>
        <w:rPr>
          <w:sz w:val="24"/>
          <w:szCs w:val="24"/>
        </w:rPr>
        <w:tab/>
        <w:t>(v) The assessment</w:t>
      </w:r>
      <w:r w:rsidR="00C00B49">
        <w:rPr>
          <w:sz w:val="24"/>
          <w:szCs w:val="24"/>
        </w:rPr>
        <w:t>/s</w:t>
      </w:r>
      <w:r>
        <w:rPr>
          <w:sz w:val="24"/>
          <w:szCs w:val="24"/>
        </w:rPr>
        <w:t xml:space="preserve"> could involve a combination of</w:t>
      </w:r>
      <w:r w:rsidR="00C00B49">
        <w:rPr>
          <w:sz w:val="24"/>
          <w:szCs w:val="24"/>
        </w:rPr>
        <w:t>,</w:t>
      </w:r>
      <w:r>
        <w:rPr>
          <w:sz w:val="24"/>
          <w:szCs w:val="24"/>
        </w:rPr>
        <w:t xml:space="preserve"> for example, academic achievement, higher level thinking, cultural </w:t>
      </w:r>
      <w:proofErr w:type="gramStart"/>
      <w:r>
        <w:rPr>
          <w:sz w:val="24"/>
          <w:szCs w:val="24"/>
        </w:rPr>
        <w:t>competencies ,</w:t>
      </w:r>
      <w:proofErr w:type="gramEnd"/>
      <w:r>
        <w:rPr>
          <w:sz w:val="24"/>
          <w:szCs w:val="24"/>
        </w:rPr>
        <w:t xml:space="preserve"> prior learnings, evidence of capacities for leadership and dispositions relevant to the profession of teaching. It could also include literacy, numeracy assessments.</w:t>
      </w:r>
    </w:p>
    <w:p w14:paraId="608CDF2B" w14:textId="288F6232" w:rsidR="00A4386B" w:rsidRDefault="003E4238" w:rsidP="00A4386B">
      <w:pPr>
        <w:pStyle w:val="NoSpacing"/>
        <w:spacing w:before="240"/>
        <w:rPr>
          <w:sz w:val="24"/>
          <w:szCs w:val="24"/>
        </w:rPr>
      </w:pPr>
      <w:r>
        <w:rPr>
          <w:sz w:val="24"/>
          <w:szCs w:val="24"/>
        </w:rPr>
        <w:tab/>
        <w:t>(vi) The implementation of the assessment</w:t>
      </w:r>
      <w:r w:rsidR="00C00B49">
        <w:rPr>
          <w:sz w:val="24"/>
          <w:szCs w:val="24"/>
        </w:rPr>
        <w:t>s</w:t>
      </w:r>
      <w:r>
        <w:rPr>
          <w:sz w:val="24"/>
          <w:szCs w:val="24"/>
        </w:rPr>
        <w:t xml:space="preserve"> would reflect principles of equity and inclusivity so that all applicants would be entitle</w:t>
      </w:r>
      <w:r w:rsidR="002514D0">
        <w:rPr>
          <w:sz w:val="24"/>
          <w:szCs w:val="24"/>
        </w:rPr>
        <w:t>d</w:t>
      </w:r>
      <w:r>
        <w:rPr>
          <w:sz w:val="24"/>
          <w:szCs w:val="24"/>
        </w:rPr>
        <w:t xml:space="preserve"> to assessments that are </w:t>
      </w:r>
      <w:r w:rsidR="002514D0">
        <w:rPr>
          <w:sz w:val="24"/>
          <w:szCs w:val="24"/>
        </w:rPr>
        <w:t>fair and non-discriminatory. As such the design team would include a variety of stakeholders who would well positioned to review the assessments, not only as valid and reliable but also culturally sensitive and inclusive so as to provide opportunities for success across the diverse range of applicants who may want to enter the profession of teaching.</w:t>
      </w:r>
    </w:p>
    <w:p w14:paraId="70BE39CF" w14:textId="06EA8173" w:rsidR="000C43FC" w:rsidRPr="00D0748E" w:rsidRDefault="002514D0" w:rsidP="00C00B49">
      <w:pPr>
        <w:pStyle w:val="NoSpacing"/>
        <w:spacing w:before="240"/>
        <w:ind w:firstLine="720"/>
        <w:rPr>
          <w:sz w:val="24"/>
          <w:szCs w:val="24"/>
        </w:rPr>
      </w:pPr>
      <w:r>
        <w:rPr>
          <w:sz w:val="24"/>
          <w:szCs w:val="24"/>
        </w:rPr>
        <w:t xml:space="preserve">(vii) </w:t>
      </w:r>
      <w:r w:rsidR="00C00B49">
        <w:rPr>
          <w:sz w:val="24"/>
          <w:szCs w:val="24"/>
        </w:rPr>
        <w:t xml:space="preserve">As </w:t>
      </w:r>
      <w:r>
        <w:rPr>
          <w:sz w:val="24"/>
          <w:szCs w:val="24"/>
        </w:rPr>
        <w:t>the funding body of in</w:t>
      </w:r>
      <w:r w:rsidR="00A4386B">
        <w:rPr>
          <w:sz w:val="24"/>
          <w:szCs w:val="24"/>
        </w:rPr>
        <w:t>i</w:t>
      </w:r>
      <w:r>
        <w:rPr>
          <w:sz w:val="24"/>
          <w:szCs w:val="24"/>
        </w:rPr>
        <w:t>t</w:t>
      </w:r>
      <w:r w:rsidR="00A4386B">
        <w:rPr>
          <w:sz w:val="24"/>
          <w:szCs w:val="24"/>
        </w:rPr>
        <w:t>i</w:t>
      </w:r>
      <w:r>
        <w:rPr>
          <w:sz w:val="24"/>
          <w:szCs w:val="24"/>
        </w:rPr>
        <w:t xml:space="preserve">al teacher education, the </w:t>
      </w:r>
      <w:r w:rsidR="00A4386B">
        <w:rPr>
          <w:sz w:val="24"/>
          <w:szCs w:val="24"/>
        </w:rPr>
        <w:t>C</w:t>
      </w:r>
      <w:r>
        <w:rPr>
          <w:sz w:val="24"/>
          <w:szCs w:val="24"/>
        </w:rPr>
        <w:t>ommonwealth government</w:t>
      </w:r>
      <w:r w:rsidR="00A4386B">
        <w:rPr>
          <w:sz w:val="24"/>
          <w:szCs w:val="24"/>
        </w:rPr>
        <w:t xml:space="preserve"> </w:t>
      </w:r>
      <w:r w:rsidR="00C00B49">
        <w:rPr>
          <w:sz w:val="24"/>
          <w:szCs w:val="24"/>
        </w:rPr>
        <w:t>c</w:t>
      </w:r>
      <w:r w:rsidR="00993DFB">
        <w:rPr>
          <w:sz w:val="24"/>
          <w:szCs w:val="24"/>
        </w:rPr>
        <w:t>o</w:t>
      </w:r>
      <w:r w:rsidR="00C00B49">
        <w:rPr>
          <w:sz w:val="24"/>
          <w:szCs w:val="24"/>
        </w:rPr>
        <w:t xml:space="preserve">uld </w:t>
      </w:r>
      <w:r>
        <w:rPr>
          <w:sz w:val="24"/>
          <w:szCs w:val="24"/>
        </w:rPr>
        <w:t xml:space="preserve">provide seeding funds of $1.5 </w:t>
      </w:r>
      <w:r w:rsidR="00A4386B">
        <w:rPr>
          <w:sz w:val="24"/>
          <w:szCs w:val="24"/>
        </w:rPr>
        <w:t xml:space="preserve">- $3 </w:t>
      </w:r>
      <w:r>
        <w:rPr>
          <w:sz w:val="24"/>
          <w:szCs w:val="24"/>
        </w:rPr>
        <w:t>mil</w:t>
      </w:r>
      <w:r w:rsidR="00A4386B">
        <w:rPr>
          <w:sz w:val="24"/>
          <w:szCs w:val="24"/>
        </w:rPr>
        <w:t>l</w:t>
      </w:r>
      <w:r>
        <w:rPr>
          <w:sz w:val="24"/>
          <w:szCs w:val="24"/>
        </w:rPr>
        <w:t xml:space="preserve">ion over 3 years to a professional </w:t>
      </w:r>
      <w:r w:rsidR="00993DFB">
        <w:rPr>
          <w:sz w:val="24"/>
          <w:szCs w:val="24"/>
        </w:rPr>
        <w:t>conglomerate (</w:t>
      </w:r>
      <w:proofErr w:type="spellStart"/>
      <w:r w:rsidR="00A4386B">
        <w:rPr>
          <w:sz w:val="24"/>
          <w:szCs w:val="24"/>
        </w:rPr>
        <w:t>e.g</w:t>
      </w:r>
      <w:proofErr w:type="spellEnd"/>
      <w:r w:rsidR="00A4386B">
        <w:rPr>
          <w:sz w:val="24"/>
          <w:szCs w:val="24"/>
        </w:rPr>
        <w:t xml:space="preserve">  ACDE, members of the teaching profession, with DESE representatives) commissioned </w:t>
      </w:r>
      <w:r>
        <w:rPr>
          <w:sz w:val="24"/>
          <w:szCs w:val="24"/>
        </w:rPr>
        <w:t xml:space="preserve">to design  the assessments, </w:t>
      </w:r>
      <w:r w:rsidR="00A4386B">
        <w:rPr>
          <w:sz w:val="24"/>
          <w:szCs w:val="24"/>
        </w:rPr>
        <w:t xml:space="preserve">consult with a broad and diverse communities as to the validity, reliability and authenticity of the assessments, pilot the assessments and </w:t>
      </w:r>
      <w:r w:rsidR="00A4386B" w:rsidRPr="00D0748E">
        <w:rPr>
          <w:sz w:val="24"/>
          <w:szCs w:val="24"/>
        </w:rPr>
        <w:t xml:space="preserve">launch the selection assessment process nationally. </w:t>
      </w:r>
    </w:p>
    <w:p w14:paraId="26632746" w14:textId="6D74DFF5" w:rsidR="004E4855" w:rsidRPr="00D0748E" w:rsidRDefault="004E4855" w:rsidP="00A71325">
      <w:pPr>
        <w:pStyle w:val="NoSpacing"/>
        <w:spacing w:before="240"/>
        <w:rPr>
          <w:sz w:val="24"/>
          <w:szCs w:val="24"/>
        </w:rPr>
      </w:pPr>
      <w:r w:rsidRPr="00D0748E">
        <w:rPr>
          <w:b/>
          <w:sz w:val="24"/>
          <w:szCs w:val="24"/>
        </w:rPr>
        <w:t>Third, a longer</w:t>
      </w:r>
      <w:r w:rsidR="00C00B49">
        <w:rPr>
          <w:b/>
          <w:sz w:val="24"/>
          <w:szCs w:val="24"/>
        </w:rPr>
        <w:t xml:space="preserve">- </w:t>
      </w:r>
      <w:r w:rsidRPr="00D0748E">
        <w:rPr>
          <w:b/>
          <w:sz w:val="24"/>
          <w:szCs w:val="24"/>
        </w:rPr>
        <w:t>term aspiration</w:t>
      </w:r>
      <w:r w:rsidR="00A4386B" w:rsidRPr="00D0748E">
        <w:rPr>
          <w:b/>
          <w:sz w:val="24"/>
          <w:szCs w:val="24"/>
        </w:rPr>
        <w:t xml:space="preserve">: ITE Accreditation. </w:t>
      </w:r>
      <w:r w:rsidR="00A4386B" w:rsidRPr="00D0748E">
        <w:rPr>
          <w:sz w:val="24"/>
          <w:szCs w:val="24"/>
        </w:rPr>
        <w:t xml:space="preserve"> Currently the accreditation of ITE is, from a policy perspective, regulated by ITE Standards. However</w:t>
      </w:r>
      <w:r w:rsidR="00C00B49">
        <w:rPr>
          <w:sz w:val="24"/>
          <w:szCs w:val="24"/>
        </w:rPr>
        <w:t>,</w:t>
      </w:r>
      <w:r w:rsidR="00A4386B" w:rsidRPr="00D0748E">
        <w:rPr>
          <w:sz w:val="24"/>
          <w:szCs w:val="24"/>
        </w:rPr>
        <w:t xml:space="preserve"> in practice it is ad hoc, highly variable across regulatory authorities, where the standards are inconsistently applied by panels that lack extensive expertise.    </w:t>
      </w:r>
      <w:r w:rsidR="00D0748E" w:rsidRPr="00D0748E">
        <w:rPr>
          <w:sz w:val="24"/>
          <w:szCs w:val="24"/>
        </w:rPr>
        <w:t>In the interest</w:t>
      </w:r>
      <w:r w:rsidR="00C00B49">
        <w:rPr>
          <w:sz w:val="24"/>
          <w:szCs w:val="24"/>
        </w:rPr>
        <w:t xml:space="preserve"> of </w:t>
      </w:r>
      <w:r w:rsidR="00A4386B" w:rsidRPr="00D0748E">
        <w:rPr>
          <w:sz w:val="24"/>
          <w:szCs w:val="24"/>
        </w:rPr>
        <w:t>greater</w:t>
      </w:r>
      <w:r w:rsidR="00D0748E" w:rsidRPr="00D0748E">
        <w:rPr>
          <w:sz w:val="24"/>
          <w:szCs w:val="24"/>
        </w:rPr>
        <w:t xml:space="preserve"> national consistency and enhanced quality outcomes, the Commonwealth could propose an alternative model of accreditation. </w:t>
      </w:r>
      <w:r w:rsidR="00D0748E">
        <w:rPr>
          <w:sz w:val="24"/>
          <w:szCs w:val="24"/>
        </w:rPr>
        <w:t xml:space="preserve">A national body such as </w:t>
      </w:r>
      <w:r w:rsidR="00D0748E" w:rsidRPr="00D0748E">
        <w:rPr>
          <w:sz w:val="24"/>
          <w:szCs w:val="24"/>
        </w:rPr>
        <w:t xml:space="preserve">AITSL could complete a high -level assessment of each teacher preparation program against the accreditation standards using AI software. This is a well-accepted, highly reliable and efficient process used in regulating banks and financial agencies. </w:t>
      </w:r>
    </w:p>
    <w:p w14:paraId="2E9EA0AF" w14:textId="199B741E" w:rsidR="00A71325" w:rsidRDefault="00D0748E" w:rsidP="00A71325">
      <w:pPr>
        <w:spacing w:before="240"/>
        <w:rPr>
          <w:sz w:val="24"/>
          <w:szCs w:val="24"/>
        </w:rPr>
      </w:pPr>
      <w:r w:rsidRPr="00D0748E">
        <w:rPr>
          <w:sz w:val="24"/>
          <w:szCs w:val="24"/>
        </w:rPr>
        <w:t xml:space="preserve">If approved by the national regulator as meeting the standards, the program </w:t>
      </w:r>
      <w:r w:rsidR="00C00B49">
        <w:rPr>
          <w:sz w:val="24"/>
          <w:szCs w:val="24"/>
        </w:rPr>
        <w:t xml:space="preserve">would </w:t>
      </w:r>
      <w:proofErr w:type="gramStart"/>
      <w:r w:rsidR="00C00B49">
        <w:rPr>
          <w:sz w:val="24"/>
          <w:szCs w:val="24"/>
        </w:rPr>
        <w:t xml:space="preserve">then </w:t>
      </w:r>
      <w:r w:rsidRPr="00D0748E">
        <w:rPr>
          <w:sz w:val="24"/>
          <w:szCs w:val="24"/>
        </w:rPr>
        <w:t xml:space="preserve"> be</w:t>
      </w:r>
      <w:proofErr w:type="gramEnd"/>
      <w:r w:rsidRPr="00D0748E">
        <w:rPr>
          <w:sz w:val="24"/>
          <w:szCs w:val="24"/>
        </w:rPr>
        <w:t xml:space="preserve"> progressed to the local regulatory authority for </w:t>
      </w:r>
      <w:r w:rsidR="00C00B49">
        <w:rPr>
          <w:sz w:val="24"/>
          <w:szCs w:val="24"/>
        </w:rPr>
        <w:t xml:space="preserve">further development, </w:t>
      </w:r>
      <w:r w:rsidRPr="00D0748E">
        <w:rPr>
          <w:sz w:val="24"/>
          <w:szCs w:val="24"/>
        </w:rPr>
        <w:t xml:space="preserve">registration and delivery. If deemed lacking, it is returned to </w:t>
      </w:r>
      <w:r w:rsidR="00C00B49">
        <w:rPr>
          <w:sz w:val="24"/>
          <w:szCs w:val="24"/>
        </w:rPr>
        <w:t>t</w:t>
      </w:r>
      <w:r w:rsidRPr="00D0748E">
        <w:rPr>
          <w:sz w:val="24"/>
          <w:szCs w:val="24"/>
        </w:rPr>
        <w:t>he provider with feedback for further development or with an unsatisfactory report and categorised as failing to meet the accreditation standards</w:t>
      </w:r>
      <w:r w:rsidR="00C00B49">
        <w:rPr>
          <w:sz w:val="24"/>
          <w:szCs w:val="24"/>
        </w:rPr>
        <w:t>.</w:t>
      </w:r>
    </w:p>
    <w:p w14:paraId="7BC26D39" w14:textId="003C50D3" w:rsidR="00C00B49" w:rsidRDefault="00C00B49" w:rsidP="00A71325">
      <w:pPr>
        <w:spacing w:before="240"/>
        <w:rPr>
          <w:sz w:val="24"/>
          <w:szCs w:val="24"/>
        </w:rPr>
      </w:pPr>
      <w:r>
        <w:rPr>
          <w:sz w:val="24"/>
          <w:szCs w:val="24"/>
        </w:rPr>
        <w:t>I trust you and your panel find these suggestions worthy of further consideration and elaboration. I wo</w:t>
      </w:r>
      <w:r w:rsidR="00993DFB">
        <w:rPr>
          <w:sz w:val="24"/>
          <w:szCs w:val="24"/>
        </w:rPr>
        <w:t>u</w:t>
      </w:r>
      <w:r>
        <w:rPr>
          <w:sz w:val="24"/>
          <w:szCs w:val="24"/>
        </w:rPr>
        <w:t xml:space="preserve">ld be very happy to </w:t>
      </w:r>
      <w:r w:rsidR="00993DFB">
        <w:rPr>
          <w:sz w:val="24"/>
          <w:szCs w:val="24"/>
        </w:rPr>
        <w:t xml:space="preserve">provide further work and/or participate </w:t>
      </w:r>
      <w:proofErr w:type="gramStart"/>
      <w:r w:rsidR="00993DFB">
        <w:rPr>
          <w:sz w:val="24"/>
          <w:szCs w:val="24"/>
        </w:rPr>
        <w:t>in  a</w:t>
      </w:r>
      <w:proofErr w:type="gramEnd"/>
      <w:r w:rsidR="00993DFB">
        <w:rPr>
          <w:sz w:val="24"/>
          <w:szCs w:val="24"/>
        </w:rPr>
        <w:t xml:space="preserve"> discussion with you if any one of these ideas is of interest. My commitment over many years is to enhance the education of our young people by providing them with the very best teacher graduates. Many countries of the world think that we do a great job in teacher education. My wish is that our nation will one day share that view. </w:t>
      </w:r>
    </w:p>
    <w:p w14:paraId="24F54E80" w14:textId="5AD38360" w:rsidR="00993DFB" w:rsidRDefault="00993DFB" w:rsidP="00A71325">
      <w:pPr>
        <w:spacing w:before="240"/>
        <w:rPr>
          <w:sz w:val="24"/>
          <w:szCs w:val="24"/>
        </w:rPr>
      </w:pPr>
      <w:r>
        <w:rPr>
          <w:sz w:val="24"/>
          <w:szCs w:val="24"/>
        </w:rPr>
        <w:lastRenderedPageBreak/>
        <w:t>Your sincerely</w:t>
      </w:r>
    </w:p>
    <w:p w14:paraId="2E5F4A44" w14:textId="18516B21" w:rsidR="00993DFB" w:rsidRDefault="00D66BC1" w:rsidP="00A71325">
      <w:pPr>
        <w:spacing w:before="240"/>
        <w:rPr>
          <w:sz w:val="24"/>
          <w:szCs w:val="24"/>
        </w:rPr>
      </w:pPr>
      <w:r>
        <w:rPr>
          <w:noProof/>
        </w:rPr>
        <w:drawing>
          <wp:inline distT="0" distB="0" distL="0" distR="0" wp14:anchorId="068799AC" wp14:editId="1B1F164E">
            <wp:extent cx="1693545" cy="660400"/>
            <wp:effectExtent l="0" t="0" r="0" b="0"/>
            <wp:docPr id="2" name="Picture 1" descr="A close up of a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close up of a clock&#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3545" cy="660400"/>
                    </a:xfrm>
                    <a:prstGeom prst="rect">
                      <a:avLst/>
                    </a:prstGeom>
                    <a:noFill/>
                    <a:ln>
                      <a:noFill/>
                    </a:ln>
                  </pic:spPr>
                </pic:pic>
              </a:graphicData>
            </a:graphic>
          </wp:inline>
        </w:drawing>
      </w:r>
    </w:p>
    <w:p w14:paraId="553EAFE0" w14:textId="77777777" w:rsidR="00993DFB" w:rsidRDefault="00993DFB" w:rsidP="00A71325">
      <w:pPr>
        <w:spacing w:before="240"/>
        <w:rPr>
          <w:sz w:val="24"/>
          <w:szCs w:val="24"/>
        </w:rPr>
      </w:pPr>
    </w:p>
    <w:p w14:paraId="7F63CD57" w14:textId="60EE0C99" w:rsidR="00993DFB" w:rsidRDefault="00993DFB" w:rsidP="00A71325">
      <w:pPr>
        <w:spacing w:before="240"/>
        <w:rPr>
          <w:sz w:val="24"/>
          <w:szCs w:val="24"/>
        </w:rPr>
      </w:pPr>
      <w:r>
        <w:rPr>
          <w:sz w:val="24"/>
          <w:szCs w:val="24"/>
        </w:rPr>
        <w:t xml:space="preserve">Tania Aspland </w:t>
      </w:r>
    </w:p>
    <w:p w14:paraId="46FBCD9A" w14:textId="3E37413D" w:rsidR="00993DFB" w:rsidRDefault="0002159E" w:rsidP="00A71325">
      <w:pPr>
        <w:spacing w:before="240"/>
        <w:rPr>
          <w:sz w:val="24"/>
          <w:szCs w:val="24"/>
        </w:rPr>
      </w:pPr>
      <w:r>
        <w:rPr>
          <w:noProof/>
          <w:sz w:val="24"/>
          <w:szCs w:val="24"/>
          <w:lang w:eastAsia="en-AU"/>
        </w:rPr>
        <mc:AlternateContent>
          <mc:Choice Requires="wps">
            <w:drawing>
              <wp:anchor distT="621665" distB="718185" distL="155575" distR="1707515" simplePos="0" relativeHeight="251659264" behindDoc="0" locked="0" layoutInCell="1" allowOverlap="1" wp14:anchorId="117C42C2" wp14:editId="224706D7">
                <wp:simplePos x="0" y="0"/>
                <wp:positionH relativeFrom="margin">
                  <wp:posOffset>463550</wp:posOffset>
                </wp:positionH>
                <wp:positionV relativeFrom="page">
                  <wp:posOffset>2805430</wp:posOffset>
                </wp:positionV>
                <wp:extent cx="1238250" cy="1714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41113" w14:textId="77777777" w:rsidR="0002159E" w:rsidRDefault="0002159E" w:rsidP="000215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C42C2" id="_x0000_t202" coordsize="21600,21600" o:spt="202" path="m,l,21600r21600,l21600,xe">
                <v:stroke joinstyle="miter"/>
                <v:path gradientshapeok="t" o:connecttype="rect"/>
              </v:shapetype>
              <v:shape id="Text Box 17" o:spid="_x0000_s1026" type="#_x0000_t202" style="position:absolute;margin-left:36.5pt;margin-top:220.9pt;width:97.5pt;height:13.5pt;z-index:251659264;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" fillcolor="black" stroked="f">
                <v:textbox inset="0,0,0,0">
                  <w:txbxContent>
                    <w:p w14:paraId="23541113" w14:textId="77777777" w:rsidR="0002159E" w:rsidRDefault="0002159E" w:rsidP="0002159E"/>
                  </w:txbxContent>
                </v:textbox>
                <w10:wrap anchorx="margin" anchory="page"/>
              </v:shape>
            </w:pict>
          </mc:Fallback>
        </mc:AlternateContent>
      </w:r>
      <w:r w:rsidR="00993DFB">
        <w:rPr>
          <w:sz w:val="24"/>
          <w:szCs w:val="24"/>
        </w:rPr>
        <w:t xml:space="preserve">Email: </w:t>
      </w:r>
    </w:p>
    <w:p w14:paraId="7EAE3CDE" w14:textId="56DCF205" w:rsidR="00993DFB" w:rsidRDefault="0002159E" w:rsidP="00A71325">
      <w:pPr>
        <w:spacing w:before="240"/>
        <w:rPr>
          <w:sz w:val="24"/>
          <w:szCs w:val="24"/>
        </w:rPr>
      </w:pPr>
      <w:r>
        <w:rPr>
          <w:noProof/>
          <w:sz w:val="24"/>
          <w:szCs w:val="24"/>
          <w:lang w:eastAsia="en-AU"/>
        </w:rPr>
        <mc:AlternateContent>
          <mc:Choice Requires="wps">
            <w:drawing>
              <wp:anchor distT="621665" distB="718185" distL="155575" distR="1707515" simplePos="0" relativeHeight="251661312" behindDoc="0" locked="0" layoutInCell="1" allowOverlap="1" wp14:anchorId="2560771C" wp14:editId="59FD31A8">
                <wp:simplePos x="0" y="0"/>
                <wp:positionH relativeFrom="margin">
                  <wp:posOffset>292100</wp:posOffset>
                </wp:positionH>
                <wp:positionV relativeFrom="page">
                  <wp:posOffset>3177540</wp:posOffset>
                </wp:positionV>
                <wp:extent cx="1238250" cy="171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E1ADC" w14:textId="77777777" w:rsidR="0002159E" w:rsidRDefault="0002159E" w:rsidP="000215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0771C" id="Text Box 1" o:spid="_x0000_s1027" type="#_x0000_t202" style="position:absolute;margin-left:23pt;margin-top:250.2pt;width:97.5pt;height:13.5pt;z-index:251661312;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" fillcolor="black" stroked="f">
                <v:textbox inset="0,0,0,0">
                  <w:txbxContent>
                    <w:p w14:paraId="19DE1ADC" w14:textId="77777777" w:rsidR="0002159E" w:rsidRDefault="0002159E" w:rsidP="0002159E"/>
                  </w:txbxContent>
                </v:textbox>
                <w10:wrap anchorx="margin" anchory="page"/>
              </v:shape>
            </w:pict>
          </mc:Fallback>
        </mc:AlternateContent>
      </w:r>
      <w:r w:rsidR="00993DFB">
        <w:rPr>
          <w:sz w:val="24"/>
          <w:szCs w:val="24"/>
        </w:rPr>
        <w:t xml:space="preserve">Tel: </w:t>
      </w:r>
    </w:p>
    <w:p w14:paraId="5217C441" w14:textId="484D41AA" w:rsidR="00993DFB" w:rsidRPr="00D0748E" w:rsidRDefault="00993DFB" w:rsidP="00A71325">
      <w:pPr>
        <w:spacing w:before="240"/>
        <w:rPr>
          <w:sz w:val="24"/>
          <w:szCs w:val="24"/>
        </w:rPr>
      </w:pPr>
    </w:p>
    <w:sectPr w:rsidR="00993DFB" w:rsidRPr="00D074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B89D4" w14:textId="77777777" w:rsidR="00371590" w:rsidRDefault="00371590" w:rsidP="00993DFB">
      <w:pPr>
        <w:spacing w:after="0" w:line="240" w:lineRule="auto"/>
      </w:pPr>
      <w:r>
        <w:separator/>
      </w:r>
    </w:p>
  </w:endnote>
  <w:endnote w:type="continuationSeparator" w:id="0">
    <w:p w14:paraId="6C2BA9B1" w14:textId="77777777" w:rsidR="00371590" w:rsidRDefault="00371590" w:rsidP="0099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585232"/>
      <w:docPartObj>
        <w:docPartGallery w:val="Page Numbers (Bottom of Page)"/>
        <w:docPartUnique/>
      </w:docPartObj>
    </w:sdtPr>
    <w:sdtEndPr>
      <w:rPr>
        <w:noProof/>
      </w:rPr>
    </w:sdtEndPr>
    <w:sdtContent>
      <w:p w14:paraId="2BDF6466" w14:textId="61388393" w:rsidR="00993DFB" w:rsidRDefault="00993DFB">
        <w:pPr>
          <w:pStyle w:val="Footer"/>
        </w:pPr>
        <w:r>
          <w:t xml:space="preserve">ASPLAND </w:t>
        </w:r>
        <w:r>
          <w:fldChar w:fldCharType="begin"/>
        </w:r>
        <w:r>
          <w:instrText xml:space="preserve"> PAGE   \* MERGEFORMAT </w:instrText>
        </w:r>
        <w:r>
          <w:fldChar w:fldCharType="separate"/>
        </w:r>
        <w:r>
          <w:rPr>
            <w:noProof/>
          </w:rPr>
          <w:t>2</w:t>
        </w:r>
        <w:r>
          <w:rPr>
            <w:noProof/>
          </w:rPr>
          <w:fldChar w:fldCharType="end"/>
        </w:r>
      </w:p>
    </w:sdtContent>
  </w:sdt>
  <w:p w14:paraId="1F79BBB4" w14:textId="77777777" w:rsidR="00993DFB" w:rsidRDefault="00993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E9474" w14:textId="77777777" w:rsidR="00371590" w:rsidRDefault="00371590" w:rsidP="00993DFB">
      <w:pPr>
        <w:spacing w:after="0" w:line="240" w:lineRule="auto"/>
      </w:pPr>
      <w:r>
        <w:separator/>
      </w:r>
    </w:p>
  </w:footnote>
  <w:footnote w:type="continuationSeparator" w:id="0">
    <w:p w14:paraId="0DC5596B" w14:textId="77777777" w:rsidR="00371590" w:rsidRDefault="00371590" w:rsidP="00993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25"/>
    <w:rsid w:val="0002159E"/>
    <w:rsid w:val="000C43FC"/>
    <w:rsid w:val="001F1F92"/>
    <w:rsid w:val="002514D0"/>
    <w:rsid w:val="00371590"/>
    <w:rsid w:val="003E4238"/>
    <w:rsid w:val="00421EF9"/>
    <w:rsid w:val="0044495C"/>
    <w:rsid w:val="004B11FF"/>
    <w:rsid w:val="004E4855"/>
    <w:rsid w:val="00503BBA"/>
    <w:rsid w:val="00537786"/>
    <w:rsid w:val="00993DFB"/>
    <w:rsid w:val="009E5BCB"/>
    <w:rsid w:val="00A4386B"/>
    <w:rsid w:val="00A71325"/>
    <w:rsid w:val="00B16543"/>
    <w:rsid w:val="00C00B49"/>
    <w:rsid w:val="00D0748E"/>
    <w:rsid w:val="00D66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F69E9"/>
  <w15:chartTrackingRefBased/>
  <w15:docId w15:val="{A0F18652-63E2-4C2C-A253-67A0CFC5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325"/>
    <w:pPr>
      <w:spacing w:after="0" w:line="240" w:lineRule="auto"/>
    </w:pPr>
  </w:style>
  <w:style w:type="character" w:styleId="Hyperlink">
    <w:name w:val="Hyperlink"/>
    <w:basedOn w:val="DefaultParagraphFont"/>
    <w:uiPriority w:val="99"/>
    <w:unhideWhenUsed/>
    <w:rsid w:val="00993DFB"/>
    <w:rPr>
      <w:color w:val="0563C1" w:themeColor="hyperlink"/>
      <w:u w:val="single"/>
    </w:rPr>
  </w:style>
  <w:style w:type="character" w:styleId="UnresolvedMention">
    <w:name w:val="Unresolved Mention"/>
    <w:basedOn w:val="DefaultParagraphFont"/>
    <w:uiPriority w:val="99"/>
    <w:semiHidden/>
    <w:unhideWhenUsed/>
    <w:rsid w:val="00993DFB"/>
    <w:rPr>
      <w:color w:val="808080"/>
      <w:shd w:val="clear" w:color="auto" w:fill="E6E6E6"/>
    </w:rPr>
  </w:style>
  <w:style w:type="paragraph" w:styleId="Header">
    <w:name w:val="header"/>
    <w:basedOn w:val="Normal"/>
    <w:link w:val="HeaderChar"/>
    <w:uiPriority w:val="99"/>
    <w:unhideWhenUsed/>
    <w:rsid w:val="00993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DFB"/>
  </w:style>
  <w:style w:type="paragraph" w:styleId="Footer">
    <w:name w:val="footer"/>
    <w:basedOn w:val="Normal"/>
    <w:link w:val="FooterChar"/>
    <w:uiPriority w:val="99"/>
    <w:unhideWhenUsed/>
    <w:rsid w:val="00993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DFB"/>
  </w:style>
  <w:style w:type="paragraph" w:styleId="BalloonText">
    <w:name w:val="Balloon Text"/>
    <w:basedOn w:val="Normal"/>
    <w:link w:val="BalloonTextChar"/>
    <w:uiPriority w:val="99"/>
    <w:semiHidden/>
    <w:unhideWhenUsed/>
    <w:rsid w:val="00D66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Aspland</dc:creator>
  <cp:keywords/>
  <dc:description/>
  <cp:lastModifiedBy>MEGEID,Sheryn</cp:lastModifiedBy>
  <cp:revision>4</cp:revision>
  <cp:lastPrinted>2022-03-04T00:49:00Z</cp:lastPrinted>
  <dcterms:created xsi:type="dcterms:W3CDTF">2021-07-19T03:56:00Z</dcterms:created>
  <dcterms:modified xsi:type="dcterms:W3CDTF">2022-03-04T00:49:00Z</dcterms:modified>
</cp:coreProperties>
</file>