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056" w:after="0" w:line="326" w:lineRule="exact"/>
        <w:ind w:right="1944" w:left="1440" w:firstLine="0"/>
        <w:jc w:val="left"/>
        <w:textAlignment w:val="baseline"/>
        <w:rPr>
          <w:rFonts w:ascii="Arial" w:hAnsi="Arial" w:eastAsia="Arial"/>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4.95pt;height:215.6pt;z-index:-999;margin-left:0pt;margin-top:0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594.95pt;height:211.2pt;z-index:-999;margin-left:0pt;margin-top:0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7555865" cy="26822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5865" cy="2682240"/>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84.25pt;height:80.95pt;z-index:-1;margin-left:78pt;margin-top:133.75pt;mso-wrap-distance-left:0pt;mso-wrap-distance-right:0pt;mso-position-horizontal-relative:page;mso-position-vertical-relative:page">
            <w10:wrap type="square" side="both"/>
            <v:fill opacity="1" o:opacity2="1" recolor="f" rotate="f" type="solid"/>
            <v:textbox inset="0pt, 0pt, 0pt, 0pt">
              <w:txbxContent>
                <w:p>
                  <w:pPr>
                    <w:spacing w:before="2" w:after="0" w:line="322" w:lineRule="exact"/>
                    <w:ind w:right="0" w:left="0" w:firstLine="0"/>
                    <w:jc w:val="left"/>
                    <w:textAlignment w:val="baseline"/>
                    <w:rPr>
                      <w:rFonts w:ascii="Arial" w:hAnsi="Arial" w:eastAsia="Arial"/>
                      <w:b w:val="true"/>
                      <w:color w:val="0B336B"/>
                      <w:spacing w:val="-3"/>
                      <w:w w:val="100"/>
                      <w:sz w:val="28"/>
                      <w:vertAlign w:val="baseline"/>
                      <w:lang w:val="en-US"/>
                    </w:rPr>
                  </w:pPr>
                  <w:r>
                    <w:rPr>
                      <w:rFonts w:ascii="Arial" w:hAnsi="Arial" w:eastAsia="Arial"/>
                      <w:b w:val="true"/>
                      <w:color w:val="0B336B"/>
                      <w:spacing w:val="-3"/>
                      <w:w w:val="100"/>
                      <w:sz w:val="28"/>
                      <w:vertAlign w:val="baseline"/>
                      <w:lang w:val="en-US"/>
                    </w:rPr>
                    <w:t xml:space="preserve">July 2021</w:t>
                  </w:r>
                </w:p>
                <w:p>
                  <w:pPr>
                    <w:spacing w:before="191" w:after="0" w:line="550" w:lineRule="exact"/>
                    <w:ind w:right="0" w:left="0" w:firstLine="0"/>
                    <w:jc w:val="left"/>
                    <w:textAlignment w:val="baseline"/>
                    <w:rPr>
                      <w:rFonts w:ascii="Arial" w:hAnsi="Arial" w:eastAsia="Arial"/>
                      <w:b w:val="true"/>
                      <w:color w:val="001F5F"/>
                      <w:spacing w:val="-1"/>
                      <w:w w:val="100"/>
                      <w:sz w:val="48"/>
                      <w:vertAlign w:val="baseline"/>
                      <w:lang w:val="en-US"/>
                    </w:rPr>
                  </w:pPr>
                  <w:r>
                    <w:rPr>
                      <w:rFonts w:ascii="Arial" w:hAnsi="Arial" w:eastAsia="Arial"/>
                      <w:b w:val="true"/>
                      <w:color w:val="001F5F"/>
                      <w:spacing w:val="-1"/>
                      <w:w w:val="100"/>
                      <w:sz w:val="48"/>
                      <w:vertAlign w:val="baseline"/>
                      <w:lang w:val="en-US"/>
                    </w:rPr>
                    <w:t xml:space="preserve">VCOSS submission to the Quality Initial Teacher Education Review</w:t>
                  </w:r>
                </w:p>
              </w:txbxContent>
            </v:textbox>
          </v:shape>
        </w:pict>
      </w:r>
      <w:r>
        <w:pict>
          <v:line strokeweight="3.85pt" strokecolor="#C4A36D" from="78.7pt,216.7pt" to="522.05pt,216.7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The Victorian Council of Social Service (VCOSS) welcomes the opportunity to provide a response to the </w:t>
      </w:r>
      <w:r>
        <w:rPr>
          <w:rFonts w:ascii="Arial" w:hAnsi="Arial" w:eastAsia="Arial"/>
          <w:i w:val="true"/>
          <w:color w:val="000000"/>
          <w:spacing w:val="0"/>
          <w:w w:val="100"/>
          <w:sz w:val="22"/>
          <w:vertAlign w:val="baseline"/>
          <w:lang w:val="en-US"/>
        </w:rPr>
        <w:t xml:space="preserve">Quality Initial Teacher Education Review</w:t>
      </w:r>
      <w:r>
        <w:rPr>
          <w:rFonts w:ascii="Arial" w:hAnsi="Arial" w:eastAsia="Arial"/>
          <w:color w:val="000000"/>
          <w:spacing w:val="0"/>
          <w:w w:val="100"/>
          <w:sz w:val="22"/>
          <w:vertAlign w:val="baseline"/>
          <w:lang w:val="en-US"/>
        </w:rPr>
        <w:t xml:space="preserve">.</w:t>
      </w:r>
    </w:p>
    <w:p>
      <w:pPr>
        <w:spacing w:before="122" w:after="0" w:line="328" w:lineRule="exact"/>
        <w:ind w:right="1440" w:left="144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VCOSS is the peak body for social and community services in Victoria. VCOSS supports the community services, industry, represents the interests of Victorians facing disadvantage and vulnerability in policy debates, and advocates to develop a sustainable, fair and equitable society.</w:t>
      </w:r>
    </w:p>
    <w:p>
      <w:pPr>
        <w:spacing w:before="125" w:after="0" w:line="328" w:lineRule="exact"/>
        <w:ind w:right="1584" w:left="144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Access to high-quality education can transform lives. Education provides protective factors that can prevent or moderate the impact of social disadvantage </w:t>
      </w: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however, schools need to be equipped to support the diverse needs of their students for this to happen.</w:t>
      </w:r>
    </w:p>
    <w:p>
      <w:pPr>
        <w:spacing w:before="116" w:after="0" w:line="331" w:lineRule="exact"/>
        <w:ind w:right="1440" w:left="144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Review is an opportunity to improve initial teacher education (ITE) so that the workforce has greater skills and confidence to create inclusive school cultures and deliver inclusive classroom education.</w:t>
      </w:r>
    </w:p>
    <w:p>
      <w:pPr>
        <w:spacing w:before="194" w:after="0" w:line="382" w:lineRule="exact"/>
        <w:ind w:right="0" w:left="1440" w:firstLine="0"/>
        <w:jc w:val="left"/>
        <w:textAlignment w:val="baseline"/>
        <w:rPr>
          <w:rFonts w:ascii="Arial" w:hAnsi="Arial" w:eastAsia="Arial"/>
          <w:b w:val="true"/>
          <w:color w:val="4B6CB6"/>
          <w:spacing w:val="0"/>
          <w:w w:val="100"/>
          <w:sz w:val="32"/>
          <w:vertAlign w:val="baseline"/>
          <w:lang w:val="en-US"/>
        </w:rPr>
      </w:pPr>
      <w:r>
        <w:rPr>
          <w:rFonts w:ascii="Arial" w:hAnsi="Arial" w:eastAsia="Arial"/>
          <w:b w:val="true"/>
          <w:color w:val="4B6CB6"/>
          <w:spacing w:val="0"/>
          <w:w w:val="100"/>
          <w:sz w:val="32"/>
          <w:vertAlign w:val="baseline"/>
          <w:lang w:val="en-US"/>
        </w:rPr>
        <w:t xml:space="preserve">Part A </w:t>
      </w:r>
      <w:r>
        <w:rPr>
          <w:rFonts w:ascii="Arial" w:hAnsi="Arial" w:eastAsia="Arial"/>
          <w:b w:val="true"/>
          <w:color w:val="4B6CB6"/>
          <w:spacing w:val="0"/>
          <w:w w:val="85"/>
          <w:sz w:val="36"/>
          <w:vertAlign w:val="baseline"/>
          <w:lang w:val="en-US"/>
        </w:rPr>
        <w:t xml:space="preserve">– </w:t>
      </w:r>
      <w:r>
        <w:rPr>
          <w:rFonts w:ascii="Arial" w:hAnsi="Arial" w:eastAsia="Arial"/>
          <w:b w:val="true"/>
          <w:color w:val="4B6CB6"/>
          <w:spacing w:val="0"/>
          <w:w w:val="100"/>
          <w:sz w:val="32"/>
          <w:vertAlign w:val="baseline"/>
          <w:lang w:val="en-US"/>
        </w:rPr>
        <w:t xml:space="preserve">Attracting high-quality candidates into ITE matters</w:t>
      </w:r>
    </w:p>
    <w:p>
      <w:pPr>
        <w:spacing w:before="275" w:after="0" w:line="326" w:lineRule="exact"/>
        <w:ind w:right="1584" w:left="144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How can we increase ITE completion rates so that quality ITE students graduate and pursue careers as quality teachers?</w:t>
      </w:r>
    </w:p>
    <w:p>
      <w:pPr>
        <w:spacing w:before="363" w:after="0" w:line="328" w:lineRule="exact"/>
        <w:ind w:right="1584" w:left="144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While students may be eligible to enrol in a Commonwealth Supported Place to access a HECS-HELP loan, there are peripheral expenses that still prevent some students on low incomes from taking up the opportunity to study. For example, some students cannot afford to buy textbooks, a digital device, pay for rent, childcare or transport.</w:t>
      </w:r>
    </w:p>
    <w:p>
      <w:pPr>
        <w:spacing w:before="365" w:after="0" w:line="326" w:lineRule="exact"/>
        <w:ind w:right="2232" w:left="144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 becomes even more difficult for students to afford to study when they are unable to undertake paid employment during placement periods.</w:t>
      </w:r>
    </w:p>
    <w:p>
      <w:pPr>
        <w:spacing w:before="362" w:after="0" w:line="329" w:lineRule="exact"/>
        <w:ind w:right="1584" w:left="1440" w:firstLine="0"/>
        <w:jc w:val="left"/>
        <w:textAlignment w:val="baseline"/>
        <w:rPr>
          <w:rFonts w:ascii="Arial" w:hAnsi="Arial" w:eastAsia="Arial"/>
          <w:color w:val="000000"/>
          <w:spacing w:val="-1"/>
          <w:w w:val="100"/>
          <w:sz w:val="22"/>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11.75pt;height:14.65pt;z-index:-1;margin-left:527.05pt;margin-top:789.9pt;mso-wrap-distance-left:0pt;mso-wrap-distance-right:0pt;mso-position-horizontal-relative:page;mso-position-vertical-relative:page">
            <w10:wrap type="square" side="both"/>
            <v:fill opacity="1" o:opacity2="1" recolor="f" rotate="f" type="solid"/>
            <v:textbox inset="0pt, 0pt, 0pt, 0pt">
              <w:txbxContent>
                <w:p>
                  <w:pPr>
                    <w:spacing w:before="27" w:after="0" w:line="259" w:lineRule="exact"/>
                    <w:ind w:right="0" w:left="0" w:firstLine="0"/>
                    <w:jc w:val="left"/>
                    <w:textAlignment w:val="baseline"/>
                    <w:rPr>
                      <w:rFonts w:ascii="Calibri Light" w:hAnsi="Calibri Light" w:eastAsia="Calibri Light"/>
                      <w:color w:val="000000"/>
                      <w:spacing w:val="0"/>
                      <w:w w:val="100"/>
                      <w:sz w:val="24"/>
                      <w:vertAlign w:val="baseline"/>
                      <w:lang w:val="en-US"/>
                    </w:rPr>
                  </w:pPr>
                  <w:r>
                    <w:rPr>
                      <w:rFonts w:ascii="Calibri Light" w:hAnsi="Calibri Light" w:eastAsia="Calibri Light"/>
                      <w:color w:val="000000"/>
                      <w:spacing w:val="0"/>
                      <w:w w:val="100"/>
                      <w:sz w:val="24"/>
                      <w:vertAlign w:val="baseline"/>
                      <w:lang w:val="en-US"/>
                    </w:rPr>
                    <w:t xml:space="preserve">1</w:t>
                  </w:r>
                </w:p>
              </w:txbxContent>
            </v:textbox>
          </v:shape>
        </w:pict>
      </w:r>
      <w:r>
        <w:rPr>
          <w:rFonts w:ascii="Arial" w:hAnsi="Arial" w:eastAsia="Arial"/>
          <w:color w:val="000000"/>
          <w:spacing w:val="-1"/>
          <w:w w:val="100"/>
          <w:sz w:val="22"/>
          <w:vertAlign w:val="baseline"/>
          <w:lang w:val="en-US"/>
        </w:rPr>
        <w:t xml:space="preserve">Current social </w:t>
      </w:r>
      <w:r>
        <w:rPr>
          <w:rFonts w:ascii="Arial" w:hAnsi="Arial" w:eastAsia="Arial"/>
          <w:color w:val="000000"/>
          <w:spacing w:val="-1"/>
          <w:w w:val="100"/>
          <w:sz w:val="22"/>
          <w:vertAlign w:val="baseline"/>
          <w:lang w:val="en-US"/>
        </w:rPr>
        <w:t xml:space="preserve">security payments don’t cover the costs of meeting the basics. Government </w:t>
      </w:r>
      <w:r>
        <w:rPr>
          <w:rFonts w:ascii="Arial" w:hAnsi="Arial" w:eastAsia="Arial"/>
          <w:color w:val="000000"/>
          <w:spacing w:val="-1"/>
          <w:w w:val="100"/>
          <w:sz w:val="22"/>
          <w:vertAlign w:val="baseline"/>
          <w:lang w:val="en-US"/>
        </w:rPr>
        <w:t xml:space="preserve">should lift the rate of income support payments, including for student payments, so learners can afford to undertake further education, including student placements. For low-income</w:t>
      </w:r>
    </w:p>
    <w:p>
      <w:pPr>
        <w:sectPr>
          <w:type w:val="nextPage"/>
          <w:pgSz w:w="11899" w:h="16843" w:orient="portrait"/>
          <w:pgMar w:bottom="649" w:top="4294" w:right="0" w:left="0" w:header="720" w:footer="720"/>
          <w:titlePg w:val="false"/>
          <w:textDirection w:val="lrTb"/>
        </w:sectPr>
      </w:pPr>
    </w:p>
    <w:p>
      <w:pPr>
        <w:spacing w:before="20" w:after="0" w:line="251" w:lineRule="exact"/>
        <w:ind w:right="0" w:left="0" w:firstLine="0"/>
        <w:jc w:val="right"/>
        <w:textAlignment w:val="baseline"/>
        <w:rPr>
          <w:rFonts w:ascii="Arial" w:hAnsi="Arial" w:eastAsia="Arial"/>
          <w:b w:val="true"/>
          <w:color w:val="000000"/>
          <w:spacing w:val="0"/>
          <w:w w:val="100"/>
          <w:sz w:val="22"/>
          <w:vertAlign w:val="baseline"/>
          <w:lang w:val="en-US"/>
        </w:rPr>
      </w:pPr>
      <w:hyperlink r:id="dhId1">
        <w:r>
          <w:rPr>
            <w:rFonts w:ascii="Arial" w:hAnsi="Arial" w:eastAsia="Arial"/>
            <w:b w:val="true"/>
            <w:color w:val="0000FF"/>
            <w:spacing w:val="0"/>
            <w:w w:val="100"/>
            <w:sz w:val="22"/>
            <w:u w:val="single"/>
            <w:vertAlign w:val="baseline"/>
            <w:lang w:val="en-US"/>
          </w:rPr>
          <w:t xml:space="preserve">vcoss.org.au</w:t>
        </w:r>
      </w:hyperlink>
      <w:r>
        <w:rPr>
          <w:rFonts w:ascii="Arial" w:hAnsi="Arial" w:eastAsia="Arial"/>
          <w:b w:val="true"/>
          <w:color w:val="000000"/>
          <w:spacing w:val="0"/>
          <w:w w:val="100"/>
          <w:sz w:val="22"/>
          <w:vertAlign w:val="baseline"/>
          <w:lang w:val="en-US"/>
        </w:rPr>
        <w:t xml:space="preserve">
</w:t>
      </w:r>
    </w:p>
    <w:p>
      <w:pPr>
        <w:spacing w:before="448" w:after="0" w:line="329"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earners not eligible for Commonwealth income support, consideration should be given to providing these students with access to a scholarship fund to ensure cost is not a barrier to completing their studies.</w:t>
      </w:r>
    </w:p>
    <w:p>
      <w:pPr>
        <w:spacing w:before="194" w:after="0" w:line="382" w:lineRule="exact"/>
        <w:ind w:right="0" w:left="0" w:firstLine="0"/>
        <w:jc w:val="left"/>
        <w:textAlignment w:val="baseline"/>
        <w:rPr>
          <w:rFonts w:ascii="Arial" w:hAnsi="Arial" w:eastAsia="Arial"/>
          <w:b w:val="true"/>
          <w:color w:val="4B6CB6"/>
          <w:spacing w:val="0"/>
          <w:w w:val="100"/>
          <w:sz w:val="32"/>
          <w:vertAlign w:val="baseline"/>
          <w:lang w:val="en-US"/>
        </w:rPr>
      </w:pPr>
      <w:r>
        <w:rPr>
          <w:rFonts w:ascii="Arial" w:hAnsi="Arial" w:eastAsia="Arial"/>
          <w:b w:val="true"/>
          <w:color w:val="4B6CB6"/>
          <w:spacing w:val="0"/>
          <w:w w:val="100"/>
          <w:sz w:val="32"/>
          <w:vertAlign w:val="baseline"/>
          <w:lang w:val="en-US"/>
        </w:rPr>
        <w:t xml:space="preserve">Part B </w:t>
      </w:r>
      <w:r>
        <w:rPr>
          <w:rFonts w:ascii="Arial" w:hAnsi="Arial" w:eastAsia="Arial"/>
          <w:b w:val="true"/>
          <w:color w:val="4B6CB6"/>
          <w:spacing w:val="0"/>
          <w:w w:val="85"/>
          <w:sz w:val="36"/>
          <w:vertAlign w:val="baseline"/>
          <w:lang w:val="en-US"/>
        </w:rPr>
        <w:t xml:space="preserve">– </w:t>
      </w:r>
      <w:r>
        <w:rPr>
          <w:rFonts w:ascii="Arial" w:hAnsi="Arial" w:eastAsia="Arial"/>
          <w:b w:val="true"/>
          <w:color w:val="4B6CB6"/>
          <w:spacing w:val="0"/>
          <w:w w:val="100"/>
          <w:sz w:val="32"/>
          <w:vertAlign w:val="baseline"/>
          <w:lang w:val="en-US"/>
        </w:rPr>
        <w:t xml:space="preserve">Preparing ITE students to be effective teachers</w:t>
      </w:r>
    </w:p>
    <w:p>
      <w:pPr>
        <w:spacing w:before="269" w:after="0" w:line="331"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Are ITE programs preparing graduates for teaching diverse student cohorts, including through cultural competency and inclusive education?</w:t>
      </w:r>
    </w:p>
    <w:p>
      <w:pPr>
        <w:spacing w:before="322" w:after="0" w:line="275" w:lineRule="exact"/>
        <w:ind w:right="0" w:left="0" w:firstLine="0"/>
        <w:jc w:val="left"/>
        <w:textAlignment w:val="baseline"/>
        <w:rPr>
          <w:rFonts w:ascii="Arial" w:hAnsi="Arial" w:eastAsia="Arial"/>
          <w:color w:val="1F3762"/>
          <w:spacing w:val="0"/>
          <w:w w:val="100"/>
          <w:sz w:val="24"/>
          <w:vertAlign w:val="baseline"/>
          <w:lang w:val="en-US"/>
        </w:rPr>
      </w:pPr>
      <w:r>
        <w:rPr>
          <w:rFonts w:ascii="Arial" w:hAnsi="Arial" w:eastAsia="Arial"/>
          <w:color w:val="1F3762"/>
          <w:spacing w:val="0"/>
          <w:w w:val="100"/>
          <w:sz w:val="24"/>
          <w:vertAlign w:val="baseline"/>
          <w:lang w:val="en-US"/>
        </w:rPr>
        <w:t xml:space="preserve">Students with disability</w:t>
      </w:r>
    </w:p>
    <w:p>
      <w:pPr>
        <w:spacing w:before="362" w:after="0" w:line="329"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Approximately 10 per cent of Australian school students have a disability. The majority attend mainstream schools (89 percent).</w:t>
      </w:r>
      <w:r>
        <w:rPr>
          <w:rFonts w:ascii="Arial" w:hAnsi="Arial" w:eastAsia="Arial"/>
          <w:color w:val="000000"/>
          <w:spacing w:val="0"/>
          <w:w w:val="100"/>
          <w:sz w:val="22"/>
          <w:vertAlign w:val="superscript"/>
          <w:lang w:val="en-US"/>
        </w:rPr>
        <w:t xml:space="preserve">i</w:t>
      </w:r>
      <w:r>
        <w:rPr>
          <w:rFonts w:ascii="Arial" w:hAnsi="Arial" w:eastAsia="Arial"/>
          <w:color w:val="000000"/>
          <w:spacing w:val="0"/>
          <w:w w:val="100"/>
          <w:sz w:val="22"/>
          <w:vertAlign w:val="baseline"/>
          <w:lang w:val="en-US"/>
        </w:rPr>
        <w:t xml:space="preserve"> It is important that initial teacher education better equips the future teaching workforce with skills and knowledge to create inclusive learning environments for students with disability.</w:t>
      </w:r>
    </w:p>
    <w:p>
      <w:pPr>
        <w:spacing w:before="360" w:after="0" w:line="329" w:lineRule="exact"/>
        <w:ind w:right="86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case for improvement is underscored by a range of educational attainment and employment indicators.</w:t>
      </w:r>
    </w:p>
    <w:p>
      <w:pPr>
        <w:spacing w:before="351" w:after="0" w:line="329"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 example, young people with disability aged between 20 </w:t>
      </w:r>
      <w:r>
        <w:rPr>
          <w:rFonts w:ascii="Arial" w:hAnsi="Arial" w:eastAsia="Arial"/>
          <w:color w:val="000000"/>
          <w:spacing w:val="0"/>
          <w:w w:val="100"/>
          <w:sz w:val="24"/>
          <w:vertAlign w:val="baseline"/>
          <w:lang w:val="en-US"/>
        </w:rPr>
        <w:t xml:space="preserve">– </w:t>
      </w:r>
      <w:r>
        <w:rPr>
          <w:rFonts w:ascii="Arial" w:hAnsi="Arial" w:eastAsia="Arial"/>
          <w:color w:val="000000"/>
          <w:spacing w:val="0"/>
          <w:w w:val="100"/>
          <w:sz w:val="22"/>
          <w:vertAlign w:val="baseline"/>
          <w:lang w:val="en-US"/>
        </w:rPr>
        <w:t xml:space="preserve">24 years are 17 per cent less likely to complete Year 12 or equivalent compared with peers who are not disabled (68 per cent to 85 per cent).</w:t>
      </w:r>
      <w:r>
        <w:rPr>
          <w:rFonts w:ascii="Arial" w:hAnsi="Arial" w:eastAsia="Arial"/>
          <w:color w:val="000000"/>
          <w:spacing w:val="0"/>
          <w:w w:val="100"/>
          <w:sz w:val="22"/>
          <w:vertAlign w:val="superscript"/>
          <w:lang w:val="en-US"/>
        </w:rPr>
        <w:t xml:space="preserve">ii</w:t>
      </w:r>
      <w:r>
        <w:rPr>
          <w:rFonts w:ascii="Arial" w:hAnsi="Arial" w:eastAsia="Arial"/>
          <w:color w:val="000000"/>
          <w:spacing w:val="0"/>
          <w:w w:val="100"/>
          <w:sz w:val="14"/>
          <w:vertAlign w:val="baseline"/>
          <w:lang w:val="en-US"/>
        </w:rPr>
        <w:t xml:space="preserve">
</w:t>
      </w:r>
    </w:p>
    <w:p>
      <w:pPr>
        <w:spacing w:before="446"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Education attainment strongly influences employment participation. Data shows that:</w:t>
      </w:r>
    </w:p>
    <w:p>
      <w:pPr>
        <w:numPr>
          <w:ilvl w:val="0"/>
          <w:numId w:val="1"/>
        </w:numPr>
        <w:tabs>
          <w:tab w:val="clear" w:pos="360"/>
          <w:tab w:val="left" w:pos="720"/>
        </w:tabs>
        <w:spacing w:before="339" w:after="0" w:line="329" w:lineRule="exact"/>
        <w:ind w:right="0"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Only 48 per cent of working-aged people with disability are in employment, compared to 80 per cent of people without disability.</w:t>
      </w:r>
      <w:r>
        <w:rPr>
          <w:rFonts w:ascii="Arial" w:hAnsi="Arial" w:eastAsia="Arial"/>
          <w:color w:val="000000"/>
          <w:spacing w:val="0"/>
          <w:w w:val="100"/>
          <w:sz w:val="22"/>
          <w:vertAlign w:val="superscript"/>
          <w:lang w:val="en-US"/>
        </w:rPr>
        <w:t xml:space="preserve">iii</w:t>
      </w:r>
      <w:r>
        <w:rPr>
          <w:rFonts w:ascii="Arial" w:hAnsi="Arial" w:eastAsia="Arial"/>
          <w:color w:val="000000"/>
          <w:spacing w:val="0"/>
          <w:w w:val="100"/>
          <w:sz w:val="14"/>
          <w:vertAlign w:val="baseline"/>
          <w:lang w:val="en-US"/>
        </w:rPr>
        <w:t xml:space="preserve">
</w:t>
      </w:r>
    </w:p>
    <w:p>
      <w:pPr>
        <w:numPr>
          <w:ilvl w:val="0"/>
          <w:numId w:val="1"/>
        </w:numPr>
        <w:tabs>
          <w:tab w:val="clear" w:pos="360"/>
          <w:tab w:val="left" w:pos="720"/>
        </w:tabs>
        <w:spacing w:before="364" w:after="0" w:line="322" w:lineRule="exact"/>
        <w:ind w:right="576" w:left="72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Just under 40 per cent of young people with disability aged 15 </w:t>
      </w:r>
      <w:r>
        <w:rPr>
          <w:rFonts w:ascii="Arial" w:hAnsi="Arial" w:eastAsia="Arial"/>
          <w:color w:val="000000"/>
          <w:spacing w:val="0"/>
          <w:w w:val="100"/>
          <w:sz w:val="24"/>
          <w:vertAlign w:val="baseline"/>
          <w:lang w:val="en-US"/>
        </w:rPr>
        <w:t xml:space="preserve">– </w:t>
      </w:r>
      <w:r>
        <w:rPr>
          <w:rFonts w:ascii="Arial" w:hAnsi="Arial" w:eastAsia="Arial"/>
          <w:color w:val="000000"/>
          <w:spacing w:val="0"/>
          <w:w w:val="100"/>
          <w:sz w:val="22"/>
          <w:vertAlign w:val="baseline"/>
          <w:lang w:val="en-US"/>
        </w:rPr>
        <w:t xml:space="preserve">24 years are in employment, compared to 63 per cent of young people of the same age without disability.</w:t>
      </w:r>
      <w:r>
        <w:rPr>
          <w:rFonts w:ascii="Arial" w:hAnsi="Arial" w:eastAsia="Arial"/>
          <w:color w:val="000000"/>
          <w:spacing w:val="0"/>
          <w:w w:val="100"/>
          <w:sz w:val="22"/>
          <w:vertAlign w:val="superscript"/>
          <w:lang w:val="en-US"/>
        </w:rPr>
        <w:t xml:space="preserve">iv</w:t>
      </w:r>
      <w:r>
        <w:rPr>
          <w:rFonts w:ascii="Arial" w:hAnsi="Arial" w:eastAsia="Arial"/>
          <w:color w:val="000000"/>
          <w:spacing w:val="0"/>
          <w:w w:val="100"/>
          <w:sz w:val="14"/>
          <w:vertAlign w:val="baseline"/>
          <w:lang w:val="en-US"/>
        </w:rPr>
        <w:t xml:space="preserve">
</w:t>
      </w:r>
    </w:p>
    <w:p>
      <w:pPr>
        <w:spacing w:before="441"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better equip the teaching workforce, ITE needs to explicitly include:</w:t>
      </w:r>
    </w:p>
    <w:p>
      <w:pPr>
        <w:numPr>
          <w:ilvl w:val="0"/>
          <w:numId w:val="1"/>
        </w:numPr>
        <w:tabs>
          <w:tab w:val="clear" w:pos="360"/>
          <w:tab w:val="left" w:pos="720"/>
        </w:tabs>
        <w:spacing w:before="378" w:after="0" w:line="329"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human and legal rights of students with disability. At a minimum, all graduating teachers should have a comprehensive understanding of the </w:t>
      </w:r>
      <w:r>
        <w:rPr>
          <w:rFonts w:ascii="Arial" w:hAnsi="Arial" w:eastAsia="Arial"/>
          <w:i w:val="true"/>
          <w:color w:val="000000"/>
          <w:spacing w:val="0"/>
          <w:w w:val="100"/>
          <w:sz w:val="22"/>
          <w:vertAlign w:val="baseline"/>
          <w:lang w:val="en-US"/>
        </w:rPr>
        <w:t xml:space="preserve">Disability Standards for Education 2005</w:t>
      </w:r>
      <w:r>
        <w:rPr>
          <w:rFonts w:ascii="Arial" w:hAnsi="Arial" w:eastAsia="Arial"/>
          <w:color w:val="000000"/>
          <w:spacing w:val="0"/>
          <w:w w:val="100"/>
          <w:sz w:val="22"/>
          <w:vertAlign w:val="baseline"/>
          <w:lang w:val="en-US"/>
        </w:rPr>
        <w:t xml:space="preserve">.</w:t>
      </w:r>
    </w:p>
    <w:p>
      <w:pPr>
        <w:numPr>
          <w:ilvl w:val="0"/>
          <w:numId w:val="1"/>
        </w:numPr>
        <w:tabs>
          <w:tab w:val="clear" w:pos="360"/>
          <w:tab w:val="left" w:pos="720"/>
        </w:tabs>
        <w:spacing w:before="339" w:after="0" w:line="329" w:lineRule="exact"/>
        <w:ind w:right="360" w:left="720" w:hanging="360"/>
        <w:jc w:val="left"/>
        <w:textAlignment w:val="baseline"/>
        <w:rPr>
          <w:rFonts w:ascii="Arial" w:hAnsi="Arial" w:eastAsia="Arial"/>
          <w:color w:val="000000"/>
          <w:spacing w:val="0"/>
          <w:w w:val="100"/>
          <w:sz w:val="22"/>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12.3pt;height:14.65pt;z-index:-1;margin-left:526.65pt;margin-top:789.9pt;mso-wrap-distance-left:0pt;mso-wrap-distance-right:0pt;mso-position-horizontal-relative:page;mso-position-vertical-relative:page">
            <w10:wrap type="square" side="both"/>
            <v:fill opacity="1" o:opacity2="1" recolor="f" rotate="f" type="solid"/>
            <v:textbox inset="0pt, 0pt, 0pt, 0pt">
              <w:txbxContent>
                <w:p>
                  <w:pPr>
                    <w:spacing w:before="27" w:after="0" w:line="259" w:lineRule="exact"/>
                    <w:ind w:right="0" w:left="0" w:firstLine="0"/>
                    <w:jc w:val="left"/>
                    <w:textAlignment w:val="baseline"/>
                    <w:rPr>
                      <w:rFonts w:ascii="Calibri Light" w:hAnsi="Calibri Light" w:eastAsia="Calibri Light"/>
                      <w:color w:val="000000"/>
                      <w:spacing w:val="0"/>
                      <w:w w:val="100"/>
                      <w:sz w:val="24"/>
                      <w:vertAlign w:val="baseline"/>
                      <w:lang w:val="en-US"/>
                    </w:rPr>
                  </w:pPr>
                  <w:r>
                    <w:rPr>
                      <w:rFonts w:ascii="Calibri Light" w:hAnsi="Calibri Light" w:eastAsia="Calibri Light"/>
                      <w:color w:val="000000"/>
                      <w:spacing w:val="0"/>
                      <w:w w:val="100"/>
                      <w:sz w:val="24"/>
                      <w:vertAlign w:val="baseline"/>
                      <w:lang w:val="en-US"/>
                    </w:rPr>
                    <w:t xml:space="preserve">2</w:t>
                  </w:r>
                </w:p>
              </w:txbxContent>
            </v:textbox>
          </v:shape>
        </w:pict>
      </w:r>
      <w:r>
        <w:rPr>
          <w:rFonts w:ascii="Arial" w:hAnsi="Arial" w:eastAsia="Arial"/>
          <w:color w:val="000000"/>
          <w:spacing w:val="0"/>
          <w:w w:val="100"/>
          <w:sz w:val="22"/>
          <w:vertAlign w:val="baseline"/>
          <w:lang w:val="en-US"/>
        </w:rPr>
        <w:t xml:space="preserve">Foundational skills that provide teachers with a robust and practical framework to support a broad range of students with disability.</w:t>
      </w:r>
    </w:p>
    <w:p>
      <w:pPr>
        <w:sectPr>
          <w:type w:val="nextPage"/>
          <w:pgSz w:w="11899" w:h="16843" w:orient="portrait"/>
          <w:pgMar w:bottom="347" w:top="1060" w:right="1444" w:left="1435" w:header="720" w:footer="720"/>
          <w:titlePg w:val="false"/>
          <w:textDirection w:val="lrTb"/>
        </w:sectPr>
      </w:pPr>
    </w:p>
    <w:p>
      <w:pPr>
        <w:spacing w:before="0" w:after="0" w:line="252" w:lineRule="exact"/>
        <w:ind w:right="72" w:left="0" w:firstLine="0"/>
        <w:jc w:val="right"/>
        <w:textAlignment w:val="baseline"/>
        <w:rPr>
          <w:rFonts w:ascii="Arial" w:hAnsi="Arial" w:eastAsia="Arial"/>
          <w:b w:val="true"/>
          <w:color w:val="000000"/>
          <w:spacing w:val="-5"/>
          <w:w w:val="100"/>
          <w:sz w:val="22"/>
          <w:vertAlign w:val="baseline"/>
          <w:lang w:val="en-US"/>
        </w:rPr>
      </w:pPr>
      <w:hyperlink r:id="dhId2">
        <w:r>
          <w:rPr>
            <w:rFonts w:ascii="Arial" w:hAnsi="Arial" w:eastAsia="Arial"/>
            <w:b w:val="true"/>
            <w:color w:val="0000FF"/>
            <w:spacing w:val="-5"/>
            <w:w w:val="100"/>
            <w:sz w:val="22"/>
            <w:u w:val="single"/>
            <w:vertAlign w:val="baseline"/>
            <w:lang w:val="en-US"/>
          </w:rPr>
          <w:t xml:space="preserve">vcoss.org.au</w:t>
        </w:r>
      </w:hyperlink>
      <w:r>
        <w:rPr>
          <w:rFonts w:ascii="Arial" w:hAnsi="Arial" w:eastAsia="Arial"/>
          <w:b w:val="true"/>
          <w:color w:val="000000"/>
          <w:spacing w:val="-5"/>
          <w:w w:val="100"/>
          <w:sz w:val="22"/>
          <w:vertAlign w:val="baseline"/>
          <w:lang w:val="en-US"/>
        </w:rPr>
        <w:t xml:space="preserve">
</w:t>
      </w:r>
    </w:p>
    <w:p>
      <w:pPr>
        <w:numPr>
          <w:ilvl w:val="0"/>
          <w:numId w:val="1"/>
        </w:numPr>
        <w:tabs>
          <w:tab w:val="clear" w:pos="360"/>
          <w:tab w:val="left" w:pos="720"/>
        </w:tabs>
        <w:spacing w:before="1151" w:after="0" w:line="328" w:lineRule="exact"/>
        <w:ind w:right="360" w:left="720" w:hanging="36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 comprehensive understanding (including practical application) of how to provide reasonable adjustments for individual students to meet their learning needs.</w:t>
      </w:r>
    </w:p>
    <w:p>
      <w:pPr>
        <w:spacing w:before="442" w:after="0" w:line="250"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Additionally, ITE should:</w:t>
      </w:r>
    </w:p>
    <w:p>
      <w:pPr>
        <w:numPr>
          <w:ilvl w:val="0"/>
          <w:numId w:val="1"/>
        </w:numPr>
        <w:tabs>
          <w:tab w:val="clear" w:pos="360"/>
          <w:tab w:val="left" w:pos="720"/>
        </w:tabs>
        <w:spacing w:before="377" w:after="0" w:line="328" w:lineRule="exact"/>
        <w:ind w:right="7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Build greater understanding of how negative community attitudes and individual bias can impact on school culture, teaching practice and student outcomes, and create a culture in which new teachers enter the profession with high expectations and aspirations of students with disability.</w:t>
      </w:r>
    </w:p>
    <w:p>
      <w:pPr>
        <w:numPr>
          <w:ilvl w:val="0"/>
          <w:numId w:val="1"/>
        </w:numPr>
        <w:tabs>
          <w:tab w:val="clear" w:pos="360"/>
          <w:tab w:val="left" w:pos="720"/>
        </w:tabs>
        <w:spacing w:before="347" w:after="0" w:line="328" w:lineRule="exact"/>
        <w:ind w:right="7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Equip teachers to understand that students with disability may hold multiple, intersecting identities which may impact their individual learning needs. For example, a student with disability from a culturally and linguistically diverse background whose first language is not English will have a different set of individual learning needs to a student with disability whose first language is English.</w:t>
      </w:r>
    </w:p>
    <w:p>
      <w:pPr>
        <w:spacing w:before="364" w:after="0" w:line="328"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There is also a need for ITE to improve the skills, knowledge and confidence of new teachers to support the learning needs of other students who experience </w:t>
      </w: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or are at risk of </w:t>
      </w: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marginalisation, such as Aboriginal and Torres Strait Islander students and students from culturally and linguistically diverse backgrounds.</w:t>
      </w:r>
    </w:p>
    <w:p>
      <w:pPr>
        <w:spacing w:before="364" w:after="0" w:line="328" w:lineRule="exact"/>
        <w:ind w:right="36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needs to be embedded in the core learning of the ITE (for example, in different pedagogical approaches to teaching literacy and numeracy) rather than through a single, stand-alone unit or subject.</w:t>
      </w:r>
    </w:p>
    <w:p>
      <w:pPr>
        <w:spacing w:before="318" w:after="0" w:line="274" w:lineRule="exact"/>
        <w:ind w:right="72" w:left="0" w:firstLine="0"/>
        <w:jc w:val="left"/>
        <w:textAlignment w:val="baseline"/>
        <w:rPr>
          <w:rFonts w:ascii="Arial" w:hAnsi="Arial" w:eastAsia="Arial"/>
          <w:color w:val="1F3762"/>
          <w:spacing w:val="-1"/>
          <w:w w:val="100"/>
          <w:sz w:val="24"/>
          <w:vertAlign w:val="baseline"/>
          <w:lang w:val="en-US"/>
        </w:rPr>
      </w:pPr>
      <w:r>
        <w:rPr>
          <w:rFonts w:ascii="Arial" w:hAnsi="Arial" w:eastAsia="Arial"/>
          <w:color w:val="1F3762"/>
          <w:spacing w:val="-1"/>
          <w:w w:val="100"/>
          <w:sz w:val="24"/>
          <w:vertAlign w:val="baseline"/>
          <w:lang w:val="en-US"/>
        </w:rPr>
        <w:t xml:space="preserve">Student voice</w:t>
      </w:r>
    </w:p>
    <w:p>
      <w:pPr>
        <w:spacing w:before="366" w:after="0" w:line="328"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When students are empowered to </w:t>
      </w:r>
      <w:r>
        <w:rPr>
          <w:rFonts w:ascii="Arial" w:hAnsi="Arial" w:eastAsia="Arial"/>
          <w:color w:val="000000"/>
          <w:spacing w:val="0"/>
          <w:w w:val="100"/>
          <w:sz w:val="22"/>
          <w:vertAlign w:val="baseline"/>
          <w:lang w:val="en-US"/>
        </w:rPr>
        <w:t xml:space="preserve">‘own’ their learning and development and have a voice </w:t>
      </w:r>
      <w:r>
        <w:rPr>
          <w:rFonts w:ascii="Arial" w:hAnsi="Arial" w:eastAsia="Arial"/>
          <w:color w:val="000000"/>
          <w:spacing w:val="0"/>
          <w:w w:val="100"/>
          <w:sz w:val="22"/>
          <w:vertAlign w:val="baseline"/>
          <w:lang w:val="en-US"/>
        </w:rPr>
        <w:t xml:space="preserve">in decisions about learning, teaching and schooling, this leads to greater student engagement in education, higher self-worth and increased academic motivation.</w:t>
      </w:r>
      <w:r>
        <w:rPr>
          <w:rFonts w:ascii="Arial" w:hAnsi="Arial" w:eastAsia="Arial"/>
          <w:color w:val="000000"/>
          <w:spacing w:val="0"/>
          <w:w w:val="100"/>
          <w:sz w:val="22"/>
          <w:vertAlign w:val="superscript"/>
          <w:lang w:val="en-US"/>
        </w:rPr>
        <w:t xml:space="preserve">v</w:t>
      </w:r>
      <w:r>
        <w:rPr>
          <w:rFonts w:ascii="Arial" w:hAnsi="Arial" w:eastAsia="Arial"/>
          <w:color w:val="000000"/>
          <w:spacing w:val="0"/>
          <w:w w:val="100"/>
          <w:sz w:val="14"/>
          <w:vertAlign w:val="baseline"/>
          <w:lang w:val="en-US"/>
        </w:rPr>
        <w:t xml:space="preserve">
</w:t>
      </w:r>
    </w:p>
    <w:p>
      <w:pPr>
        <w:spacing w:before="364" w:after="0" w:line="328" w:lineRule="exact"/>
        <w:ind w:right="57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ITE should support prospective teachers to understand the principles of amplifying student voice and student empowerment. Practical placements may also provide an opportunity to learn about different student-led models such as the Victorian Student Representative Cou</w:t>
      </w:r>
      <w:r>
        <w:rPr>
          <w:rFonts w:ascii="Arial" w:hAnsi="Arial" w:eastAsia="Arial"/>
          <w:color w:val="000000"/>
          <w:spacing w:val="0"/>
          <w:w w:val="100"/>
          <w:sz w:val="22"/>
          <w:vertAlign w:val="baseline"/>
          <w:lang w:val="en-US"/>
        </w:rPr>
        <w:t xml:space="preserve">ncil’s ‘Teach the Teacher’.</w:t>
      </w:r>
      <w:r>
        <w:rPr>
          <w:rFonts w:ascii="Arial" w:hAnsi="Arial" w:eastAsia="Arial"/>
          <w:color w:val="000000"/>
          <w:spacing w:val="0"/>
          <w:w w:val="100"/>
          <w:sz w:val="22"/>
          <w:vertAlign w:val="superscript"/>
          <w:lang w:val="en-US"/>
        </w:rPr>
        <w:t xml:space="preserve">vi</w:t>
      </w:r>
      <w:r>
        <w:rPr>
          <w:rFonts w:ascii="Arial" w:hAnsi="Arial" w:eastAsia="Arial"/>
          <w:color w:val="000000"/>
          <w:spacing w:val="0"/>
          <w:w w:val="100"/>
          <w:sz w:val="14"/>
          <w:vertAlign w:val="baseline"/>
          <w:lang w:val="en-US"/>
        </w:rPr>
        <w:t xml:space="preserve">
</w:t>
      </w:r>
    </w:p>
    <w:p>
      <w:pPr>
        <w:spacing w:before="363" w:after="0" w:line="328" w:lineRule="exact"/>
        <w:ind w:right="72" w:left="0" w:firstLine="0"/>
        <w:jc w:val="left"/>
        <w:textAlignment w:val="baseline"/>
        <w:rPr>
          <w:rFonts w:ascii="Arial" w:hAnsi="Arial" w:eastAsia="Arial"/>
          <w:color w:val="000000"/>
          <w:spacing w:val="-1"/>
          <w:w w:val="100"/>
          <w:sz w:val="22"/>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12.3pt;height:14.65pt;z-index:-1;margin-left:526.4pt;margin-top:789.9pt;mso-wrap-distance-left:0pt;mso-wrap-distance-right:0pt;mso-position-horizontal-relative:page;mso-position-vertical-relative:page">
            <w10:wrap type="square" side="both"/>
            <v:fill opacity="1" o:opacity2="1" recolor="f" rotate="f" type="solid"/>
            <v:textbox inset="0pt, 0pt, 0pt, 0pt">
              <w:txbxContent>
                <w:p>
                  <w:pPr>
                    <w:spacing w:before="27" w:after="0" w:line="259" w:lineRule="exact"/>
                    <w:ind w:right="0" w:left="0" w:firstLine="0"/>
                    <w:jc w:val="left"/>
                    <w:textAlignment w:val="baseline"/>
                    <w:rPr>
                      <w:rFonts w:ascii="Calibri Light" w:hAnsi="Calibri Light" w:eastAsia="Calibri Light"/>
                      <w:color w:val="000000"/>
                      <w:spacing w:val="0"/>
                      <w:w w:val="100"/>
                      <w:sz w:val="24"/>
                      <w:vertAlign w:val="baseline"/>
                      <w:lang w:val="en-US"/>
                    </w:rPr>
                  </w:pPr>
                  <w:r>
                    <w:rPr>
                      <w:rFonts w:ascii="Calibri Light" w:hAnsi="Calibri Light" w:eastAsia="Calibri Light"/>
                      <w:color w:val="000000"/>
                      <w:spacing w:val="0"/>
                      <w:w w:val="100"/>
                      <w:sz w:val="24"/>
                      <w:vertAlign w:val="baseline"/>
                      <w:lang w:val="en-US"/>
                    </w:rPr>
                    <w:t xml:space="preserve">3</w:t>
                  </w:r>
                </w:p>
              </w:txbxContent>
            </v:textbox>
          </v:shape>
        </w:pict>
      </w:r>
      <w:r>
        <w:rPr>
          <w:rFonts w:ascii="Arial" w:hAnsi="Arial" w:eastAsia="Arial"/>
          <w:color w:val="000000"/>
          <w:spacing w:val="-1"/>
          <w:w w:val="100"/>
          <w:sz w:val="22"/>
          <w:vertAlign w:val="baseline"/>
          <w:lang w:val="en-US"/>
        </w:rPr>
        <w:t xml:space="preserve">Some students may experience discrimination or oppression because of gender, class, ethnicity and cultural background, religion, disability and/or sexual orientation. It is important</w:t>
      </w:r>
    </w:p>
    <w:p>
      <w:pPr>
        <w:sectPr>
          <w:type w:val="nextPage"/>
          <w:pgSz w:w="11899" w:h="16843" w:orient="portrait"/>
          <w:pgMar w:bottom="347" w:top="1060" w:right="1444" w:left="143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7" coordsize="21600,21600" o:spt="202" path="m,l,21600r21600,l21600,xe">
            <v:stroke joinstyle="miter"/>
            <v:path gradientshapeok="t" o:connecttype="rect"/>
          </v:shapetype>
          <v:shape id="_x0000_s6" type="#_x0000_t7" fillcolor="#18B7B3" stroked="f" style="position:absolute;width:448.3pt;height:144.7pt;z-index:-999;margin-left:146.65pt;margin-top:697.45pt;mso-wrap-distance-left:0pt;mso-wrap-distance-right:0pt;mso-position-horizontal-relative:page;mso-position-vertical-relative:page">
            <w10:wrap type="square"/>
            <v:textbox inset="0pt, 0pt, 0pt, 0pt">
              <w:txbxContent/>
            </v:textbox>
          </v:shape>
        </w:pict>
      </w:r>
      <w:r>
        <w:pict>
          <v:shapetype id="_x0000_t8" coordsize="21600,21600" o:spt="202" path="m,l,21600r21600,l21600,xe">
            <v:stroke joinstyle="miter"/>
            <v:path gradientshapeok="t" o:connecttype="rect"/>
          </v:shapetype>
          <v:shape id="_x0000_s7" type="#_x0000_t8" filled="f" stroked="f" style="position:absolute;width:72pt;height:39.75pt;z-index:-1;margin-left:455.05pt;margin-top:53pt;mso-wrap-distance-left:0pt;mso-wrap-distance-right:0pt;mso-position-horizontal-relative:page;mso-position-vertical-relative:page">
            <w10:wrap type="square" side="both"/>
            <v:fill opacity="1" o:opacity2="1" recolor="f" rotate="f" type="solid"/>
            <v:textbox inset="0pt, 0pt, 0pt, 0pt">
              <w:txbxContent>
                <w:p>
                  <w:pPr>
                    <w:spacing w:before="20" w:after="511" w:line="252" w:lineRule="exact"/>
                    <w:ind w:right="0" w:left="0" w:firstLine="0"/>
                    <w:jc w:val="left"/>
                    <w:textAlignment w:val="baseline"/>
                    <w:rPr>
                      <w:rFonts w:ascii="Arial" w:hAnsi="Arial" w:eastAsia="Arial"/>
                      <w:b w:val="true"/>
                      <w:color w:val="000000"/>
                      <w:spacing w:val="-2"/>
                      <w:w w:val="100"/>
                      <w:sz w:val="22"/>
                      <w:vertAlign w:val="baseline"/>
                      <w:lang w:val="en-US"/>
                    </w:rPr>
                  </w:pPr>
                  <w:hyperlink r:id="dhId3">
                    <w:r>
                      <w:rPr>
                        <w:rFonts w:ascii="Arial" w:hAnsi="Arial" w:eastAsia="Arial"/>
                        <w:b w:val="true"/>
                        <w:color w:val="0000FF"/>
                        <w:spacing w:val="-2"/>
                        <w:w w:val="100"/>
                        <w:sz w:val="22"/>
                        <w:u w:val="single"/>
                        <w:vertAlign w:val="baseline"/>
                        <w:lang w:val="en-US"/>
                      </w:rPr>
                      <w:t xml:space="preserve">vcoss.org.au</w:t>
                    </w:r>
                  </w:hyperlink>
                  <w:r>
                    <w:rPr>
                      <w:rFonts w:ascii="Arial" w:hAnsi="Arial" w:eastAsia="Arial"/>
                      <w:b w:val="true"/>
                      <w:color w:val="000000"/>
                      <w:spacing w:val="-2"/>
                      <w:w w:val="100"/>
                      <w:sz w:val="22"/>
                      <w:vertAlign w:val="baseline"/>
                      <w:lang w:val="en-US"/>
                    </w:rPr>
                    <w:t xml:space="preserve">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51pt;height:282.2pt;z-index:-1;margin-left:70.2pt;margin-top:92.75pt;mso-wrap-distance-left:0pt;mso-wrap-distance-right:0pt;mso-position-horizontal-relative:page;mso-position-vertical-relative:page">
            <w10:wrap type="square" side="both"/>
            <v:fill opacity="1" o:opacity2="1" recolor="f" rotate="f" type="solid"/>
            <v:textbox inset="0pt, 0pt, 0pt, 0pt">
              <w:txbxContent>
                <w:p>
                  <w:pPr>
                    <w:spacing w:before="0" w:after="0" w:line="31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that ITE builds an understanding of this, and how different aspects of a student's identity may expose them to overlapping forms of discrimination and marginalisation and - in the context of student voice - silence some voices. Family Safety Victoria has developed a Family Violence Diversity and Intersectionality Framework to assist family violence workforces to understand and develop an intersectional approach to their practice. This type of resource could be relevant for ITE.</w:t>
                  </w:r>
                </w:p>
                <w:p>
                  <w:pPr>
                    <w:spacing w:before="357" w:after="0" w:line="329" w:lineRule="exact"/>
                    <w:ind w:right="57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submission was prepared by Talisha Ohanessian and authorised by VCOSS CEO Emma King. For enquiries please contact Deborah Fewster at </w:t>
                  </w:r>
                  <w:hyperlink r:id="dhId4">
                    <w:r>
                      <w:rPr>
                        <w:rFonts w:ascii="Arial" w:hAnsi="Arial" w:eastAsia="Arial"/>
                        <w:b w:val="true"/>
                        <w:color w:val="0000FF"/>
                        <w:spacing w:val="0"/>
                        <w:w w:val="100"/>
                        <w:sz w:val="22"/>
                        <w:u w:val="single"/>
                        <w:vertAlign w:val="baseline"/>
                        <w:lang w:val="en-US"/>
                      </w:rPr>
                      <w:t xml:space="preserve">deborah.fewster@vcoss.org.au</w:t>
                    </w:r>
                  </w:hyperlink>
                  <w:hyperlink r:id="dhId4">
                    <w:r>
                      <w:rPr>
                        <w:rFonts w:ascii="Arial" w:hAnsi="Arial" w:eastAsia="Arial"/>
                        <w:color w:val="0000FF"/>
                        <w:spacing w:val="0"/>
                        <w:w w:val="100"/>
                        <w:sz w:val="22"/>
                        <w:u w:val="single"/>
                        <w:vertAlign w:val="baseline"/>
                        <w:lang w:val="en-US"/>
                      </w:rPr>
                      <w:t xml:space="preserve">.</w:t>
                    </w:r>
                  </w:hyperlink>
                  <w:r>
                    <w:rPr>
                      <w:rFonts w:ascii="Arial" w:hAnsi="Arial" w:eastAsia="Arial"/>
                      <w:color w:val="F16721"/>
                      <w:spacing w:val="0"/>
                      <w:w w:val="100"/>
                      <w:sz w:val="22"/>
                      <w:vertAlign w:val="baseline"/>
                      <w:lang w:val="en-US"/>
                    </w:rPr>
                    <w:t xml:space="preserve">
</w:t>
                  </w:r>
                </w:p>
                <w:p>
                  <w:pPr>
                    <w:spacing w:before="439" w:after="1697"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fully-accessible version is available online at</w:t>
                  </w:r>
                  <w:hyperlink r:id="dhId5">
                    <w:r>
                      <w:rPr>
                        <w:rFonts w:ascii="Arial" w:hAnsi="Arial" w:eastAsia="Arial"/>
                        <w:b w:val="true"/>
                        <w:color w:val="0000FF"/>
                        <w:spacing w:val="0"/>
                        <w:w w:val="100"/>
                        <w:sz w:val="22"/>
                        <w:u w:val="single"/>
                        <w:vertAlign w:val="baseline"/>
                        <w:lang w:val="en-US"/>
                      </w:rPr>
                      <w:t xml:space="preserve"> vcoss.org.au/policy</w:t>
                    </w:r>
                  </w:hyperlink>
                  <w:hyperlink r:id="dhId5">
                    <w:r>
                      <w:rPr>
                        <w:rFonts w:ascii="Arial" w:hAnsi="Arial" w:eastAsia="Arial"/>
                        <w:color w:val="0000FF"/>
                        <w:spacing w:val="0"/>
                        <w:w w:val="100"/>
                        <w:sz w:val="22"/>
                        <w:u w:val="single"/>
                        <w:vertAlign w:val="baseline"/>
                        <w:lang w:val="en-US"/>
                      </w:rPr>
                      <w:t xml:space="preserve">.</w:t>
                    </w:r>
                  </w:hyperlink>
                  <w:r>
                    <w:rPr>
                      <w:rFonts w:ascii="Arial" w:hAnsi="Arial" w:eastAsia="Arial"/>
                      <w:color w:val="F16721"/>
                      <w:spacing w:val="0"/>
                      <w:w w:val="100"/>
                      <w:sz w:val="22"/>
                      <w:vertAlign w:val="baseline"/>
                      <w:lang w:val="en-US"/>
                    </w:rPr>
                    <w:t xml:space="preserve">
</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51pt;height:322.5pt;z-index:-1;margin-left:70.2pt;margin-top:374.95pt;mso-wrap-distance-left:0pt;mso-wrap-distance-right:0pt;mso-position-horizontal-relative:page;mso-position-vertical-relative:page">
            <w10:wrap type="square" side="both"/>
            <v:fill opacity="1" o:opacity2="1" recolor="f" rotate="f" type="solid"/>
            <v:textbox inset="0pt, 0pt, 0pt, 0pt">
              <w:txbxContent>
                <w:p>
                  <w:pPr>
                    <w:spacing w:before="113" w:after="0" w:line="183"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i</w:t>
                  </w:r>
                  <w:r>
                    <w:rPr>
                      <w:rFonts w:ascii="Arial" w:hAnsi="Arial" w:eastAsia="Arial"/>
                      <w:color w:val="000000"/>
                      <w:spacing w:val="0"/>
                      <w:w w:val="100"/>
                      <w:sz w:val="16"/>
                      <w:vertAlign w:val="baseline"/>
                      <w:lang w:val="en-US"/>
                    </w:rPr>
                    <w:t xml:space="preserve"> Australian Institute of Health and Welfare, </w:t>
                  </w:r>
                  <w:r>
                    <w:rPr>
                      <w:rFonts w:ascii="Arial" w:hAnsi="Arial" w:eastAsia="Arial"/>
                      <w:i w:val="true"/>
                      <w:color w:val="000000"/>
                      <w:spacing w:val="0"/>
                      <w:w w:val="100"/>
                      <w:sz w:val="16"/>
                      <w:vertAlign w:val="baseline"/>
                      <w:lang w:val="en-US"/>
                    </w:rPr>
                    <w:t xml:space="preserve">People with disability in Australia: in brief</w:t>
                  </w:r>
                  <w:r>
                    <w:rPr>
                      <w:rFonts w:ascii="Arial" w:hAnsi="Arial" w:eastAsia="Arial"/>
                      <w:color w:val="000000"/>
                      <w:spacing w:val="0"/>
                      <w:w w:val="100"/>
                      <w:sz w:val="16"/>
                      <w:vertAlign w:val="baseline"/>
                      <w:lang w:val="en-US"/>
                    </w:rPr>
                    <w:t xml:space="preserve">, 2020.</w:t>
                  </w:r>
                </w:p>
                <w:p>
                  <w:pPr>
                    <w:spacing w:before="4" w:after="0" w:line="183"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ii</w:t>
                  </w:r>
                  <w:r>
                    <w:rPr>
                      <w:rFonts w:ascii="Arial" w:hAnsi="Arial" w:eastAsia="Arial"/>
                      <w:color w:val="000000"/>
                      <w:spacing w:val="0"/>
                      <w:w w:val="100"/>
                      <w:sz w:val="16"/>
                      <w:vertAlign w:val="baseline"/>
                      <w:lang w:val="en-US"/>
                    </w:rPr>
                    <w:t xml:space="preserve"> Australian Institute of Health and Welfare, People with disability in Australia 2020: in brief, 2 October 2020,</w:t>
                  </w:r>
                </w:p>
                <w:p>
                  <w:pPr>
                    <w:spacing w:before="0" w:after="0" w:line="182" w:lineRule="exact"/>
                    <w:ind w:right="288"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&lt;</w:t>
                  </w:r>
                  <w:hyperlink r:id="dhId6">
                    <w:r>
                      <w:rPr>
                        <w:rFonts w:ascii="Arial" w:hAnsi="Arial" w:eastAsia="Arial"/>
                        <w:color w:val="0000FF"/>
                        <w:spacing w:val="0"/>
                        <w:w w:val="100"/>
                        <w:sz w:val="16"/>
                        <w:u w:val="single"/>
                        <w:vertAlign w:val="baseline"/>
                        <w:lang w:val="en-US"/>
                      </w:rPr>
                      <w:t xml:space="preserve">https://www.aihw.gov.au/reports/disability/people-with-disability-in-australia-2020-in-brief/contents/education</w:t>
                    </w:r>
                  </w:hyperlink>
                  <w:r>
                    <w:rPr>
                      <w:rFonts w:ascii="Arial" w:hAnsi="Arial" w:eastAsia="Arial"/>
                      <w:color w:val="000000"/>
                      <w:spacing w:val="0"/>
                      <w:w w:val="100"/>
                      <w:sz w:val="16"/>
                      <w:vertAlign w:val="baseline"/>
                      <w:lang w:val="en-US"/>
                    </w:rPr>
                    <w:t xml:space="preserve">&gt;, accessed 9 July 2021.</w:t>
                  </w:r>
                </w:p>
                <w:p>
                  <w:pPr>
                    <w:spacing w:before="3" w:after="0" w:line="183" w:lineRule="exact"/>
                    <w:ind w:right="360" w:left="0" w:firstLine="0"/>
                    <w:jc w:val="left"/>
                    <w:textAlignment w:val="baseline"/>
                    <w:rPr>
                      <w:rFonts w:ascii="Arial" w:hAnsi="Arial" w:eastAsia="Arial"/>
                      <w:color w:val="000000"/>
                      <w:spacing w:val="0"/>
                      <w:w w:val="100"/>
                      <w:sz w:val="10"/>
                      <w:vertAlign w:val="baseline"/>
                      <w:lang w:val="en-US"/>
                    </w:rPr>
                  </w:pPr>
                  <w:r>
                    <w:rPr>
                      <w:rFonts w:ascii="Arial" w:hAnsi="Arial" w:eastAsia="Arial"/>
                      <w:color w:val="000000"/>
                      <w:spacing w:val="0"/>
                      <w:w w:val="100"/>
                      <w:sz w:val="10"/>
                      <w:vertAlign w:val="baseline"/>
                      <w:lang w:val="en-US"/>
                    </w:rPr>
                    <w:t xml:space="preserve">iii </w:t>
                  </w:r>
                  <w:r>
                    <w:rPr>
                      <w:rFonts w:ascii="Arial" w:hAnsi="Arial" w:eastAsia="Arial"/>
                      <w:color w:val="000000"/>
                      <w:spacing w:val="0"/>
                      <w:w w:val="100"/>
                      <w:sz w:val="16"/>
                      <w:vertAlign w:val="baseline"/>
                      <w:lang w:val="en-US"/>
                    </w:rPr>
                    <w:t xml:space="preserve">Australian Institute of Health and Welfare, People with disability in Australia, 2 October 2020, &lt;</w:t>
                  </w:r>
                  <w:hyperlink r:id="dhId7">
                    <w:r>
                      <w:rPr>
                        <w:rFonts w:ascii="Arial" w:hAnsi="Arial" w:eastAsia="Arial"/>
                        <w:color w:val="0000FF"/>
                        <w:spacing w:val="0"/>
                        <w:w w:val="100"/>
                        <w:sz w:val="16"/>
                        <w:u w:val="single"/>
                        <w:vertAlign w:val="baseline"/>
                        <w:lang w:val="en-US"/>
                      </w:rPr>
                      <w:t xml:space="preserve">https://www.aihw.gov.au/reports/disability/people-with-disability-in-australia/contents/people-with-disability/prevalence-of-disability</w:t>
                    </w:r>
                  </w:hyperlink>
                  <w:r>
                    <w:rPr>
                      <w:rFonts w:ascii="Arial" w:hAnsi="Arial" w:eastAsia="Arial"/>
                      <w:color w:val="000000"/>
                      <w:spacing w:val="0"/>
                      <w:w w:val="100"/>
                      <w:sz w:val="16"/>
                      <w:vertAlign w:val="baseline"/>
                      <w:lang w:val="en-US"/>
                    </w:rPr>
                    <w:t xml:space="preserve">&gt;, accessed 9 July 2021.</w:t>
                  </w:r>
                </w:p>
                <w:p>
                  <w:pPr>
                    <w:spacing w:before="3" w:after="0" w:line="183" w:lineRule="exact"/>
                    <w:ind w:right="288"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iv</w:t>
                  </w:r>
                  <w:r>
                    <w:rPr>
                      <w:rFonts w:ascii="Arial" w:hAnsi="Arial" w:eastAsia="Arial"/>
                      <w:color w:val="000000"/>
                      <w:spacing w:val="0"/>
                      <w:w w:val="100"/>
                      <w:sz w:val="16"/>
                      <w:vertAlign w:val="baseline"/>
                      <w:lang w:val="en-US"/>
                    </w:rPr>
                    <w:t xml:space="preserve"> Australian Institute of Health and Welfare, People with disability in Australia. Working full- or part-time, 2 October 2020, &lt;</w:t>
                  </w:r>
                  <w:hyperlink r:id="dhId8">
                    <w:r>
                      <w:rPr>
                        <w:rFonts w:ascii="Arial" w:hAnsi="Arial" w:eastAsia="Arial"/>
                        <w:color w:val="0000FF"/>
                        <w:spacing w:val="0"/>
                        <w:w w:val="100"/>
                        <w:sz w:val="16"/>
                        <w:u w:val="single"/>
                        <w:vertAlign w:val="baseline"/>
                        <w:lang w:val="en-US"/>
                      </w:rPr>
                      <w:t xml:space="preserve">https://www.aihw.gov.au/reports/dis/73-1/people-with-disability-in-australia/contents-1/employment/employment-rate-and-type#Working%20full-%20or%20part-time</w:t>
                    </w:r>
                  </w:hyperlink>
                  <w:r>
                    <w:rPr>
                      <w:rFonts w:ascii="Arial" w:hAnsi="Arial" w:eastAsia="Arial"/>
                      <w:color w:val="000000"/>
                      <w:spacing w:val="0"/>
                      <w:w w:val="100"/>
                      <w:sz w:val="16"/>
                      <w:vertAlign w:val="baseline"/>
                      <w:lang w:val="en-US"/>
                    </w:rPr>
                    <w:t xml:space="preserve">&gt;, accessed 9 July 2021.</w:t>
                  </w:r>
                </w:p>
                <w:p>
                  <w:pPr>
                    <w:spacing w:before="4" w:after="0" w:line="183"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v</w:t>
                  </w:r>
                  <w:r>
                    <w:rPr>
                      <w:rFonts w:ascii="Arial" w:hAnsi="Arial" w:eastAsia="Arial"/>
                      <w:color w:val="000000"/>
                      <w:spacing w:val="0"/>
                      <w:w w:val="100"/>
                      <w:sz w:val="16"/>
                      <w:vertAlign w:val="baseline"/>
                      <w:lang w:val="en-US"/>
                    </w:rPr>
                    <w:t xml:space="preserve"> Victorian Department of Education and Training, </w:t>
                  </w:r>
                  <w:r>
                    <w:rPr>
                      <w:rFonts w:ascii="Arial" w:hAnsi="Arial" w:eastAsia="Arial"/>
                      <w:i w:val="true"/>
                      <w:color w:val="000000"/>
                      <w:spacing w:val="0"/>
                      <w:w w:val="100"/>
                      <w:sz w:val="16"/>
                      <w:vertAlign w:val="baseline"/>
                      <w:lang w:val="en-US"/>
                    </w:rPr>
                    <w:t xml:space="preserve">Amplify: Empowering students through voice, agency and leadership</w:t>
                  </w:r>
                  <w:r>
                    <w:rPr>
                      <w:rFonts w:ascii="Arial" w:hAnsi="Arial" w:eastAsia="Arial"/>
                      <w:color w:val="000000"/>
                      <w:spacing w:val="0"/>
                      <w:w w:val="100"/>
                      <w:sz w:val="16"/>
                      <w:vertAlign w:val="baseline"/>
                      <w:lang w:val="en-US"/>
                    </w:rPr>
                    <w:t xml:space="preserve">, 2019.</w:t>
                  </w:r>
                </w:p>
                <w:p>
                  <w:pPr>
                    <w:spacing w:before="0" w:after="4118" w:line="183"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vi</w:t>
                  </w:r>
                  <w:r>
                    <w:rPr>
                      <w:rFonts w:ascii="Arial" w:hAnsi="Arial" w:eastAsia="Arial"/>
                      <w:color w:val="000000"/>
                      <w:spacing w:val="0"/>
                      <w:w w:val="100"/>
                      <w:sz w:val="16"/>
                      <w:vertAlign w:val="baseline"/>
                      <w:lang w:val="en-US"/>
                    </w:rPr>
                    <w:t xml:space="preserve"> VicSRC, Teach the Teacher, &lt;</w:t>
                  </w:r>
                  <w:hyperlink r:id="dhId9">
                    <w:r>
                      <w:rPr>
                        <w:rFonts w:ascii="Arial" w:hAnsi="Arial" w:eastAsia="Arial"/>
                        <w:color w:val="0000FF"/>
                        <w:spacing w:val="0"/>
                        <w:w w:val="100"/>
                        <w:sz w:val="16"/>
                        <w:u w:val="single"/>
                        <w:vertAlign w:val="baseline"/>
                        <w:lang w:val="en-US"/>
                      </w:rPr>
                      <w:t xml:space="preserve">https://www.vicsrc.org.au/teach-the-teacher</w:t>
                    </w:r>
                  </w:hyperlink>
                  <w:r>
                    <w:rPr>
                      <w:rFonts w:ascii="Arial" w:hAnsi="Arial" w:eastAsia="Arial"/>
                      <w:color w:val="000000"/>
                      <w:spacing w:val="0"/>
                      <w:w w:val="100"/>
                      <w:sz w:val="16"/>
                      <w:vertAlign w:val="baseline"/>
                      <w:lang w:val="en-US"/>
                    </w:rPr>
                    <w:t xml:space="preserve">&gt;, accessed 9 July 2021.</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97pt;height:144.7pt;z-index:-1;margin-left:197.95pt;margin-top:697.45pt;mso-wrap-distance-left:0pt;mso-wrap-distance-right:0pt;mso-position-horizontal-relative:page;mso-position-vertical-relative:page">
            <w10:wrap type="square" side="both"/>
            <v:fill opacity="1" o:opacity2="1" recolor="f" rotate="f" type="solid"/>
            <v:textbox inset="0pt, 0pt, 0pt, 0pt">
              <w:txbxContent>
                <w:p>
                  <w:pPr>
                    <w:spacing w:before="716" w:after="0" w:line="276" w:lineRule="exact"/>
                    <w:ind w:right="0" w:left="0" w:firstLine="0"/>
                    <w:jc w:val="left"/>
                    <w:textAlignment w:val="baseline"/>
                    <w:rPr>
                      <w:rFonts w:ascii="Arial" w:hAnsi="Arial" w:eastAsia="Arial"/>
                      <w:b w:val="true"/>
                      <w:color w:val="FFFFFF"/>
                      <w:spacing w:val="0"/>
                      <w:w w:val="100"/>
                      <w:sz w:val="24"/>
                      <w:shd w:val="solid" w:color="18B7B3" w:fill="18B7B3"/>
                      <w:vertAlign w:val="baseline"/>
                      <w:lang w:val="en-US"/>
                    </w:rPr>
                  </w:pPr>
                  <w:r>
                    <w:rPr>
                      <w:rFonts w:ascii="Arial" w:hAnsi="Arial" w:eastAsia="Arial"/>
                      <w:b w:val="true"/>
                      <w:color w:val="FFFFFF"/>
                      <w:spacing w:val="0"/>
                      <w:w w:val="100"/>
                      <w:sz w:val="24"/>
                      <w:shd w:val="solid" w:color="18B7B3" w:fill="18B7B3"/>
                      <w:vertAlign w:val="baseline"/>
                      <w:lang w:val="en-US"/>
                    </w:rPr>
                    <w:t xml:space="preserve">/vcoss</w:t>
                  </w:r>
                </w:p>
                <w:p>
                  <w:pPr>
                    <w:spacing w:before="180" w:after="0" w:line="276" w:lineRule="exact"/>
                    <w:ind w:right="0" w:left="0" w:firstLine="0"/>
                    <w:jc w:val="left"/>
                    <w:textAlignment w:val="baseline"/>
                    <w:rPr>
                      <w:rFonts w:ascii="Arial" w:hAnsi="Arial" w:eastAsia="Arial"/>
                      <w:b w:val="true"/>
                      <w:color w:val="FFFFFF"/>
                      <w:spacing w:val="-1"/>
                      <w:w w:val="100"/>
                      <w:sz w:val="24"/>
                      <w:shd w:val="solid" w:color="18B7B3" w:fill="18B7B3"/>
                      <w:vertAlign w:val="baseline"/>
                      <w:lang w:val="en-US"/>
                    </w:rPr>
                  </w:pPr>
                  <w:r>
                    <w:rPr>
                      <w:rFonts w:ascii="Arial" w:hAnsi="Arial" w:eastAsia="Arial"/>
                      <w:b w:val="true"/>
                      <w:color w:val="FFFFFF"/>
                      <w:spacing w:val="-1"/>
                      <w:w w:val="100"/>
                      <w:sz w:val="24"/>
                      <w:shd w:val="solid" w:color="18B7B3" w:fill="18B7B3"/>
                      <w:vertAlign w:val="baseline"/>
                      <w:lang w:val="en-US"/>
                    </w:rPr>
                    <w:t xml:space="preserve">@vcoss</w:t>
                  </w:r>
                </w:p>
                <w:p>
                  <w:pPr>
                    <w:spacing w:before="0" w:after="524" w:line="456" w:lineRule="exact"/>
                    <w:ind w:right="0" w:left="0" w:firstLine="0"/>
                    <w:jc w:val="left"/>
                    <w:textAlignment w:val="baseline"/>
                    <w:rPr>
                      <w:rFonts w:ascii="Arial" w:hAnsi="Arial" w:eastAsia="Arial"/>
                      <w:b w:val="true"/>
                      <w:color w:val="FFFFFF"/>
                      <w:spacing w:val="0"/>
                      <w:w w:val="100"/>
                      <w:sz w:val="24"/>
                      <w:shd w:val="solid" w:color="18B7B3" w:fill="18B7B3"/>
                      <w:vertAlign w:val="baseline"/>
                      <w:lang w:val="en-US"/>
                    </w:rPr>
                  </w:pPr>
                  <w:r>
                    <w:rPr>
                      <w:rFonts w:ascii="Arial" w:hAnsi="Arial" w:eastAsia="Arial"/>
                      <w:b w:val="true"/>
                      <w:color w:val="FFFFFF"/>
                      <w:spacing w:val="0"/>
                      <w:w w:val="100"/>
                      <w:sz w:val="24"/>
                      <w:shd w:val="solid" w:color="18B7B3" w:fill="18B7B3"/>
                      <w:vertAlign w:val="baseline"/>
                      <w:lang w:val="en-US"/>
                    </w:rPr>
                    <w:t xml:space="preserve">ChannelVCOSS</w:t>
                    <w:br/>
                  </w:r>
                  <w:hyperlink r:id="dhId10">
                    <w:r>
                      <w:rPr>
                        <w:rFonts w:ascii="Arial" w:hAnsi="Arial" w:eastAsia="Arial"/>
                        <w:b w:val="true"/>
                        <w:color w:val="0000FF"/>
                        <w:spacing w:val="0"/>
                        <w:w w:val="100"/>
                        <w:sz w:val="24"/>
                        <w:u w:val="single"/>
                        <w:shd w:val="solid" w:color="18B7B3" w:fill="18B7B3"/>
                        <w:vertAlign w:val="baseline"/>
                        <w:lang w:val="en-US"/>
                      </w:rPr>
                      <w:t xml:space="preserve">vcoss.org.au</w:t>
                    </w:r>
                  </w:hyperlink>
                  <w:r>
                    <w:rPr>
                      <w:rFonts w:ascii="Arial" w:hAnsi="Arial" w:eastAsia="Arial"/>
                      <w:b w:val="true"/>
                      <w:color w:val="FFFFFF"/>
                      <w:spacing w:val="0"/>
                      <w:w w:val="100"/>
                      <w:sz w:val="24"/>
                      <w:shd w:val="solid" w:color="18B7B3" w:fill="18B7B3"/>
                      <w:vertAlign w:val="baseline"/>
                      <w:lang w:val="en-US"/>
                    </w:rPr>
                    <w:t xml:space="preserve">
</w:t>
                  </w:r>
                </w:p>
              </w:txbxContent>
            </v:textbox>
          </v:shape>
        </w:pict>
      </w:r>
      <w:r>
        <w:pict>
          <v:shapetype id="_x0000_t12" coordsize="21600,21600" o:spt="202" path="m,l,21600r21600,l21600,xe">
            <v:stroke joinstyle="miter"/>
            <v:path gradientshapeok="t" o:connecttype="rect"/>
          </v:shapetype>
          <v:shape id="_x0000_s11" type="#_x0000_t12" fillcolor="#FFFFFF" stroked="f" style="position:absolute;width:18.25pt;height:85.45pt;z-index:-999;margin-left:168.95pt;margin-top:730.8pt;mso-wrap-distance-left:0pt;mso-wrap-distance-right:0pt;mso-position-horizontal-relative:page;mso-position-vertical-relative:page">
            <w10:wrap type="square" side="both"/>
            <v:textbox inset="0pt, 0pt, 0pt, 0pt">
              <w:txbxContent>
                <w:p>
                  <w:pPr>
                    <w:spacing w:before="0" w:after="0" w:line="240" w:lineRule="auto"/>
                    <w:ind w:right="0" w:left="0"/>
                    <w:jc w:val="left"/>
                    <w:textAlignment w:val="baseline"/>
                  </w:pPr>
                  <w:r>
                    <w:drawing>
                      <wp:inline>
                        <wp:extent cx="231775" cy="108521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31775" cy="1085215"/>
                                </a:xfrm>
                                <a:prstGeom prst="rect"/>
                              </pic:spPr>
                            </pic:pic>
                          </a:graphicData>
                        </a:graphic>
                      </wp:inline>
                    </w:drawing>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67.2pt;height:88.6pt;z-index:-999;margin-left:38.4pt;margin-top:726.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853440" cy="112522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853440" cy="1125220"/>
                                </a:xfrm>
                                <a:prstGeom prst="rect"/>
                              </pic:spPr>
                            </pic:pic>
                          </a:graphicData>
                        </a:graphic>
                      </wp:inline>
                    </w:drawing>
                  </w:r>
                </w:p>
              </w:txbxContent>
            </v:textbox>
          </v:shape>
        </w:pict>
      </w:r>
      <w:r>
        <w:pict>
          <v:line strokeweight="0.7pt" strokecolor="#000000" from="70.2pt,375.35pt" to="216.3pt,375.35pt" style="position:absolute;mso-position-horizontal-relative:page;mso-position-vertical-relative:page;">
            <v:stroke dashstyle="solid"/>
          </v:line>
        </w:pict>
      </w:r>
    </w:p>
    <w:sectPr>
      <w:type w:val="nextPage"/>
      <w:pgSz w:w="11899" w:h="16843" w:orient="portrait"/>
      <w:pgMar w:bottom="229" w:top="772" w:right="0" w:left="140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Light">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vcoss.org.au"/><Relationship Id="dhId2" Type="http://schemas.openxmlformats.org/officeDocument/2006/relationships/hyperlink" TargetMode="External" Target="http://vcoss.org.au"/><Relationship Id="dhId3" Type="http://schemas.openxmlformats.org/officeDocument/2006/relationships/hyperlink" TargetMode="External" Target="http://vcoss.org.au"/><Relationship Id="dhId4" Type="http://schemas.openxmlformats.org/officeDocument/2006/relationships/hyperlink" TargetMode="External" Target="mailto:deborah.fewster@vcoss.org.au"/><Relationship Id="dhId5" Type="http://schemas.openxmlformats.org/officeDocument/2006/relationships/hyperlink" TargetMode="External" Target="https://www/vcoss.org.au/policy"/><Relationship Id="dhId6" Type="http://schemas.openxmlformats.org/officeDocument/2006/relationships/hyperlink" TargetMode="External" Target="https://www.aihw.gov.au/reports/disability/people-with-disability-in-australia-2020-in-brief/contents/education"/><Relationship Id="dhId7" Type="http://schemas.openxmlformats.org/officeDocument/2006/relationships/hyperlink" TargetMode="External" Target="https://www.aihw.gov.au/reports/disability/people-with-disability-in-australia/contents/people-with-disability/prevalence-of-disability"/><Relationship Id="dhId8" Type="http://schemas.openxmlformats.org/officeDocument/2006/relationships/hyperlink" TargetMode="External" Target="https://www.aihw.gov.au/reports/dis/73-1/people-with-disability-in-australia/contents-1/employment/employment-rate-and-type#Working%20full-%20or%20part-time"/><Relationship Id="dhId9" Type="http://schemas.openxmlformats.org/officeDocument/2006/relationships/hyperlink" TargetMode="External" Target="https://www.vicsrc.org.au/teach-the-teacher"/><Relationship Id="dhId10" Type="http://schemas.openxmlformats.org/officeDocument/2006/relationships/hyperlink" TargetMode="External" Target="http://vcoss.org.au"/><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Talisha Ohanessian</dc:creator>
  <dcterms:created xsi:type="dcterms:W3CDTF">2021-10-05T05:32:32Z</dcterms:created>
  <dcterms:modified xsi:type="dcterms:W3CDTF">2021-10-05T05:32:32Z</dcterms:modified>
</cp:coreProperties>
</file>