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58B62" w14:textId="77777777" w:rsidR="00445DCD" w:rsidRDefault="00515713" w:rsidP="00445DCD">
      <w:pPr>
        <w:pStyle w:val="NormalWeb"/>
        <w:shd w:val="clear" w:color="auto" w:fill="FFFFFF"/>
        <w:rPr>
          <w:rFonts w:asciiTheme="minorHAnsi" w:hAnsiTheme="minorHAnsi" w:cstheme="minorHAnsi"/>
          <w:color w:val="000000"/>
        </w:rPr>
      </w:pPr>
      <w:r w:rsidRPr="00445DCD">
        <w:rPr>
          <w:rFonts w:asciiTheme="minorHAnsi" w:hAnsiTheme="minorHAnsi" w:cstheme="minorHAnsi"/>
          <w:b/>
          <w:bCs/>
          <w:color w:val="000000"/>
          <w:u w:val="single"/>
        </w:rPr>
        <w:t>Attn</w:t>
      </w:r>
      <w:r w:rsidRPr="00445DCD">
        <w:rPr>
          <w:rFonts w:asciiTheme="minorHAnsi" w:hAnsiTheme="minorHAnsi" w:cstheme="minorHAnsi"/>
          <w:color w:val="000000"/>
        </w:rPr>
        <w:t xml:space="preserve">: </w:t>
      </w:r>
    </w:p>
    <w:p w14:paraId="5A7D5846" w14:textId="7B5BCE48" w:rsidR="00445DCD" w:rsidRPr="00726DA7" w:rsidRDefault="00515713" w:rsidP="00445DCD">
      <w:pPr>
        <w:pStyle w:val="NormalWeb"/>
        <w:shd w:val="clear" w:color="auto" w:fill="FFFFFF"/>
        <w:rPr>
          <w:rFonts w:asciiTheme="minorHAnsi" w:hAnsiTheme="minorHAnsi" w:cstheme="minorHAnsi"/>
          <w:color w:val="000000"/>
          <w:sz w:val="22"/>
          <w:szCs w:val="22"/>
        </w:rPr>
      </w:pPr>
      <w:r w:rsidRPr="00726DA7">
        <w:rPr>
          <w:rFonts w:asciiTheme="minorHAnsi" w:hAnsiTheme="minorHAnsi" w:cstheme="minorHAnsi"/>
          <w:color w:val="000000"/>
          <w:sz w:val="22"/>
          <w:szCs w:val="22"/>
        </w:rPr>
        <w:t>Quality Initial Teacher Education Review Secretariat C50MA8</w:t>
      </w:r>
    </w:p>
    <w:p w14:paraId="48B0ABF8" w14:textId="77777777" w:rsidR="00401515" w:rsidRDefault="00515713" w:rsidP="00726DA7">
      <w:pPr>
        <w:pStyle w:val="NormalWeb"/>
        <w:shd w:val="clear" w:color="auto" w:fill="FFFFFF"/>
        <w:rPr>
          <w:rFonts w:asciiTheme="minorHAnsi" w:hAnsiTheme="minorHAnsi" w:cstheme="minorHAnsi"/>
          <w:color w:val="000000"/>
          <w:sz w:val="22"/>
          <w:szCs w:val="22"/>
        </w:rPr>
      </w:pPr>
      <w:r w:rsidRPr="00726DA7">
        <w:rPr>
          <w:rFonts w:asciiTheme="minorHAnsi" w:hAnsiTheme="minorHAnsi" w:cstheme="minorHAnsi"/>
          <w:color w:val="000000"/>
          <w:sz w:val="22"/>
          <w:szCs w:val="22"/>
        </w:rPr>
        <w:t xml:space="preserve">Department of Education, Skills and Employment </w:t>
      </w:r>
    </w:p>
    <w:p w14:paraId="39506DC5" w14:textId="38ABA4BD" w:rsidR="00515713" w:rsidRPr="00726DA7" w:rsidRDefault="00515713" w:rsidP="00726DA7">
      <w:pPr>
        <w:pStyle w:val="NormalWeb"/>
        <w:shd w:val="clear" w:color="auto" w:fill="FFFFFF"/>
        <w:rPr>
          <w:rFonts w:asciiTheme="minorHAnsi" w:hAnsiTheme="minorHAnsi" w:cstheme="minorHAnsi"/>
          <w:color w:val="000000"/>
          <w:sz w:val="22"/>
          <w:szCs w:val="22"/>
        </w:rPr>
      </w:pPr>
      <w:r w:rsidRPr="00726DA7">
        <w:rPr>
          <w:rFonts w:asciiTheme="minorHAnsi" w:hAnsiTheme="minorHAnsi" w:cstheme="minorHAnsi"/>
          <w:color w:val="000000"/>
          <w:sz w:val="22"/>
          <w:szCs w:val="22"/>
        </w:rPr>
        <w:t>GPO Box 9880 Canberra ACT 2601</w:t>
      </w:r>
      <w:r w:rsidR="00401515">
        <w:rPr>
          <w:rFonts w:asciiTheme="minorHAnsi" w:hAnsiTheme="minorHAnsi" w:cstheme="minorHAnsi"/>
          <w:color w:val="000000"/>
          <w:sz w:val="22"/>
          <w:szCs w:val="22"/>
        </w:rPr>
        <w:t xml:space="preserve"> Australia</w:t>
      </w:r>
    </w:p>
    <w:p w14:paraId="4CE2CCBA" w14:textId="2F891752" w:rsidR="00D0035A" w:rsidRDefault="00D0035A" w:rsidP="00AE2576">
      <w:r>
        <w:t>5 July 2021</w:t>
      </w:r>
    </w:p>
    <w:p w14:paraId="635F2187" w14:textId="49DFB34A" w:rsidR="00813678" w:rsidRPr="00E41B28" w:rsidRDefault="00F2026B" w:rsidP="00E41B28">
      <w:pPr>
        <w:rPr>
          <w:b/>
          <w:bCs/>
          <w:u w:val="single"/>
        </w:rPr>
      </w:pPr>
      <w:r>
        <w:rPr>
          <w:b/>
          <w:bCs/>
          <w:u w:val="single"/>
        </w:rPr>
        <w:t>Submission</w:t>
      </w:r>
      <w:r w:rsidR="00E41B28">
        <w:rPr>
          <w:b/>
          <w:bCs/>
          <w:u w:val="single"/>
        </w:rPr>
        <w:t xml:space="preserve"> to Quality ITE </w:t>
      </w:r>
      <w:r w:rsidR="00CF0018">
        <w:rPr>
          <w:b/>
          <w:bCs/>
          <w:u w:val="single"/>
        </w:rPr>
        <w:t xml:space="preserve">Review </w:t>
      </w:r>
      <w:r w:rsidR="00E41B28">
        <w:rPr>
          <w:b/>
          <w:bCs/>
          <w:u w:val="single"/>
        </w:rPr>
        <w:t>Discussion Paper</w:t>
      </w:r>
      <w:r w:rsidR="00CF0018">
        <w:rPr>
          <w:b/>
          <w:bCs/>
          <w:u w:val="single"/>
        </w:rPr>
        <w:t xml:space="preserve"> June 2021</w:t>
      </w:r>
    </w:p>
    <w:p w14:paraId="5FCD5E28" w14:textId="4817B3E5" w:rsidR="001303CA" w:rsidRDefault="00C761AC" w:rsidP="006E5AF4">
      <w:pPr>
        <w:jc w:val="both"/>
      </w:pPr>
      <w:r>
        <w:t xml:space="preserve">Thank you for providing the opportunity to make a submission to the </w:t>
      </w:r>
      <w:r w:rsidR="008B370A">
        <w:t>Quality Initial Teacher Education Review</w:t>
      </w:r>
      <w:r w:rsidR="005109E2">
        <w:t xml:space="preserve"> Discussion </w:t>
      </w:r>
      <w:r w:rsidR="00740CB7">
        <w:t>P</w:t>
      </w:r>
      <w:r w:rsidR="005109E2">
        <w:t>aper</w:t>
      </w:r>
      <w:r w:rsidR="008B370A">
        <w:t xml:space="preserve">. </w:t>
      </w:r>
    </w:p>
    <w:p w14:paraId="79FB7900" w14:textId="0DD9452E" w:rsidR="00803E43" w:rsidRDefault="001303CA" w:rsidP="006E5AF4">
      <w:pPr>
        <w:jc w:val="both"/>
      </w:pPr>
      <w:r>
        <w:t>T</w:t>
      </w:r>
      <w:r w:rsidR="008B370A">
        <w:t xml:space="preserve">he </w:t>
      </w:r>
      <w:r w:rsidR="00740CB7">
        <w:t xml:space="preserve">Review Discussion Paper </w:t>
      </w:r>
      <w:r>
        <w:t>constitutes</w:t>
      </w:r>
      <w:r w:rsidR="008B370A">
        <w:t xml:space="preserve"> an important step </w:t>
      </w:r>
      <w:r w:rsidR="00442756">
        <w:t>to understanding</w:t>
      </w:r>
      <w:r w:rsidR="00610BD4">
        <w:t xml:space="preserve"> </w:t>
      </w:r>
      <w:r w:rsidR="00442756">
        <w:t>the c</w:t>
      </w:r>
      <w:r w:rsidR="00254F29">
        <w:t>urrent landscape of teacher education in Australia</w:t>
      </w:r>
      <w:r w:rsidR="00B172C2">
        <w:t xml:space="preserve">, building on previous </w:t>
      </w:r>
      <w:proofErr w:type="gramStart"/>
      <w:r w:rsidR="00B172C2">
        <w:t>reviews</w:t>
      </w:r>
      <w:proofErr w:type="gramEnd"/>
      <w:r w:rsidR="00B172C2">
        <w:t xml:space="preserve"> </w:t>
      </w:r>
      <w:r w:rsidR="00BA2313">
        <w:t xml:space="preserve">and taking </w:t>
      </w:r>
      <w:r w:rsidR="00FA0670">
        <w:t>action</w:t>
      </w:r>
      <w:r w:rsidR="00BA2313">
        <w:t xml:space="preserve"> to </w:t>
      </w:r>
      <w:r w:rsidR="00914508">
        <w:t>recruit and retain the best teachers for our schools.</w:t>
      </w:r>
    </w:p>
    <w:p w14:paraId="0447A5D1" w14:textId="207C32B8" w:rsidR="00786E89" w:rsidRDefault="00037B65" w:rsidP="006E5AF4">
      <w:pPr>
        <w:jc w:val="both"/>
      </w:pPr>
      <w:r>
        <w:t xml:space="preserve">The </w:t>
      </w:r>
      <w:r w:rsidR="00E90586">
        <w:t xml:space="preserve">submission is focused on </w:t>
      </w:r>
      <w:r w:rsidR="007B0740">
        <w:t xml:space="preserve">Part A </w:t>
      </w:r>
      <w:r w:rsidR="00147BA8">
        <w:t>of the discussion paper</w:t>
      </w:r>
      <w:r w:rsidR="00F72A8E">
        <w:t xml:space="preserve"> ‘Attracting and selecting high-quality candidates to the teaching profession.</w:t>
      </w:r>
      <w:r w:rsidR="009D5F6C">
        <w:t xml:space="preserve"> </w:t>
      </w:r>
      <w:r w:rsidR="00F72A8E">
        <w:t xml:space="preserve">In particular, the submission </w:t>
      </w:r>
      <w:r w:rsidR="00C91A9C">
        <w:t>has responded to</w:t>
      </w:r>
      <w:r w:rsidR="00F72A8E">
        <w:t xml:space="preserve"> the question</w:t>
      </w:r>
      <w:r w:rsidR="00D16ECF">
        <w:t xml:space="preserve"> raised in page 9</w:t>
      </w:r>
      <w:r w:rsidR="00F72A8E">
        <w:t xml:space="preserve">, </w:t>
      </w:r>
      <w:r w:rsidR="009D5F6C">
        <w:t>‘</w:t>
      </w:r>
      <w:r w:rsidR="00E90586" w:rsidRPr="00EC0175">
        <w:rPr>
          <w:b/>
          <w:bCs/>
        </w:rPr>
        <w:t>W</w:t>
      </w:r>
      <w:r w:rsidR="009D5F6C" w:rsidRPr="00EC0175">
        <w:rPr>
          <w:b/>
          <w:bCs/>
        </w:rPr>
        <w:t>hat can be done to attract career changers to the profession’</w:t>
      </w:r>
      <w:r w:rsidR="00C16C52">
        <w:t>.</w:t>
      </w:r>
    </w:p>
    <w:p w14:paraId="7E232BCC" w14:textId="1F78B55A" w:rsidR="0017673C" w:rsidRDefault="00C22D49" w:rsidP="006E5AF4">
      <w:pPr>
        <w:jc w:val="both"/>
      </w:pPr>
      <w:r>
        <w:t xml:space="preserve">Contribution to the submission </w:t>
      </w:r>
      <w:r w:rsidR="0017673C">
        <w:t xml:space="preserve">is </w:t>
      </w:r>
      <w:r w:rsidR="00791D0F">
        <w:t>informed by</w:t>
      </w:r>
      <w:r w:rsidR="0017673C">
        <w:t xml:space="preserve"> m</w:t>
      </w:r>
      <w:r w:rsidR="009B1BC8">
        <w:t xml:space="preserve">y research expertise </w:t>
      </w:r>
      <w:proofErr w:type="gramStart"/>
      <w:r w:rsidR="009B1BC8">
        <w:t>in the area of</w:t>
      </w:r>
      <w:proofErr w:type="gramEnd"/>
      <w:r w:rsidR="009B1BC8">
        <w:t xml:space="preserve"> career change teachers and resear</w:t>
      </w:r>
      <w:r w:rsidR="0010582C">
        <w:t>ch work been done in this space.</w:t>
      </w:r>
      <w:r w:rsidR="008B40C7">
        <w:rPr>
          <w:rStyle w:val="FootnoteReference"/>
        </w:rPr>
        <w:footnoteReference w:id="1"/>
      </w:r>
      <w:r w:rsidR="0010582C">
        <w:t xml:space="preserve">  </w:t>
      </w:r>
      <w:r w:rsidR="00740CB7">
        <w:t>Please see Footnote in page 1</w:t>
      </w:r>
      <w:r w:rsidR="00D16ECF">
        <w:t xml:space="preserve"> for refer</w:t>
      </w:r>
      <w:r w:rsidR="005B5477">
        <w:t xml:space="preserve">ences. </w:t>
      </w:r>
      <w:r w:rsidR="00740CB7">
        <w:t xml:space="preserve"> </w:t>
      </w:r>
    </w:p>
    <w:p w14:paraId="5CE63ECE" w14:textId="5B1109F5" w:rsidR="0045070F" w:rsidRPr="00AC7A87" w:rsidRDefault="00602AFB" w:rsidP="006E5AF4">
      <w:pPr>
        <w:jc w:val="both"/>
      </w:pPr>
      <w:r>
        <w:t>I am one of the handful of education researchers in Australia to have conducted a systematic research program on career change teachers.</w:t>
      </w:r>
      <w:r w:rsidR="00953093">
        <w:t xml:space="preserve"> </w:t>
      </w:r>
      <w:bookmarkStart w:id="0" w:name="_Hlk52442168"/>
      <w:r w:rsidR="00606A0B">
        <w:t>Through my thesis and subsequent research work</w:t>
      </w:r>
      <w:r w:rsidR="007E4149">
        <w:t xml:space="preserve">, I have </w:t>
      </w:r>
      <w:r w:rsidR="00953093">
        <w:t>contribut</w:t>
      </w:r>
      <w:r w:rsidR="007E4149">
        <w:t>ed</w:t>
      </w:r>
      <w:r w:rsidR="00953093">
        <w:t xml:space="preserve"> to rais</w:t>
      </w:r>
      <w:r w:rsidR="007E4149">
        <w:t>ing</w:t>
      </w:r>
      <w:r w:rsidR="00953093">
        <w:t xml:space="preserve"> awareness of the commitment and expertise career changers bring to the profession</w:t>
      </w:r>
      <w:r w:rsidR="00583612">
        <w:t xml:space="preserve"> and </w:t>
      </w:r>
      <w:r w:rsidR="00953093">
        <w:t>suggest</w:t>
      </w:r>
      <w:r w:rsidR="007E4149">
        <w:t>ing</w:t>
      </w:r>
      <w:r w:rsidR="00953093">
        <w:t xml:space="preserve"> </w:t>
      </w:r>
      <w:r w:rsidR="00583612">
        <w:t>strategies</w:t>
      </w:r>
      <w:r w:rsidR="00953093">
        <w:rPr>
          <w:spacing w:val="-14"/>
        </w:rPr>
        <w:t xml:space="preserve"> </w:t>
      </w:r>
      <w:r w:rsidR="00583612">
        <w:t>for</w:t>
      </w:r>
      <w:r w:rsidR="00953093">
        <w:rPr>
          <w:spacing w:val="-14"/>
        </w:rPr>
        <w:t xml:space="preserve"> </w:t>
      </w:r>
      <w:r w:rsidR="00953093">
        <w:t>improving</w:t>
      </w:r>
      <w:r w:rsidR="00953093">
        <w:rPr>
          <w:spacing w:val="-16"/>
        </w:rPr>
        <w:t xml:space="preserve"> </w:t>
      </w:r>
      <w:r w:rsidR="00953093">
        <w:t>teacher</w:t>
      </w:r>
      <w:r w:rsidR="00953093">
        <w:rPr>
          <w:spacing w:val="-14"/>
        </w:rPr>
        <w:t xml:space="preserve"> </w:t>
      </w:r>
      <w:r w:rsidR="00953093">
        <w:t>education</w:t>
      </w:r>
      <w:r w:rsidR="00953093">
        <w:rPr>
          <w:spacing w:val="-13"/>
        </w:rPr>
        <w:t xml:space="preserve"> </w:t>
      </w:r>
      <w:r w:rsidR="00953093">
        <w:t>(TE)</w:t>
      </w:r>
      <w:r w:rsidR="00953093">
        <w:rPr>
          <w:spacing w:val="-14"/>
        </w:rPr>
        <w:t xml:space="preserve"> </w:t>
      </w:r>
      <w:r w:rsidR="00953093">
        <w:t>programs</w:t>
      </w:r>
      <w:r w:rsidR="00953093">
        <w:rPr>
          <w:spacing w:val="-13"/>
        </w:rPr>
        <w:t xml:space="preserve"> </w:t>
      </w:r>
      <w:r w:rsidR="00953093">
        <w:t>for</w:t>
      </w:r>
      <w:r w:rsidR="00953093">
        <w:rPr>
          <w:spacing w:val="-14"/>
        </w:rPr>
        <w:t xml:space="preserve"> </w:t>
      </w:r>
      <w:r w:rsidR="00953093">
        <w:t>this</w:t>
      </w:r>
      <w:r w:rsidR="00953093">
        <w:rPr>
          <w:spacing w:val="-13"/>
        </w:rPr>
        <w:t xml:space="preserve"> </w:t>
      </w:r>
      <w:r w:rsidR="00953093">
        <w:t>cohort.</w:t>
      </w:r>
      <w:bookmarkEnd w:id="0"/>
      <w:r w:rsidR="00953093">
        <w:t xml:space="preserve"> </w:t>
      </w:r>
      <w:r w:rsidR="00C62BE6">
        <w:t>I</w:t>
      </w:r>
      <w:r w:rsidR="00483CD1">
        <w:t>n</w:t>
      </w:r>
      <w:r w:rsidR="00C62BE6">
        <w:t xml:space="preserve"> </w:t>
      </w:r>
      <w:r w:rsidR="00483CD1">
        <w:t xml:space="preserve">August 2021, I will be commencing research </w:t>
      </w:r>
      <w:r w:rsidR="00CD4E61">
        <w:t>to examine strategies and mechanisms to attract and retain career change teachers from STEM backgrounds in NSW schools</w:t>
      </w:r>
      <w:r w:rsidR="00BA5115">
        <w:t xml:space="preserve"> (as part of </w:t>
      </w:r>
      <w:r w:rsidR="00CD77D6">
        <w:t xml:space="preserve">a </w:t>
      </w:r>
      <w:r w:rsidR="00C62BE6">
        <w:t>strategic priority grant funded by the NSW Department of Education)</w:t>
      </w:r>
      <w:r w:rsidR="00A1620F">
        <w:t xml:space="preserve">. </w:t>
      </w:r>
      <w:r w:rsidR="0041166F">
        <w:t>I am also currently writing a book on career change teachers, due to be</w:t>
      </w:r>
      <w:r w:rsidR="00CD4EA9">
        <w:t xml:space="preserve"> published by Springer late 2021. </w:t>
      </w:r>
      <w:r w:rsidR="0041166F">
        <w:t xml:space="preserve"> </w:t>
      </w:r>
    </w:p>
    <w:p w14:paraId="17CE4C70" w14:textId="77777777" w:rsidR="004A348C" w:rsidRDefault="004A348C" w:rsidP="006E5AF4">
      <w:pPr>
        <w:jc w:val="both"/>
        <w:rPr>
          <w:b/>
          <w:bCs/>
        </w:rPr>
      </w:pPr>
    </w:p>
    <w:p w14:paraId="48D55300" w14:textId="13073D7B" w:rsidR="00DE7073" w:rsidRDefault="00DE7073" w:rsidP="006E5AF4">
      <w:pPr>
        <w:jc w:val="both"/>
        <w:rPr>
          <w:b/>
          <w:bCs/>
        </w:rPr>
      </w:pPr>
      <w:r>
        <w:rPr>
          <w:b/>
          <w:bCs/>
        </w:rPr>
        <w:lastRenderedPageBreak/>
        <w:t>Background</w:t>
      </w:r>
    </w:p>
    <w:p w14:paraId="73C17388" w14:textId="53DFB4F7" w:rsidR="00DE7073" w:rsidRDefault="000C5F29" w:rsidP="006E5AF4">
      <w:pPr>
        <w:jc w:val="both"/>
        <w:rPr>
          <w:b/>
          <w:bCs/>
        </w:rPr>
      </w:pPr>
      <w:r>
        <w:t xml:space="preserve">An important focus of any teacher recruitment and retention policy should be about bringing diversity and experience to the classroom.  </w:t>
      </w:r>
      <w:r w:rsidR="00BA6A9A">
        <w:t xml:space="preserve">As the world seeks to move beyond the crisis of COVID-19, </w:t>
      </w:r>
      <w:r w:rsidR="00EA3EFD">
        <w:t>f</w:t>
      </w:r>
      <w:r w:rsidR="00EA3EFD" w:rsidRPr="00EA3EFD">
        <w:t xml:space="preserve">lexibility, </w:t>
      </w:r>
      <w:proofErr w:type="gramStart"/>
      <w:r w:rsidR="00EA3EFD" w:rsidRPr="00EA3EFD">
        <w:t>adaptability</w:t>
      </w:r>
      <w:proofErr w:type="gramEnd"/>
      <w:r w:rsidR="00EA3EFD" w:rsidRPr="00EA3EFD">
        <w:t xml:space="preserve"> and agility are often discussed </w:t>
      </w:r>
      <w:r w:rsidR="00AB3A02">
        <w:t xml:space="preserve">and are </w:t>
      </w:r>
      <w:r w:rsidR="00EA3EFD" w:rsidRPr="00EA3EFD">
        <w:t>considered to be essential skills that better prepare learners of today to face an uncertain and evolving future. With present day classrooms being increasingly diverse, we need educators from different backgrounds, contexts and experiences who recognise the importance of ‘future preparedness’ in learning and education contexts. One such group of educators are career change teachers.</w:t>
      </w:r>
      <w:r w:rsidR="003A7691">
        <w:t xml:space="preserve"> As individuals who come from different walks of life</w:t>
      </w:r>
      <w:r>
        <w:t xml:space="preserve">, possessing </w:t>
      </w:r>
      <w:r w:rsidR="007F6779">
        <w:t>diverse skills and experiences</w:t>
      </w:r>
      <w:r w:rsidR="003A7691">
        <w:t>,</w:t>
      </w:r>
      <w:r w:rsidR="007F6779">
        <w:t xml:space="preserve"> career change teachers have the potential to make unique and significant contributions to student learning and engagement in and beyond school</w:t>
      </w:r>
      <w:r w:rsidR="00AC78E7">
        <w:t xml:space="preserve">. </w:t>
      </w:r>
    </w:p>
    <w:p w14:paraId="1517D2B2" w14:textId="6A8EF647" w:rsidR="00C925E6" w:rsidRPr="0098220C" w:rsidRDefault="00504834" w:rsidP="006E5AF4">
      <w:pPr>
        <w:jc w:val="both"/>
        <w:rPr>
          <w:b/>
          <w:bCs/>
        </w:rPr>
      </w:pPr>
      <w:r>
        <w:rPr>
          <w:b/>
          <w:bCs/>
        </w:rPr>
        <w:t xml:space="preserve">What we know </w:t>
      </w:r>
      <w:r w:rsidR="00AC7A87">
        <w:rPr>
          <w:b/>
          <w:bCs/>
        </w:rPr>
        <w:t>about career changers’ entering teaching</w:t>
      </w:r>
      <w:r w:rsidR="002A730B">
        <w:rPr>
          <w:b/>
          <w:bCs/>
        </w:rPr>
        <w:t xml:space="preserve"> </w:t>
      </w:r>
    </w:p>
    <w:p w14:paraId="4939329B" w14:textId="34AC2F74" w:rsidR="00956016" w:rsidRDefault="00CA5883" w:rsidP="006E5AF4">
      <w:pPr>
        <w:jc w:val="both"/>
      </w:pPr>
      <w:r>
        <w:t xml:space="preserve">Career changers are likely to have a combination of intrinsic and extrinsic motives for entering the profession. </w:t>
      </w:r>
      <w:r w:rsidR="000F66F5">
        <w:t xml:space="preserve">Research shows that because </w:t>
      </w:r>
      <w:r w:rsidR="00527BA0">
        <w:t xml:space="preserve">of their </w:t>
      </w:r>
      <w:r w:rsidR="009E369E">
        <w:t xml:space="preserve">skill set and experiences and </w:t>
      </w:r>
      <w:r w:rsidR="000F66F5">
        <w:t>hav</w:t>
      </w:r>
      <w:r w:rsidR="009E369E">
        <w:t>ing</w:t>
      </w:r>
      <w:r w:rsidR="000F66F5">
        <w:t xml:space="preserve"> made a </w:t>
      </w:r>
      <w:r w:rsidR="00956016">
        <w:t xml:space="preserve">conscious and purposeful decision to enter teaching, they are </w:t>
      </w:r>
      <w:r w:rsidR="00EE7464">
        <w:t xml:space="preserve">highly </w:t>
      </w:r>
      <w:r w:rsidR="009F2630">
        <w:t>committed</w:t>
      </w:r>
      <w:r w:rsidR="00EE7464">
        <w:t xml:space="preserve">, </w:t>
      </w:r>
      <w:r w:rsidR="00041C49">
        <w:t>keen</w:t>
      </w:r>
      <w:r w:rsidR="005B1A13">
        <w:t>er</w:t>
      </w:r>
      <w:r w:rsidR="00041C49">
        <w:t xml:space="preserve"> to </w:t>
      </w:r>
      <w:r w:rsidR="00956016">
        <w:t xml:space="preserve">share </w:t>
      </w:r>
      <w:r w:rsidR="00EE7464">
        <w:t xml:space="preserve">their passion </w:t>
      </w:r>
      <w:r w:rsidR="00956016">
        <w:t xml:space="preserve">and pass their </w:t>
      </w:r>
      <w:r w:rsidR="001D27EC">
        <w:t xml:space="preserve">real-world </w:t>
      </w:r>
      <w:r w:rsidR="00983F7A">
        <w:t>experience</w:t>
      </w:r>
      <w:r w:rsidR="00956016">
        <w:t xml:space="preserve"> and expertise to students</w:t>
      </w:r>
      <w:r w:rsidR="008976A9">
        <w:t xml:space="preserve">. </w:t>
      </w:r>
      <w:r w:rsidR="004274B1">
        <w:t xml:space="preserve">Apart from </w:t>
      </w:r>
      <w:r w:rsidR="00B61C7E">
        <w:t xml:space="preserve">content </w:t>
      </w:r>
      <w:r w:rsidR="009174B1">
        <w:t xml:space="preserve">expertise </w:t>
      </w:r>
      <w:r w:rsidR="00B61C7E">
        <w:t xml:space="preserve">and practical </w:t>
      </w:r>
      <w:r w:rsidR="002406C6">
        <w:t xml:space="preserve">knowledge </w:t>
      </w:r>
      <w:r w:rsidR="00B61C7E">
        <w:t>that are highly relevant to student teaching, q</w:t>
      </w:r>
      <w:r w:rsidR="00470169">
        <w:t xml:space="preserve">ualities </w:t>
      </w:r>
      <w:r w:rsidR="0013273A">
        <w:t>such as maturity, wisdom</w:t>
      </w:r>
      <w:r w:rsidR="00BE65F5">
        <w:t xml:space="preserve">, </w:t>
      </w:r>
      <w:r w:rsidR="005A4523">
        <w:t xml:space="preserve">resilience, </w:t>
      </w:r>
      <w:r w:rsidR="00BE65F5">
        <w:t>flexibility, responsiveness to change</w:t>
      </w:r>
      <w:r w:rsidR="0013273A">
        <w:t xml:space="preserve"> and other skills gathered through years of </w:t>
      </w:r>
      <w:r w:rsidR="00F34C9D">
        <w:t xml:space="preserve">life </w:t>
      </w:r>
      <w:r w:rsidR="0013273A">
        <w:t xml:space="preserve">experience </w:t>
      </w:r>
      <w:r w:rsidR="00F34C9D">
        <w:t xml:space="preserve">can also be attributed to career changers. </w:t>
      </w:r>
      <w:r w:rsidR="00470169">
        <w:t xml:space="preserve"> </w:t>
      </w:r>
      <w:r w:rsidR="00F96861">
        <w:t>Our research further indicates that career changers are keen for recognition and acknowledgement of their career and life experience.</w:t>
      </w:r>
    </w:p>
    <w:p w14:paraId="06C3B20A" w14:textId="16016491" w:rsidR="008351D5" w:rsidRDefault="00F96861" w:rsidP="006E5AF4">
      <w:pPr>
        <w:jc w:val="both"/>
      </w:pPr>
      <w:r>
        <w:t xml:space="preserve">Career changers </w:t>
      </w:r>
      <w:r w:rsidR="000B6776">
        <w:t xml:space="preserve">are </w:t>
      </w:r>
      <w:r w:rsidR="0011337A">
        <w:t xml:space="preserve">also </w:t>
      </w:r>
      <w:r w:rsidR="000B6776">
        <w:t xml:space="preserve">more likely </w:t>
      </w:r>
      <w:r w:rsidR="00C925E6">
        <w:t>to have family and financial responsibilities than their school leaving counterparts</w:t>
      </w:r>
      <w:r w:rsidR="00617A6C">
        <w:t xml:space="preserve">. </w:t>
      </w:r>
      <w:r w:rsidR="00E70E16">
        <w:t>Chances are that m</w:t>
      </w:r>
      <w:r w:rsidR="00E70E16" w:rsidRPr="00E70E16">
        <w:t>any will enter the profession at a considerably lower pay base than was the case in their previous work.</w:t>
      </w:r>
      <w:r w:rsidR="00E70E16">
        <w:t xml:space="preserve"> In addition, c</w:t>
      </w:r>
      <w:r w:rsidR="00700C30">
        <w:t xml:space="preserve">ulture shock is not uncommon among career changers as they adjust to </w:t>
      </w:r>
      <w:r w:rsidR="00876A73">
        <w:t xml:space="preserve">the working life and </w:t>
      </w:r>
      <w:r w:rsidR="00A90A54">
        <w:t xml:space="preserve">associated </w:t>
      </w:r>
      <w:r w:rsidR="00876A73">
        <w:t xml:space="preserve">challenges of </w:t>
      </w:r>
      <w:r w:rsidR="00A90A54">
        <w:t xml:space="preserve">transitioning to </w:t>
      </w:r>
      <w:r w:rsidR="00876A73">
        <w:t xml:space="preserve">being a teacher. </w:t>
      </w:r>
      <w:r w:rsidR="001B3AD1">
        <w:t xml:space="preserve">Just like any other </w:t>
      </w:r>
      <w:r w:rsidR="00501CAD">
        <w:t>beginning teacher,</w:t>
      </w:r>
      <w:r w:rsidR="001B3AD1">
        <w:t xml:space="preserve"> they </w:t>
      </w:r>
      <w:r w:rsidR="009119C9">
        <w:t xml:space="preserve">require </w:t>
      </w:r>
      <w:r w:rsidR="00AA1C68">
        <w:t>training and support in</w:t>
      </w:r>
      <w:r w:rsidR="00327BAC">
        <w:t xml:space="preserve"> various aspects </w:t>
      </w:r>
      <w:r w:rsidR="00501CAD">
        <w:t xml:space="preserve">including </w:t>
      </w:r>
      <w:r w:rsidR="00AA1C68">
        <w:t>t</w:t>
      </w:r>
      <w:r w:rsidR="00057BFD">
        <w:t xml:space="preserve">eaching </w:t>
      </w:r>
      <w:r w:rsidR="001C5F6A">
        <w:t>practices</w:t>
      </w:r>
      <w:r w:rsidR="00501CAD">
        <w:t xml:space="preserve">, </w:t>
      </w:r>
      <w:proofErr w:type="gramStart"/>
      <w:r w:rsidR="001C5F6A">
        <w:t>pedagogy</w:t>
      </w:r>
      <w:proofErr w:type="gramEnd"/>
      <w:r w:rsidR="001C5F6A">
        <w:t xml:space="preserve"> </w:t>
      </w:r>
      <w:r w:rsidR="00156A09">
        <w:t xml:space="preserve">and the machinations of running a classroom. </w:t>
      </w:r>
    </w:p>
    <w:p w14:paraId="604C1FEA" w14:textId="77777777" w:rsidR="007F0002" w:rsidRDefault="00764A66" w:rsidP="006E5AF4">
      <w:pPr>
        <w:jc w:val="both"/>
        <w:rPr>
          <w:b/>
          <w:bCs/>
        </w:rPr>
      </w:pPr>
      <w:r>
        <w:rPr>
          <w:b/>
          <w:bCs/>
        </w:rPr>
        <w:t>W</w:t>
      </w:r>
      <w:r w:rsidR="008351D5" w:rsidRPr="00504834">
        <w:rPr>
          <w:b/>
          <w:bCs/>
        </w:rPr>
        <w:t>hat can be done to attract career changers</w:t>
      </w:r>
      <w:r w:rsidR="00C15A62">
        <w:rPr>
          <w:b/>
          <w:bCs/>
        </w:rPr>
        <w:t xml:space="preserve"> to the teaching profession</w:t>
      </w:r>
    </w:p>
    <w:p w14:paraId="0CC4C0A8" w14:textId="25D465A5" w:rsidR="008351D5" w:rsidRPr="00094FF3" w:rsidRDefault="00094FF3" w:rsidP="006E5AF4">
      <w:pPr>
        <w:jc w:val="both"/>
      </w:pPr>
      <w:r>
        <w:t xml:space="preserve">Solutions are </w:t>
      </w:r>
      <w:r w:rsidR="00764A66">
        <w:t>proposed</w:t>
      </w:r>
      <w:r>
        <w:t xml:space="preserve"> at various levels</w:t>
      </w:r>
      <w:r w:rsidR="0065278E">
        <w:t xml:space="preserve"> where </w:t>
      </w:r>
      <w:r w:rsidR="00E3101E">
        <w:t xml:space="preserve">potential </w:t>
      </w:r>
      <w:r w:rsidR="0065278E">
        <w:t>change can happen. It is important to note th</w:t>
      </w:r>
      <w:r w:rsidR="00862BDF">
        <w:t>e role of partnership</w:t>
      </w:r>
      <w:r w:rsidR="00EC0175">
        <w:t>. E</w:t>
      </w:r>
      <w:r w:rsidR="00862BDF">
        <w:t xml:space="preserve">ducation stakeholders </w:t>
      </w:r>
      <w:r w:rsidR="009E2FE2">
        <w:t xml:space="preserve">(Government, policy makers, education providers, </w:t>
      </w:r>
      <w:proofErr w:type="gramStart"/>
      <w:r w:rsidR="00F0408F">
        <w:t>principals</w:t>
      </w:r>
      <w:proofErr w:type="gramEnd"/>
      <w:r w:rsidR="00F0408F">
        <w:t xml:space="preserve"> and teachers) </w:t>
      </w:r>
      <w:r w:rsidR="00862BDF">
        <w:t xml:space="preserve">need to </w:t>
      </w:r>
      <w:r w:rsidR="00176323">
        <w:t>col</w:t>
      </w:r>
      <w:r w:rsidR="00025828">
        <w:t>l</w:t>
      </w:r>
      <w:r w:rsidR="00176323">
        <w:t>aborate</w:t>
      </w:r>
      <w:r w:rsidR="00862BDF">
        <w:t xml:space="preserve"> together to </w:t>
      </w:r>
      <w:r w:rsidR="005638E4">
        <w:t xml:space="preserve">come up with </w:t>
      </w:r>
      <w:r w:rsidR="00025828">
        <w:t xml:space="preserve">solutions that are </w:t>
      </w:r>
      <w:r w:rsidR="005638E4">
        <w:t xml:space="preserve">feasible and sustainable.  </w:t>
      </w:r>
    </w:p>
    <w:p w14:paraId="21F2BC06" w14:textId="0A5CB84A" w:rsidR="00873DBC" w:rsidRDefault="00873DBC" w:rsidP="006E5AF4">
      <w:pPr>
        <w:pStyle w:val="ListParagraph"/>
        <w:numPr>
          <w:ilvl w:val="0"/>
          <w:numId w:val="10"/>
        </w:numPr>
        <w:jc w:val="both"/>
      </w:pPr>
      <w:r w:rsidRPr="00876EBC">
        <w:rPr>
          <w:b/>
          <w:bCs/>
        </w:rPr>
        <w:t xml:space="preserve">Teacher education </w:t>
      </w:r>
      <w:r w:rsidR="00294092">
        <w:rPr>
          <w:b/>
          <w:bCs/>
        </w:rPr>
        <w:t xml:space="preserve">or course </w:t>
      </w:r>
      <w:r w:rsidRPr="00876EBC">
        <w:rPr>
          <w:b/>
          <w:bCs/>
        </w:rPr>
        <w:t>provider</w:t>
      </w:r>
      <w:r w:rsidR="0098220C" w:rsidRPr="00876EBC">
        <w:rPr>
          <w:b/>
          <w:bCs/>
        </w:rPr>
        <w:t>s</w:t>
      </w:r>
      <w:r w:rsidR="0098220C">
        <w:t xml:space="preserve">: </w:t>
      </w:r>
      <w:r>
        <w:t>Take steps to make the transition for career changers easier and smoother</w:t>
      </w:r>
      <w:r w:rsidR="00713512">
        <w:t xml:space="preserve"> by</w:t>
      </w:r>
      <w:r w:rsidR="0098220C">
        <w:t>:</w:t>
      </w:r>
    </w:p>
    <w:p w14:paraId="57B147CE" w14:textId="57AD239C" w:rsidR="00873DBC" w:rsidRDefault="006B3754" w:rsidP="006E5AF4">
      <w:pPr>
        <w:pStyle w:val="ListParagraph"/>
        <w:numPr>
          <w:ilvl w:val="0"/>
          <w:numId w:val="6"/>
        </w:numPr>
        <w:jc w:val="both"/>
      </w:pPr>
      <w:r>
        <w:t xml:space="preserve">Utilising suitable </w:t>
      </w:r>
      <w:r w:rsidR="005D24FC">
        <w:t xml:space="preserve">and uniform </w:t>
      </w:r>
      <w:r>
        <w:t xml:space="preserve">selection criteria to identify </w:t>
      </w:r>
      <w:r w:rsidR="00873DBC">
        <w:t>career changers and</w:t>
      </w:r>
      <w:r>
        <w:t xml:space="preserve"> track their work, </w:t>
      </w:r>
      <w:proofErr w:type="gramStart"/>
      <w:r>
        <w:t>life</w:t>
      </w:r>
      <w:proofErr w:type="gramEnd"/>
      <w:r>
        <w:t xml:space="preserve"> and other experiences</w:t>
      </w:r>
      <w:r w:rsidR="005D24FC">
        <w:t xml:space="preserve">, for example, through personal statements and interviews. </w:t>
      </w:r>
      <w:r>
        <w:t xml:space="preserve"> </w:t>
      </w:r>
    </w:p>
    <w:p w14:paraId="66162265" w14:textId="3F3BF020" w:rsidR="006B3754" w:rsidRDefault="004D15AB" w:rsidP="006E5AF4">
      <w:pPr>
        <w:pStyle w:val="ListParagraph"/>
        <w:numPr>
          <w:ilvl w:val="0"/>
          <w:numId w:val="6"/>
        </w:numPr>
        <w:jc w:val="both"/>
      </w:pPr>
      <w:r>
        <w:t>Offer</w:t>
      </w:r>
      <w:r w:rsidR="00713512">
        <w:t>ing</w:t>
      </w:r>
      <w:r w:rsidR="006B3754">
        <w:t xml:space="preserve"> flexible options for career changers to complete their teacher education course</w:t>
      </w:r>
      <w:r w:rsidR="0033412F">
        <w:t>.</w:t>
      </w:r>
      <w:r w:rsidR="006B3754">
        <w:t xml:space="preserve"> </w:t>
      </w:r>
    </w:p>
    <w:p w14:paraId="68B0433F" w14:textId="673DAC20" w:rsidR="004D15AB" w:rsidRDefault="004D15AB" w:rsidP="006E5AF4">
      <w:pPr>
        <w:pStyle w:val="ListParagraph"/>
        <w:numPr>
          <w:ilvl w:val="0"/>
          <w:numId w:val="7"/>
        </w:numPr>
        <w:jc w:val="both"/>
      </w:pPr>
      <w:r>
        <w:t>Hybrid options for course attendance wherever possible</w:t>
      </w:r>
      <w:r w:rsidR="00C46E22">
        <w:t>.</w:t>
      </w:r>
    </w:p>
    <w:p w14:paraId="3A96CF88" w14:textId="1F1F8F31" w:rsidR="004D15AB" w:rsidRDefault="00713512" w:rsidP="006E5AF4">
      <w:pPr>
        <w:pStyle w:val="ListParagraph"/>
        <w:numPr>
          <w:ilvl w:val="0"/>
          <w:numId w:val="9"/>
        </w:numPr>
        <w:jc w:val="both"/>
      </w:pPr>
      <w:r>
        <w:t xml:space="preserve">Providing </w:t>
      </w:r>
      <w:r w:rsidR="00496CAD">
        <w:t xml:space="preserve">monetary and other </w:t>
      </w:r>
      <w:r>
        <w:t>a</w:t>
      </w:r>
      <w:r w:rsidR="004D15AB">
        <w:t>ssistanc</w:t>
      </w:r>
      <w:r w:rsidR="00496CAD">
        <w:t>e</w:t>
      </w:r>
      <w:r w:rsidR="005B3067">
        <w:t xml:space="preserve"> to </w:t>
      </w:r>
      <w:r w:rsidR="00D36A66">
        <w:t>attract</w:t>
      </w:r>
      <w:r w:rsidR="005B3067">
        <w:t xml:space="preserve"> and retain</w:t>
      </w:r>
      <w:r w:rsidR="00247F12">
        <w:t xml:space="preserve"> career changers’</w:t>
      </w:r>
      <w:r w:rsidR="005B3067">
        <w:t xml:space="preserve"> </w:t>
      </w:r>
    </w:p>
    <w:p w14:paraId="2BE546FE" w14:textId="0903FA8F" w:rsidR="004D15AB" w:rsidRDefault="004D15AB" w:rsidP="006E5AF4">
      <w:pPr>
        <w:pStyle w:val="ListParagraph"/>
        <w:numPr>
          <w:ilvl w:val="0"/>
          <w:numId w:val="7"/>
        </w:numPr>
        <w:jc w:val="both"/>
      </w:pPr>
      <w:r>
        <w:t>Financial compensation for loss of income, particularly during professional experience placement</w:t>
      </w:r>
    </w:p>
    <w:p w14:paraId="78AFE99B" w14:textId="07985883" w:rsidR="005D24FC" w:rsidRDefault="00D36A66" w:rsidP="006E5AF4">
      <w:pPr>
        <w:pStyle w:val="ListParagraph"/>
        <w:numPr>
          <w:ilvl w:val="0"/>
          <w:numId w:val="7"/>
        </w:numPr>
        <w:jc w:val="both"/>
      </w:pPr>
      <w:r>
        <w:t xml:space="preserve">Incentives can </w:t>
      </w:r>
      <w:r w:rsidR="004E2939">
        <w:t>be in the form of</w:t>
      </w:r>
      <w:r>
        <w:t xml:space="preserve"> s</w:t>
      </w:r>
      <w:r w:rsidR="005D24FC">
        <w:t>cholarships</w:t>
      </w:r>
      <w:r w:rsidR="003C0DE2">
        <w:t xml:space="preserve">, especially </w:t>
      </w:r>
      <w:r w:rsidR="003C3C7D">
        <w:t xml:space="preserve">to attract </w:t>
      </w:r>
      <w:r w:rsidR="0033412F">
        <w:t xml:space="preserve">those from specialist backgrounds such as STEM. </w:t>
      </w:r>
    </w:p>
    <w:p w14:paraId="59CEB860" w14:textId="7A885574" w:rsidR="0098220C" w:rsidRDefault="004D15AB" w:rsidP="006E5AF4">
      <w:pPr>
        <w:pStyle w:val="ListParagraph"/>
        <w:numPr>
          <w:ilvl w:val="0"/>
          <w:numId w:val="9"/>
        </w:numPr>
        <w:jc w:val="both"/>
      </w:pPr>
      <w:r>
        <w:lastRenderedPageBreak/>
        <w:t>Provid</w:t>
      </w:r>
      <w:r w:rsidR="00713512">
        <w:t>ing</w:t>
      </w:r>
      <w:r>
        <w:t xml:space="preserve"> opportunities for career c</w:t>
      </w:r>
      <w:r w:rsidR="00247F12">
        <w:t>hange pre-service teachers</w:t>
      </w:r>
      <w:r>
        <w:t xml:space="preserve"> to contribute meaningfully in course delivery</w:t>
      </w:r>
      <w:r w:rsidR="0098220C">
        <w:t xml:space="preserve">, </w:t>
      </w:r>
      <w:r>
        <w:t>lesson content</w:t>
      </w:r>
      <w:r w:rsidR="0098220C">
        <w:t>, and theory-practice application where relevant</w:t>
      </w:r>
      <w:r w:rsidR="0033412F">
        <w:t>.</w:t>
      </w:r>
    </w:p>
    <w:p w14:paraId="14FB6FEF" w14:textId="5B43485D" w:rsidR="0098220C" w:rsidRDefault="0098220C" w:rsidP="006E5AF4">
      <w:pPr>
        <w:pStyle w:val="ListParagraph"/>
        <w:numPr>
          <w:ilvl w:val="0"/>
          <w:numId w:val="9"/>
        </w:numPr>
        <w:jc w:val="both"/>
      </w:pPr>
      <w:r>
        <w:t>Adapt</w:t>
      </w:r>
      <w:r w:rsidR="00713512">
        <w:t>ing</w:t>
      </w:r>
      <w:r>
        <w:t xml:space="preserve"> or tailor</w:t>
      </w:r>
      <w:r w:rsidR="00713512">
        <w:t>ing</w:t>
      </w:r>
      <w:r>
        <w:t xml:space="preserve"> courses or content for career changers, </w:t>
      </w:r>
      <w:proofErr w:type="gramStart"/>
      <w:r>
        <w:t>taking into account</w:t>
      </w:r>
      <w:proofErr w:type="gramEnd"/>
      <w:r>
        <w:t xml:space="preserve"> their prior knowledge</w:t>
      </w:r>
      <w:r w:rsidR="0033412F">
        <w:t>.</w:t>
      </w:r>
      <w:r>
        <w:t xml:space="preserve"> </w:t>
      </w:r>
    </w:p>
    <w:p w14:paraId="0502FA98" w14:textId="3A069761" w:rsidR="00713512" w:rsidRDefault="0098220C" w:rsidP="006E5AF4">
      <w:pPr>
        <w:pStyle w:val="ListParagraph"/>
        <w:numPr>
          <w:ilvl w:val="0"/>
          <w:numId w:val="9"/>
        </w:numPr>
        <w:jc w:val="both"/>
      </w:pPr>
      <w:r>
        <w:t>Identify</w:t>
      </w:r>
      <w:r w:rsidR="00713512">
        <w:t>ing</w:t>
      </w:r>
      <w:r>
        <w:t xml:space="preserve"> career changers’ </w:t>
      </w:r>
      <w:r w:rsidR="00C46E22">
        <w:t xml:space="preserve">unique </w:t>
      </w:r>
      <w:r>
        <w:t>needs while recognising career changers experiences and expertise where appropriate in their journey as a teacher education student</w:t>
      </w:r>
      <w:r w:rsidR="00C46E22">
        <w:t>.</w:t>
      </w:r>
    </w:p>
    <w:p w14:paraId="3DAF6EB4" w14:textId="6603D486" w:rsidR="004D15AB" w:rsidRDefault="004C4E78" w:rsidP="006E5AF4">
      <w:pPr>
        <w:pStyle w:val="ListParagraph"/>
        <w:numPr>
          <w:ilvl w:val="0"/>
          <w:numId w:val="9"/>
        </w:numPr>
        <w:jc w:val="both"/>
      </w:pPr>
      <w:r>
        <w:t>Communicating and sharing key aspects of teach</w:t>
      </w:r>
      <w:r w:rsidR="002C7144">
        <w:t>er</w:t>
      </w:r>
      <w:r w:rsidR="00497BCA">
        <w:t>s’ role</w:t>
      </w:r>
      <w:r w:rsidR="002C7144">
        <w:t xml:space="preserve"> </w:t>
      </w:r>
      <w:r w:rsidR="00855020">
        <w:t xml:space="preserve">and what it involves </w:t>
      </w:r>
      <w:r w:rsidR="002C7144">
        <w:t xml:space="preserve">to better prepare </w:t>
      </w:r>
      <w:r w:rsidR="00497BCA">
        <w:t xml:space="preserve">and manage expectations of </w:t>
      </w:r>
      <w:r w:rsidR="002C7144">
        <w:t>prospective career change</w:t>
      </w:r>
      <w:r w:rsidR="00C46E22">
        <w:t xml:space="preserve"> teachers.</w:t>
      </w:r>
      <w:r w:rsidR="0098220C">
        <w:t xml:space="preserve"> </w:t>
      </w:r>
    </w:p>
    <w:p w14:paraId="316654F4" w14:textId="77777777" w:rsidR="00876EBC" w:rsidRDefault="00876EBC" w:rsidP="006E5AF4">
      <w:pPr>
        <w:pStyle w:val="ListParagraph"/>
        <w:ind w:left="1440"/>
        <w:jc w:val="both"/>
      </w:pPr>
    </w:p>
    <w:p w14:paraId="7C855C7D" w14:textId="26ECB969" w:rsidR="006B3754" w:rsidRDefault="004D15AB" w:rsidP="006E5AF4">
      <w:pPr>
        <w:pStyle w:val="ListParagraph"/>
        <w:numPr>
          <w:ilvl w:val="0"/>
          <w:numId w:val="10"/>
        </w:numPr>
        <w:jc w:val="both"/>
      </w:pPr>
      <w:r>
        <w:t xml:space="preserve"> </w:t>
      </w:r>
      <w:r w:rsidR="002F6FF7" w:rsidRPr="00876EBC">
        <w:rPr>
          <w:b/>
          <w:bCs/>
        </w:rPr>
        <w:t>C</w:t>
      </w:r>
      <w:r w:rsidR="00955F8E" w:rsidRPr="00876EBC">
        <w:rPr>
          <w:b/>
          <w:bCs/>
        </w:rPr>
        <w:t>areer change</w:t>
      </w:r>
      <w:r w:rsidR="002F6FF7" w:rsidRPr="00876EBC">
        <w:rPr>
          <w:b/>
          <w:bCs/>
        </w:rPr>
        <w:t xml:space="preserve"> teachers in schools</w:t>
      </w:r>
      <w:r w:rsidR="00955F8E">
        <w:t xml:space="preserve">: </w:t>
      </w:r>
      <w:r w:rsidR="00653D32">
        <w:t xml:space="preserve">Identify </w:t>
      </w:r>
      <w:r w:rsidR="00D66BDE">
        <w:t xml:space="preserve">and reach out to </w:t>
      </w:r>
      <w:r w:rsidR="00653D32">
        <w:t>current career change teachers in schools to:</w:t>
      </w:r>
    </w:p>
    <w:p w14:paraId="5581EEF7" w14:textId="17944050" w:rsidR="00653D32" w:rsidRDefault="00653D32" w:rsidP="006E5AF4">
      <w:pPr>
        <w:pStyle w:val="ListParagraph"/>
        <w:numPr>
          <w:ilvl w:val="0"/>
          <w:numId w:val="11"/>
        </w:numPr>
        <w:jc w:val="both"/>
      </w:pPr>
      <w:r>
        <w:t>Seek their assistance in</w:t>
      </w:r>
      <w:r w:rsidR="002F6FF7">
        <w:t xml:space="preserve"> </w:t>
      </w:r>
      <w:r w:rsidR="00422D8A">
        <w:t xml:space="preserve">devising </w:t>
      </w:r>
      <w:r w:rsidR="00D66BDE">
        <w:t xml:space="preserve">strategies to </w:t>
      </w:r>
      <w:r>
        <w:t>attract more career changers</w:t>
      </w:r>
      <w:r w:rsidR="00422D8A">
        <w:t>. For example, u</w:t>
      </w:r>
      <w:r>
        <w:t>tilise their past contacts and industry networks</w:t>
      </w:r>
      <w:r w:rsidR="00422D8A">
        <w:t xml:space="preserve"> to contact interested </w:t>
      </w:r>
      <w:r w:rsidR="009A64B8">
        <w:t xml:space="preserve">individuals who are considering teaching as a career. </w:t>
      </w:r>
    </w:p>
    <w:p w14:paraId="7E3E7A9E" w14:textId="4A2CB305" w:rsidR="00D66BDE" w:rsidRDefault="00895977" w:rsidP="006E5AF4">
      <w:pPr>
        <w:pStyle w:val="ListParagraph"/>
        <w:numPr>
          <w:ilvl w:val="0"/>
          <w:numId w:val="11"/>
        </w:numPr>
        <w:jc w:val="both"/>
      </w:pPr>
      <w:r>
        <w:t xml:space="preserve">Hear their perspectives on some of the barriers that exist to attract </w:t>
      </w:r>
      <w:r w:rsidR="008F6DE7">
        <w:t xml:space="preserve">and retain </w:t>
      </w:r>
      <w:r>
        <w:t>more career changers</w:t>
      </w:r>
      <w:r w:rsidR="005E0E96">
        <w:t>, who drops out and why</w:t>
      </w:r>
      <w:r w:rsidR="00B172C2">
        <w:t>.</w:t>
      </w:r>
    </w:p>
    <w:p w14:paraId="527E5FAA" w14:textId="77777777" w:rsidR="006B1301" w:rsidRDefault="006B1301" w:rsidP="006E5AF4">
      <w:pPr>
        <w:pStyle w:val="ListParagraph"/>
        <w:ind w:left="1440"/>
        <w:jc w:val="both"/>
      </w:pPr>
    </w:p>
    <w:p w14:paraId="39E54024" w14:textId="77777777" w:rsidR="00653D32" w:rsidRDefault="00653D32" w:rsidP="006E5AF4">
      <w:pPr>
        <w:pStyle w:val="ListParagraph"/>
        <w:numPr>
          <w:ilvl w:val="0"/>
          <w:numId w:val="10"/>
        </w:numPr>
        <w:jc w:val="both"/>
      </w:pPr>
      <w:r w:rsidRPr="00876EBC">
        <w:rPr>
          <w:b/>
          <w:bCs/>
        </w:rPr>
        <w:t>Schools:</w:t>
      </w:r>
      <w:r>
        <w:t xml:space="preserve"> Take steps to make schools an attractive place for career change teachers by:</w:t>
      </w:r>
    </w:p>
    <w:p w14:paraId="6B8398E1" w14:textId="351A96F5" w:rsidR="00653D32" w:rsidRDefault="00653D32" w:rsidP="006E5AF4">
      <w:pPr>
        <w:pStyle w:val="ListParagraph"/>
        <w:numPr>
          <w:ilvl w:val="0"/>
          <w:numId w:val="11"/>
        </w:numPr>
        <w:jc w:val="both"/>
      </w:pPr>
      <w:r>
        <w:t>Increas</w:t>
      </w:r>
      <w:r w:rsidR="002B37E1">
        <w:t>ing</w:t>
      </w:r>
      <w:r>
        <w:t xml:space="preserve"> understanding about career change teachers: their motives, </w:t>
      </w:r>
      <w:proofErr w:type="gramStart"/>
      <w:r>
        <w:t>experiences</w:t>
      </w:r>
      <w:proofErr w:type="gramEnd"/>
      <w:r>
        <w:t xml:space="preserve"> and challenges, thereby enabling schools to better recognise and utilise </w:t>
      </w:r>
      <w:r w:rsidR="00D60747">
        <w:t xml:space="preserve">prior </w:t>
      </w:r>
      <w:r>
        <w:t>experience</w:t>
      </w:r>
      <w:r w:rsidR="00D60747">
        <w:t>s</w:t>
      </w:r>
      <w:r>
        <w:t xml:space="preserve"> appropriately</w:t>
      </w:r>
      <w:r w:rsidR="0008601E">
        <w:t>.</w:t>
      </w:r>
    </w:p>
    <w:p w14:paraId="3ECC1515" w14:textId="581DF91D" w:rsidR="002B37E1" w:rsidRDefault="002B37E1" w:rsidP="006E5AF4">
      <w:pPr>
        <w:pStyle w:val="ListParagraph"/>
        <w:numPr>
          <w:ilvl w:val="0"/>
          <w:numId w:val="11"/>
        </w:numPr>
        <w:jc w:val="both"/>
      </w:pPr>
      <w:r>
        <w:t>Creating conducive environment for career change teachers to thrive in their role</w:t>
      </w:r>
      <w:r w:rsidR="008359F9">
        <w:t xml:space="preserve">, for instance, </w:t>
      </w:r>
      <w:r w:rsidR="000D5999">
        <w:t xml:space="preserve">through </w:t>
      </w:r>
      <w:r w:rsidR="008359F9">
        <w:t xml:space="preserve">tailored </w:t>
      </w:r>
      <w:r w:rsidR="000D5999">
        <w:t xml:space="preserve">mentoring and </w:t>
      </w:r>
      <w:r w:rsidR="008359F9">
        <w:t>professional development</w:t>
      </w:r>
      <w:r w:rsidR="0008601E">
        <w:t>.</w:t>
      </w:r>
    </w:p>
    <w:p w14:paraId="7C34A1B8" w14:textId="5C6FE5ED" w:rsidR="002B37E1" w:rsidRDefault="002B37E1" w:rsidP="006E5AF4">
      <w:pPr>
        <w:pStyle w:val="ListParagraph"/>
        <w:numPr>
          <w:ilvl w:val="0"/>
          <w:numId w:val="11"/>
        </w:numPr>
        <w:jc w:val="both"/>
      </w:pPr>
      <w:r>
        <w:t>Being open to career changers’ ideas, suggestions and teaching practices</w:t>
      </w:r>
      <w:r w:rsidR="006A110C">
        <w:t xml:space="preserve"> that link past experiences with </w:t>
      </w:r>
      <w:r w:rsidR="000D5999">
        <w:t xml:space="preserve">current </w:t>
      </w:r>
      <w:r w:rsidR="0008601E">
        <w:t xml:space="preserve">teaching </w:t>
      </w:r>
      <w:r w:rsidR="000D5999">
        <w:t>role</w:t>
      </w:r>
      <w:r w:rsidR="0008601E">
        <w:t>.</w:t>
      </w:r>
    </w:p>
    <w:p w14:paraId="0D44E3AB" w14:textId="4BD499CD" w:rsidR="002B37E1" w:rsidRDefault="002B37E1" w:rsidP="006E5AF4">
      <w:pPr>
        <w:pStyle w:val="ListParagraph"/>
        <w:numPr>
          <w:ilvl w:val="0"/>
          <w:numId w:val="11"/>
        </w:numPr>
        <w:jc w:val="both"/>
      </w:pPr>
      <w:r>
        <w:t xml:space="preserve">Considering alternative teaching options that may suit career changers, such as </w:t>
      </w:r>
      <w:r w:rsidR="00051C54">
        <w:t xml:space="preserve">job sharing or team </w:t>
      </w:r>
      <w:r>
        <w:t>teaching with ex-colleagues</w:t>
      </w:r>
      <w:r w:rsidR="0008601E">
        <w:t>.</w:t>
      </w:r>
    </w:p>
    <w:p w14:paraId="71D5BA9F" w14:textId="361D2C1C" w:rsidR="00653D32" w:rsidRDefault="002B37E1" w:rsidP="006E5AF4">
      <w:pPr>
        <w:pStyle w:val="ListParagraph"/>
        <w:numPr>
          <w:ilvl w:val="0"/>
          <w:numId w:val="11"/>
        </w:numPr>
        <w:jc w:val="both"/>
      </w:pPr>
      <w:r>
        <w:t>Offering leadership or senior executive opportunities where appropriate to utilise career changers’ managerial strengths</w:t>
      </w:r>
      <w:r w:rsidR="0008601E">
        <w:t>.</w:t>
      </w:r>
      <w:r>
        <w:t xml:space="preserve">   </w:t>
      </w:r>
      <w:r w:rsidR="00653D32">
        <w:t xml:space="preserve"> </w:t>
      </w:r>
    </w:p>
    <w:p w14:paraId="1FE01E07" w14:textId="1831F176" w:rsidR="00B75417" w:rsidRDefault="00B75417" w:rsidP="006E5AF4">
      <w:pPr>
        <w:pStyle w:val="ListParagraph"/>
        <w:numPr>
          <w:ilvl w:val="0"/>
          <w:numId w:val="11"/>
        </w:numPr>
        <w:jc w:val="both"/>
      </w:pPr>
      <w:r>
        <w:t>Providing opportunities for career changers to interact and build relationships with other career change teachers in other schools in the area/region</w:t>
      </w:r>
      <w:r w:rsidR="0008601E">
        <w:t>.</w:t>
      </w:r>
    </w:p>
    <w:p w14:paraId="362ABE74" w14:textId="77777777" w:rsidR="00B75417" w:rsidRDefault="00B75417" w:rsidP="006E5AF4">
      <w:pPr>
        <w:pStyle w:val="ListParagraph"/>
        <w:ind w:left="1440"/>
        <w:jc w:val="both"/>
      </w:pPr>
    </w:p>
    <w:p w14:paraId="689CFF87" w14:textId="4E540686" w:rsidR="002B37E1" w:rsidRDefault="002B37E1" w:rsidP="006E5AF4">
      <w:pPr>
        <w:pStyle w:val="ListParagraph"/>
        <w:numPr>
          <w:ilvl w:val="0"/>
          <w:numId w:val="10"/>
        </w:numPr>
        <w:jc w:val="both"/>
      </w:pPr>
      <w:r w:rsidRPr="00876EBC">
        <w:rPr>
          <w:b/>
          <w:bCs/>
        </w:rPr>
        <w:t>Education Departments or recruitment agencies</w:t>
      </w:r>
      <w:r w:rsidR="00AC5DDD">
        <w:t>: Take steps to attract more career change teachers in the public school system by:</w:t>
      </w:r>
    </w:p>
    <w:p w14:paraId="7BB5B2DB" w14:textId="6C818F04" w:rsidR="00AC5DDD" w:rsidRDefault="00AC5DDD" w:rsidP="006E5AF4">
      <w:pPr>
        <w:pStyle w:val="ListParagraph"/>
        <w:numPr>
          <w:ilvl w:val="0"/>
          <w:numId w:val="13"/>
        </w:numPr>
        <w:jc w:val="both"/>
      </w:pPr>
      <w:r>
        <w:t>Simplifying</w:t>
      </w:r>
      <w:r w:rsidR="002B37E1">
        <w:t xml:space="preserve"> processes and systems </w:t>
      </w:r>
      <w:r>
        <w:t>around applications and recruitment</w:t>
      </w:r>
      <w:r w:rsidR="00572E3F">
        <w:t>.</w:t>
      </w:r>
    </w:p>
    <w:p w14:paraId="051DACC1" w14:textId="710F71D7" w:rsidR="00653D32" w:rsidRDefault="00AC5DDD" w:rsidP="006E5AF4">
      <w:pPr>
        <w:pStyle w:val="ListParagraph"/>
        <w:numPr>
          <w:ilvl w:val="0"/>
          <w:numId w:val="13"/>
        </w:numPr>
        <w:jc w:val="both"/>
      </w:pPr>
      <w:r>
        <w:t xml:space="preserve">Removing unnecessary bureaucratic </w:t>
      </w:r>
      <w:r w:rsidR="009A64B8">
        <w:t>hurdles</w:t>
      </w:r>
      <w:r>
        <w:t xml:space="preserve"> and barriers that can cause frustration amongst career change teachers keen to enter the profession</w:t>
      </w:r>
      <w:r w:rsidR="00044728">
        <w:t>.</w:t>
      </w:r>
    </w:p>
    <w:p w14:paraId="788F3199" w14:textId="77777777" w:rsidR="00044728" w:rsidRDefault="00044728" w:rsidP="006E5AF4">
      <w:pPr>
        <w:pStyle w:val="ListParagraph"/>
        <w:ind w:left="1490"/>
        <w:jc w:val="both"/>
      </w:pPr>
    </w:p>
    <w:p w14:paraId="3FBACB3A" w14:textId="692F894D" w:rsidR="00873DBC" w:rsidRDefault="00B75417" w:rsidP="006E5AF4">
      <w:pPr>
        <w:pStyle w:val="ListParagraph"/>
        <w:numPr>
          <w:ilvl w:val="0"/>
          <w:numId w:val="10"/>
        </w:numPr>
        <w:jc w:val="both"/>
      </w:pPr>
      <w:r w:rsidRPr="00876EBC">
        <w:rPr>
          <w:b/>
          <w:bCs/>
        </w:rPr>
        <w:t>Government and stakeholders</w:t>
      </w:r>
      <w:r w:rsidR="00C32AF0">
        <w:t>: Shifting public’ perceptions by:</w:t>
      </w:r>
    </w:p>
    <w:p w14:paraId="65B9171A" w14:textId="2B774084" w:rsidR="00DD4A18" w:rsidRDefault="00B75417" w:rsidP="006E5AF4">
      <w:pPr>
        <w:pStyle w:val="ListParagraph"/>
        <w:numPr>
          <w:ilvl w:val="0"/>
          <w:numId w:val="14"/>
        </w:numPr>
        <w:jc w:val="both"/>
      </w:pPr>
      <w:r>
        <w:t>Valu</w:t>
      </w:r>
      <w:r w:rsidR="00C32AF0">
        <w:t>ing</w:t>
      </w:r>
      <w:r>
        <w:t xml:space="preserve"> </w:t>
      </w:r>
      <w:r w:rsidR="00A722EE">
        <w:t>the profession</w:t>
      </w:r>
    </w:p>
    <w:p w14:paraId="1350C991" w14:textId="2B898003" w:rsidR="00B75417" w:rsidRDefault="00DD4A18" w:rsidP="006E5AF4">
      <w:pPr>
        <w:pStyle w:val="ListParagraph"/>
        <w:numPr>
          <w:ilvl w:val="0"/>
          <w:numId w:val="14"/>
        </w:numPr>
        <w:jc w:val="both"/>
      </w:pPr>
      <w:r>
        <w:t>R</w:t>
      </w:r>
      <w:r w:rsidR="00A722EE">
        <w:t>espect</w:t>
      </w:r>
      <w:r w:rsidR="00C32AF0">
        <w:t>ing</w:t>
      </w:r>
      <w:r w:rsidR="00A722EE">
        <w:t xml:space="preserve"> teachers’ roles and responsibilities </w:t>
      </w:r>
    </w:p>
    <w:p w14:paraId="233A15AB" w14:textId="77777777" w:rsidR="007A0337" w:rsidRDefault="00DD4A18" w:rsidP="006E5AF4">
      <w:pPr>
        <w:pStyle w:val="ListParagraph"/>
        <w:numPr>
          <w:ilvl w:val="0"/>
          <w:numId w:val="14"/>
        </w:numPr>
        <w:jc w:val="both"/>
      </w:pPr>
      <w:r>
        <w:t>Promot</w:t>
      </w:r>
      <w:r w:rsidR="00C32AF0">
        <w:t>ing</w:t>
      </w:r>
      <w:r>
        <w:t xml:space="preserve"> teaching as </w:t>
      </w:r>
      <w:r w:rsidR="00926ED5">
        <w:t>an attractive career</w:t>
      </w:r>
    </w:p>
    <w:p w14:paraId="30EDA8F6" w14:textId="7978AA91" w:rsidR="00DD4A18" w:rsidRDefault="006511B6" w:rsidP="006E5AF4">
      <w:pPr>
        <w:pStyle w:val="ListParagraph"/>
        <w:numPr>
          <w:ilvl w:val="0"/>
          <w:numId w:val="14"/>
        </w:numPr>
        <w:jc w:val="both"/>
      </w:pPr>
      <w:r>
        <w:t>Working with peak industry bodies</w:t>
      </w:r>
      <w:r w:rsidR="00FE6068">
        <w:t xml:space="preserve"> and education stakeholders</w:t>
      </w:r>
      <w:r w:rsidR="00926ED5">
        <w:t xml:space="preserve"> </w:t>
      </w:r>
      <w:r w:rsidR="00532EA4">
        <w:t xml:space="preserve">to incentivise </w:t>
      </w:r>
      <w:r w:rsidR="00044728">
        <w:t>career changers.</w:t>
      </w:r>
    </w:p>
    <w:p w14:paraId="25346CB2" w14:textId="45646359" w:rsidR="00617E56" w:rsidRDefault="00AB27AA" w:rsidP="006E5AF4">
      <w:pPr>
        <w:jc w:val="both"/>
      </w:pPr>
      <w:r>
        <w:t>I once again t</w:t>
      </w:r>
      <w:r w:rsidR="00617E56">
        <w:t xml:space="preserve">hank </w:t>
      </w:r>
      <w:r>
        <w:t xml:space="preserve">the Department of </w:t>
      </w:r>
      <w:r w:rsidR="007D4893">
        <w:t>Education, Skills and Employment for providing the opportunity to write a submission</w:t>
      </w:r>
      <w:r w:rsidR="00555345">
        <w:t xml:space="preserve">, as part of the Quality ITE Review Discussion Paper. </w:t>
      </w:r>
    </w:p>
    <w:p w14:paraId="1F637712" w14:textId="77777777" w:rsidR="00B56954" w:rsidRDefault="00B56954" w:rsidP="006E5AF4">
      <w:pPr>
        <w:jc w:val="both"/>
      </w:pPr>
    </w:p>
    <w:p w14:paraId="415E8D34" w14:textId="7B524D11" w:rsidR="00617E56" w:rsidRDefault="00617E56" w:rsidP="006E5AF4">
      <w:pPr>
        <w:jc w:val="both"/>
      </w:pPr>
      <w:r>
        <w:t>Your sincerely,</w:t>
      </w:r>
    </w:p>
    <w:p w14:paraId="59CCF6FA" w14:textId="1AB20B02" w:rsidR="00AE2576" w:rsidRDefault="00617E56" w:rsidP="006E5AF4">
      <w:pPr>
        <w:jc w:val="both"/>
      </w:pPr>
      <w:r>
        <w:t>Meera</w:t>
      </w:r>
    </w:p>
    <w:p w14:paraId="3EDC9096" w14:textId="169E8124" w:rsidR="00617E56" w:rsidRDefault="00AE2576" w:rsidP="006E5AF4">
      <w:pPr>
        <w:jc w:val="both"/>
      </w:pPr>
      <w:r>
        <w:t>Dr Meera Varadharajan</w:t>
      </w:r>
    </w:p>
    <w:p w14:paraId="00D69232" w14:textId="0EA445BE" w:rsidR="00AE2576" w:rsidRDefault="00AE2576" w:rsidP="006E5AF4">
      <w:pPr>
        <w:jc w:val="both"/>
      </w:pPr>
      <w:r>
        <w:t>Research Fellow, Centre for Social Impact</w:t>
      </w:r>
      <w:r w:rsidR="00555345">
        <w:t xml:space="preserve">, University of New South Wales. </w:t>
      </w:r>
    </w:p>
    <w:p w14:paraId="4F143AE0" w14:textId="35BC7A71" w:rsidR="00B56954" w:rsidRDefault="00B56954" w:rsidP="006E5AF4">
      <w:pPr>
        <w:jc w:val="both"/>
      </w:pPr>
      <w:r>
        <w:t xml:space="preserve">Email: </w:t>
      </w:r>
      <w:hyperlink r:id="rId8" w:history="1">
        <w:r w:rsidRPr="00DE3A97">
          <w:rPr>
            <w:rStyle w:val="Hyperlink"/>
          </w:rPr>
          <w:t>m.varadharjan@unsw.edu.au</w:t>
        </w:r>
      </w:hyperlink>
    </w:p>
    <w:p w14:paraId="4015354C" w14:textId="77777777" w:rsidR="00B56954" w:rsidRDefault="00B56954" w:rsidP="006E5AF4">
      <w:pPr>
        <w:jc w:val="both"/>
      </w:pPr>
    </w:p>
    <w:sectPr w:rsidR="00B5695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51A54" w14:textId="77777777" w:rsidR="00101494" w:rsidRDefault="00101494" w:rsidP="008B40C7">
      <w:pPr>
        <w:spacing w:after="0" w:line="240" w:lineRule="auto"/>
      </w:pPr>
      <w:r>
        <w:separator/>
      </w:r>
    </w:p>
  </w:endnote>
  <w:endnote w:type="continuationSeparator" w:id="0">
    <w:p w14:paraId="638E9A1C" w14:textId="77777777" w:rsidR="00101494" w:rsidRDefault="00101494" w:rsidP="008B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976253"/>
      <w:docPartObj>
        <w:docPartGallery w:val="Page Numbers (Bottom of Page)"/>
        <w:docPartUnique/>
      </w:docPartObj>
    </w:sdtPr>
    <w:sdtEndPr>
      <w:rPr>
        <w:noProof/>
      </w:rPr>
    </w:sdtEndPr>
    <w:sdtContent>
      <w:p w14:paraId="2AC0B8E5" w14:textId="1CEBF962" w:rsidR="008F630E" w:rsidRDefault="008F63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487252" w14:textId="77777777" w:rsidR="008F630E" w:rsidRDefault="008F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57E3D" w14:textId="77777777" w:rsidR="00101494" w:rsidRDefault="00101494" w:rsidP="008B40C7">
      <w:pPr>
        <w:spacing w:after="0" w:line="240" w:lineRule="auto"/>
      </w:pPr>
      <w:r>
        <w:separator/>
      </w:r>
    </w:p>
  </w:footnote>
  <w:footnote w:type="continuationSeparator" w:id="0">
    <w:p w14:paraId="4D8FD1C5" w14:textId="77777777" w:rsidR="00101494" w:rsidRDefault="00101494" w:rsidP="008B40C7">
      <w:pPr>
        <w:spacing w:after="0" w:line="240" w:lineRule="auto"/>
      </w:pPr>
      <w:r>
        <w:continuationSeparator/>
      </w:r>
    </w:p>
  </w:footnote>
  <w:footnote w:id="1">
    <w:p w14:paraId="0A911257" w14:textId="77777777" w:rsidR="00031D36" w:rsidRDefault="008B40C7" w:rsidP="00CA022F">
      <w:pPr>
        <w:pBdr>
          <w:top w:val="nil"/>
          <w:left w:val="nil"/>
          <w:bottom w:val="nil"/>
          <w:right w:val="nil"/>
          <w:between w:val="nil"/>
        </w:pBdr>
        <w:spacing w:after="0" w:line="240" w:lineRule="auto"/>
        <w:rPr>
          <w:color w:val="000000"/>
          <w:sz w:val="18"/>
          <w:szCs w:val="18"/>
        </w:rPr>
      </w:pPr>
      <w:r>
        <w:rPr>
          <w:rStyle w:val="FootnoteReference"/>
        </w:rPr>
        <w:footnoteRef/>
      </w:r>
      <w:r>
        <w:t xml:space="preserve"> </w:t>
      </w:r>
      <w:r w:rsidR="00031D36">
        <w:rPr>
          <w:sz w:val="18"/>
          <w:szCs w:val="18"/>
        </w:rPr>
        <w:t xml:space="preserve">a. </w:t>
      </w:r>
      <w:r w:rsidR="00CA022F" w:rsidRPr="00CA022F">
        <w:rPr>
          <w:color w:val="000000"/>
          <w:sz w:val="18"/>
          <w:szCs w:val="18"/>
        </w:rPr>
        <w:t xml:space="preserve">Varadharajan, M. (2014). </w:t>
      </w:r>
      <w:r w:rsidR="00CA022F" w:rsidRPr="00CA022F">
        <w:rPr>
          <w:i/>
          <w:color w:val="000000"/>
          <w:sz w:val="18"/>
          <w:szCs w:val="18"/>
        </w:rPr>
        <w:t>Understanding the lived experiences of second career beginning teachers.</w:t>
      </w:r>
      <w:r w:rsidR="00CA022F" w:rsidRPr="00CA022F">
        <w:rPr>
          <w:color w:val="000000"/>
          <w:sz w:val="18"/>
          <w:szCs w:val="18"/>
        </w:rPr>
        <w:t xml:space="preserve"> [Doctoral</w:t>
      </w:r>
      <w:r w:rsidR="00CA022F">
        <w:rPr>
          <w:color w:val="000000"/>
          <w:sz w:val="18"/>
          <w:szCs w:val="18"/>
        </w:rPr>
        <w:t xml:space="preserve"> </w:t>
      </w:r>
      <w:r w:rsidR="00CA022F" w:rsidRPr="00CA022F">
        <w:rPr>
          <w:color w:val="000000"/>
          <w:sz w:val="18"/>
          <w:szCs w:val="18"/>
        </w:rPr>
        <w:t xml:space="preserve">Dissertation, University of Technology Sydney]. </w:t>
      </w:r>
      <w:hyperlink r:id="rId1" w:history="1">
        <w:r w:rsidR="00552A43" w:rsidRPr="00DE3A97">
          <w:rPr>
            <w:rStyle w:val="Hyperlink"/>
            <w:sz w:val="18"/>
            <w:szCs w:val="18"/>
          </w:rPr>
          <w:t>http://hdl.handle.net/10453/29255</w:t>
        </w:r>
      </w:hyperlink>
    </w:p>
    <w:p w14:paraId="4C3C64C2" w14:textId="31A3EBB8" w:rsidR="00FD3869" w:rsidRPr="00FD3869" w:rsidRDefault="00031D36" w:rsidP="00FD3869">
      <w:pPr>
        <w:widowControl w:val="0"/>
        <w:tabs>
          <w:tab w:val="left" w:pos="824"/>
        </w:tabs>
        <w:autoSpaceDE w:val="0"/>
        <w:autoSpaceDN w:val="0"/>
        <w:spacing w:before="1" w:after="0" w:line="240" w:lineRule="auto"/>
        <w:ind w:right="102"/>
        <w:jc w:val="both"/>
        <w:rPr>
          <w:sz w:val="18"/>
          <w:szCs w:val="18"/>
        </w:rPr>
      </w:pPr>
      <w:r w:rsidRPr="00FD3869">
        <w:rPr>
          <w:color w:val="000000"/>
          <w:sz w:val="18"/>
          <w:szCs w:val="18"/>
        </w:rPr>
        <w:t xml:space="preserve">b. </w:t>
      </w:r>
      <w:r w:rsidR="00FD3869" w:rsidRPr="00FD3869">
        <w:rPr>
          <w:sz w:val="18"/>
          <w:szCs w:val="18"/>
        </w:rPr>
        <w:t>Varadharajan,</w:t>
      </w:r>
      <w:r w:rsidR="00FD3869" w:rsidRPr="00FD3869">
        <w:rPr>
          <w:spacing w:val="-7"/>
          <w:sz w:val="18"/>
          <w:szCs w:val="18"/>
        </w:rPr>
        <w:t xml:space="preserve"> </w:t>
      </w:r>
      <w:r w:rsidR="00FD3869" w:rsidRPr="00FD3869">
        <w:rPr>
          <w:sz w:val="18"/>
          <w:szCs w:val="18"/>
        </w:rPr>
        <w:t>M.,</w:t>
      </w:r>
      <w:r w:rsidR="00FD3869" w:rsidRPr="00FD3869">
        <w:rPr>
          <w:spacing w:val="-6"/>
          <w:sz w:val="18"/>
          <w:szCs w:val="18"/>
        </w:rPr>
        <w:t xml:space="preserve"> </w:t>
      </w:r>
      <w:r w:rsidR="00FD3869" w:rsidRPr="00FD3869">
        <w:rPr>
          <w:sz w:val="18"/>
          <w:szCs w:val="18"/>
        </w:rPr>
        <w:t>Carter,</w:t>
      </w:r>
      <w:r w:rsidR="00FD3869" w:rsidRPr="00FD3869">
        <w:rPr>
          <w:spacing w:val="-6"/>
          <w:sz w:val="18"/>
          <w:szCs w:val="18"/>
        </w:rPr>
        <w:t xml:space="preserve"> </w:t>
      </w:r>
      <w:r w:rsidR="00FD3869" w:rsidRPr="00FD3869">
        <w:rPr>
          <w:sz w:val="18"/>
          <w:szCs w:val="18"/>
        </w:rPr>
        <w:t>D.,</w:t>
      </w:r>
      <w:r w:rsidR="00FD3869" w:rsidRPr="00FD3869">
        <w:rPr>
          <w:spacing w:val="-7"/>
          <w:sz w:val="18"/>
          <w:szCs w:val="18"/>
        </w:rPr>
        <w:t xml:space="preserve"> </w:t>
      </w:r>
      <w:r w:rsidR="00FD3869" w:rsidRPr="00FD3869">
        <w:rPr>
          <w:sz w:val="18"/>
          <w:szCs w:val="18"/>
        </w:rPr>
        <w:t>Buchanan,</w:t>
      </w:r>
      <w:r w:rsidR="00FD3869" w:rsidRPr="00FD3869">
        <w:rPr>
          <w:spacing w:val="-4"/>
          <w:sz w:val="18"/>
          <w:szCs w:val="18"/>
        </w:rPr>
        <w:t xml:space="preserve"> </w:t>
      </w:r>
      <w:r w:rsidR="00FD3869" w:rsidRPr="00FD3869">
        <w:rPr>
          <w:sz w:val="18"/>
          <w:szCs w:val="18"/>
        </w:rPr>
        <w:t>J.</w:t>
      </w:r>
      <w:r w:rsidR="00FD3869" w:rsidRPr="00FD3869">
        <w:rPr>
          <w:spacing w:val="-6"/>
          <w:sz w:val="18"/>
          <w:szCs w:val="18"/>
        </w:rPr>
        <w:t xml:space="preserve"> </w:t>
      </w:r>
      <w:r w:rsidR="00FD3869" w:rsidRPr="00FD3869">
        <w:rPr>
          <w:sz w:val="18"/>
          <w:szCs w:val="18"/>
        </w:rPr>
        <w:t>&amp;</w:t>
      </w:r>
      <w:r w:rsidR="00FD3869" w:rsidRPr="00FD3869">
        <w:rPr>
          <w:spacing w:val="-8"/>
          <w:sz w:val="18"/>
          <w:szCs w:val="18"/>
        </w:rPr>
        <w:t xml:space="preserve"> </w:t>
      </w:r>
      <w:r w:rsidR="00FD3869" w:rsidRPr="00FD3869">
        <w:rPr>
          <w:sz w:val="18"/>
          <w:szCs w:val="18"/>
        </w:rPr>
        <w:t>Schuck,</w:t>
      </w:r>
      <w:r w:rsidR="00FD3869" w:rsidRPr="00FD3869">
        <w:rPr>
          <w:spacing w:val="-7"/>
          <w:sz w:val="18"/>
          <w:szCs w:val="18"/>
        </w:rPr>
        <w:t xml:space="preserve"> </w:t>
      </w:r>
      <w:r w:rsidR="00FD3869" w:rsidRPr="00FD3869">
        <w:rPr>
          <w:sz w:val="18"/>
          <w:szCs w:val="18"/>
        </w:rPr>
        <w:t>S.</w:t>
      </w:r>
      <w:r w:rsidR="00FD3869" w:rsidRPr="00FD3869">
        <w:rPr>
          <w:spacing w:val="-6"/>
          <w:sz w:val="18"/>
          <w:szCs w:val="18"/>
        </w:rPr>
        <w:t xml:space="preserve"> </w:t>
      </w:r>
      <w:r w:rsidR="00FD3869" w:rsidRPr="00FD3869">
        <w:rPr>
          <w:color w:val="252B2B"/>
          <w:sz w:val="18"/>
          <w:szCs w:val="18"/>
        </w:rPr>
        <w:t>2016,</w:t>
      </w:r>
      <w:r w:rsidR="00FD3869" w:rsidRPr="00FD3869">
        <w:rPr>
          <w:color w:val="252B2B"/>
          <w:spacing w:val="-6"/>
          <w:sz w:val="18"/>
          <w:szCs w:val="18"/>
        </w:rPr>
        <w:t xml:space="preserve"> </w:t>
      </w:r>
      <w:r w:rsidR="00FD3869" w:rsidRPr="00FD3869">
        <w:rPr>
          <w:i/>
          <w:color w:val="252B2B"/>
          <w:sz w:val="18"/>
          <w:szCs w:val="18"/>
        </w:rPr>
        <w:t>Understanding</w:t>
      </w:r>
      <w:r w:rsidR="00FD3869" w:rsidRPr="00FD3869">
        <w:rPr>
          <w:i/>
          <w:color w:val="252B2B"/>
          <w:spacing w:val="-6"/>
          <w:sz w:val="18"/>
          <w:szCs w:val="18"/>
        </w:rPr>
        <w:t xml:space="preserve"> </w:t>
      </w:r>
      <w:r w:rsidR="00FD3869" w:rsidRPr="00FD3869">
        <w:rPr>
          <w:i/>
          <w:color w:val="252B2B"/>
          <w:sz w:val="18"/>
          <w:szCs w:val="18"/>
        </w:rPr>
        <w:t>career</w:t>
      </w:r>
      <w:r w:rsidR="00FD3869" w:rsidRPr="00FD3869">
        <w:rPr>
          <w:i/>
          <w:color w:val="252B2B"/>
          <w:spacing w:val="-7"/>
          <w:sz w:val="18"/>
          <w:szCs w:val="18"/>
        </w:rPr>
        <w:t xml:space="preserve"> </w:t>
      </w:r>
      <w:r w:rsidR="00FD3869" w:rsidRPr="00FD3869">
        <w:rPr>
          <w:i/>
          <w:color w:val="252B2B"/>
          <w:sz w:val="18"/>
          <w:szCs w:val="18"/>
        </w:rPr>
        <w:t>change</w:t>
      </w:r>
      <w:r w:rsidR="00FD3869" w:rsidRPr="00FD3869">
        <w:rPr>
          <w:i/>
          <w:color w:val="252B2B"/>
          <w:spacing w:val="-7"/>
          <w:sz w:val="18"/>
          <w:szCs w:val="18"/>
        </w:rPr>
        <w:t xml:space="preserve"> </w:t>
      </w:r>
      <w:r w:rsidR="00FD3869" w:rsidRPr="00FD3869">
        <w:rPr>
          <w:i/>
          <w:color w:val="252B2B"/>
          <w:sz w:val="18"/>
          <w:szCs w:val="18"/>
        </w:rPr>
        <w:t>student</w:t>
      </w:r>
      <w:r w:rsidR="00FD3869" w:rsidRPr="00FD3869">
        <w:rPr>
          <w:i/>
          <w:color w:val="252B2B"/>
          <w:spacing w:val="-6"/>
          <w:sz w:val="18"/>
          <w:szCs w:val="18"/>
        </w:rPr>
        <w:t xml:space="preserve"> </w:t>
      </w:r>
      <w:r w:rsidR="00FD3869" w:rsidRPr="00FD3869">
        <w:rPr>
          <w:i/>
          <w:color w:val="252B2B"/>
          <w:sz w:val="18"/>
          <w:szCs w:val="18"/>
        </w:rPr>
        <w:t>teachers in teacher education programs</w:t>
      </w:r>
      <w:r w:rsidR="00FD3869" w:rsidRPr="00FD3869">
        <w:rPr>
          <w:color w:val="252B2B"/>
          <w:sz w:val="18"/>
          <w:szCs w:val="18"/>
        </w:rPr>
        <w:t>. A report prepared for Australian Teacher Education Association (ATEA), Australia.</w:t>
      </w:r>
    </w:p>
    <w:p w14:paraId="6E4A810C" w14:textId="052D3CC5" w:rsidR="00270E5D" w:rsidRDefault="008F630E" w:rsidP="00270E5D">
      <w:pPr>
        <w:pBdr>
          <w:top w:val="nil"/>
          <w:left w:val="nil"/>
          <w:bottom w:val="nil"/>
          <w:right w:val="nil"/>
          <w:between w:val="nil"/>
        </w:pBdr>
        <w:spacing w:after="0" w:line="240" w:lineRule="auto"/>
        <w:rPr>
          <w:color w:val="000000"/>
          <w:sz w:val="18"/>
          <w:szCs w:val="18"/>
        </w:rPr>
      </w:pPr>
      <w:r>
        <w:rPr>
          <w:color w:val="000000"/>
          <w:sz w:val="18"/>
          <w:szCs w:val="18"/>
        </w:rPr>
        <w:t xml:space="preserve">c. </w:t>
      </w:r>
      <w:r w:rsidR="00270E5D" w:rsidRPr="00270E5D">
        <w:rPr>
          <w:color w:val="000000"/>
          <w:sz w:val="18"/>
          <w:szCs w:val="18"/>
        </w:rPr>
        <w:t xml:space="preserve">Varadharajan, M., &amp; Schuck, S. (2017). Can Career Changers Be Game Changers? Policy, Research and Practice Concerning Career Changers. In J. Nuttall, A. </w:t>
      </w:r>
      <w:proofErr w:type="spellStart"/>
      <w:r w:rsidR="00270E5D" w:rsidRPr="00270E5D">
        <w:rPr>
          <w:color w:val="000000"/>
          <w:sz w:val="18"/>
          <w:szCs w:val="18"/>
        </w:rPr>
        <w:t>Kostogriz</w:t>
      </w:r>
      <w:proofErr w:type="spellEnd"/>
      <w:r w:rsidR="00270E5D" w:rsidRPr="00270E5D">
        <w:rPr>
          <w:color w:val="000000"/>
          <w:sz w:val="18"/>
          <w:szCs w:val="18"/>
        </w:rPr>
        <w:t xml:space="preserve">, M. Jones, &amp; J. Martin (Eds.), </w:t>
      </w:r>
      <w:r w:rsidR="00270E5D" w:rsidRPr="00270E5D">
        <w:rPr>
          <w:i/>
          <w:color w:val="000000"/>
          <w:sz w:val="18"/>
          <w:szCs w:val="18"/>
        </w:rPr>
        <w:t>Teacher Education Policy and Practice</w:t>
      </w:r>
      <w:r w:rsidR="00270E5D" w:rsidRPr="00270E5D">
        <w:rPr>
          <w:color w:val="000000"/>
          <w:sz w:val="18"/>
          <w:szCs w:val="18"/>
        </w:rPr>
        <w:t xml:space="preserve"> (pp. 83–95). Springer Singapore. </w:t>
      </w:r>
      <w:hyperlink r:id="rId2" w:history="1">
        <w:r w:rsidR="00270E5D" w:rsidRPr="00DE3A97">
          <w:rPr>
            <w:rStyle w:val="Hyperlink"/>
            <w:sz w:val="18"/>
            <w:szCs w:val="18"/>
          </w:rPr>
          <w:t>https://doi.org/10.1007/978-981-10-4133-4_6</w:t>
        </w:r>
      </w:hyperlink>
    </w:p>
    <w:p w14:paraId="301353E6" w14:textId="78889EB5" w:rsidR="00BF264E" w:rsidRDefault="008F630E" w:rsidP="00BF264E">
      <w:pPr>
        <w:pBdr>
          <w:top w:val="nil"/>
          <w:left w:val="nil"/>
          <w:bottom w:val="nil"/>
          <w:right w:val="nil"/>
          <w:between w:val="nil"/>
        </w:pBdr>
        <w:spacing w:after="0" w:line="240" w:lineRule="auto"/>
        <w:rPr>
          <w:color w:val="000000"/>
          <w:sz w:val="18"/>
          <w:szCs w:val="18"/>
        </w:rPr>
      </w:pPr>
      <w:r>
        <w:rPr>
          <w:color w:val="000000"/>
          <w:sz w:val="18"/>
          <w:szCs w:val="18"/>
        </w:rPr>
        <w:t>d</w:t>
      </w:r>
      <w:r w:rsidR="00270E5D" w:rsidRPr="00BF264E">
        <w:rPr>
          <w:color w:val="000000"/>
          <w:sz w:val="18"/>
          <w:szCs w:val="18"/>
        </w:rPr>
        <w:t xml:space="preserve">. </w:t>
      </w:r>
      <w:r w:rsidR="00BF264E" w:rsidRPr="00BF264E">
        <w:rPr>
          <w:color w:val="000000"/>
          <w:sz w:val="18"/>
          <w:szCs w:val="18"/>
        </w:rPr>
        <w:t xml:space="preserve">Varadharajan, M., Buchanan, J., &amp; Schuck, S. (2018). Changing course: The paradox of the career change student-teacher. </w:t>
      </w:r>
      <w:r w:rsidR="00BF264E" w:rsidRPr="00BF264E">
        <w:rPr>
          <w:i/>
          <w:color w:val="000000"/>
          <w:sz w:val="18"/>
          <w:szCs w:val="18"/>
        </w:rPr>
        <w:t>Professional Development in Education</w:t>
      </w:r>
      <w:r w:rsidR="00BF264E" w:rsidRPr="00BF264E">
        <w:rPr>
          <w:color w:val="000000"/>
          <w:sz w:val="18"/>
          <w:szCs w:val="18"/>
        </w:rPr>
        <w:t xml:space="preserve">, </w:t>
      </w:r>
      <w:r w:rsidR="00BF264E" w:rsidRPr="00BF264E">
        <w:rPr>
          <w:i/>
          <w:color w:val="000000"/>
          <w:sz w:val="18"/>
          <w:szCs w:val="18"/>
        </w:rPr>
        <w:t>44</w:t>
      </w:r>
      <w:r w:rsidR="00BF264E" w:rsidRPr="00BF264E">
        <w:rPr>
          <w:color w:val="000000"/>
          <w:sz w:val="18"/>
          <w:szCs w:val="18"/>
        </w:rPr>
        <w:t xml:space="preserve">(5), 738–749. </w:t>
      </w:r>
      <w:hyperlink r:id="rId3" w:history="1">
        <w:r w:rsidR="00BF264E" w:rsidRPr="00DE3A97">
          <w:rPr>
            <w:rStyle w:val="Hyperlink"/>
            <w:sz w:val="18"/>
            <w:szCs w:val="18"/>
          </w:rPr>
          <w:t>https://doi.org/10.1080/19415257.2017.1423369</w:t>
        </w:r>
      </w:hyperlink>
    </w:p>
    <w:p w14:paraId="00778895" w14:textId="0092C4C3" w:rsidR="0024195B" w:rsidRDefault="008F630E" w:rsidP="0024195B">
      <w:pPr>
        <w:pBdr>
          <w:top w:val="nil"/>
          <w:left w:val="nil"/>
          <w:bottom w:val="nil"/>
          <w:right w:val="nil"/>
          <w:between w:val="nil"/>
        </w:pBdr>
        <w:spacing w:after="0" w:line="240" w:lineRule="auto"/>
        <w:rPr>
          <w:color w:val="000000"/>
          <w:sz w:val="18"/>
          <w:szCs w:val="18"/>
        </w:rPr>
      </w:pPr>
      <w:r>
        <w:rPr>
          <w:color w:val="000000"/>
          <w:sz w:val="18"/>
          <w:szCs w:val="18"/>
        </w:rPr>
        <w:t>e</w:t>
      </w:r>
      <w:r w:rsidR="00BF264E">
        <w:rPr>
          <w:color w:val="000000"/>
          <w:sz w:val="18"/>
          <w:szCs w:val="18"/>
        </w:rPr>
        <w:t>.</w:t>
      </w:r>
      <w:r w:rsidR="0024195B" w:rsidRPr="0024195B">
        <w:rPr>
          <w:color w:val="000000"/>
        </w:rPr>
        <w:t xml:space="preserve"> </w:t>
      </w:r>
      <w:r w:rsidR="0024195B" w:rsidRPr="0024195B">
        <w:rPr>
          <w:color w:val="000000"/>
          <w:sz w:val="18"/>
          <w:szCs w:val="18"/>
        </w:rPr>
        <w:t xml:space="preserve">Varadharajan, M., Buchanan, J., &amp; Schuck, S. (2020). Navigating and negotiating: Career changers in teacher education programmes. </w:t>
      </w:r>
      <w:r w:rsidR="0024195B" w:rsidRPr="0024195B">
        <w:rPr>
          <w:i/>
          <w:color w:val="000000"/>
          <w:sz w:val="18"/>
          <w:szCs w:val="18"/>
        </w:rPr>
        <w:t>Asia-Pacific Journal of Teacher Education</w:t>
      </w:r>
      <w:r w:rsidR="0024195B" w:rsidRPr="0024195B">
        <w:rPr>
          <w:color w:val="000000"/>
          <w:sz w:val="18"/>
          <w:szCs w:val="18"/>
        </w:rPr>
        <w:t xml:space="preserve">, </w:t>
      </w:r>
      <w:r w:rsidR="0024195B" w:rsidRPr="0024195B">
        <w:rPr>
          <w:i/>
          <w:color w:val="000000"/>
          <w:sz w:val="18"/>
          <w:szCs w:val="18"/>
        </w:rPr>
        <w:t>48</w:t>
      </w:r>
      <w:r w:rsidR="0024195B" w:rsidRPr="0024195B">
        <w:rPr>
          <w:color w:val="000000"/>
          <w:sz w:val="18"/>
          <w:szCs w:val="18"/>
        </w:rPr>
        <w:t xml:space="preserve">(5), 477–490. </w:t>
      </w:r>
      <w:hyperlink r:id="rId4" w:history="1">
        <w:r w:rsidRPr="00DE3A97">
          <w:rPr>
            <w:rStyle w:val="Hyperlink"/>
            <w:sz w:val="18"/>
            <w:szCs w:val="18"/>
          </w:rPr>
          <w:t>https://doi.org/10.1080/1359866X.2019.1669136</w:t>
        </w:r>
      </w:hyperlink>
    </w:p>
    <w:p w14:paraId="274AA7C4" w14:textId="77777777" w:rsidR="008F630E" w:rsidRPr="0024195B" w:rsidRDefault="008F630E" w:rsidP="0024195B">
      <w:pPr>
        <w:pBdr>
          <w:top w:val="nil"/>
          <w:left w:val="nil"/>
          <w:bottom w:val="nil"/>
          <w:right w:val="nil"/>
          <w:between w:val="nil"/>
        </w:pBdr>
        <w:spacing w:after="0" w:line="240" w:lineRule="auto"/>
        <w:rPr>
          <w:color w:val="000000"/>
          <w:sz w:val="18"/>
          <w:szCs w:val="18"/>
        </w:rPr>
      </w:pPr>
    </w:p>
    <w:p w14:paraId="264401D0" w14:textId="04BF5BE7" w:rsidR="00BF264E" w:rsidRPr="00BF264E" w:rsidRDefault="00BF264E" w:rsidP="00BF264E">
      <w:pPr>
        <w:pBdr>
          <w:top w:val="nil"/>
          <w:left w:val="nil"/>
          <w:bottom w:val="nil"/>
          <w:right w:val="nil"/>
          <w:between w:val="nil"/>
        </w:pBdr>
        <w:spacing w:after="0" w:line="240" w:lineRule="auto"/>
        <w:rPr>
          <w:color w:val="000000"/>
          <w:sz w:val="18"/>
          <w:szCs w:val="18"/>
        </w:rPr>
      </w:pPr>
    </w:p>
    <w:p w14:paraId="29D2AF5E" w14:textId="70867BEA" w:rsidR="00270E5D" w:rsidRPr="00270E5D" w:rsidRDefault="00270E5D" w:rsidP="00270E5D">
      <w:pPr>
        <w:pBdr>
          <w:top w:val="nil"/>
          <w:left w:val="nil"/>
          <w:bottom w:val="nil"/>
          <w:right w:val="nil"/>
          <w:between w:val="nil"/>
        </w:pBdr>
        <w:spacing w:after="0" w:line="240" w:lineRule="auto"/>
        <w:rPr>
          <w:color w:val="000000"/>
          <w:sz w:val="18"/>
          <w:szCs w:val="18"/>
        </w:rPr>
      </w:pPr>
    </w:p>
    <w:p w14:paraId="1E762C63" w14:textId="3B459E53" w:rsidR="00CA022F" w:rsidRDefault="00552A43" w:rsidP="00CA022F">
      <w:pPr>
        <w:pBdr>
          <w:top w:val="nil"/>
          <w:left w:val="nil"/>
          <w:bottom w:val="nil"/>
          <w:right w:val="nil"/>
          <w:between w:val="nil"/>
        </w:pBdr>
        <w:spacing w:after="0" w:line="240" w:lineRule="auto"/>
        <w:rPr>
          <w:color w:val="000000"/>
          <w:sz w:val="18"/>
          <w:szCs w:val="18"/>
        </w:rPr>
      </w:pPr>
      <w:r>
        <w:rPr>
          <w:color w:val="000000"/>
          <w:sz w:val="18"/>
          <w:szCs w:val="18"/>
        </w:rPr>
        <w:t xml:space="preserve"> </w:t>
      </w:r>
    </w:p>
    <w:p w14:paraId="4C03455D" w14:textId="77777777" w:rsidR="00552A43" w:rsidRDefault="00552A43" w:rsidP="00CA022F">
      <w:pPr>
        <w:pBdr>
          <w:top w:val="nil"/>
          <w:left w:val="nil"/>
          <w:bottom w:val="nil"/>
          <w:right w:val="nil"/>
          <w:between w:val="nil"/>
        </w:pBdr>
        <w:spacing w:after="0" w:line="240" w:lineRule="auto"/>
        <w:rPr>
          <w:color w:val="000000"/>
        </w:rPr>
      </w:pPr>
    </w:p>
    <w:p w14:paraId="5C0B691B" w14:textId="36919B65" w:rsidR="008B40C7" w:rsidRDefault="008B40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A55F" w14:textId="4496E53B" w:rsidR="00893EF7" w:rsidRDefault="00893EF7">
    <w:pPr>
      <w:pStyle w:val="Header"/>
    </w:pPr>
    <w:r>
      <w:rPr>
        <w:rFonts w:ascii="Arial" w:hAnsi="Arial" w:cs="Arial"/>
        <w:noProof/>
        <w:sz w:val="20"/>
        <w:szCs w:val="20"/>
        <w:lang w:eastAsia="en-AU"/>
      </w:rPr>
      <w:drawing>
        <wp:anchor distT="0" distB="0" distL="114300" distR="114300" simplePos="0" relativeHeight="251659264" behindDoc="0" locked="0" layoutInCell="1" allowOverlap="1" wp14:anchorId="678C9815" wp14:editId="50AB8F17">
          <wp:simplePos x="0" y="0"/>
          <wp:positionH relativeFrom="column">
            <wp:posOffset>4914900</wp:posOffset>
          </wp:positionH>
          <wp:positionV relativeFrom="paragraph">
            <wp:posOffset>-254635</wp:posOffset>
          </wp:positionV>
          <wp:extent cx="1207770" cy="505460"/>
          <wp:effectExtent l="0" t="0" r="0" b="889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I_Logo_Horizontal_Black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770" cy="505460"/>
                  </a:xfrm>
                  <a:prstGeom prst="rect">
                    <a:avLst/>
                  </a:prstGeom>
                </pic:spPr>
              </pic:pic>
            </a:graphicData>
          </a:graphic>
          <wp14:sizeRelH relativeFrom="page">
            <wp14:pctWidth>0</wp14:pctWidth>
          </wp14:sizeRelH>
          <wp14:sizeRelV relativeFrom="page">
            <wp14:pctHeight>0</wp14:pctHeight>
          </wp14:sizeRelV>
        </wp:anchor>
      </w:drawing>
    </w:r>
    <w:r>
      <w:tab/>
    </w:r>
    <w:r>
      <w:tab/>
    </w:r>
  </w:p>
  <w:p w14:paraId="46A61805" w14:textId="77777777" w:rsidR="00893EF7" w:rsidRDefault="00893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58CB"/>
    <w:multiLevelType w:val="hybridMultilevel"/>
    <w:tmpl w:val="7F14B7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3FD54F5"/>
    <w:multiLevelType w:val="hybridMultilevel"/>
    <w:tmpl w:val="C42A18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8AE52F5"/>
    <w:multiLevelType w:val="hybridMultilevel"/>
    <w:tmpl w:val="10BC77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97C4192"/>
    <w:multiLevelType w:val="hybridMultilevel"/>
    <w:tmpl w:val="96AE325A"/>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2ADA1869"/>
    <w:multiLevelType w:val="hybridMultilevel"/>
    <w:tmpl w:val="531A7324"/>
    <w:lvl w:ilvl="0" w:tplc="0C090001">
      <w:start w:val="1"/>
      <w:numFmt w:val="bullet"/>
      <w:lvlText w:val=""/>
      <w:lvlJc w:val="left"/>
      <w:pPr>
        <w:ind w:left="1540" w:hanging="360"/>
      </w:pPr>
      <w:rPr>
        <w:rFonts w:ascii="Symbol" w:hAnsi="Symbol" w:hint="default"/>
      </w:rPr>
    </w:lvl>
    <w:lvl w:ilvl="1" w:tplc="0C090003" w:tentative="1">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5" w15:restartNumberingAfterBreak="0">
    <w:nsid w:val="44914114"/>
    <w:multiLevelType w:val="hybridMultilevel"/>
    <w:tmpl w:val="B17ED856"/>
    <w:lvl w:ilvl="0" w:tplc="F6CC8D74">
      <w:start w:val="1"/>
      <w:numFmt w:val="decimal"/>
      <w:lvlText w:val="%1."/>
      <w:lvlJc w:val="left"/>
      <w:pPr>
        <w:ind w:left="823" w:hanging="360"/>
        <w:jc w:val="left"/>
      </w:pPr>
      <w:rPr>
        <w:rFonts w:hint="default"/>
        <w:w w:val="100"/>
      </w:rPr>
    </w:lvl>
    <w:lvl w:ilvl="1" w:tplc="02665DEA">
      <w:numFmt w:val="bullet"/>
      <w:lvlText w:val="•"/>
      <w:lvlJc w:val="left"/>
      <w:pPr>
        <w:ind w:left="1892" w:hanging="360"/>
      </w:pPr>
      <w:rPr>
        <w:rFonts w:hint="default"/>
      </w:rPr>
    </w:lvl>
    <w:lvl w:ilvl="2" w:tplc="75A22F84">
      <w:numFmt w:val="bullet"/>
      <w:lvlText w:val="•"/>
      <w:lvlJc w:val="left"/>
      <w:pPr>
        <w:ind w:left="2965" w:hanging="360"/>
      </w:pPr>
      <w:rPr>
        <w:rFonts w:hint="default"/>
      </w:rPr>
    </w:lvl>
    <w:lvl w:ilvl="3" w:tplc="362A32A0">
      <w:numFmt w:val="bullet"/>
      <w:lvlText w:val="•"/>
      <w:lvlJc w:val="left"/>
      <w:pPr>
        <w:ind w:left="4037" w:hanging="360"/>
      </w:pPr>
      <w:rPr>
        <w:rFonts w:hint="default"/>
      </w:rPr>
    </w:lvl>
    <w:lvl w:ilvl="4" w:tplc="734A39EC">
      <w:numFmt w:val="bullet"/>
      <w:lvlText w:val="•"/>
      <w:lvlJc w:val="left"/>
      <w:pPr>
        <w:ind w:left="5110" w:hanging="360"/>
      </w:pPr>
      <w:rPr>
        <w:rFonts w:hint="default"/>
      </w:rPr>
    </w:lvl>
    <w:lvl w:ilvl="5" w:tplc="A066D59A">
      <w:numFmt w:val="bullet"/>
      <w:lvlText w:val="•"/>
      <w:lvlJc w:val="left"/>
      <w:pPr>
        <w:ind w:left="6183" w:hanging="360"/>
      </w:pPr>
      <w:rPr>
        <w:rFonts w:hint="default"/>
      </w:rPr>
    </w:lvl>
    <w:lvl w:ilvl="6" w:tplc="22882840">
      <w:numFmt w:val="bullet"/>
      <w:lvlText w:val="•"/>
      <w:lvlJc w:val="left"/>
      <w:pPr>
        <w:ind w:left="7255" w:hanging="360"/>
      </w:pPr>
      <w:rPr>
        <w:rFonts w:hint="default"/>
      </w:rPr>
    </w:lvl>
    <w:lvl w:ilvl="7" w:tplc="992A6600">
      <w:numFmt w:val="bullet"/>
      <w:lvlText w:val="•"/>
      <w:lvlJc w:val="left"/>
      <w:pPr>
        <w:ind w:left="8328" w:hanging="360"/>
      </w:pPr>
      <w:rPr>
        <w:rFonts w:hint="default"/>
      </w:rPr>
    </w:lvl>
    <w:lvl w:ilvl="8" w:tplc="8200CA2C">
      <w:numFmt w:val="bullet"/>
      <w:lvlText w:val="•"/>
      <w:lvlJc w:val="left"/>
      <w:pPr>
        <w:ind w:left="9401" w:hanging="360"/>
      </w:pPr>
      <w:rPr>
        <w:rFonts w:hint="default"/>
      </w:rPr>
    </w:lvl>
  </w:abstractNum>
  <w:abstractNum w:abstractNumId="6" w15:restartNumberingAfterBreak="0">
    <w:nsid w:val="471B2CC8"/>
    <w:multiLevelType w:val="hybridMultilevel"/>
    <w:tmpl w:val="6FB630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DFA2837"/>
    <w:multiLevelType w:val="hybridMultilevel"/>
    <w:tmpl w:val="08E80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381870"/>
    <w:multiLevelType w:val="hybridMultilevel"/>
    <w:tmpl w:val="64569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BB2E3B"/>
    <w:multiLevelType w:val="hybridMultilevel"/>
    <w:tmpl w:val="754AF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B203E1"/>
    <w:multiLevelType w:val="hybridMultilevel"/>
    <w:tmpl w:val="4F76CE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2F0B43"/>
    <w:multiLevelType w:val="hybridMultilevel"/>
    <w:tmpl w:val="1BD66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AF5CEA"/>
    <w:multiLevelType w:val="hybridMultilevel"/>
    <w:tmpl w:val="9A9A9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33085"/>
    <w:multiLevelType w:val="hybridMultilevel"/>
    <w:tmpl w:val="4ECA02BA"/>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4" w15:restartNumberingAfterBreak="0">
    <w:nsid w:val="78231622"/>
    <w:multiLevelType w:val="hybridMultilevel"/>
    <w:tmpl w:val="7D884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14"/>
  </w:num>
  <w:num w:numId="5">
    <w:abstractNumId w:val="10"/>
  </w:num>
  <w:num w:numId="6">
    <w:abstractNumId w:val="6"/>
  </w:num>
  <w:num w:numId="7">
    <w:abstractNumId w:val="3"/>
  </w:num>
  <w:num w:numId="8">
    <w:abstractNumId w:val="9"/>
  </w:num>
  <w:num w:numId="9">
    <w:abstractNumId w:val="2"/>
  </w:num>
  <w:num w:numId="10">
    <w:abstractNumId w:val="11"/>
  </w:num>
  <w:num w:numId="11">
    <w:abstractNumId w:val="1"/>
  </w:num>
  <w:num w:numId="12">
    <w:abstractNumId w:val="4"/>
  </w:num>
  <w:num w:numId="13">
    <w:abstractNumId w:val="1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BD"/>
    <w:rsid w:val="00025828"/>
    <w:rsid w:val="00031D36"/>
    <w:rsid w:val="00037B65"/>
    <w:rsid w:val="00041C49"/>
    <w:rsid w:val="00044728"/>
    <w:rsid w:val="00051C54"/>
    <w:rsid w:val="00057BFD"/>
    <w:rsid w:val="00081B65"/>
    <w:rsid w:val="0008601E"/>
    <w:rsid w:val="00094FF3"/>
    <w:rsid w:val="000B6776"/>
    <w:rsid w:val="000C5F29"/>
    <w:rsid w:val="000D5999"/>
    <w:rsid w:val="000D7348"/>
    <w:rsid w:val="000F66F5"/>
    <w:rsid w:val="00101494"/>
    <w:rsid w:val="0010582C"/>
    <w:rsid w:val="0011337A"/>
    <w:rsid w:val="001303CA"/>
    <w:rsid w:val="0013273A"/>
    <w:rsid w:val="00147BA8"/>
    <w:rsid w:val="00155F68"/>
    <w:rsid w:val="00156A09"/>
    <w:rsid w:val="00173623"/>
    <w:rsid w:val="00176323"/>
    <w:rsid w:val="0017673C"/>
    <w:rsid w:val="001B3AD1"/>
    <w:rsid w:val="001B3BDA"/>
    <w:rsid w:val="001C5F6A"/>
    <w:rsid w:val="001D27EC"/>
    <w:rsid w:val="002406C6"/>
    <w:rsid w:val="0024195B"/>
    <w:rsid w:val="00247F12"/>
    <w:rsid w:val="00254F29"/>
    <w:rsid w:val="00263A80"/>
    <w:rsid w:val="00270E5D"/>
    <w:rsid w:val="00294092"/>
    <w:rsid w:val="002A2EE8"/>
    <w:rsid w:val="002A730B"/>
    <w:rsid w:val="002B37E1"/>
    <w:rsid w:val="002C7144"/>
    <w:rsid w:val="002F11BD"/>
    <w:rsid w:val="002F6FF7"/>
    <w:rsid w:val="0032221F"/>
    <w:rsid w:val="00327BAC"/>
    <w:rsid w:val="0033412F"/>
    <w:rsid w:val="003A7691"/>
    <w:rsid w:val="003C0DE2"/>
    <w:rsid w:val="003C3C7D"/>
    <w:rsid w:val="00401515"/>
    <w:rsid w:val="004075BA"/>
    <w:rsid w:val="0041166F"/>
    <w:rsid w:val="00422D8A"/>
    <w:rsid w:val="004274B1"/>
    <w:rsid w:val="00442756"/>
    <w:rsid w:val="00445DCD"/>
    <w:rsid w:val="0045070F"/>
    <w:rsid w:val="00470169"/>
    <w:rsid w:val="00483CD1"/>
    <w:rsid w:val="00496CAD"/>
    <w:rsid w:val="00497BCA"/>
    <w:rsid w:val="004A348C"/>
    <w:rsid w:val="004C4E78"/>
    <w:rsid w:val="004D15AB"/>
    <w:rsid w:val="004E2939"/>
    <w:rsid w:val="004F5C2E"/>
    <w:rsid w:val="00501CAD"/>
    <w:rsid w:val="00504834"/>
    <w:rsid w:val="00506E21"/>
    <w:rsid w:val="005109E2"/>
    <w:rsid w:val="00515713"/>
    <w:rsid w:val="00527BA0"/>
    <w:rsid w:val="00532EA4"/>
    <w:rsid w:val="00552A43"/>
    <w:rsid w:val="00555345"/>
    <w:rsid w:val="005638E4"/>
    <w:rsid w:val="00572E3F"/>
    <w:rsid w:val="00583612"/>
    <w:rsid w:val="005A4523"/>
    <w:rsid w:val="005B1A13"/>
    <w:rsid w:val="005B3067"/>
    <w:rsid w:val="005B5477"/>
    <w:rsid w:val="005D24FC"/>
    <w:rsid w:val="005E0E96"/>
    <w:rsid w:val="00602AFB"/>
    <w:rsid w:val="00606A0B"/>
    <w:rsid w:val="00610BD4"/>
    <w:rsid w:val="00610D76"/>
    <w:rsid w:val="00617A6C"/>
    <w:rsid w:val="00617E56"/>
    <w:rsid w:val="006511B6"/>
    <w:rsid w:val="0065278E"/>
    <w:rsid w:val="00653D32"/>
    <w:rsid w:val="00670F9A"/>
    <w:rsid w:val="006A110C"/>
    <w:rsid w:val="006B1301"/>
    <w:rsid w:val="006B3754"/>
    <w:rsid w:val="006D0EF3"/>
    <w:rsid w:val="006D64C8"/>
    <w:rsid w:val="006E5AF4"/>
    <w:rsid w:val="00700C30"/>
    <w:rsid w:val="0070167A"/>
    <w:rsid w:val="00703360"/>
    <w:rsid w:val="00713512"/>
    <w:rsid w:val="007171D6"/>
    <w:rsid w:val="00726DA7"/>
    <w:rsid w:val="00740CB7"/>
    <w:rsid w:val="00744315"/>
    <w:rsid w:val="00752549"/>
    <w:rsid w:val="00764A66"/>
    <w:rsid w:val="007701B0"/>
    <w:rsid w:val="00786E89"/>
    <w:rsid w:val="00791D0F"/>
    <w:rsid w:val="00795922"/>
    <w:rsid w:val="007A0337"/>
    <w:rsid w:val="007B0740"/>
    <w:rsid w:val="007D4893"/>
    <w:rsid w:val="007E4149"/>
    <w:rsid w:val="007F0002"/>
    <w:rsid w:val="007F6779"/>
    <w:rsid w:val="00803E43"/>
    <w:rsid w:val="00813678"/>
    <w:rsid w:val="00814723"/>
    <w:rsid w:val="008351D5"/>
    <w:rsid w:val="008359F9"/>
    <w:rsid w:val="00855020"/>
    <w:rsid w:val="00862BDF"/>
    <w:rsid w:val="00873DBC"/>
    <w:rsid w:val="00876A73"/>
    <w:rsid w:val="00876EBC"/>
    <w:rsid w:val="00893EF7"/>
    <w:rsid w:val="00895977"/>
    <w:rsid w:val="008976A9"/>
    <w:rsid w:val="008B370A"/>
    <w:rsid w:val="008B40C7"/>
    <w:rsid w:val="008F57E3"/>
    <w:rsid w:val="008F630E"/>
    <w:rsid w:val="008F6DE7"/>
    <w:rsid w:val="009119C9"/>
    <w:rsid w:val="00911E90"/>
    <w:rsid w:val="00914508"/>
    <w:rsid w:val="009174B1"/>
    <w:rsid w:val="00926ED5"/>
    <w:rsid w:val="00953093"/>
    <w:rsid w:val="00955F8E"/>
    <w:rsid w:val="00956016"/>
    <w:rsid w:val="0098220C"/>
    <w:rsid w:val="00983F7A"/>
    <w:rsid w:val="009A64B8"/>
    <w:rsid w:val="009B1BC8"/>
    <w:rsid w:val="009D5F6C"/>
    <w:rsid w:val="009E2FE2"/>
    <w:rsid w:val="009E369E"/>
    <w:rsid w:val="009F2630"/>
    <w:rsid w:val="00A0762F"/>
    <w:rsid w:val="00A1620F"/>
    <w:rsid w:val="00A722EE"/>
    <w:rsid w:val="00A90A54"/>
    <w:rsid w:val="00AA1C68"/>
    <w:rsid w:val="00AA6E50"/>
    <w:rsid w:val="00AB27AA"/>
    <w:rsid w:val="00AB3A02"/>
    <w:rsid w:val="00AC5DDD"/>
    <w:rsid w:val="00AC78E7"/>
    <w:rsid w:val="00AC7A87"/>
    <w:rsid w:val="00AD7F17"/>
    <w:rsid w:val="00AE2576"/>
    <w:rsid w:val="00B172C2"/>
    <w:rsid w:val="00B5125A"/>
    <w:rsid w:val="00B56954"/>
    <w:rsid w:val="00B61C7E"/>
    <w:rsid w:val="00B75417"/>
    <w:rsid w:val="00B84F26"/>
    <w:rsid w:val="00BA2313"/>
    <w:rsid w:val="00BA5115"/>
    <w:rsid w:val="00BA6A9A"/>
    <w:rsid w:val="00BE65F5"/>
    <w:rsid w:val="00BF264E"/>
    <w:rsid w:val="00C15A62"/>
    <w:rsid w:val="00C16C52"/>
    <w:rsid w:val="00C22D49"/>
    <w:rsid w:val="00C32AF0"/>
    <w:rsid w:val="00C46E22"/>
    <w:rsid w:val="00C525A9"/>
    <w:rsid w:val="00C62BE6"/>
    <w:rsid w:val="00C761AC"/>
    <w:rsid w:val="00C91A9C"/>
    <w:rsid w:val="00C925E6"/>
    <w:rsid w:val="00CA022F"/>
    <w:rsid w:val="00CA292F"/>
    <w:rsid w:val="00CA5883"/>
    <w:rsid w:val="00CD4E61"/>
    <w:rsid w:val="00CD4EA9"/>
    <w:rsid w:val="00CD77D6"/>
    <w:rsid w:val="00CF0018"/>
    <w:rsid w:val="00D0035A"/>
    <w:rsid w:val="00D041B9"/>
    <w:rsid w:val="00D13DE5"/>
    <w:rsid w:val="00D16ECF"/>
    <w:rsid w:val="00D36A66"/>
    <w:rsid w:val="00D4111F"/>
    <w:rsid w:val="00D60747"/>
    <w:rsid w:val="00D66BDE"/>
    <w:rsid w:val="00D70370"/>
    <w:rsid w:val="00D7271E"/>
    <w:rsid w:val="00D85623"/>
    <w:rsid w:val="00DD4A18"/>
    <w:rsid w:val="00DE7073"/>
    <w:rsid w:val="00E3101E"/>
    <w:rsid w:val="00E41B28"/>
    <w:rsid w:val="00E70E16"/>
    <w:rsid w:val="00E90586"/>
    <w:rsid w:val="00EA3EFD"/>
    <w:rsid w:val="00EA6C36"/>
    <w:rsid w:val="00EC0175"/>
    <w:rsid w:val="00ED00E0"/>
    <w:rsid w:val="00EE7464"/>
    <w:rsid w:val="00F0408F"/>
    <w:rsid w:val="00F2026B"/>
    <w:rsid w:val="00F34C9D"/>
    <w:rsid w:val="00F72A8E"/>
    <w:rsid w:val="00F96861"/>
    <w:rsid w:val="00FA0670"/>
    <w:rsid w:val="00FD3869"/>
    <w:rsid w:val="00FE6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4301"/>
  <w15:chartTrackingRefBased/>
  <w15:docId w15:val="{26C7DB23-7C3B-4982-9AE8-B869DC86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925E6"/>
    <w:pPr>
      <w:ind w:left="720"/>
      <w:contextualSpacing/>
    </w:pPr>
  </w:style>
  <w:style w:type="paragraph" w:styleId="FootnoteText">
    <w:name w:val="footnote text"/>
    <w:basedOn w:val="Normal"/>
    <w:link w:val="FootnoteTextChar"/>
    <w:uiPriority w:val="99"/>
    <w:semiHidden/>
    <w:unhideWhenUsed/>
    <w:rsid w:val="008B40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0C7"/>
    <w:rPr>
      <w:sz w:val="20"/>
      <w:szCs w:val="20"/>
    </w:rPr>
  </w:style>
  <w:style w:type="character" w:styleId="FootnoteReference">
    <w:name w:val="footnote reference"/>
    <w:basedOn w:val="DefaultParagraphFont"/>
    <w:uiPriority w:val="99"/>
    <w:semiHidden/>
    <w:unhideWhenUsed/>
    <w:rsid w:val="008B40C7"/>
    <w:rPr>
      <w:vertAlign w:val="superscript"/>
    </w:rPr>
  </w:style>
  <w:style w:type="character" w:styleId="Hyperlink">
    <w:name w:val="Hyperlink"/>
    <w:basedOn w:val="DefaultParagraphFont"/>
    <w:uiPriority w:val="99"/>
    <w:unhideWhenUsed/>
    <w:rsid w:val="00552A43"/>
    <w:rPr>
      <w:color w:val="0563C1" w:themeColor="hyperlink"/>
      <w:u w:val="single"/>
    </w:rPr>
  </w:style>
  <w:style w:type="character" w:styleId="UnresolvedMention">
    <w:name w:val="Unresolved Mention"/>
    <w:basedOn w:val="DefaultParagraphFont"/>
    <w:uiPriority w:val="99"/>
    <w:semiHidden/>
    <w:unhideWhenUsed/>
    <w:rsid w:val="00552A43"/>
    <w:rPr>
      <w:color w:val="605E5C"/>
      <w:shd w:val="clear" w:color="auto" w:fill="E1DFDD"/>
    </w:rPr>
  </w:style>
  <w:style w:type="paragraph" w:styleId="Header">
    <w:name w:val="header"/>
    <w:basedOn w:val="Normal"/>
    <w:link w:val="HeaderChar"/>
    <w:uiPriority w:val="99"/>
    <w:unhideWhenUsed/>
    <w:rsid w:val="008F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30E"/>
  </w:style>
  <w:style w:type="paragraph" w:styleId="Footer">
    <w:name w:val="footer"/>
    <w:basedOn w:val="Normal"/>
    <w:link w:val="FooterChar"/>
    <w:uiPriority w:val="99"/>
    <w:unhideWhenUsed/>
    <w:rsid w:val="008F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30E"/>
  </w:style>
  <w:style w:type="paragraph" w:styleId="NormalWeb">
    <w:name w:val="Normal (Web)"/>
    <w:basedOn w:val="Normal"/>
    <w:uiPriority w:val="99"/>
    <w:unhideWhenUsed/>
    <w:rsid w:val="0051571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5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radharjan@unsw.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9415257.2017.1423369" TargetMode="External"/><Relationship Id="rId2" Type="http://schemas.openxmlformats.org/officeDocument/2006/relationships/hyperlink" Target="https://doi.org/10.1007/978-981-10-4133-4_6" TargetMode="External"/><Relationship Id="rId1" Type="http://schemas.openxmlformats.org/officeDocument/2006/relationships/hyperlink" Target="http://hdl.handle.net/10453/29255" TargetMode="External"/><Relationship Id="rId4" Type="http://schemas.openxmlformats.org/officeDocument/2006/relationships/hyperlink" Target="https://doi.org/10.1080/1359866X.2019.16691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B6BB-8CE4-4AF1-8935-77F607D0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Varadharajan</dc:creator>
  <cp:keywords/>
  <dc:description/>
  <cp:lastModifiedBy>GARNER,Kate</cp:lastModifiedBy>
  <cp:revision>2</cp:revision>
  <dcterms:created xsi:type="dcterms:W3CDTF">2021-07-19T06:21:00Z</dcterms:created>
  <dcterms:modified xsi:type="dcterms:W3CDTF">2021-07-19T06:21:00Z</dcterms:modified>
</cp:coreProperties>
</file>