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media/image1.jpg" ContentType="image/jpg"/>
  <Override PartName="/word/media/image10.jpg" ContentType="image/jpg"/>
  <Override PartName="/word/media/image11.jpg" ContentType="image/jpg"/>
  <Override PartName="/word/media/image12.jpg" ContentType="image/jpg"/>
  <Override PartName="/word/media/image13.jpg" ContentType="image/jpg"/>
  <Override PartName="/word/media/image14.jpg" ContentType="image/jpg"/>
  <Override PartName="/word/media/image15.jpg" ContentType="image/jpg"/>
  <Override PartName="/word/media/image16.jpg" ContentType="image/jpg"/>
  <Override PartName="/word/media/image17.jpg" ContentType="image/jpg"/>
  <Override PartName="/word/media/image2.jpg" ContentType="image/jpg"/>
  <Override PartName="/word/media/image3.jpg" ContentType="image/jpg"/>
  <Override PartName="/word/media/image4.jpg" ContentType="image/jpg"/>
  <Override PartName="/word/media/image5.jpg" ContentType="image/jpg"/>
  <Override PartName="/word/media/image6.jpg" ContentType="image/jpg"/>
  <Override PartName="/word/media/image7.jpg" ContentType="image/jpg"/>
  <Override PartName="/word/media/image8.jpg" ContentType="image/jpg"/>
  <Override PartName="/word/media/image9.jpg" ContentType="image/jpg"/>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body>
    <w:p>
      <w:pPr>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pict>
          <v:shapetype id="_x0000_t1" coordsize="21600,21600" o:spt="202" path="m,l,21600r21600,l21600,xe">
            <v:stroke joinstyle="miter"/>
            <v:path gradientshapeok="t" o:connecttype="rect"/>
          </v:shapetype>
          <v:shape id="_x0000_s0" type="#_x0000_t1" filled="f" stroked="f" style="position:absolute;width:595.45pt;height:842.15pt;z-index:-999;margin-left:0pt;margin-top:0pt;mso-wrap-distance-left:0pt;mso-wrap-distance-right:0pt;mso-position-horizontal-relative:page;mso-position-vertical-relative:page">
            <w10:wrap type="square" side="both"/>
            <v:fill opacity="1" o:opacity2="1" recolor="f" rotate="f" type="solid"/>
            <v:textbox inset="0pt, 0pt, 0pt, 0pt">
              <w:txbxContent>
                <w:p>
                  <w:pPr>
                    <w:spacing w:before="0" w:after="0" w:line="240" w:lineRule="auto"/>
                    <w:ind w:right="0" w:left="0"/>
                    <w:jc w:val="left"/>
                    <w:textAlignment w:val="baseline"/>
                  </w:pPr>
                  <w:r>
                    <w:drawing>
                      <wp:inline>
                        <wp:extent cx="7562215" cy="10695305"/>
                        <wp:docPr name="Picture" id="1"/>
                        <a:graphic>
                          <a:graphicData uri="http://schemas.openxmlformats.org/drawingml/2006/picture">
                            <pic:pic>
                              <pic:nvPicPr>
                                <pic:cNvPr id="1" name="Picture"/>
                                <pic:cNvPicPr preferRelativeResize="false"/>
                              </pic:nvPicPr>
                              <pic:blipFill>
                                <a:blip r:embed="prId1"/>
                                <a:stretch>
                                  <a:fillRect/>
                                </a:stretch>
                              </pic:blipFill>
                              <pic:spPr>
                                <a:xfrm>
                                  <a:off x="0" y="0"/>
                                  <a:ext cx="7562215" cy="10695305"/>
                                </a:xfrm>
                                <a:prstGeom prst="rect"/>
                              </pic:spPr>
                            </pic:pic>
                          </a:graphicData>
                        </a:graphic>
                      </wp:inline>
                    </w:drawing>
                  </w:r>
                </w:p>
              </w:txbxContent>
            </v:textbox>
          </v:shape>
        </w:pict>
      </w:r>
      <w:r>
        <w:pict>
          <v:shapetype id="_x0000_t2" coordsize="21600,21600" o:spt="202" path="m,l,21600r21600,l21600,xe">
            <v:stroke joinstyle="miter"/>
            <v:path gradientshapeok="t" o:connecttype="rect"/>
          </v:shapetype>
          <v:shape id="_x0000_s1" type="#_x0000_t2" filled="f" stroked="f" style="position:absolute;width:204.5pt;height:14.95pt;z-index:-1;margin-left:48.95pt;margin-top:141.85pt;mso-wrap-distance-left:0pt;mso-wrap-distance-right:0pt;mso-position-horizontal-relative:page;mso-position-vertical-relative:page">
            <w10:wrap type="square" side="both"/>
            <v:fill opacity="1" o:opacity2="1" recolor="f" rotate="f" type="solid"/>
            <v:textbox inset="0pt, 0pt, 0pt, 0pt">
              <w:txbxContent>
                <w:p>
                  <w:pPr>
                    <w:spacing w:before="2" w:after="0" w:line="285" w:lineRule="exact"/>
                    <w:ind w:right="0" w:left="0" w:firstLine="0"/>
                    <w:jc w:val="left"/>
                    <w:textAlignment w:val="baseline"/>
                    <w:rPr>
                      <w:rFonts w:ascii="Arial Narrow" w:hAnsi="Arial Narrow" w:eastAsia="Arial Narrow"/>
                      <w:color w:val="B5B7B7"/>
                      <w:spacing w:val="-5"/>
                      <w:w w:val="100"/>
                      <w:sz w:val="26"/>
                      <w:vertAlign w:val="baseline"/>
                      <w:lang w:val="en-US"/>
                    </w:rPr>
                  </w:pPr>
                  <w:r>
                    <w:rPr>
                      <w:rFonts w:ascii="Arial Narrow" w:hAnsi="Arial Narrow" w:eastAsia="Arial Narrow"/>
                      <w:color w:val="B5B7B7"/>
                      <w:spacing w:val="-5"/>
                      <w:w w:val="100"/>
                      <w:sz w:val="26"/>
                      <w:vertAlign w:val="baseline"/>
                      <w:lang w:val="en-US"/>
                    </w:rPr>
                    <w:t xml:space="preserve">UNIVERSITIES AUSTRALIA SUBMISSION</w:t>
                  </w:r>
                </w:p>
              </w:txbxContent>
            </v:textbox>
          </v:shape>
        </w:pict>
      </w:r>
      <w:r>
        <w:pict>
          <v:shapetype id="_x0000_t3" coordsize="21600,21600" o:spt="202" path="m,l,21600r21600,l21600,xe">
            <v:stroke joinstyle="miter"/>
            <v:path gradientshapeok="t" o:connecttype="rect"/>
          </v:shapetype>
          <v:shape id="_x0000_s2" type="#_x0000_t3" filled="f" stroked="f" style="position:absolute;width:326.9pt;height:117.45pt;z-index:-1;margin-left:48.95pt;margin-top:197.9pt;mso-wrap-distance-left:0pt;mso-wrap-distance-right:0pt;mso-position-horizontal-relative:page;mso-position-vertical-relative:page">
            <w10:wrap type="square" side="both"/>
            <v:fill opacity="1" o:opacity2="1" recolor="f" rotate="f" type="solid"/>
            <v:textbox inset="0pt, 0pt, 0pt, 0pt">
              <w:txbxContent>
                <w:p>
                  <w:pPr>
                    <w:spacing w:before="66" w:after="0" w:line="761" w:lineRule="exact"/>
                    <w:ind w:right="0" w:left="0" w:firstLine="0"/>
                    <w:jc w:val="left"/>
                    <w:textAlignment w:val="baseline"/>
                    <w:rPr>
                      <w:rFonts w:ascii="Arial Narrow" w:hAnsi="Arial Narrow" w:eastAsia="Arial Narrow"/>
                      <w:color w:val="FFFFFF"/>
                      <w:spacing w:val="0"/>
                      <w:w w:val="100"/>
                      <w:sz w:val="72"/>
                      <w:vertAlign w:val="baseline"/>
                      <w:lang w:val="en-US"/>
                    </w:rPr>
                  </w:pPr>
                  <w:r>
                    <w:rPr>
                      <w:rFonts w:ascii="Arial Narrow" w:hAnsi="Arial Narrow" w:eastAsia="Arial Narrow"/>
                      <w:color w:val="FFFFFF"/>
                      <w:spacing w:val="0"/>
                      <w:w w:val="100"/>
                      <w:sz w:val="72"/>
                      <w:vertAlign w:val="baseline"/>
                      <w:lang w:val="en-US"/>
                    </w:rPr>
                    <w:t xml:space="preserve">QUALITY INITIAL</w:t>
                  </w:r>
                </w:p>
                <w:p>
                  <w:pPr>
                    <w:spacing w:before="0" w:after="0" w:line="753" w:lineRule="exact"/>
                    <w:ind w:right="0" w:left="0" w:firstLine="0"/>
                    <w:jc w:val="left"/>
                    <w:textAlignment w:val="baseline"/>
                    <w:rPr>
                      <w:rFonts w:ascii="Arial Narrow" w:hAnsi="Arial Narrow" w:eastAsia="Arial Narrow"/>
                      <w:color w:val="FFFFFF"/>
                      <w:spacing w:val="0"/>
                      <w:w w:val="100"/>
                      <w:sz w:val="72"/>
                      <w:vertAlign w:val="baseline"/>
                      <w:lang w:val="en-US"/>
                    </w:rPr>
                  </w:pPr>
                  <w:r>
                    <w:rPr>
                      <w:rFonts w:ascii="Arial Narrow" w:hAnsi="Arial Narrow" w:eastAsia="Arial Narrow"/>
                      <w:color w:val="FFFFFF"/>
                      <w:spacing w:val="0"/>
                      <w:w w:val="100"/>
                      <w:sz w:val="72"/>
                      <w:vertAlign w:val="baseline"/>
                      <w:lang w:val="en-US"/>
                    </w:rPr>
                    <w:t xml:space="preserve">TEACHER EDUCATION REVIEW</w:t>
                  </w:r>
                </w:p>
              </w:txbxContent>
            </v:textbox>
          </v:shape>
        </w:pict>
      </w:r>
      <w:r>
        <w:pict>
          <v:shapetype id="_x0000_t4" coordsize="21600,21600" o:spt="202" path="m,l,21600r21600,l21600,xe">
            <v:stroke joinstyle="miter"/>
            <v:path gradientshapeok="t" o:connecttype="rect"/>
          </v:shapetype>
          <v:shape id="_x0000_s3" type="#_x0000_t4" filled="f" stroked="f" style="position:absolute;width:105.4pt;height:30.45pt;z-index:-1;margin-left:48.7pt;margin-top:340.85pt;mso-wrap-distance-left:0pt;mso-wrap-distance-right:0pt;mso-position-horizontal-relative:page;mso-position-vertical-relative:page">
            <w10:wrap type="square" side="both"/>
            <v:fill opacity="1" o:opacity2="1" recolor="f" rotate="f" type="solid"/>
            <v:textbox inset="0pt, 0pt, 0pt, 0pt">
              <w:txbxContent>
                <w:p>
                  <w:pPr>
                    <w:spacing w:before="0" w:after="0" w:line="599" w:lineRule="exact"/>
                    <w:ind w:right="0" w:left="0" w:firstLine="0"/>
                    <w:jc w:val="left"/>
                    <w:textAlignment w:val="baseline"/>
                    <w:rPr>
                      <w:rFonts w:ascii="Arial Narrow" w:hAnsi="Arial Narrow" w:eastAsia="Arial Narrow"/>
                      <w:color w:val="B5B7B7"/>
                      <w:spacing w:val="-15"/>
                      <w:w w:val="100"/>
                      <w:sz w:val="53"/>
                      <w:vertAlign w:val="baseline"/>
                      <w:lang w:val="en-US"/>
                    </w:rPr>
                  </w:pPr>
                  <w:r>
                    <w:rPr>
                      <w:rFonts w:ascii="Arial Narrow" w:hAnsi="Arial Narrow" w:eastAsia="Arial Narrow"/>
                      <w:color w:val="B5B7B7"/>
                      <w:spacing w:val="-15"/>
                      <w:w w:val="100"/>
                      <w:sz w:val="53"/>
                      <w:vertAlign w:val="baseline"/>
                      <w:lang w:val="en-US"/>
                    </w:rPr>
                    <w:t xml:space="preserve">JULY 2021</w:t>
                  </w:r>
                </w:p>
              </w:txbxContent>
            </v:textbox>
          </v:shape>
        </w:pict>
      </w:r>
    </w:p>
    <w:p>
      <w:pPr>
        <w:sectPr>
          <w:type w:val="nextPage"/>
          <w:pgSz w:w="11909" w:h="16843" w:orient="portrait"/>
          <w:pgMar w:bottom="0" w:top="0" w:right="1440" w:left="1440" w:header="720" w:footer="720"/>
          <w:titlePg w:val="false"/>
          <w:textDirection w:val="lrTb"/>
        </w:sectPr>
      </w:pPr>
    </w:p>
    <w:p>
      <w:pPr>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pict>
          <v:shapetype id="_x0000_t5" coordsize="21600,21600" o:spt="202" path="m,l,21600r21600,l21600,xe">
            <v:stroke joinstyle="miter"/>
            <v:path gradientshapeok="t" o:connecttype="rect"/>
          </v:shapetype>
          <v:shape id="_x0000_s4" type="#_x0000_t5" filled="f" stroked="f" style="position:absolute;width:595.45pt;height:842.15pt;z-index:-999;margin-left:0pt;margin-top:0pt;mso-wrap-distance-left:0pt;mso-wrap-distance-right:0pt;mso-position-horizontal-relative:page;mso-position-vertical-relative:page">
            <w10:wrap type="square" side="both"/>
            <v:fill opacity="1" o:opacity2="1" recolor="f" rotate="f" type="solid"/>
            <v:textbox inset="0pt, 0pt, 0pt, 0pt">
              <w:txbxContent>
                <w:p>
                  <w:pPr>
                    <w:spacing w:before="0" w:after="0" w:line="240" w:lineRule="auto"/>
                    <w:ind w:right="0" w:left="0"/>
                    <w:jc w:val="left"/>
                    <w:textAlignment w:val="baseline"/>
                  </w:pPr>
                  <w:r>
                    <w:drawing>
                      <wp:inline>
                        <wp:extent cx="7562215" cy="10695305"/>
                        <wp:docPr name="Picture" id="2"/>
                        <a:graphic>
                          <a:graphicData uri="http://schemas.openxmlformats.org/drawingml/2006/picture">
                            <pic:pic>
                              <pic:nvPicPr>
                                <pic:cNvPr id="2" name="Picture"/>
                                <pic:cNvPicPr preferRelativeResize="false"/>
                              </pic:nvPicPr>
                              <pic:blipFill>
                                <a:blip r:embed="prId2"/>
                                <a:stretch>
                                  <a:fillRect/>
                                </a:stretch>
                              </pic:blipFill>
                              <pic:spPr>
                                <a:xfrm>
                                  <a:off x="0" y="0"/>
                                  <a:ext cx="7562215" cy="10695305"/>
                                </a:xfrm>
                                <a:prstGeom prst="rect"/>
                              </pic:spPr>
                            </pic:pic>
                          </a:graphicData>
                        </a:graphic>
                      </wp:inline>
                    </w:drawing>
                  </w:r>
                </w:p>
              </w:txbxContent>
            </v:textbox>
          </v:shape>
        </w:pict>
      </w:r>
      <w:r>
        <w:pict>
          <v:shapetype id="_x0000_t6" coordsize="21600,21600" o:spt="202" path="m,l,21600r21600,l21600,xe">
            <v:stroke joinstyle="miter"/>
            <v:path gradientshapeok="t" o:connecttype="rect"/>
          </v:shapetype>
          <v:shape id="_x0000_s5" type="#_x0000_t6" filled="f" stroked="f" style="position:absolute;width:319.45pt;height:9.9pt;z-index:-1;margin-left:48.25pt;margin-top:692.8pt;mso-wrap-distance-left:0pt;mso-wrap-distance-right:0pt;mso-position-horizontal-relative:page;mso-position-vertical-relative:page">
            <w10:wrap type="square" side="both"/>
            <v:fill opacity="1" o:opacity2="1" recolor="f" rotate="f" type="solid"/>
            <v:textbox inset="0pt, 0pt, 0pt, 0pt">
              <w:txbxContent>
                <w:p>
                  <w:pPr>
                    <w:spacing w:before="0" w:after="0" w:line="184" w:lineRule="exact"/>
                    <w:ind w:right="0" w:left="0" w:firstLine="0"/>
                    <w:jc w:val="left"/>
                    <w:textAlignment w:val="baseline"/>
                    <w:rPr>
                      <w:rFonts w:ascii="Arial" w:hAnsi="Arial" w:eastAsia="Arial"/>
                      <w:color w:val="FFFFFF"/>
                      <w:spacing w:val="-1"/>
                      <w:w w:val="100"/>
                      <w:sz w:val="16"/>
                      <w:vertAlign w:val="baseline"/>
                      <w:lang w:val="en-US"/>
                    </w:rPr>
                  </w:pPr>
                  <w:r>
                    <w:rPr>
                      <w:rFonts w:ascii="Arial" w:hAnsi="Arial" w:eastAsia="Arial"/>
                      <w:color w:val="FFFFFF"/>
                      <w:spacing w:val="-1"/>
                      <w:w w:val="100"/>
                      <w:sz w:val="16"/>
                      <w:vertAlign w:val="baseline"/>
                      <w:lang w:val="en-US"/>
                    </w:rPr>
                    <w:t xml:space="preserve">This work is licensed under a </w:t>
                  </w:r>
                  <w:r>
                    <w:rPr>
                      <w:rFonts w:ascii="Arial" w:hAnsi="Arial" w:eastAsia="Arial"/>
                      <w:b w:val="true"/>
                      <w:color w:val="FFFFFF"/>
                      <w:spacing w:val="-1"/>
                      <w:w w:val="100"/>
                      <w:sz w:val="16"/>
                      <w:vertAlign w:val="baseline"/>
                      <w:lang w:val="en-US"/>
                    </w:rPr>
                    <w:t xml:space="preserve">Creative Commons Attribution 4.0 International Licence</w:t>
                  </w:r>
                  <w:r>
                    <w:rPr>
                      <w:rFonts w:ascii="Arial" w:hAnsi="Arial" w:eastAsia="Arial"/>
                      <w:color w:val="FFFFFF"/>
                      <w:spacing w:val="-1"/>
                      <w:w w:val="100"/>
                      <w:sz w:val="16"/>
                      <w:vertAlign w:val="baseline"/>
                      <w:lang w:val="en-US"/>
                    </w:rPr>
                    <w:t xml:space="preserve">.</w:t>
                  </w:r>
                </w:p>
              </w:txbxContent>
            </v:textbox>
          </v:shape>
        </w:pict>
      </w:r>
      <w:r>
        <w:pict>
          <v:shapetype id="_x0000_t7" coordsize="21600,21600" o:spt="202" path="m,l,21600r21600,l21600,xe">
            <v:stroke joinstyle="miter"/>
            <v:path gradientshapeok="t" o:connecttype="rect"/>
          </v:shapetype>
          <v:shape id="_x0000_s6" type="#_x0000_t7" filled="f" stroked="f" style="position:absolute;width:214.6pt;height:9.2pt;z-index:-1;margin-left:48.7pt;margin-top:718.25pt;mso-wrap-distance-left:0pt;mso-wrap-distance-right:0pt;mso-position-horizontal-relative:page;mso-position-vertical-relative:page">
            <w10:wrap type="square" side="both"/>
            <v:fill opacity="1" o:opacity2="1" recolor="f" rotate="f" type="solid"/>
            <v:textbox inset="0pt, 0pt, 0pt, 0pt">
              <w:txbxContent>
                <w:p>
                  <w:pPr>
                    <w:spacing w:before="1" w:after="0" w:line="178" w:lineRule="exact"/>
                    <w:ind w:right="0" w:left="0" w:firstLine="0"/>
                    <w:jc w:val="left"/>
                    <w:textAlignment w:val="baseline"/>
                    <w:rPr>
                      <w:rFonts w:ascii="Arial" w:hAnsi="Arial" w:eastAsia="Arial"/>
                      <w:b w:val="true"/>
                      <w:color w:val="FFFFFF"/>
                      <w:spacing w:val="-2"/>
                      <w:w w:val="100"/>
                      <w:sz w:val="16"/>
                      <w:vertAlign w:val="baseline"/>
                      <w:lang w:val="en-US"/>
                    </w:rPr>
                  </w:pPr>
                  <w:r>
                    <w:rPr>
                      <w:rFonts w:ascii="Arial" w:hAnsi="Arial" w:eastAsia="Arial"/>
                      <w:b w:val="true"/>
                      <w:color w:val="FFFFFF"/>
                      <w:spacing w:val="-2"/>
                      <w:w w:val="100"/>
                      <w:sz w:val="16"/>
                      <w:vertAlign w:val="baseline"/>
                      <w:lang w:val="en-US"/>
                    </w:rPr>
                    <w:t xml:space="preserve">Further inquiries should be made to the Chief Executive:</w:t>
                  </w:r>
                </w:p>
              </w:txbxContent>
            </v:textbox>
          </v:shape>
        </w:pict>
      </w:r>
      <w:r>
        <w:pict>
          <v:shapetype id="_x0000_t8" coordsize="21600,21600" o:spt="202" path="m,l,21600r21600,l21600,xe">
            <v:stroke joinstyle="miter"/>
            <v:path gradientshapeok="t" o:connecttype="rect"/>
          </v:shapetype>
          <v:shape id="_x0000_s7" type="#_x0000_t8" filled="f" stroked="f" style="position:absolute;width:155pt;height:40pt;z-index:-1;margin-left:48.5pt;margin-top:733.75pt;mso-wrap-distance-left:0pt;mso-wrap-distance-right:0pt;mso-position-horizontal-relative:page;mso-position-vertical-relative:page">
            <w10:wrap type="square" side="both"/>
            <v:fill opacity="1" o:opacity2="1" recolor="f" rotate="f" type="solid"/>
            <v:textbox inset="0pt, 0pt, 0pt, 0pt">
              <w:txbxContent>
                <w:p>
                  <w:pPr>
                    <w:spacing w:before="0" w:after="0" w:line="200" w:lineRule="exact"/>
                    <w:ind w:right="0" w:left="0" w:firstLine="0"/>
                    <w:jc w:val="left"/>
                    <w:textAlignment w:val="baseline"/>
                    <w:rPr>
                      <w:rFonts w:ascii="Arial" w:hAnsi="Arial" w:eastAsia="Arial"/>
                      <w:color w:val="FFFFFF"/>
                      <w:spacing w:val="0"/>
                      <w:w w:val="100"/>
                      <w:sz w:val="16"/>
                      <w:vertAlign w:val="baseline"/>
                      <w:lang w:val="en-US"/>
                    </w:rPr>
                  </w:pPr>
                  <w:r>
                    <w:rPr>
                      <w:rFonts w:ascii="Arial" w:hAnsi="Arial" w:eastAsia="Arial"/>
                      <w:color w:val="FFFFFF"/>
                      <w:spacing w:val="0"/>
                      <w:w w:val="100"/>
                      <w:sz w:val="16"/>
                      <w:vertAlign w:val="baseline"/>
                      <w:lang w:val="en-US"/>
                    </w:rPr>
                    <w:t xml:space="preserve">GPO Box 1142 Canberra ACT 2601</w:t>
                  </w:r>
                </w:p>
                <w:p>
                  <w:pPr>
                    <w:spacing w:before="2" w:after="0" w:line="200" w:lineRule="exact"/>
                    <w:ind w:right="0" w:left="0" w:firstLine="0"/>
                    <w:jc w:val="left"/>
                    <w:textAlignment w:val="baseline"/>
                    <w:rPr>
                      <w:rFonts w:ascii="Arial" w:hAnsi="Arial" w:eastAsia="Arial"/>
                      <w:color w:val="FFFFFF"/>
                      <w:spacing w:val="0"/>
                      <w:w w:val="100"/>
                      <w:sz w:val="16"/>
                      <w:vertAlign w:val="baseline"/>
                      <w:lang w:val="en-US"/>
                    </w:rPr>
                  </w:pPr>
                  <w:r>
                    <w:rPr>
                      <w:rFonts w:ascii="Arial" w:hAnsi="Arial" w:eastAsia="Arial"/>
                      <w:color w:val="FFFFFF"/>
                      <w:spacing w:val="0"/>
                      <w:w w:val="100"/>
                      <w:sz w:val="16"/>
                      <w:vertAlign w:val="baseline"/>
                      <w:lang w:val="en-US"/>
                    </w:rPr>
                    <w:t xml:space="preserve">Ph: +61 (0)2 6285 8100</w:t>
                  </w:r>
                </w:p>
                <w:p>
                  <w:pPr>
                    <w:spacing w:before="0" w:after="0" w:line="196" w:lineRule="exact"/>
                    <w:ind w:right="0" w:left="0" w:firstLine="0"/>
                    <w:jc w:val="left"/>
                    <w:textAlignment w:val="baseline"/>
                    <w:rPr>
                      <w:rFonts w:ascii="Arial" w:hAnsi="Arial" w:eastAsia="Arial"/>
                      <w:color w:val="FFFFFF"/>
                      <w:spacing w:val="0"/>
                      <w:w w:val="100"/>
                      <w:sz w:val="16"/>
                      <w:vertAlign w:val="baseline"/>
                      <w:lang w:val="en-US"/>
                    </w:rPr>
                  </w:pPr>
                  <w:r>
                    <w:rPr>
                      <w:rFonts w:ascii="Arial" w:hAnsi="Arial" w:eastAsia="Arial"/>
                      <w:color w:val="FFFFFF"/>
                      <w:spacing w:val="0"/>
                      <w:w w:val="100"/>
                      <w:sz w:val="16"/>
                      <w:vertAlign w:val="baseline"/>
                      <w:lang w:val="en-US"/>
                    </w:rPr>
                    <w:t xml:space="preserve">Fax: +61 (0)2 6285 8101</w:t>
                  </w:r>
                </w:p>
                <w:p>
                  <w:pPr>
                    <w:spacing w:before="2" w:after="0" w:line="190" w:lineRule="exact"/>
                    <w:ind w:right="0" w:left="0" w:firstLine="0"/>
                    <w:jc w:val="left"/>
                    <w:textAlignment w:val="baseline"/>
                    <w:rPr>
                      <w:rFonts w:ascii="Arial" w:hAnsi="Arial" w:eastAsia="Arial"/>
                      <w:color w:val="FFFFFF"/>
                      <w:spacing w:val="-3"/>
                      <w:w w:val="100"/>
                      <w:sz w:val="16"/>
                      <w:vertAlign w:val="baseline"/>
                      <w:lang w:val="en-US"/>
                    </w:rPr>
                  </w:pPr>
                  <w:hyperlink r:id="dhId1">
                    <w:r>
                      <w:rPr>
                        <w:rFonts w:ascii="Arial" w:hAnsi="Arial" w:eastAsia="Arial"/>
                        <w:color w:val="0000FF"/>
                        <w:spacing w:val="-3"/>
                        <w:w w:val="100"/>
                        <w:sz w:val="16"/>
                        <w:u w:val="single"/>
                        <w:vertAlign w:val="baseline"/>
                        <w:lang w:val="en-US"/>
                      </w:rPr>
                      <w:t xml:space="preserve">Email: contact@universitiesaustralia.edu.au</w:t>
                    </w:r>
                  </w:hyperlink>
                  <w:r>
                    <w:rPr>
                      <w:rFonts w:ascii="Arial" w:hAnsi="Arial" w:eastAsia="Arial"/>
                      <w:color w:val="FFFFFF"/>
                      <w:spacing w:val="-3"/>
                      <w:w w:val="100"/>
                      <w:sz w:val="16"/>
                      <w:vertAlign w:val="baseline"/>
                      <w:lang w:val="en-US"/>
                    </w:rPr>
                    <w:t xml:space="preserve">
</w:t>
                  </w:r>
                </w:p>
              </w:txbxContent>
            </v:textbox>
          </v:shape>
        </w:pict>
      </w:r>
      <w:r>
        <w:pict>
          <v:shapetype id="_x0000_t9" coordsize="21600,21600" o:spt="202" path="m,l,21600r21600,l21600,xe">
            <v:stroke joinstyle="miter"/>
            <v:path gradientshapeok="t" o:connecttype="rect"/>
          </v:shapetype>
          <v:shape id="_x0000_s8" type="#_x0000_t9" filled="f" stroked="f" style="position:absolute;width:133.7pt;height:9.2pt;z-index:-1;margin-left:48.7pt;margin-top:780.45pt;mso-wrap-distance-left:0pt;mso-wrap-distance-right:0pt;mso-position-horizontal-relative:page;mso-position-vertical-relative:page">
            <w10:wrap type="square" side="both"/>
            <v:fill opacity="1" o:opacity2="1" recolor="f" rotate="f" type="solid"/>
            <v:textbox inset="0pt, 0pt, 0pt, 0pt">
              <w:txbxContent>
                <w:p>
                  <w:pPr>
                    <w:spacing w:before="1" w:after="0" w:line="172" w:lineRule="exact"/>
                    <w:ind w:right="0" w:left="0" w:firstLine="0"/>
                    <w:jc w:val="left"/>
                    <w:textAlignment w:val="baseline"/>
                    <w:rPr>
                      <w:rFonts w:ascii="Arial" w:hAnsi="Arial" w:eastAsia="Arial"/>
                      <w:b w:val="true"/>
                      <w:color w:val="FFFFFF"/>
                      <w:spacing w:val="-5"/>
                      <w:w w:val="100"/>
                      <w:sz w:val="16"/>
                      <w:vertAlign w:val="baseline"/>
                      <w:lang w:val="en-US"/>
                    </w:rPr>
                  </w:pPr>
                  <w:hyperlink r:id="dhId2">
                    <w:r>
                      <w:rPr>
                        <w:rFonts w:ascii="Arial" w:hAnsi="Arial" w:eastAsia="Arial"/>
                        <w:b w:val="true"/>
                        <w:color w:val="0000FF"/>
                        <w:spacing w:val="-5"/>
                        <w:w w:val="100"/>
                        <w:sz w:val="16"/>
                        <w:u w:val="single"/>
                        <w:vertAlign w:val="baseline"/>
                        <w:lang w:val="en-US"/>
                      </w:rPr>
                      <w:t xml:space="preserve">UNIVERSITIESAUSTRALIA.EDU.AU</w:t>
                    </w:r>
                  </w:hyperlink>
                  <w:r>
                    <w:rPr>
                      <w:rFonts w:ascii="Arial" w:hAnsi="Arial" w:eastAsia="Arial"/>
                      <w:b w:val="true"/>
                      <w:color w:val="FFFFFF"/>
                      <w:spacing w:val="-5"/>
                      <w:w w:val="100"/>
                      <w:sz w:val="16"/>
                      <w:vertAlign w:val="baseline"/>
                      <w:lang w:val="en-US"/>
                    </w:rPr>
                    <w:t xml:space="preserve">
</w:t>
                  </w:r>
                </w:p>
              </w:txbxContent>
            </v:textbox>
          </v:shape>
        </w:pict>
      </w:r>
      <w:r>
        <w:pict>
          <v:shapetype id="_x0000_t10" coordsize="21600,21600" o:spt="202" path="m,l,21600r21600,l21600,xe">
            <v:stroke joinstyle="miter"/>
            <v:path gradientshapeok="t" o:connecttype="rect"/>
          </v:shapetype>
          <v:shape id="_x0000_s9" type="#_x0000_t10" filled="f" stroked="f" style="position:absolute;width:65.3pt;height:8.1pt;z-index:-1;margin-left:48pt;margin-top:797.65pt;mso-wrap-distance-left:0pt;mso-wrap-distance-right:0pt;mso-position-horizontal-relative:page;mso-position-vertical-relative:page">
            <w10:wrap type="square" side="both"/>
            <v:fill opacity="1" o:opacity2="1" recolor="f" rotate="f" type="solid"/>
            <v:textbox inset="0pt, 0pt, 0pt, 0pt">
              <w:txbxContent>
                <w:p>
                  <w:pPr>
                    <w:spacing w:before="1" w:after="0" w:line="159" w:lineRule="exact"/>
                    <w:ind w:right="0" w:left="0" w:firstLine="0"/>
                    <w:jc w:val="left"/>
                    <w:textAlignment w:val="baseline"/>
                    <w:rPr>
                      <w:rFonts w:ascii="Arial" w:hAnsi="Arial" w:eastAsia="Arial"/>
                      <w:color w:val="FFFFFF"/>
                      <w:spacing w:val="-5"/>
                      <w:w w:val="100"/>
                      <w:sz w:val="14"/>
                      <w:vertAlign w:val="baseline"/>
                      <w:lang w:val="en-US"/>
                    </w:rPr>
                  </w:pPr>
                  <w:r>
                    <w:rPr>
                      <w:rFonts w:ascii="Arial" w:hAnsi="Arial" w:eastAsia="Arial"/>
                      <w:color w:val="FFFFFF"/>
                      <w:spacing w:val="-5"/>
                      <w:w w:val="100"/>
                      <w:sz w:val="14"/>
                      <w:vertAlign w:val="baseline"/>
                      <w:lang w:val="en-US"/>
                    </w:rPr>
                    <w:t xml:space="preserve">ABN 53 008 502 930</w:t>
                  </w:r>
                </w:p>
              </w:txbxContent>
            </v:textbox>
          </v:shape>
        </w:pict>
      </w:r>
    </w:p>
    <w:p>
      <w:pPr>
        <w:sectPr>
          <w:type w:val="nextPage"/>
          <w:pgSz w:w="11909" w:h="16843" w:orient="portrait"/>
          <w:pgMar w:bottom="0" w:top="0" w:right="1440" w:left="1440" w:header="720" w:footer="720"/>
          <w:titlePg w:val="false"/>
          <w:textDirection w:val="lrTb"/>
        </w:sectPr>
      </w:pPr>
    </w:p>
    <w:p>
      <w:pPr>
        <w:spacing w:before="19" w:after="609" w:line="240" w:lineRule="auto"/>
        <w:ind w:right="217" w:left="5476"/>
        <w:jc w:val="left"/>
        <w:textAlignment w:val="baseline"/>
      </w:pPr>
      <w:r>
        <w:drawing>
          <wp:inline>
            <wp:extent cx="1960245" cy="588645"/>
            <wp:docPr name="Picture" id="3"/>
            <a:graphic>
              <a:graphicData uri="http://schemas.openxmlformats.org/drawingml/2006/picture">
                <pic:pic>
                  <pic:nvPicPr>
                    <pic:cNvPr id="3" name="Picture"/>
                    <pic:cNvPicPr preferRelativeResize="false"/>
                  </pic:nvPicPr>
                  <pic:blipFill>
                    <a:blip r:embed="prId3"/>
                    <a:stretch>
                      <a:fillRect/>
                    </a:stretch>
                  </pic:blipFill>
                  <pic:spPr>
                    <a:xfrm>
                      <a:off x="0" y="0"/>
                      <a:ext cx="1960245" cy="588645"/>
                    </a:xfrm>
                    <a:prstGeom prst="rect"/>
                  </pic:spPr>
                </pic:pic>
              </a:graphicData>
            </a:graphic>
          </wp:inline>
        </w:drawing>
      </w:r>
    </w:p>
    <w:p>
      <w:pPr>
        <w:spacing w:before="0" w:after="0" w:line="448" w:lineRule="exact"/>
        <w:ind w:right="0" w:left="0" w:firstLine="0"/>
        <w:jc w:val="left"/>
        <w:textAlignment w:val="baseline"/>
        <w:rPr>
          <w:rFonts w:ascii="Arial Narrow" w:hAnsi="Arial Narrow" w:eastAsia="Arial Narrow"/>
          <w:color w:val="001F46"/>
          <w:spacing w:val="0"/>
          <w:w w:val="100"/>
          <w:sz w:val="39"/>
          <w:vertAlign w:val="baseline"/>
          <w:lang w:val="en-US"/>
        </w:rPr>
      </w:pPr>
      <w:r>
        <w:rPr>
          <w:rFonts w:ascii="Arial Narrow" w:hAnsi="Arial Narrow" w:eastAsia="Arial Narrow"/>
          <w:color w:val="001F46"/>
          <w:spacing w:val="0"/>
          <w:w w:val="100"/>
          <w:sz w:val="39"/>
          <w:vertAlign w:val="baseline"/>
          <w:lang w:val="en-US"/>
        </w:rPr>
        <w:t xml:space="preserve">CONTENTS</w:t>
      </w:r>
    </w:p>
    <w:p>
      <w:pPr>
        <w:tabs>
          <w:tab w:val="right" w:leader="dot" w:pos="8784"/>
        </w:tabs>
        <w:spacing w:before="297" w:after="0" w:line="274" w:lineRule="exact"/>
        <w:ind w:right="0" w:left="288" w:firstLine="0"/>
        <w:jc w:val="left"/>
        <w:textAlignment w:val="baseline"/>
        <w:rPr>
          <w:rFonts w:ascii="Arial" w:hAnsi="Arial" w:eastAsia="Arial"/>
          <w:color w:val="001F46"/>
          <w:spacing w:val="0"/>
          <w:w w:val="100"/>
          <w:sz w:val="24"/>
          <w:vertAlign w:val="baseline"/>
          <w:lang w:val="en-US"/>
        </w:rPr>
      </w:pPr>
      <w:r>
        <w:rPr>
          <w:rFonts w:ascii="Arial" w:hAnsi="Arial" w:eastAsia="Arial"/>
          <w:color w:val="001F46"/>
          <w:spacing w:val="0"/>
          <w:w w:val="100"/>
          <w:sz w:val="24"/>
          <w:vertAlign w:val="baseline"/>
          <w:lang w:val="en-US"/>
        </w:rPr>
        <w:t xml:space="preserve">Contents	</w:t>
      </w:r>
      <w:r>
        <w:rPr>
          <w:rFonts w:ascii="Arial" w:hAnsi="Arial" w:eastAsia="Arial"/>
          <w:color w:val="001F46"/>
          <w:spacing w:val="0"/>
          <w:w w:val="100"/>
          <w:sz w:val="24"/>
          <w:vertAlign w:val="baseline"/>
          <w:lang w:val="en-US"/>
        </w:rPr>
        <w:t xml:space="preserve">3</w:t>
      </w:r>
    </w:p>
    <w:p>
      <w:pPr>
        <w:tabs>
          <w:tab w:val="right" w:leader="dot" w:pos="8784"/>
        </w:tabs>
        <w:spacing w:before="264" w:after="0" w:line="274" w:lineRule="exact"/>
        <w:ind w:right="0" w:left="288" w:firstLine="0"/>
        <w:jc w:val="left"/>
        <w:textAlignment w:val="baseline"/>
        <w:rPr>
          <w:rFonts w:ascii="Arial" w:hAnsi="Arial" w:eastAsia="Arial"/>
          <w:color w:val="001F46"/>
          <w:spacing w:val="0"/>
          <w:w w:val="100"/>
          <w:sz w:val="24"/>
          <w:vertAlign w:val="baseline"/>
          <w:lang w:val="en-US"/>
        </w:rPr>
      </w:pPr>
      <w:r>
        <w:rPr>
          <w:rFonts w:ascii="Arial" w:hAnsi="Arial" w:eastAsia="Arial"/>
          <w:color w:val="001F46"/>
          <w:spacing w:val="0"/>
          <w:w w:val="100"/>
          <w:sz w:val="24"/>
          <w:vertAlign w:val="baseline"/>
          <w:lang w:val="en-US"/>
        </w:rPr>
        <w:t xml:space="preserve">Introduction	</w:t>
      </w:r>
      <w:r>
        <w:rPr>
          <w:rFonts w:ascii="Arial" w:hAnsi="Arial" w:eastAsia="Arial"/>
          <w:color w:val="001F46"/>
          <w:spacing w:val="0"/>
          <w:w w:val="100"/>
          <w:sz w:val="24"/>
          <w:vertAlign w:val="baseline"/>
          <w:lang w:val="en-US"/>
        </w:rPr>
        <w:t xml:space="preserve">4</w:t>
      </w:r>
    </w:p>
    <w:p>
      <w:pPr>
        <w:numPr>
          <w:ilvl w:val="0"/>
          <w:numId w:val="1"/>
        </w:numPr>
        <w:tabs>
          <w:tab w:val="clear" w:pos="576"/>
          <w:tab w:val="left" w:pos="864"/>
          <w:tab w:val="right" w:leader="dot" w:pos="8784"/>
        </w:tabs>
        <w:spacing w:before="268" w:after="0" w:line="274" w:lineRule="exact"/>
        <w:ind w:right="0" w:left="288" w:firstLine="0"/>
        <w:jc w:val="left"/>
        <w:textAlignment w:val="baseline"/>
        <w:rPr>
          <w:rFonts w:ascii="Arial" w:hAnsi="Arial" w:eastAsia="Arial"/>
          <w:color w:val="001F46"/>
          <w:spacing w:val="0"/>
          <w:w w:val="100"/>
          <w:sz w:val="24"/>
          <w:vertAlign w:val="baseline"/>
          <w:lang w:val="en-US"/>
        </w:rPr>
      </w:pPr>
      <w:r>
        <w:rPr>
          <w:rFonts w:ascii="Arial" w:hAnsi="Arial" w:eastAsia="Arial"/>
          <w:color w:val="001F46"/>
          <w:spacing w:val="0"/>
          <w:w w:val="100"/>
          <w:sz w:val="24"/>
          <w:vertAlign w:val="baseline"/>
          <w:lang w:val="en-US"/>
        </w:rPr>
        <w:t xml:space="preserve">Initial teacher education is only part of the story	</w:t>
      </w:r>
      <w:r>
        <w:rPr>
          <w:rFonts w:ascii="Arial" w:hAnsi="Arial" w:eastAsia="Arial"/>
          <w:color w:val="001F46"/>
          <w:spacing w:val="0"/>
          <w:w w:val="100"/>
          <w:sz w:val="24"/>
          <w:vertAlign w:val="baseline"/>
          <w:lang w:val="en-US"/>
        </w:rPr>
        <w:t xml:space="preserve">6</w:t>
      </w:r>
    </w:p>
    <w:p>
      <w:pPr>
        <w:numPr>
          <w:ilvl w:val="0"/>
          <w:numId w:val="1"/>
        </w:numPr>
        <w:tabs>
          <w:tab w:val="clear" w:pos="576"/>
          <w:tab w:val="left" w:pos="864"/>
          <w:tab w:val="right" w:leader="dot" w:pos="8784"/>
        </w:tabs>
        <w:spacing w:before="264" w:after="0" w:line="274" w:lineRule="exact"/>
        <w:ind w:right="0" w:left="288" w:firstLine="0"/>
        <w:jc w:val="left"/>
        <w:textAlignment w:val="baseline"/>
        <w:rPr>
          <w:rFonts w:ascii="Arial" w:hAnsi="Arial" w:eastAsia="Arial"/>
          <w:color w:val="001F46"/>
          <w:spacing w:val="0"/>
          <w:w w:val="100"/>
          <w:sz w:val="24"/>
          <w:vertAlign w:val="baseline"/>
          <w:lang w:val="en-US"/>
        </w:rPr>
      </w:pPr>
      <w:r>
        <w:rPr>
          <w:rFonts w:ascii="Arial" w:hAnsi="Arial" w:eastAsia="Arial"/>
          <w:color w:val="001F46"/>
          <w:spacing w:val="0"/>
          <w:w w:val="100"/>
          <w:sz w:val="24"/>
          <w:vertAlign w:val="baseline"/>
          <w:lang w:val="en-US"/>
        </w:rPr>
        <w:t xml:space="preserve">Building on improvements	</w:t>
      </w:r>
      <w:r>
        <w:rPr>
          <w:rFonts w:ascii="Arial" w:hAnsi="Arial" w:eastAsia="Arial"/>
          <w:color w:val="001F46"/>
          <w:spacing w:val="0"/>
          <w:w w:val="100"/>
          <w:sz w:val="24"/>
          <w:vertAlign w:val="baseline"/>
          <w:lang w:val="en-US"/>
        </w:rPr>
        <w:t xml:space="preserve">9</w:t>
      </w:r>
    </w:p>
    <w:p>
      <w:pPr>
        <w:numPr>
          <w:ilvl w:val="0"/>
          <w:numId w:val="1"/>
        </w:numPr>
        <w:tabs>
          <w:tab w:val="clear" w:pos="576"/>
          <w:tab w:val="left" w:pos="864"/>
          <w:tab w:val="right" w:leader="dot" w:pos="8784"/>
        </w:tabs>
        <w:spacing w:before="268" w:after="10832" w:line="274" w:lineRule="exact"/>
        <w:ind w:right="0" w:left="288" w:firstLine="0"/>
        <w:jc w:val="left"/>
        <w:textAlignment w:val="baseline"/>
        <w:rPr>
          <w:rFonts w:ascii="Arial" w:hAnsi="Arial" w:eastAsia="Arial"/>
          <w:color w:val="001F46"/>
          <w:spacing w:val="0"/>
          <w:w w:val="100"/>
          <w:sz w:val="24"/>
          <w:vertAlign w:val="baseline"/>
          <w:lang w:val="en-US"/>
        </w:rPr>
      </w:pPr>
      <w:r>
        <w:rPr>
          <w:rFonts w:ascii="Arial" w:hAnsi="Arial" w:eastAsia="Arial"/>
          <w:color w:val="001F46"/>
          <w:spacing w:val="0"/>
          <w:w w:val="100"/>
          <w:sz w:val="24"/>
          <w:vertAlign w:val="baseline"/>
          <w:lang w:val="en-US"/>
        </w:rPr>
        <w:t xml:space="preserve">What universities are already doing	</w:t>
      </w:r>
      <w:r>
        <w:rPr>
          <w:rFonts w:ascii="Arial" w:hAnsi="Arial" w:eastAsia="Arial"/>
          <w:color w:val="001F46"/>
          <w:spacing w:val="0"/>
          <w:w w:val="100"/>
          <w:sz w:val="24"/>
          <w:vertAlign w:val="baseline"/>
          <w:lang w:val="en-US"/>
        </w:rPr>
        <w:t xml:space="preserve"> 12</w:t>
      </w:r>
    </w:p>
    <w:p>
      <w:pPr>
        <w:spacing w:before="268" w:after="10832" w:line="274" w:lineRule="exact"/>
        <w:sectPr>
          <w:type w:val="nextPage"/>
          <w:pgSz w:w="11909" w:h="16843" w:orient="portrait"/>
          <w:pgMar w:bottom="287" w:top="360" w:right="983" w:left="2146" w:header="720" w:footer="720"/>
          <w:titlePg w:val="false"/>
          <w:textDirection w:val="lrTb"/>
        </w:sectPr>
      </w:pPr>
    </w:p>
    <w:p>
      <w:pPr>
        <w:tabs>
          <w:tab w:val="right" w:leader="none" w:pos="8712"/>
        </w:tabs>
        <w:spacing w:before="0" w:after="0" w:line="187" w:lineRule="exact"/>
        <w:ind w:right="0" w:left="288" w:firstLine="0"/>
        <w:jc w:val="left"/>
        <w:textAlignment w:val="baseline"/>
        <w:rPr>
          <w:rFonts w:ascii="Arial" w:hAnsi="Arial" w:eastAsia="Arial"/>
          <w:b w:val="true"/>
          <w:color w:val="001F46"/>
          <w:spacing w:val="0"/>
          <w:w w:val="100"/>
          <w:sz w:val="16"/>
          <w:vertAlign w:val="baseline"/>
          <w:lang w:val="en-US"/>
        </w:rPr>
      </w:pPr>
      <w:r>
        <w:rPr>
          <w:rFonts w:ascii="Arial" w:hAnsi="Arial" w:eastAsia="Arial"/>
          <w:b w:val="true"/>
          <w:color w:val="001F46"/>
          <w:spacing w:val="0"/>
          <w:w w:val="100"/>
          <w:sz w:val="16"/>
          <w:vertAlign w:val="baseline"/>
          <w:lang w:val="en-US"/>
        </w:rPr>
        <w:t xml:space="preserve">UNIVERSITIES AUSTRALIA </w:t>
      </w:r>
      <w:r>
        <w:rPr>
          <w:rFonts w:ascii="Arial" w:hAnsi="Arial" w:eastAsia="Arial"/>
          <w:color w:val="001F46"/>
          <w:spacing w:val="0"/>
          <w:w w:val="100"/>
          <w:sz w:val="16"/>
          <w:vertAlign w:val="baseline"/>
          <w:lang w:val="en-US"/>
        </w:rPr>
        <w:t xml:space="preserve">| QUALITY INITIAL TEACHER EDUCATION REVIEW	</w:t>
      </w:r>
      <w:r>
        <w:rPr>
          <w:rFonts w:ascii="Arial" w:hAnsi="Arial" w:eastAsia="Arial"/>
          <w:b w:val="true"/>
          <w:color w:val="001F46"/>
          <w:spacing w:val="0"/>
          <w:w w:val="100"/>
          <w:sz w:val="16"/>
          <w:vertAlign w:val="baseline"/>
          <w:lang w:val="en-US"/>
        </w:rPr>
        <w:t xml:space="preserve">3</w:t>
      </w:r>
    </w:p>
    <w:p>
      <w:pPr>
        <w:sectPr>
          <w:type w:val="continuous"/>
          <w:pgSz w:w="11909" w:h="16843" w:orient="portrait"/>
          <w:pgMar w:bottom="287" w:top="360" w:right="983" w:left="2146" w:header="720" w:footer="720"/>
          <w:titlePg w:val="false"/>
          <w:textDirection w:val="lrTb"/>
        </w:sectPr>
      </w:pPr>
    </w:p>
    <w:p>
      <w:pPr>
        <w:spacing w:before="19" w:after="489" w:line="240" w:lineRule="auto"/>
        <w:ind w:right="260" w:left="5433"/>
        <w:jc w:val="left"/>
        <w:textAlignment w:val="baseline"/>
      </w:pPr>
      <w:r>
        <w:drawing>
          <wp:inline>
            <wp:extent cx="1960245" cy="588645"/>
            <wp:docPr name="Picture" id="4"/>
            <a:graphic>
              <a:graphicData uri="http://schemas.openxmlformats.org/drawingml/2006/picture">
                <pic:pic>
                  <pic:nvPicPr>
                    <pic:cNvPr id="4" name="Picture"/>
                    <pic:cNvPicPr preferRelativeResize="false"/>
                  </pic:nvPicPr>
                  <pic:blipFill>
                    <a:blip r:embed="prId4"/>
                    <a:stretch>
                      <a:fillRect/>
                    </a:stretch>
                  </pic:blipFill>
                  <pic:spPr>
                    <a:xfrm>
                      <a:off x="0" y="0"/>
                      <a:ext cx="1960245" cy="588645"/>
                    </a:xfrm>
                    <a:prstGeom prst="rect"/>
                  </pic:spPr>
                </pic:pic>
              </a:graphicData>
            </a:graphic>
          </wp:inline>
        </w:drawing>
      </w:r>
    </w:p>
    <w:p>
      <w:pPr>
        <w:spacing w:before="0" w:after="0" w:line="448" w:lineRule="exact"/>
        <w:ind w:right="0" w:left="72" w:firstLine="0"/>
        <w:jc w:val="left"/>
        <w:textAlignment w:val="baseline"/>
        <w:rPr>
          <w:rFonts w:ascii="Arial Narrow" w:hAnsi="Arial Narrow" w:eastAsia="Arial Narrow"/>
          <w:color w:val="001F46"/>
          <w:spacing w:val="0"/>
          <w:w w:val="100"/>
          <w:sz w:val="39"/>
          <w:vertAlign w:val="baseline"/>
          <w:lang w:val="en-US"/>
        </w:rPr>
      </w:pPr>
      <w:r>
        <w:rPr>
          <w:rFonts w:ascii="Arial Narrow" w:hAnsi="Arial Narrow" w:eastAsia="Arial Narrow"/>
          <w:color w:val="001F46"/>
          <w:spacing w:val="0"/>
          <w:w w:val="100"/>
          <w:sz w:val="39"/>
          <w:vertAlign w:val="baseline"/>
          <w:lang w:val="en-US"/>
        </w:rPr>
        <w:t xml:space="preserve">INTRODUCTION</w:t>
      </w:r>
    </w:p>
    <w:p>
      <w:pPr>
        <w:spacing w:before="268" w:after="0" w:line="240" w:lineRule="exact"/>
        <w:ind w:right="216" w:left="72" w:firstLine="0"/>
        <w:jc w:val="left"/>
        <w:textAlignment w:val="baseline"/>
        <w:rPr>
          <w:rFonts w:ascii="Arial" w:hAnsi="Arial" w:eastAsia="Arial"/>
          <w:color w:val="001F46"/>
          <w:spacing w:val="0"/>
          <w:w w:val="100"/>
          <w:sz w:val="20"/>
          <w:vertAlign w:val="baseline"/>
          <w:lang w:val="en-US"/>
        </w:rPr>
      </w:pPr>
      <w:r>
        <w:rPr>
          <w:rFonts w:ascii="Arial" w:hAnsi="Arial" w:eastAsia="Arial"/>
          <w:color w:val="001F46"/>
          <w:spacing w:val="0"/>
          <w:w w:val="100"/>
          <w:sz w:val="20"/>
          <w:vertAlign w:val="baseline"/>
          <w:lang w:val="en-US"/>
        </w:rPr>
        <w:t xml:space="preserve">Universities Australia welcomes the opportunity to make a submission to the Quality Initial Teacher Education Review. We welcome Education Ministe</w:t>
      </w:r>
      <w:r>
        <w:rPr>
          <w:rFonts w:ascii="Arial" w:hAnsi="Arial" w:eastAsia="Arial"/>
          <w:color w:val="001F46"/>
          <w:spacing w:val="0"/>
          <w:w w:val="100"/>
          <w:sz w:val="21"/>
          <w:vertAlign w:val="baseline"/>
          <w:lang w:val="en-US"/>
        </w:rPr>
        <w:t xml:space="preserve">r Alan Tudge’s </w:t>
      </w:r>
      <w:r>
        <w:rPr>
          <w:rFonts w:ascii="Arial" w:hAnsi="Arial" w:eastAsia="Arial"/>
          <w:color w:val="001F46"/>
          <w:spacing w:val="0"/>
          <w:w w:val="100"/>
          <w:sz w:val="20"/>
          <w:vertAlign w:val="baseline"/>
          <w:lang w:val="en-US"/>
        </w:rPr>
        <w:t xml:space="preserve">acknowledgement of the importance of initial teacher education (ITE) to teacher quality and thus to the quality of schooling and the experience and learning outcomes of school students.</w:t>
      </w:r>
    </w:p>
    <w:p>
      <w:pPr>
        <w:spacing w:before="240" w:after="0" w:line="240" w:lineRule="exact"/>
        <w:ind w:right="72" w:left="72" w:firstLine="0"/>
        <w:jc w:val="left"/>
        <w:textAlignment w:val="baseline"/>
        <w:rPr>
          <w:rFonts w:ascii="Arial" w:hAnsi="Arial" w:eastAsia="Arial"/>
          <w:color w:val="001F46"/>
          <w:spacing w:val="0"/>
          <w:w w:val="100"/>
          <w:sz w:val="20"/>
          <w:vertAlign w:val="baseline"/>
          <w:lang w:val="en-US"/>
        </w:rPr>
      </w:pPr>
      <w:r>
        <w:rPr>
          <w:rFonts w:ascii="Arial" w:hAnsi="Arial" w:eastAsia="Arial"/>
          <w:color w:val="001F46"/>
          <w:spacing w:val="0"/>
          <w:w w:val="100"/>
          <w:sz w:val="20"/>
          <w:vertAlign w:val="baseline"/>
          <w:lang w:val="en-US"/>
        </w:rPr>
        <w:t xml:space="preserve">As the institutions responsible for training most of the teachers in Australia, Universities Australia</w:t>
      </w:r>
      <w:r>
        <w:rPr>
          <w:rFonts w:ascii="Arial" w:hAnsi="Arial" w:eastAsia="Arial"/>
          <w:color w:val="001F46"/>
          <w:spacing w:val="0"/>
          <w:w w:val="100"/>
          <w:sz w:val="21"/>
          <w:vertAlign w:val="baseline"/>
          <w:lang w:val="en-US"/>
        </w:rPr>
        <w:t xml:space="preserve">’s members are key stakeholders in </w:t>
      </w:r>
      <w:r>
        <w:rPr>
          <w:rFonts w:ascii="Arial" w:hAnsi="Arial" w:eastAsia="Arial"/>
          <w:color w:val="001F46"/>
          <w:spacing w:val="0"/>
          <w:w w:val="100"/>
          <w:sz w:val="20"/>
          <w:vertAlign w:val="baseline"/>
          <w:lang w:val="en-US"/>
        </w:rPr>
        <w:t xml:space="preserve">all work to assure and improve the quality and effectiveness of ITE. Accordingly, Universities Australia looks forward to working with Government on the review. An effective review will benefit ITE students and providers and </w:t>
      </w:r>
      <w:r>
        <w:rPr>
          <w:rFonts w:ascii="Arial" w:hAnsi="Arial" w:eastAsia="Arial"/>
          <w:color w:val="001F46"/>
          <w:spacing w:val="0"/>
          <w:w w:val="100"/>
          <w:sz w:val="21"/>
          <w:vertAlign w:val="baseline"/>
          <w:lang w:val="en-US"/>
        </w:rPr>
        <w:t xml:space="preserve">– </w:t>
      </w:r>
      <w:r>
        <w:rPr>
          <w:rFonts w:ascii="Arial" w:hAnsi="Arial" w:eastAsia="Arial"/>
          <w:color w:val="001F46"/>
          <w:spacing w:val="0"/>
          <w:w w:val="100"/>
          <w:sz w:val="20"/>
          <w:vertAlign w:val="baseline"/>
          <w:lang w:val="en-US"/>
        </w:rPr>
        <w:t xml:space="preserve">most importantly </w:t>
      </w:r>
      <w:r>
        <w:rPr>
          <w:rFonts w:ascii="Arial" w:hAnsi="Arial" w:eastAsia="Arial"/>
          <w:color w:val="001F46"/>
          <w:spacing w:val="0"/>
          <w:w w:val="100"/>
          <w:sz w:val="21"/>
          <w:vertAlign w:val="baseline"/>
          <w:lang w:val="en-US"/>
        </w:rPr>
        <w:t xml:space="preserve">– </w:t>
      </w:r>
      <w:r>
        <w:rPr>
          <w:rFonts w:ascii="Arial" w:hAnsi="Arial" w:eastAsia="Arial"/>
          <w:color w:val="001F46"/>
          <w:spacing w:val="0"/>
          <w:w w:val="100"/>
          <w:sz w:val="20"/>
          <w:vertAlign w:val="baseline"/>
          <w:lang w:val="en-US"/>
        </w:rPr>
        <w:t xml:space="preserve">school students across the nation.</w:t>
      </w:r>
    </w:p>
    <w:p>
      <w:pPr>
        <w:spacing w:before="245" w:after="0" w:line="240" w:lineRule="exact"/>
        <w:ind w:right="144" w:left="72" w:firstLine="0"/>
        <w:jc w:val="left"/>
        <w:textAlignment w:val="baseline"/>
        <w:rPr>
          <w:rFonts w:ascii="Arial" w:hAnsi="Arial" w:eastAsia="Arial"/>
          <w:color w:val="001F46"/>
          <w:spacing w:val="-1"/>
          <w:w w:val="100"/>
          <w:sz w:val="20"/>
          <w:vertAlign w:val="baseline"/>
          <w:lang w:val="en-US"/>
        </w:rPr>
      </w:pPr>
      <w:r>
        <w:rPr>
          <w:rFonts w:ascii="Arial" w:hAnsi="Arial" w:eastAsia="Arial"/>
          <w:color w:val="001F46"/>
          <w:spacing w:val="-1"/>
          <w:w w:val="100"/>
          <w:sz w:val="20"/>
          <w:vertAlign w:val="baseline"/>
          <w:lang w:val="en-US"/>
        </w:rPr>
        <w:t xml:space="preserve">However, we note that ITE </w:t>
      </w:r>
      <w:r>
        <w:rPr>
          <w:rFonts w:ascii="Arial" w:hAnsi="Arial" w:eastAsia="Arial"/>
          <w:color w:val="001F46"/>
          <w:spacing w:val="-1"/>
          <w:w w:val="100"/>
          <w:sz w:val="21"/>
          <w:vertAlign w:val="baseline"/>
          <w:lang w:val="en-US"/>
        </w:rPr>
        <w:t xml:space="preserve">– </w:t>
      </w:r>
      <w:r>
        <w:rPr>
          <w:rFonts w:ascii="Arial" w:hAnsi="Arial" w:eastAsia="Arial"/>
          <w:color w:val="001F46"/>
          <w:spacing w:val="-1"/>
          <w:w w:val="100"/>
          <w:sz w:val="20"/>
          <w:vertAlign w:val="baseline"/>
          <w:lang w:val="en-US"/>
        </w:rPr>
        <w:t xml:space="preserve">though a very important element of teacher quality </w:t>
      </w:r>
      <w:r>
        <w:rPr>
          <w:rFonts w:ascii="Arial" w:hAnsi="Arial" w:eastAsia="Arial"/>
          <w:color w:val="001F46"/>
          <w:spacing w:val="-1"/>
          <w:w w:val="100"/>
          <w:sz w:val="21"/>
          <w:vertAlign w:val="baseline"/>
          <w:lang w:val="en-US"/>
        </w:rPr>
        <w:t xml:space="preserve">– </w:t>
      </w:r>
      <w:r>
        <w:rPr>
          <w:rFonts w:ascii="Arial" w:hAnsi="Arial" w:eastAsia="Arial"/>
          <w:color w:val="001F46"/>
          <w:spacing w:val="-1"/>
          <w:w w:val="100"/>
          <w:sz w:val="20"/>
          <w:vertAlign w:val="baseline"/>
          <w:lang w:val="en-US"/>
        </w:rPr>
        <w:t xml:space="preserve">is and can only be part of the story. The teaching workforce is very large: In 2020 there were 296,516 full-time equivalent (FTE) teaching staff in Australian schools</w:t>
      </w:r>
      <w:r>
        <w:rPr>
          <w:rFonts w:ascii="Arial" w:hAnsi="Arial" w:eastAsia="Arial"/>
          <w:color w:val="001F46"/>
          <w:spacing w:val="-1"/>
          <w:w w:val="100"/>
          <w:sz w:val="20"/>
          <w:vertAlign w:val="superscript"/>
          <w:lang w:val="en-US"/>
        </w:rPr>
        <w:t xml:space="preserve">1</w:t>
      </w:r>
      <w:r>
        <w:rPr>
          <w:rFonts w:ascii="Arial" w:hAnsi="Arial" w:eastAsia="Arial"/>
          <w:color w:val="001F46"/>
          <w:spacing w:val="-1"/>
          <w:w w:val="100"/>
          <w:sz w:val="20"/>
          <w:vertAlign w:val="baseline"/>
          <w:lang w:val="en-US"/>
        </w:rPr>
        <w:t xml:space="preserve">. By comparison, universities graduate around 16,000 newly qualified teachers per year</w:t>
      </w:r>
      <w:r>
        <w:rPr>
          <w:rFonts w:ascii="Arial" w:hAnsi="Arial" w:eastAsia="Arial"/>
          <w:color w:val="001F46"/>
          <w:spacing w:val="-1"/>
          <w:w w:val="100"/>
          <w:sz w:val="20"/>
          <w:vertAlign w:val="superscript"/>
          <w:lang w:val="en-US"/>
        </w:rPr>
        <w:t xml:space="preserve">2</w:t>
      </w:r>
      <w:r>
        <w:rPr>
          <w:rFonts w:ascii="Arial" w:hAnsi="Arial" w:eastAsia="Arial"/>
          <w:color w:val="001F46"/>
          <w:spacing w:val="-1"/>
          <w:w w:val="100"/>
          <w:sz w:val="20"/>
          <w:vertAlign w:val="baseline"/>
          <w:lang w:val="en-US"/>
        </w:rPr>
        <w:t xml:space="preserve">. These numbers make obvious the importance of fostering and maintaining quality across the entire teaching workforce. For established teachers </w:t>
      </w:r>
      <w:r>
        <w:rPr>
          <w:rFonts w:ascii="Arial" w:hAnsi="Arial" w:eastAsia="Arial"/>
          <w:color w:val="001F46"/>
          <w:spacing w:val="-1"/>
          <w:w w:val="100"/>
          <w:sz w:val="21"/>
          <w:vertAlign w:val="baseline"/>
          <w:lang w:val="en-US"/>
        </w:rPr>
        <w:t xml:space="preserve">– </w:t>
      </w:r>
      <w:r>
        <w:rPr>
          <w:rFonts w:ascii="Arial" w:hAnsi="Arial" w:eastAsia="Arial"/>
          <w:color w:val="001F46"/>
          <w:spacing w:val="-1"/>
          <w:w w:val="100"/>
          <w:sz w:val="20"/>
          <w:vertAlign w:val="baseline"/>
          <w:lang w:val="en-US"/>
        </w:rPr>
        <w:t xml:space="preserve">and for those entering the profession as well </w:t>
      </w:r>
      <w:r>
        <w:rPr>
          <w:rFonts w:ascii="Arial" w:hAnsi="Arial" w:eastAsia="Arial"/>
          <w:color w:val="001F46"/>
          <w:spacing w:val="-1"/>
          <w:w w:val="100"/>
          <w:sz w:val="21"/>
          <w:vertAlign w:val="baseline"/>
          <w:lang w:val="en-US"/>
        </w:rPr>
        <w:t xml:space="preserve">– </w:t>
      </w:r>
      <w:r>
        <w:rPr>
          <w:rFonts w:ascii="Arial" w:hAnsi="Arial" w:eastAsia="Arial"/>
          <w:color w:val="001F46"/>
          <w:spacing w:val="-1"/>
          <w:w w:val="100"/>
          <w:sz w:val="20"/>
          <w:vertAlign w:val="baseline"/>
          <w:lang w:val="en-US"/>
        </w:rPr>
        <w:t xml:space="preserve">professional development and other appropriate support in the workplace are vital. Like other professions, teaching requires maintenance of professional standards and practice. Professionals need to be supported to continue learning, and to gain mastery of new and more complex skills as their careers progress.</w:t>
      </w:r>
    </w:p>
    <w:p>
      <w:pPr>
        <w:spacing w:before="240" w:after="0" w:line="240" w:lineRule="exact"/>
        <w:ind w:right="144" w:left="72" w:firstLine="0"/>
        <w:jc w:val="left"/>
        <w:textAlignment w:val="baseline"/>
        <w:rPr>
          <w:rFonts w:ascii="Arial" w:hAnsi="Arial" w:eastAsia="Arial"/>
          <w:color w:val="001F46"/>
          <w:spacing w:val="0"/>
          <w:w w:val="100"/>
          <w:sz w:val="20"/>
          <w:vertAlign w:val="baseline"/>
          <w:lang w:val="en-US"/>
        </w:rPr>
      </w:pPr>
      <w:r>
        <w:rPr>
          <w:rFonts w:ascii="Arial" w:hAnsi="Arial" w:eastAsia="Arial"/>
          <w:color w:val="001F46"/>
          <w:spacing w:val="0"/>
          <w:w w:val="100"/>
          <w:sz w:val="20"/>
          <w:vertAlign w:val="baseline"/>
          <w:lang w:val="en-US"/>
        </w:rPr>
        <w:t xml:space="preserve">More generally, high quality ITE and professional development need to be accompanied by positive changes in workforce arrangements and working conditions, if high quality teachers are to be retained in the profession. While improvements to ITE can help attract high quality candidates and make it easier for them to progress to a qualification, broader issues of working conditions and esteem are more important. In this context, reviews of ITE must be very careful to avoid talking down the quality of the teaching workforce (and of ITE): creating or reinforcing negative perceptions is unlikely to lead to more or better candidates.</w:t>
      </w:r>
    </w:p>
    <w:p>
      <w:pPr>
        <w:spacing w:before="240" w:after="0" w:line="240" w:lineRule="exact"/>
        <w:ind w:right="360" w:left="72" w:firstLine="0"/>
        <w:jc w:val="left"/>
        <w:textAlignment w:val="baseline"/>
        <w:rPr>
          <w:rFonts w:ascii="Arial" w:hAnsi="Arial" w:eastAsia="Arial"/>
          <w:color w:val="001F46"/>
          <w:spacing w:val="0"/>
          <w:w w:val="100"/>
          <w:sz w:val="20"/>
          <w:vertAlign w:val="baseline"/>
          <w:lang w:val="en-US"/>
        </w:rPr>
      </w:pPr>
      <w:r>
        <w:rPr>
          <w:rFonts w:ascii="Arial" w:hAnsi="Arial" w:eastAsia="Arial"/>
          <w:color w:val="001F46"/>
          <w:spacing w:val="0"/>
          <w:w w:val="100"/>
          <w:sz w:val="20"/>
          <w:vertAlign w:val="baseline"/>
          <w:lang w:val="en-US"/>
        </w:rPr>
        <w:t xml:space="preserve">The discussion paper for the review calls for action from ITE providers such as universities to improve the quality of ITE, provide better opportunities for classroom professional experience, diversify the student body, integrate theory and practice</w:t>
      </w:r>
      <w:r>
        <w:rPr>
          <w:rFonts w:ascii="Arial" w:hAnsi="Arial" w:eastAsia="Arial"/>
          <w:color w:val="001F46"/>
          <w:spacing w:val="0"/>
          <w:w w:val="100"/>
          <w:sz w:val="21"/>
          <w:vertAlign w:val="baseline"/>
          <w:lang w:val="en-US"/>
        </w:rPr>
        <w:t xml:space="preserve">, document graduates’ capabilities </w:t>
      </w:r>
      <w:r>
        <w:rPr>
          <w:rFonts w:ascii="Arial" w:hAnsi="Arial" w:eastAsia="Arial"/>
          <w:color w:val="001F46"/>
          <w:spacing w:val="0"/>
          <w:w w:val="100"/>
          <w:sz w:val="20"/>
          <w:vertAlign w:val="baseline"/>
          <w:lang w:val="en-US"/>
        </w:rPr>
        <w:t xml:space="preserve">and work more effectively with schools. UA and its members recognise all of these as worthy aims and key aspects of providing high quality ITE. That is why universities are already running innovative programs and initiatives to work towards these goals.</w:t>
      </w:r>
    </w:p>
    <w:p>
      <w:pPr>
        <w:spacing w:before="240" w:after="0" w:line="240" w:lineRule="exact"/>
        <w:ind w:right="288" w:left="72" w:firstLine="0"/>
        <w:jc w:val="left"/>
        <w:textAlignment w:val="baseline"/>
        <w:rPr>
          <w:rFonts w:ascii="Arial" w:hAnsi="Arial" w:eastAsia="Arial"/>
          <w:color w:val="001F46"/>
          <w:spacing w:val="0"/>
          <w:w w:val="100"/>
          <w:sz w:val="20"/>
          <w:vertAlign w:val="baseline"/>
          <w:lang w:val="en-US"/>
        </w:rPr>
      </w:pPr>
      <w:r>
        <w:rPr>
          <w:rFonts w:ascii="Arial" w:hAnsi="Arial" w:eastAsia="Arial"/>
          <w:color w:val="001F46"/>
          <w:spacing w:val="0"/>
          <w:w w:val="100"/>
          <w:sz w:val="20"/>
          <w:vertAlign w:val="baseline"/>
          <w:lang w:val="en-US"/>
        </w:rPr>
        <w:t xml:space="preserve">Some of these university initiatives follow important reforms in ITE which have been rolling out over the past decade. In particular, the Teacher Education Ministerial Advisory Group (TEMAG) made a number of important recommendations to Government which have been implemented from 2015.</w:t>
      </w:r>
    </w:p>
    <w:p>
      <w:pPr>
        <w:spacing w:before="240" w:after="570" w:line="240" w:lineRule="exact"/>
        <w:ind w:right="144" w:left="72" w:firstLine="0"/>
        <w:jc w:val="left"/>
        <w:textAlignment w:val="baseline"/>
        <w:rPr>
          <w:rFonts w:ascii="Arial" w:hAnsi="Arial" w:eastAsia="Arial"/>
          <w:color w:val="001F46"/>
          <w:spacing w:val="0"/>
          <w:w w:val="100"/>
          <w:sz w:val="20"/>
          <w:vertAlign w:val="baseline"/>
          <w:lang w:val="en-US"/>
        </w:rPr>
      </w:pPr>
      <w:r>
        <w:rPr>
          <w:rFonts w:ascii="Arial" w:hAnsi="Arial" w:eastAsia="Arial"/>
          <w:color w:val="001F46"/>
          <w:spacing w:val="0"/>
          <w:w w:val="100"/>
          <w:sz w:val="20"/>
          <w:vertAlign w:val="baseline"/>
          <w:lang w:val="en-US"/>
        </w:rPr>
        <w:t xml:space="preserve">Prior to TEMAG, there were important improvements to professional standards and accreditation. The Australian Professional Standards for Teachers and changes to accreditation of ITE introduced before TEMAG are already addressing several of the themes identified by the current review. TEMAG reforms have built on these initiatives to strengthen the quality assurance, admissions, practical experience, assessment of graduates and workforce planning.</w:t>
      </w:r>
    </w:p>
    <w:p>
      <w:pPr>
        <w:spacing w:before="175" w:after="0" w:line="185" w:lineRule="exact"/>
        <w:ind w:right="0" w:left="72" w:firstLine="0"/>
        <w:jc w:val="left"/>
        <w:textAlignment w:val="baseline"/>
        <w:rPr>
          <w:rFonts w:ascii="Arial" w:hAnsi="Arial" w:eastAsia="Arial"/>
          <w:color w:val="001F46"/>
          <w:spacing w:val="0"/>
          <w:w w:val="100"/>
          <w:sz w:val="10"/>
          <w:vertAlign w:val="superscript"/>
          <w:lang w:val="en-US"/>
        </w:rPr>
      </w:pPr>
      <w:r>
        <w:pict>
          <v:line strokeweight="0.7pt" strokecolor="#001F46" from="113.5pt,706.8pt" to="257.8pt,706.8pt" style="position:absolute;mso-position-horizontal-relative:page;mso-position-vertical-relative:page;">
            <v:stroke dashstyle="solid"/>
          </v:line>
        </w:pict>
      </w:r>
      <w:r>
        <w:rPr>
          <w:rFonts w:ascii="Arial" w:hAnsi="Arial" w:eastAsia="Arial"/>
          <w:color w:val="001F46"/>
          <w:spacing w:val="0"/>
          <w:w w:val="100"/>
          <w:sz w:val="10"/>
          <w:vertAlign w:val="superscript"/>
          <w:lang w:val="en-US"/>
        </w:rPr>
        <w:t xml:space="preserve">1</w:t>
      </w:r>
      <w:r>
        <w:rPr>
          <w:rFonts w:ascii="Arial" w:hAnsi="Arial" w:eastAsia="Arial"/>
          <w:color w:val="001F46"/>
          <w:spacing w:val="0"/>
          <w:w w:val="100"/>
          <w:sz w:val="16"/>
          <w:vertAlign w:val="baseline"/>
          <w:lang w:val="en-US"/>
        </w:rPr>
        <w:t xml:space="preserve"> ABS (2021), </w:t>
      </w:r>
      <w:r>
        <w:rPr>
          <w:rFonts w:ascii="Arial" w:hAnsi="Arial" w:eastAsia="Arial"/>
          <w:i w:val="true"/>
          <w:color w:val="001F46"/>
          <w:spacing w:val="0"/>
          <w:w w:val="100"/>
          <w:sz w:val="16"/>
          <w:vertAlign w:val="baseline"/>
          <w:lang w:val="en-US"/>
        </w:rPr>
        <w:t xml:space="preserve">Schools 2020</w:t>
      </w:r>
      <w:r>
        <w:rPr>
          <w:rFonts w:ascii="Arial" w:hAnsi="Arial" w:eastAsia="Arial"/>
          <w:color w:val="001F46"/>
          <w:spacing w:val="0"/>
          <w:w w:val="100"/>
          <w:sz w:val="16"/>
          <w:vertAlign w:val="baseline"/>
          <w:lang w:val="en-US"/>
        </w:rPr>
        <w:t xml:space="preserve">,</w:t>
      </w:r>
      <w:hyperlink r:id="dhId3">
        <w:r>
          <w:rPr>
            <w:rFonts w:ascii="Arial" w:hAnsi="Arial" w:eastAsia="Arial"/>
            <w:color w:val="0000FF"/>
            <w:spacing w:val="0"/>
            <w:w w:val="100"/>
            <w:sz w:val="16"/>
            <w:u w:val="single"/>
            <w:vertAlign w:val="baseline"/>
            <w:lang w:val="en-US"/>
          </w:rPr>
          <w:t xml:space="preserve"> https://www.abs.gov.au/statistics/people/education/schools/latest-release</w:t>
        </w:r>
      </w:hyperlink>
      <w:r>
        <w:rPr>
          <w:rFonts w:ascii="Arial" w:hAnsi="Arial" w:eastAsia="Arial"/>
          <w:color w:val="001F46"/>
          <w:spacing w:val="0"/>
          <w:w w:val="100"/>
          <w:sz w:val="16"/>
          <w:vertAlign w:val="baseline"/>
          <w:lang w:val="en-US"/>
        </w:rPr>
        <w:t xml:space="preserve"> </w:t>
      </w:r>
    </w:p>
    <w:p>
      <w:pPr>
        <w:spacing w:before="71" w:after="0" w:line="191" w:lineRule="exact"/>
        <w:ind w:right="0" w:left="72" w:firstLine="0"/>
        <w:jc w:val="left"/>
        <w:textAlignment w:val="baseline"/>
        <w:rPr>
          <w:rFonts w:ascii="Arial" w:hAnsi="Arial" w:eastAsia="Arial"/>
          <w:color w:val="001F46"/>
          <w:spacing w:val="0"/>
          <w:w w:val="100"/>
          <w:sz w:val="10"/>
          <w:vertAlign w:val="baseline"/>
          <w:lang w:val="en-US"/>
        </w:rPr>
      </w:pPr>
      <w:r>
        <w:rPr>
          <w:rFonts w:ascii="Arial" w:hAnsi="Arial" w:eastAsia="Arial"/>
          <w:color w:val="001F46"/>
          <w:spacing w:val="0"/>
          <w:w w:val="100"/>
          <w:sz w:val="10"/>
          <w:vertAlign w:val="baseline"/>
          <w:lang w:val="en-US"/>
        </w:rPr>
        <w:t xml:space="preserve">2 </w:t>
      </w:r>
      <w:r>
        <w:rPr>
          <w:rFonts w:ascii="Arial" w:hAnsi="Arial" w:eastAsia="Arial"/>
          <w:color w:val="001F46"/>
          <w:spacing w:val="0"/>
          <w:w w:val="100"/>
          <w:sz w:val="16"/>
          <w:vertAlign w:val="baseline"/>
          <w:lang w:val="en-US"/>
        </w:rPr>
        <w:t xml:space="preserve">DESE (2020), </w:t>
      </w:r>
      <w:r>
        <w:rPr>
          <w:rFonts w:ascii="Arial" w:hAnsi="Arial" w:eastAsia="Arial"/>
          <w:i w:val="true"/>
          <w:color w:val="001F46"/>
          <w:spacing w:val="0"/>
          <w:w w:val="100"/>
          <w:sz w:val="16"/>
          <w:vertAlign w:val="baseline"/>
          <w:lang w:val="en-US"/>
        </w:rPr>
        <w:t xml:space="preserve">Higher Education Students Statistics </w:t>
      </w:r>
      <w:r>
        <w:rPr>
          <w:rFonts w:ascii="Arial" w:hAnsi="Arial" w:eastAsia="Arial"/>
          <w:i w:val="true"/>
          <w:color w:val="001F46"/>
          <w:spacing w:val="0"/>
          <w:w w:val="100"/>
          <w:sz w:val="18"/>
          <w:vertAlign w:val="baseline"/>
          <w:lang w:val="en-US"/>
        </w:rPr>
        <w:t xml:space="preserve">– </w:t>
      </w:r>
      <w:r>
        <w:rPr>
          <w:rFonts w:ascii="Arial" w:hAnsi="Arial" w:eastAsia="Arial"/>
          <w:i w:val="true"/>
          <w:color w:val="001F46"/>
          <w:spacing w:val="0"/>
          <w:w w:val="100"/>
          <w:sz w:val="16"/>
          <w:vertAlign w:val="baseline"/>
          <w:lang w:val="en-US"/>
        </w:rPr>
        <w:t xml:space="preserve">Award Course Completions</w:t>
      </w:r>
      <w:r>
        <w:rPr>
          <w:rFonts w:ascii="Arial" w:hAnsi="Arial" w:eastAsia="Arial"/>
          <w:color w:val="001F46"/>
          <w:spacing w:val="0"/>
          <w:w w:val="100"/>
          <w:sz w:val="16"/>
          <w:vertAlign w:val="baseline"/>
          <w:lang w:val="en-US"/>
        </w:rPr>
        <w:t xml:space="preserve">,</w:t>
      </w:r>
      <w:hyperlink r:id="dhId4">
        <w:r>
          <w:rPr>
            <w:rFonts w:ascii="Arial" w:hAnsi="Arial" w:eastAsia="Arial"/>
            <w:color w:val="0000FF"/>
            <w:spacing w:val="0"/>
            <w:w w:val="100"/>
            <w:sz w:val="16"/>
            <w:u w:val="single"/>
            <w:vertAlign w:val="baseline"/>
            <w:lang w:val="en-US"/>
          </w:rPr>
          <w:t xml:space="preserve"> https://www.dese.gov.au/higher-</w:t>
        </w:r>
      </w:hyperlink>
      <w:r>
        <w:rPr>
          <w:rFonts w:ascii="Arial Narrow" w:hAnsi="Arial Narrow" w:eastAsia="Arial Narrow"/>
          <w:color w:val="000000"/>
          <w:w w:val="100"/>
          <w:sz w:val="24"/>
          <w:vertAlign w:val="baseline"/>
          <w:lang w:val="en-US"/>
        </w:rPr>
        <w:t xml:space="preserve">
</w:t>
      </w:r>
    </w:p>
    <w:p>
      <w:pPr>
        <w:spacing w:before="0" w:after="782" w:line="197" w:lineRule="exact"/>
        <w:ind w:right="432" w:left="360" w:firstLine="0"/>
        <w:jc w:val="left"/>
        <w:textAlignment w:val="baseline"/>
        <w:rPr>
          <w:rFonts w:ascii="Arial" w:hAnsi="Arial" w:eastAsia="Arial"/>
          <w:color w:val="000000"/>
          <w:spacing w:val="0"/>
          <w:w w:val="100"/>
          <w:sz w:val="16"/>
          <w:u w:val="single"/>
          <w:vertAlign w:val="baseline"/>
          <w:lang w:val="en-US"/>
        </w:rPr>
      </w:pPr>
      <w:hyperlink r:id="dhId5">
        <w:r>
          <w:rPr>
            <w:rFonts w:ascii="Arial" w:hAnsi="Arial" w:eastAsia="Arial"/>
            <w:color w:val="0000FF"/>
            <w:spacing w:val="0"/>
            <w:w w:val="100"/>
            <w:sz w:val="16"/>
            <w:u w:val="single"/>
            <w:vertAlign w:val="baseline"/>
            <w:lang w:val="en-US"/>
          </w:rPr>
          <w:t xml:space="preserve">education-statistics/student-data/selected-higher-education-statistics-2019-student-data</w:t>
        </w:r>
      </w:hyperlink>
      <w:hyperlink r:id="dhId5">
        <w:r>
          <w:rPr>
            <w:rFonts w:ascii="Arial" w:hAnsi="Arial" w:eastAsia="Arial"/>
            <w:color w:val="0000FF"/>
            <w:spacing w:val="0"/>
            <w:w w:val="100"/>
            <w:sz w:val="16"/>
            <w:u w:val="single"/>
            <w:vertAlign w:val="baseline"/>
            <w:lang w:val="en-US"/>
          </w:rPr>
          <w:t xml:space="preserve">.</w:t>
        </w:r>
      </w:hyperlink>
      <w:r>
        <w:rPr>
          <w:rFonts w:ascii="Arial" w:hAnsi="Arial" w:eastAsia="Arial"/>
          <w:color w:val="001F46"/>
          <w:spacing w:val="0"/>
          <w:w w:val="100"/>
          <w:sz w:val="16"/>
          <w:vertAlign w:val="baseline"/>
          <w:lang w:val="en-US"/>
        </w:rPr>
        <w:t xml:space="preserve"> In 2019 (latest available data), 16,236 people completed teacher education qualifications.</w:t>
      </w:r>
    </w:p>
    <w:p>
      <w:pPr>
        <w:spacing w:before="0" w:after="782" w:line="197" w:lineRule="exact"/>
        <w:sectPr>
          <w:type w:val="nextPage"/>
          <w:pgSz w:w="11909" w:h="16843" w:orient="portrait"/>
          <w:pgMar w:bottom="287" w:top="360" w:right="940" w:left="2189" w:header="720" w:footer="720"/>
          <w:titlePg w:val="false"/>
          <w:textDirection w:val="lrTb"/>
        </w:sectPr>
      </w:pPr>
    </w:p>
    <w:p>
      <w:pPr>
        <w:tabs>
          <w:tab w:val="right" w:leader="none" w:pos="8640"/>
        </w:tabs>
        <w:spacing w:before="0" w:after="0" w:line="183" w:lineRule="exact"/>
        <w:ind w:right="0" w:left="144" w:firstLine="0"/>
        <w:jc w:val="left"/>
        <w:textAlignment w:val="baseline"/>
        <w:rPr>
          <w:rFonts w:ascii="Arial" w:hAnsi="Arial" w:eastAsia="Arial"/>
          <w:b w:val="true"/>
          <w:color w:val="001F46"/>
          <w:spacing w:val="0"/>
          <w:w w:val="100"/>
          <w:sz w:val="16"/>
          <w:vertAlign w:val="baseline"/>
          <w:lang w:val="en-US"/>
        </w:rPr>
      </w:pPr>
      <w:r>
        <w:rPr>
          <w:rFonts w:ascii="Arial" w:hAnsi="Arial" w:eastAsia="Arial"/>
          <w:b w:val="true"/>
          <w:color w:val="001F46"/>
          <w:spacing w:val="0"/>
          <w:w w:val="100"/>
          <w:sz w:val="16"/>
          <w:vertAlign w:val="baseline"/>
          <w:lang w:val="en-US"/>
        </w:rPr>
        <w:t xml:space="preserve">UNIVERSITIES AUSTRALIA </w:t>
      </w:r>
      <w:r>
        <w:rPr>
          <w:rFonts w:ascii="Arial" w:hAnsi="Arial" w:eastAsia="Arial"/>
          <w:color w:val="001F46"/>
          <w:spacing w:val="0"/>
          <w:w w:val="100"/>
          <w:sz w:val="16"/>
          <w:vertAlign w:val="baseline"/>
          <w:lang w:val="en-US"/>
        </w:rPr>
        <w:t xml:space="preserve">| QUALITY INITIAL TEACHER EDUCATION REVIEW	</w:t>
      </w:r>
      <w:r>
        <w:rPr>
          <w:rFonts w:ascii="Arial" w:hAnsi="Arial" w:eastAsia="Arial"/>
          <w:b w:val="true"/>
          <w:color w:val="001F46"/>
          <w:spacing w:val="0"/>
          <w:w w:val="100"/>
          <w:sz w:val="16"/>
          <w:vertAlign w:val="baseline"/>
          <w:lang w:val="en-US"/>
        </w:rPr>
        <w:t xml:space="preserve">4</w:t>
      </w:r>
    </w:p>
    <w:p>
      <w:pPr>
        <w:sectPr>
          <w:type w:val="continuous"/>
          <w:pgSz w:w="11909" w:h="16843" w:orient="portrait"/>
          <w:pgMar w:bottom="287" w:top="360" w:right="923" w:left="2206" w:header="720" w:footer="720"/>
          <w:titlePg w:val="false"/>
          <w:textDirection w:val="lrTb"/>
        </w:sectPr>
      </w:pPr>
    </w:p>
    <w:p>
      <w:pPr>
        <w:spacing w:before="19" w:after="410" w:line="240" w:lineRule="auto"/>
        <w:ind w:right="279" w:left="5414"/>
        <w:jc w:val="left"/>
        <w:textAlignment w:val="baseline"/>
      </w:pPr>
      <w:r>
        <w:drawing>
          <wp:inline>
            <wp:extent cx="1960245" cy="588645"/>
            <wp:docPr name="Picture" id="5"/>
            <a:graphic>
              <a:graphicData uri="http://schemas.openxmlformats.org/drawingml/2006/picture">
                <pic:pic>
                  <pic:nvPicPr>
                    <pic:cNvPr id="5" name="Picture"/>
                    <pic:cNvPicPr preferRelativeResize="false"/>
                  </pic:nvPicPr>
                  <pic:blipFill>
                    <a:blip r:embed="prId5"/>
                    <a:stretch>
                      <a:fillRect/>
                    </a:stretch>
                  </pic:blipFill>
                  <pic:spPr>
                    <a:xfrm>
                      <a:off x="0" y="0"/>
                      <a:ext cx="1960245" cy="588645"/>
                    </a:xfrm>
                    <a:prstGeom prst="rect"/>
                  </pic:spPr>
                </pic:pic>
              </a:graphicData>
            </a:graphic>
          </wp:inline>
        </w:drawing>
      </w:r>
    </w:p>
    <w:p>
      <w:pPr>
        <w:spacing w:before="0" w:after="210" w:line="239" w:lineRule="exact"/>
        <w:ind w:right="504" w:left="72" w:firstLine="0"/>
        <w:jc w:val="left"/>
        <w:textAlignment w:val="baseline"/>
        <w:rPr>
          <w:rFonts w:ascii="Arial" w:hAnsi="Arial" w:eastAsia="Arial"/>
          <w:color w:val="001F46"/>
          <w:spacing w:val="0"/>
          <w:w w:val="100"/>
          <w:sz w:val="20"/>
          <w:vertAlign w:val="baseline"/>
          <w:lang w:val="en-US"/>
        </w:rPr>
      </w:pPr>
      <w:r>
        <w:rPr>
          <w:rFonts w:ascii="Arial" w:hAnsi="Arial" w:eastAsia="Arial"/>
          <w:color w:val="001F46"/>
          <w:spacing w:val="0"/>
          <w:w w:val="100"/>
          <w:sz w:val="20"/>
          <w:vertAlign w:val="baseline"/>
          <w:lang w:val="en-US"/>
        </w:rPr>
        <w:t xml:space="preserve">All of these reforms work in the directions indicated by the discussion paper and the terms of reference (ToRs) for this review. The current review can build on the momentum.</w:t>
      </w:r>
    </w:p>
    <w:p>
      <w:pPr>
        <w:spacing w:before="307" w:after="0" w:line="251" w:lineRule="exact"/>
        <w:ind w:right="34" w:left="394" w:firstLine="0"/>
        <w:jc w:val="left"/>
        <w:textAlignment w:val="baseline"/>
        <w:rPr>
          <w:rFonts w:ascii="Arial" w:hAnsi="Arial" w:eastAsia="Arial"/>
          <w:b w:val="true"/>
          <w:color w:val="001F46"/>
          <w:spacing w:val="-2"/>
          <w:w w:val="100"/>
          <w:sz w:val="22"/>
          <w:vertAlign w:val="baseline"/>
          <w:lang w:val="en-US"/>
        </w:rPr>
      </w:pPr>
      <w:r>
        <w:pict>
          <v:shapetype id="_x0000_t11" coordsize="21600,21600" o:spt="202" path="m,l,21600r21600,l21600,xe">
            <v:stroke joinstyle="miter"/>
            <v:path gradientshapeok="t" o:connecttype="rect"/>
          </v:shapetype>
          <v:shape id="_x0000_s10" type="#_x0000_t11" fillcolor="#EFEFEF" stroked="f" style="position:absolute;width:439pt;height:548.15pt;z-index:-999;margin-left:110.4pt;margin-top:120.95pt;mso-wrap-distance-bottom:127.4pt;mso-wrap-distance-left:0pt;mso-wrap-distance-right:0pt;mso-position-horizontal-relative:page;mso-position-vertical-relative:page">
            <v:textbox inset="0pt, 0pt, 0pt, 0pt">
              <w:txbxContent>
                <w:p>
                  <w:pPr>
                    <w:pBdr>
                      <w:top w:sz="5" w:space="0" w:color="B5B7B7" w:val="single"/>
                      <w:left w:sz="5" w:space="0" w:color="B5B7B7" w:val="single"/>
                      <w:bottom w:sz="5" w:space="127" w:color="B5B7B7" w:val="single"/>
                      <w:right w:sz="5" w:space="0" w:color="B5B7B7" w:val="single"/>
                    </w:pBdr>
                  </w:pPr>
                </w:p>
              </w:txbxContent>
            </v:textbox>
          </v:shape>
        </w:pict>
      </w:r>
      <w:r>
        <w:rPr>
          <w:rFonts w:ascii="Arial" w:hAnsi="Arial" w:eastAsia="Arial"/>
          <w:b w:val="true"/>
          <w:color w:val="001F46"/>
          <w:spacing w:val="-2"/>
          <w:w w:val="100"/>
          <w:sz w:val="22"/>
          <w:vertAlign w:val="baseline"/>
          <w:lang w:val="en-US"/>
        </w:rPr>
        <w:t xml:space="preserve">Recommendations</w:t>
      </w:r>
    </w:p>
    <w:p>
      <w:pPr>
        <w:spacing w:before="239" w:after="0" w:line="240" w:lineRule="exact"/>
        <w:ind w:right="34" w:left="394" w:firstLine="0"/>
        <w:jc w:val="left"/>
        <w:textAlignment w:val="baseline"/>
        <w:rPr>
          <w:rFonts w:ascii="Arial" w:hAnsi="Arial" w:eastAsia="Arial"/>
          <w:color w:val="001F46"/>
          <w:spacing w:val="-1"/>
          <w:w w:val="100"/>
          <w:sz w:val="20"/>
          <w:vertAlign w:val="baseline"/>
          <w:lang w:val="en-US"/>
        </w:rPr>
      </w:pPr>
      <w:r>
        <w:rPr>
          <w:rFonts w:ascii="Arial" w:hAnsi="Arial" w:eastAsia="Arial"/>
          <w:color w:val="001F46"/>
          <w:spacing w:val="-1"/>
          <w:w w:val="100"/>
          <w:sz w:val="20"/>
          <w:vertAlign w:val="baseline"/>
          <w:lang w:val="en-US"/>
        </w:rPr>
        <w:t xml:space="preserve">Universities Australia recommends that the review:</w:t>
      </w:r>
    </w:p>
    <w:p>
      <w:pPr>
        <w:numPr>
          <w:ilvl w:val="0"/>
          <w:numId w:val="2"/>
        </w:numPr>
        <w:tabs>
          <w:tab w:val="clear" w:pos="216"/>
          <w:tab w:val="left" w:pos="610"/>
        </w:tabs>
        <w:spacing w:before="245" w:after="0" w:line="240" w:lineRule="exact"/>
        <w:ind w:right="682" w:left="610" w:hanging="216"/>
        <w:jc w:val="left"/>
        <w:textAlignment w:val="baseline"/>
        <w:rPr>
          <w:rFonts w:ascii="Arial" w:hAnsi="Arial" w:eastAsia="Arial"/>
          <w:color w:val="001F46"/>
          <w:spacing w:val="0"/>
          <w:w w:val="100"/>
          <w:sz w:val="20"/>
          <w:vertAlign w:val="baseline"/>
          <w:lang w:val="en-US"/>
        </w:rPr>
      </w:pPr>
      <w:r>
        <w:rPr>
          <w:rFonts w:ascii="Arial" w:hAnsi="Arial" w:eastAsia="Arial"/>
          <w:color w:val="001F46"/>
          <w:spacing w:val="0"/>
          <w:w w:val="100"/>
          <w:sz w:val="20"/>
          <w:vertAlign w:val="baseline"/>
          <w:lang w:val="en-US"/>
        </w:rPr>
        <w:t xml:space="preserve">consider how the current review can best build on reforms to initial teacher educaiton introduced over the past 10 years;</w:t>
      </w:r>
    </w:p>
    <w:p>
      <w:pPr>
        <w:numPr>
          <w:ilvl w:val="0"/>
          <w:numId w:val="2"/>
        </w:numPr>
        <w:tabs>
          <w:tab w:val="clear" w:pos="216"/>
          <w:tab w:val="left" w:pos="610"/>
        </w:tabs>
        <w:spacing w:before="240" w:after="0" w:line="240" w:lineRule="exact"/>
        <w:ind w:right="610" w:left="610" w:hanging="216"/>
        <w:jc w:val="left"/>
        <w:textAlignment w:val="baseline"/>
        <w:rPr>
          <w:rFonts w:ascii="Arial" w:hAnsi="Arial" w:eastAsia="Arial"/>
          <w:color w:val="001F46"/>
          <w:spacing w:val="0"/>
          <w:w w:val="100"/>
          <w:sz w:val="20"/>
          <w:vertAlign w:val="baseline"/>
          <w:lang w:val="en-US"/>
        </w:rPr>
      </w:pPr>
      <w:r>
        <w:rPr>
          <w:rFonts w:ascii="Arial" w:hAnsi="Arial" w:eastAsia="Arial"/>
          <w:color w:val="001F46"/>
          <w:spacing w:val="0"/>
          <w:w w:val="100"/>
          <w:sz w:val="20"/>
          <w:vertAlign w:val="baseline"/>
          <w:lang w:val="en-US"/>
        </w:rPr>
        <w:t xml:space="preserve">task the National Evidence Institute with reviewing and evaluating earlier reforms and their effectiveness as well as any gaps;</w:t>
      </w:r>
    </w:p>
    <w:p>
      <w:pPr>
        <w:numPr>
          <w:ilvl w:val="0"/>
          <w:numId w:val="2"/>
        </w:numPr>
        <w:tabs>
          <w:tab w:val="clear" w:pos="216"/>
          <w:tab w:val="left" w:pos="610"/>
        </w:tabs>
        <w:spacing w:before="245" w:after="0" w:line="240" w:lineRule="exact"/>
        <w:ind w:right="466" w:left="610" w:hanging="216"/>
        <w:jc w:val="left"/>
        <w:textAlignment w:val="baseline"/>
        <w:rPr>
          <w:rFonts w:ascii="Arial" w:hAnsi="Arial" w:eastAsia="Arial"/>
          <w:color w:val="001F46"/>
          <w:spacing w:val="0"/>
          <w:w w:val="100"/>
          <w:sz w:val="20"/>
          <w:vertAlign w:val="baseline"/>
          <w:lang w:val="en-US"/>
        </w:rPr>
      </w:pPr>
      <w:r>
        <w:rPr>
          <w:rFonts w:ascii="Arial" w:hAnsi="Arial" w:eastAsia="Arial"/>
          <w:color w:val="001F46"/>
          <w:spacing w:val="0"/>
          <w:w w:val="100"/>
          <w:sz w:val="20"/>
          <w:vertAlign w:val="baseline"/>
          <w:lang w:val="en-US"/>
        </w:rPr>
        <w:t xml:space="preserve">consider classroom readiness of initial teacher education graduates in the context of specific standards for graduate teachers, and attend to mechanisms to improve support and professional development for new teachers;</w:t>
      </w:r>
    </w:p>
    <w:p>
      <w:pPr>
        <w:numPr>
          <w:ilvl w:val="0"/>
          <w:numId w:val="2"/>
        </w:numPr>
        <w:tabs>
          <w:tab w:val="clear" w:pos="216"/>
          <w:tab w:val="left" w:pos="610"/>
        </w:tabs>
        <w:spacing w:before="249" w:after="0" w:line="240" w:lineRule="exact"/>
        <w:ind w:right="610" w:left="610" w:hanging="216"/>
        <w:jc w:val="left"/>
        <w:textAlignment w:val="baseline"/>
        <w:rPr>
          <w:rFonts w:ascii="Arial" w:hAnsi="Arial" w:eastAsia="Arial"/>
          <w:color w:val="001F46"/>
          <w:spacing w:val="-1"/>
          <w:w w:val="100"/>
          <w:sz w:val="20"/>
          <w:vertAlign w:val="baseline"/>
          <w:lang w:val="en-US"/>
        </w:rPr>
      </w:pPr>
      <w:r>
        <w:rPr>
          <w:rFonts w:ascii="Arial" w:hAnsi="Arial" w:eastAsia="Arial"/>
          <w:color w:val="001F46"/>
          <w:spacing w:val="-1"/>
          <w:w w:val="100"/>
          <w:sz w:val="20"/>
          <w:vertAlign w:val="baseline"/>
          <w:lang w:val="en-US"/>
        </w:rPr>
        <w:t xml:space="preserve">examine how universities can best partner with school systems and schools to deliver effective professional development for teachers at various stages in their careers;</w:t>
      </w:r>
    </w:p>
    <w:p>
      <w:pPr>
        <w:numPr>
          <w:ilvl w:val="0"/>
          <w:numId w:val="2"/>
        </w:numPr>
        <w:tabs>
          <w:tab w:val="clear" w:pos="216"/>
          <w:tab w:val="left" w:pos="610"/>
        </w:tabs>
        <w:spacing w:before="240" w:after="0" w:line="240" w:lineRule="exact"/>
        <w:ind w:right="466" w:left="610" w:hanging="216"/>
        <w:jc w:val="left"/>
        <w:textAlignment w:val="baseline"/>
        <w:rPr>
          <w:rFonts w:ascii="Arial" w:hAnsi="Arial" w:eastAsia="Arial"/>
          <w:color w:val="001F46"/>
          <w:spacing w:val="0"/>
          <w:w w:val="100"/>
          <w:sz w:val="20"/>
          <w:vertAlign w:val="baseline"/>
          <w:lang w:val="en-US"/>
        </w:rPr>
      </w:pPr>
      <w:r>
        <w:rPr>
          <w:rFonts w:ascii="Arial" w:hAnsi="Arial" w:eastAsia="Arial"/>
          <w:color w:val="001F46"/>
          <w:spacing w:val="0"/>
          <w:w w:val="100"/>
          <w:sz w:val="20"/>
          <w:vertAlign w:val="baseline"/>
          <w:lang w:val="en-US"/>
        </w:rPr>
        <w:t xml:space="preserve">identify ways for universities and schools to collaborate more effectively to provide high quality professional experience placements, noting the complementary roles of each party;</w:t>
      </w:r>
    </w:p>
    <w:p>
      <w:pPr>
        <w:numPr>
          <w:ilvl w:val="0"/>
          <w:numId w:val="2"/>
        </w:numPr>
        <w:tabs>
          <w:tab w:val="clear" w:pos="216"/>
          <w:tab w:val="left" w:pos="610"/>
        </w:tabs>
        <w:spacing w:before="245" w:after="0" w:line="240" w:lineRule="exact"/>
        <w:ind w:right="970" w:left="610" w:hanging="216"/>
        <w:jc w:val="left"/>
        <w:textAlignment w:val="baseline"/>
        <w:rPr>
          <w:rFonts w:ascii="Arial" w:hAnsi="Arial" w:eastAsia="Arial"/>
          <w:color w:val="001F46"/>
          <w:spacing w:val="0"/>
          <w:w w:val="100"/>
          <w:sz w:val="20"/>
          <w:vertAlign w:val="baseline"/>
          <w:lang w:val="en-US"/>
        </w:rPr>
      </w:pPr>
      <w:r>
        <w:rPr>
          <w:rFonts w:ascii="Arial" w:hAnsi="Arial" w:eastAsia="Arial"/>
          <w:color w:val="001F46"/>
          <w:spacing w:val="0"/>
          <w:w w:val="100"/>
          <w:sz w:val="20"/>
          <w:vertAlign w:val="baseline"/>
          <w:lang w:val="en-US"/>
        </w:rPr>
        <w:t xml:space="preserve">consider the adequacy of resourcing of both universities and schools to offer high quality placements;</w:t>
      </w:r>
    </w:p>
    <w:p>
      <w:pPr>
        <w:numPr>
          <w:ilvl w:val="0"/>
          <w:numId w:val="2"/>
        </w:numPr>
        <w:tabs>
          <w:tab w:val="clear" w:pos="216"/>
          <w:tab w:val="left" w:pos="610"/>
        </w:tabs>
        <w:spacing w:before="245" w:after="0" w:line="240" w:lineRule="exact"/>
        <w:ind w:right="466" w:left="610" w:hanging="216"/>
        <w:jc w:val="left"/>
        <w:textAlignment w:val="baseline"/>
        <w:rPr>
          <w:rFonts w:ascii="Arial" w:hAnsi="Arial" w:eastAsia="Arial"/>
          <w:color w:val="001F46"/>
          <w:spacing w:val="0"/>
          <w:w w:val="100"/>
          <w:sz w:val="20"/>
          <w:vertAlign w:val="baseline"/>
          <w:lang w:val="en-US"/>
        </w:rPr>
      </w:pPr>
      <w:r>
        <w:rPr>
          <w:rFonts w:ascii="Arial" w:hAnsi="Arial" w:eastAsia="Arial"/>
          <w:color w:val="001F46"/>
          <w:spacing w:val="0"/>
          <w:w w:val="100"/>
          <w:sz w:val="20"/>
          <w:vertAlign w:val="baseline"/>
          <w:lang w:val="en-US"/>
        </w:rPr>
        <w:t xml:space="preserve">examine how support in the workplace and ongoing professional development can best contribute to improving retention within the profession;</w:t>
      </w:r>
    </w:p>
    <w:p>
      <w:pPr>
        <w:numPr>
          <w:ilvl w:val="0"/>
          <w:numId w:val="2"/>
        </w:numPr>
        <w:tabs>
          <w:tab w:val="clear" w:pos="216"/>
          <w:tab w:val="left" w:pos="610"/>
        </w:tabs>
        <w:spacing w:before="245" w:after="0" w:line="240" w:lineRule="exact"/>
        <w:ind w:right="970" w:left="610" w:hanging="216"/>
        <w:jc w:val="left"/>
        <w:textAlignment w:val="baseline"/>
        <w:rPr>
          <w:rFonts w:ascii="Arial" w:hAnsi="Arial" w:eastAsia="Arial"/>
          <w:color w:val="001F46"/>
          <w:spacing w:val="0"/>
          <w:w w:val="100"/>
          <w:sz w:val="20"/>
          <w:vertAlign w:val="baseline"/>
          <w:lang w:val="en-US"/>
        </w:rPr>
      </w:pPr>
      <w:r>
        <w:rPr>
          <w:rFonts w:ascii="Arial" w:hAnsi="Arial" w:eastAsia="Arial"/>
          <w:color w:val="001F46"/>
          <w:spacing w:val="0"/>
          <w:w w:val="100"/>
          <w:sz w:val="20"/>
          <w:vertAlign w:val="baseline"/>
          <w:lang w:val="en-US"/>
        </w:rPr>
        <w:t xml:space="preserve">identify ways to work with universities and registration authorities to maximise the effectiveness and impact of Teacher Performance Assessments (TPAs);</w:t>
      </w:r>
    </w:p>
    <w:p>
      <w:pPr>
        <w:numPr>
          <w:ilvl w:val="0"/>
          <w:numId w:val="2"/>
        </w:numPr>
        <w:tabs>
          <w:tab w:val="clear" w:pos="216"/>
          <w:tab w:val="left" w:pos="610"/>
        </w:tabs>
        <w:spacing w:before="240" w:after="0" w:line="240" w:lineRule="exact"/>
        <w:ind w:right="466" w:left="610" w:hanging="216"/>
        <w:jc w:val="left"/>
        <w:textAlignment w:val="baseline"/>
        <w:rPr>
          <w:rFonts w:ascii="Arial" w:hAnsi="Arial" w:eastAsia="Arial"/>
          <w:color w:val="001F46"/>
          <w:spacing w:val="0"/>
          <w:w w:val="100"/>
          <w:sz w:val="20"/>
          <w:vertAlign w:val="baseline"/>
          <w:lang w:val="en-US"/>
        </w:rPr>
      </w:pPr>
      <w:r>
        <w:rPr>
          <w:rFonts w:ascii="Arial" w:hAnsi="Arial" w:eastAsia="Arial"/>
          <w:color w:val="001F46"/>
          <w:spacing w:val="0"/>
          <w:w w:val="100"/>
          <w:sz w:val="20"/>
          <w:vertAlign w:val="baseline"/>
          <w:lang w:val="en-US"/>
        </w:rPr>
        <w:t xml:space="preserve">consider very carefully whether it is advisable (or even feasible) to move back from the trend of two-year Masters courses in postgraduate initial teacher education;</w:t>
      </w:r>
    </w:p>
    <w:p>
      <w:pPr>
        <w:numPr>
          <w:ilvl w:val="0"/>
          <w:numId w:val="2"/>
        </w:numPr>
        <w:tabs>
          <w:tab w:val="clear" w:pos="216"/>
          <w:tab w:val="left" w:pos="610"/>
        </w:tabs>
        <w:spacing w:before="244" w:after="0" w:line="240" w:lineRule="exact"/>
        <w:ind w:right="682" w:left="610" w:hanging="216"/>
        <w:jc w:val="left"/>
        <w:textAlignment w:val="baseline"/>
        <w:rPr>
          <w:rFonts w:ascii="Arial" w:hAnsi="Arial" w:eastAsia="Arial"/>
          <w:color w:val="001F46"/>
          <w:spacing w:val="0"/>
          <w:w w:val="100"/>
          <w:sz w:val="20"/>
          <w:vertAlign w:val="baseline"/>
          <w:lang w:val="en-US"/>
        </w:rPr>
      </w:pPr>
      <w:r>
        <w:rPr>
          <w:rFonts w:ascii="Arial" w:hAnsi="Arial" w:eastAsia="Arial"/>
          <w:color w:val="001F46"/>
          <w:spacing w:val="0"/>
          <w:w w:val="100"/>
          <w:sz w:val="20"/>
          <w:vertAlign w:val="baseline"/>
          <w:lang w:val="en-US"/>
        </w:rPr>
        <w:t xml:space="preserve">take into account the report of the House Committee on Employment, Education and Training on the status of the teaching profession;</w:t>
      </w:r>
    </w:p>
    <w:p>
      <w:pPr>
        <w:numPr>
          <w:ilvl w:val="0"/>
          <w:numId w:val="2"/>
        </w:numPr>
        <w:tabs>
          <w:tab w:val="clear" w:pos="216"/>
          <w:tab w:val="left" w:pos="610"/>
        </w:tabs>
        <w:spacing w:before="245" w:after="0" w:line="240" w:lineRule="exact"/>
        <w:ind w:right="466" w:left="610" w:hanging="216"/>
        <w:jc w:val="left"/>
        <w:textAlignment w:val="baseline"/>
        <w:rPr>
          <w:rFonts w:ascii="Arial" w:hAnsi="Arial" w:eastAsia="Arial"/>
          <w:color w:val="001F46"/>
          <w:spacing w:val="0"/>
          <w:w w:val="100"/>
          <w:sz w:val="20"/>
          <w:vertAlign w:val="baseline"/>
          <w:lang w:val="en-US"/>
        </w:rPr>
      </w:pPr>
      <w:r>
        <w:rPr>
          <w:rFonts w:ascii="Arial" w:hAnsi="Arial" w:eastAsia="Arial"/>
          <w:color w:val="001F46"/>
          <w:spacing w:val="0"/>
          <w:w w:val="100"/>
          <w:sz w:val="20"/>
          <w:vertAlign w:val="baseline"/>
          <w:lang w:val="en-US"/>
        </w:rPr>
        <w:t xml:space="preserve">consider wider social and labour market factors affecting the attractiveness of teaching as a profession, and how initial teacher education providers can work with or mitigate these; and</w:t>
      </w:r>
    </w:p>
    <w:p>
      <w:pPr>
        <w:numPr>
          <w:ilvl w:val="0"/>
          <w:numId w:val="2"/>
        </w:numPr>
        <w:tabs>
          <w:tab w:val="clear" w:pos="216"/>
          <w:tab w:val="left" w:pos="610"/>
        </w:tabs>
        <w:spacing w:before="240" w:after="2826" w:line="240" w:lineRule="exact"/>
        <w:ind w:right="754" w:left="610" w:hanging="216"/>
        <w:jc w:val="left"/>
        <w:textAlignment w:val="baseline"/>
        <w:rPr>
          <w:rFonts w:ascii="Arial" w:hAnsi="Arial" w:eastAsia="Arial"/>
          <w:color w:val="001F46"/>
          <w:spacing w:val="0"/>
          <w:w w:val="100"/>
          <w:sz w:val="20"/>
          <w:vertAlign w:val="baseline"/>
          <w:lang w:val="en-US"/>
        </w:rPr>
      </w:pPr>
      <w:r>
        <w:rPr>
          <w:rFonts w:ascii="Arial" w:hAnsi="Arial" w:eastAsia="Arial"/>
          <w:color w:val="001F46"/>
          <w:spacing w:val="0"/>
          <w:w w:val="100"/>
          <w:sz w:val="20"/>
          <w:vertAlign w:val="baseline"/>
          <w:lang w:val="en-US"/>
        </w:rPr>
        <w:t xml:space="preserve">n</w:t>
      </w:r>
      <w:r>
        <w:rPr>
          <w:rFonts w:ascii="Arial" w:hAnsi="Arial" w:eastAsia="Arial"/>
          <w:color w:val="001F46"/>
          <w:spacing w:val="0"/>
          <w:w w:val="100"/>
          <w:sz w:val="20"/>
          <w:vertAlign w:val="baseline"/>
          <w:lang w:val="en-US"/>
        </w:rPr>
        <w:t xml:space="preserve">ote universities’ existing efforts to offer a range of </w:t>
      </w:r>
      <w:r>
        <w:rPr>
          <w:rFonts w:ascii="Arial" w:hAnsi="Arial" w:eastAsia="Arial"/>
          <w:color w:val="001F46"/>
          <w:spacing w:val="0"/>
          <w:w w:val="100"/>
          <w:sz w:val="20"/>
          <w:vertAlign w:val="baseline"/>
          <w:lang w:val="en-US"/>
        </w:rPr>
        <w:t xml:space="preserve">initial teacher educaiton options, including programs that offer long professional experience placements and that accelerate completion of qualifications.</w:t>
      </w:r>
    </w:p>
    <w:p>
      <w:pPr>
        <w:spacing w:before="240" w:after="2826" w:line="240" w:lineRule="exact"/>
        <w:sectPr>
          <w:type w:val="nextPage"/>
          <w:pgSz w:w="11909" w:h="16843" w:orient="portrait"/>
          <w:pgMar w:bottom="287" w:top="360" w:right="921" w:left="2208" w:header="720" w:footer="720"/>
          <w:titlePg w:val="false"/>
          <w:textDirection w:val="lrTb"/>
        </w:sectPr>
      </w:pPr>
    </w:p>
    <w:p>
      <w:pPr>
        <w:tabs>
          <w:tab w:val="right" w:leader="none" w:pos="8640"/>
        </w:tabs>
        <w:spacing w:before="0" w:after="0" w:line="187" w:lineRule="exact"/>
        <w:ind w:right="0" w:left="144" w:firstLine="0"/>
        <w:jc w:val="left"/>
        <w:textAlignment w:val="baseline"/>
        <w:rPr>
          <w:rFonts w:ascii="Arial" w:hAnsi="Arial" w:eastAsia="Arial"/>
          <w:b w:val="true"/>
          <w:color w:val="001F46"/>
          <w:spacing w:val="0"/>
          <w:w w:val="100"/>
          <w:sz w:val="16"/>
          <w:vertAlign w:val="baseline"/>
          <w:lang w:val="en-US"/>
        </w:rPr>
      </w:pPr>
      <w:r>
        <w:rPr>
          <w:rFonts w:ascii="Arial" w:hAnsi="Arial" w:eastAsia="Arial"/>
          <w:b w:val="true"/>
          <w:color w:val="001F46"/>
          <w:spacing w:val="0"/>
          <w:w w:val="100"/>
          <w:sz w:val="16"/>
          <w:vertAlign w:val="baseline"/>
          <w:lang w:val="en-US"/>
        </w:rPr>
        <w:t xml:space="preserve">UNIVERSITIES AUSTRALIA </w:t>
      </w:r>
      <w:r>
        <w:rPr>
          <w:rFonts w:ascii="Arial" w:hAnsi="Arial" w:eastAsia="Arial"/>
          <w:color w:val="001F46"/>
          <w:spacing w:val="0"/>
          <w:w w:val="100"/>
          <w:sz w:val="16"/>
          <w:vertAlign w:val="baseline"/>
          <w:lang w:val="en-US"/>
        </w:rPr>
        <w:t xml:space="preserve">| QUALITY INITIAL TEACHER EDUCATION REVIEW	</w:t>
      </w:r>
      <w:r>
        <w:rPr>
          <w:rFonts w:ascii="Arial" w:hAnsi="Arial" w:eastAsia="Arial"/>
          <w:b w:val="true"/>
          <w:color w:val="001F46"/>
          <w:spacing w:val="0"/>
          <w:w w:val="100"/>
          <w:sz w:val="16"/>
          <w:vertAlign w:val="baseline"/>
          <w:lang w:val="en-US"/>
        </w:rPr>
        <w:t xml:space="preserve">5</w:t>
      </w:r>
    </w:p>
    <w:p>
      <w:pPr>
        <w:sectPr>
          <w:type w:val="continuous"/>
          <w:pgSz w:w="11909" w:h="16843" w:orient="portrait"/>
          <w:pgMar w:bottom="287" w:top="360" w:right="923" w:left="2206" w:header="720" w:footer="720"/>
          <w:titlePg w:val="false"/>
          <w:textDirection w:val="lrTb"/>
        </w:sectPr>
      </w:pPr>
    </w:p>
    <w:p>
      <w:pPr>
        <w:spacing w:before="19" w:after="489" w:line="240" w:lineRule="auto"/>
        <w:ind w:right="279" w:left="5414"/>
        <w:jc w:val="left"/>
        <w:textAlignment w:val="baseline"/>
      </w:pPr>
      <w:r>
        <w:drawing>
          <wp:inline>
            <wp:extent cx="1960245" cy="588645"/>
            <wp:docPr name="Picture" id="6"/>
            <a:graphic>
              <a:graphicData uri="http://schemas.openxmlformats.org/drawingml/2006/picture">
                <pic:pic>
                  <pic:nvPicPr>
                    <pic:cNvPr id="6" name="Picture"/>
                    <pic:cNvPicPr preferRelativeResize="false"/>
                  </pic:nvPicPr>
                  <pic:blipFill>
                    <a:blip r:embed="prId6"/>
                    <a:stretch>
                      <a:fillRect/>
                    </a:stretch>
                  </pic:blipFill>
                  <pic:spPr>
                    <a:xfrm>
                      <a:off x="0" y="0"/>
                      <a:ext cx="1960245" cy="588645"/>
                    </a:xfrm>
                    <a:prstGeom prst="rect"/>
                  </pic:spPr>
                </pic:pic>
              </a:graphicData>
            </a:graphic>
          </wp:inline>
        </w:drawing>
      </w:r>
    </w:p>
    <w:p>
      <w:pPr>
        <w:spacing w:before="0" w:after="0" w:line="502" w:lineRule="exact"/>
        <w:ind w:right="288" w:left="792" w:hanging="360"/>
        <w:jc w:val="left"/>
        <w:textAlignment w:val="baseline"/>
        <w:rPr>
          <w:rFonts w:ascii="Arial Narrow" w:hAnsi="Arial Narrow" w:eastAsia="Arial Narrow"/>
          <w:color w:val="001F46"/>
          <w:spacing w:val="0"/>
          <w:w w:val="100"/>
          <w:sz w:val="39"/>
          <w:vertAlign w:val="baseline"/>
          <w:lang w:val="en-US"/>
        </w:rPr>
      </w:pPr>
      <w:r>
        <w:rPr>
          <w:rFonts w:ascii="Arial Narrow" w:hAnsi="Arial Narrow" w:eastAsia="Arial Narrow"/>
          <w:color w:val="001F46"/>
          <w:spacing w:val="0"/>
          <w:w w:val="100"/>
          <w:sz w:val="39"/>
          <w:vertAlign w:val="baseline"/>
          <w:lang w:val="en-US"/>
        </w:rPr>
        <w:t xml:space="preserve">1. INITIAL TEACHER EDUCATION IS ONLY PART OF THE STORY</w:t>
      </w:r>
    </w:p>
    <w:p>
      <w:pPr>
        <w:spacing w:before="274" w:after="0" w:line="240" w:lineRule="exact"/>
        <w:ind w:right="144" w:left="72" w:firstLine="0"/>
        <w:jc w:val="left"/>
        <w:textAlignment w:val="baseline"/>
        <w:rPr>
          <w:rFonts w:ascii="Arial" w:hAnsi="Arial" w:eastAsia="Arial"/>
          <w:color w:val="001F46"/>
          <w:spacing w:val="0"/>
          <w:w w:val="100"/>
          <w:sz w:val="20"/>
          <w:vertAlign w:val="baseline"/>
          <w:lang w:val="en-US"/>
        </w:rPr>
      </w:pPr>
      <w:r>
        <w:rPr>
          <w:rFonts w:ascii="Arial" w:hAnsi="Arial" w:eastAsia="Arial"/>
          <w:color w:val="001F46"/>
          <w:spacing w:val="0"/>
          <w:w w:val="100"/>
          <w:sz w:val="20"/>
          <w:vertAlign w:val="baseline"/>
          <w:lang w:val="en-US"/>
        </w:rPr>
        <w:t xml:space="preserve">Teacher quality is central to the quality of education offered in Austral</w:t>
      </w:r>
      <w:r>
        <w:rPr>
          <w:rFonts w:ascii="Arial" w:hAnsi="Arial" w:eastAsia="Arial"/>
          <w:color w:val="001F46"/>
          <w:spacing w:val="0"/>
          <w:w w:val="100"/>
          <w:sz w:val="21"/>
          <w:vertAlign w:val="baseline"/>
          <w:lang w:val="en-US"/>
        </w:rPr>
        <w:t xml:space="preserve">ia’s schools. </w:t>
      </w:r>
      <w:r>
        <w:rPr>
          <w:rFonts w:ascii="Arial" w:hAnsi="Arial" w:eastAsia="Arial"/>
          <w:color w:val="001F46"/>
          <w:spacing w:val="0"/>
          <w:w w:val="100"/>
          <w:sz w:val="20"/>
          <w:vertAlign w:val="baseline"/>
          <w:lang w:val="en-US"/>
        </w:rPr>
        <w:t xml:space="preserve">Initial teacher education (ITE) is fundamental to teacher quality, as it equips new teachers with the knowledge and skills </w:t>
      </w:r>
      <w:r>
        <w:rPr>
          <w:rFonts w:ascii="Arial" w:hAnsi="Arial" w:eastAsia="Arial"/>
          <w:color w:val="001F46"/>
          <w:spacing w:val="0"/>
          <w:w w:val="100"/>
          <w:sz w:val="21"/>
          <w:vertAlign w:val="baseline"/>
          <w:lang w:val="en-US"/>
        </w:rPr>
        <w:t xml:space="preserve">– </w:t>
      </w:r>
      <w:r>
        <w:rPr>
          <w:rFonts w:ascii="Arial" w:hAnsi="Arial" w:eastAsia="Arial"/>
          <w:color w:val="001F46"/>
          <w:spacing w:val="0"/>
          <w:w w:val="100"/>
          <w:sz w:val="20"/>
          <w:vertAlign w:val="baseline"/>
          <w:lang w:val="en-US"/>
        </w:rPr>
        <w:t xml:space="preserve">both theoretical and practical </w:t>
      </w:r>
      <w:r>
        <w:rPr>
          <w:rFonts w:ascii="Arial" w:hAnsi="Arial" w:eastAsia="Arial"/>
          <w:color w:val="001F46"/>
          <w:spacing w:val="0"/>
          <w:w w:val="100"/>
          <w:sz w:val="21"/>
          <w:vertAlign w:val="baseline"/>
          <w:lang w:val="en-US"/>
        </w:rPr>
        <w:t xml:space="preserve">– </w:t>
      </w:r>
      <w:r>
        <w:rPr>
          <w:rFonts w:ascii="Arial" w:hAnsi="Arial" w:eastAsia="Arial"/>
          <w:color w:val="001F46"/>
          <w:spacing w:val="0"/>
          <w:w w:val="100"/>
          <w:sz w:val="20"/>
          <w:vertAlign w:val="baseline"/>
          <w:lang w:val="en-US"/>
        </w:rPr>
        <w:t xml:space="preserve">to begin careers as effective teachers.</w:t>
      </w:r>
    </w:p>
    <w:p>
      <w:pPr>
        <w:spacing w:before="239" w:after="0" w:line="240" w:lineRule="exact"/>
        <w:ind w:right="144" w:left="72" w:firstLine="0"/>
        <w:jc w:val="left"/>
        <w:textAlignment w:val="baseline"/>
        <w:rPr>
          <w:rFonts w:ascii="Arial" w:hAnsi="Arial" w:eastAsia="Arial"/>
          <w:color w:val="001F46"/>
          <w:spacing w:val="0"/>
          <w:w w:val="100"/>
          <w:sz w:val="20"/>
          <w:vertAlign w:val="baseline"/>
          <w:lang w:val="en-US"/>
        </w:rPr>
      </w:pPr>
      <w:r>
        <w:rPr>
          <w:rFonts w:ascii="Arial" w:hAnsi="Arial" w:eastAsia="Arial"/>
          <w:color w:val="001F46"/>
          <w:spacing w:val="0"/>
          <w:w w:val="100"/>
          <w:sz w:val="20"/>
          <w:vertAlign w:val="baseline"/>
          <w:lang w:val="en-US"/>
        </w:rPr>
        <w:t xml:space="preserve">But teacher quality is a much bigger picture than just ITE. In an average year, newly qualified teachers </w:t>
      </w:r>
      <w:r>
        <w:rPr>
          <w:rFonts w:ascii="Arial" w:hAnsi="Arial" w:eastAsia="Arial"/>
          <w:color w:val="001F46"/>
          <w:spacing w:val="0"/>
          <w:w w:val="100"/>
          <w:sz w:val="21"/>
          <w:vertAlign w:val="baseline"/>
          <w:lang w:val="en-US"/>
        </w:rPr>
        <w:t xml:space="preserve">– </w:t>
      </w:r>
      <w:r>
        <w:rPr>
          <w:rFonts w:ascii="Arial" w:hAnsi="Arial" w:eastAsia="Arial"/>
          <w:color w:val="001F46"/>
          <w:spacing w:val="0"/>
          <w:w w:val="100"/>
          <w:sz w:val="20"/>
          <w:vertAlign w:val="baseline"/>
          <w:lang w:val="en-US"/>
        </w:rPr>
        <w:t xml:space="preserve">even if they all entered the teaching workforce immediately </w:t>
      </w:r>
      <w:r>
        <w:rPr>
          <w:rFonts w:ascii="Arial" w:hAnsi="Arial" w:eastAsia="Arial"/>
          <w:color w:val="001F46"/>
          <w:spacing w:val="0"/>
          <w:w w:val="100"/>
          <w:sz w:val="21"/>
          <w:vertAlign w:val="baseline"/>
          <w:lang w:val="en-US"/>
        </w:rPr>
        <w:t xml:space="preserve">– </w:t>
      </w:r>
      <w:r>
        <w:rPr>
          <w:rFonts w:ascii="Arial" w:hAnsi="Arial" w:eastAsia="Arial"/>
          <w:color w:val="001F46"/>
          <w:spacing w:val="0"/>
          <w:w w:val="100"/>
          <w:sz w:val="20"/>
          <w:vertAlign w:val="baseline"/>
          <w:lang w:val="en-US"/>
        </w:rPr>
        <w:t xml:space="preserve">would represent about five per cent of the teaching profession. On these numbers, it would take ten years for changes in ITE to directly affect even half of the teaching workforce.</w:t>
      </w:r>
    </w:p>
    <w:p>
      <w:pPr>
        <w:spacing w:before="240" w:after="0" w:line="240" w:lineRule="exact"/>
        <w:ind w:right="648" w:left="72" w:firstLine="0"/>
        <w:jc w:val="left"/>
        <w:textAlignment w:val="baseline"/>
        <w:rPr>
          <w:rFonts w:ascii="Arial" w:hAnsi="Arial" w:eastAsia="Arial"/>
          <w:color w:val="001F46"/>
          <w:spacing w:val="0"/>
          <w:w w:val="100"/>
          <w:sz w:val="20"/>
          <w:vertAlign w:val="baseline"/>
          <w:lang w:val="en-US"/>
        </w:rPr>
      </w:pPr>
      <w:r>
        <w:rPr>
          <w:rFonts w:ascii="Arial" w:hAnsi="Arial" w:eastAsia="Arial"/>
          <w:color w:val="001F46"/>
          <w:spacing w:val="0"/>
          <w:w w:val="100"/>
          <w:sz w:val="20"/>
          <w:vertAlign w:val="baseline"/>
          <w:lang w:val="en-US"/>
        </w:rPr>
        <w:t xml:space="preserve">Workplace conditions, professional development and appropriate support are necessary to maintain and improve the professional standards and quality of the teaching workforce as a whole.</w:t>
      </w:r>
    </w:p>
    <w:p>
      <w:pPr>
        <w:spacing w:before="240" w:after="0" w:line="240" w:lineRule="exact"/>
        <w:ind w:right="288" w:left="72" w:firstLine="0"/>
        <w:jc w:val="left"/>
        <w:textAlignment w:val="baseline"/>
        <w:rPr>
          <w:rFonts w:ascii="Arial" w:hAnsi="Arial" w:eastAsia="Arial"/>
          <w:color w:val="001F46"/>
          <w:spacing w:val="-2"/>
          <w:w w:val="100"/>
          <w:sz w:val="20"/>
          <w:vertAlign w:val="baseline"/>
          <w:lang w:val="en-US"/>
        </w:rPr>
      </w:pPr>
      <w:r>
        <w:rPr>
          <w:rFonts w:ascii="Arial" w:hAnsi="Arial" w:eastAsia="Arial"/>
          <w:color w:val="001F46"/>
          <w:spacing w:val="-2"/>
          <w:w w:val="100"/>
          <w:sz w:val="20"/>
          <w:vertAlign w:val="baseline"/>
          <w:lang w:val="en-US"/>
        </w:rPr>
        <w:t xml:space="preserve">Furthermore, ITE only takes newly qualified teachers so far: professional standards for teachers </w:t>
      </w:r>
      <w:r>
        <w:rPr>
          <w:rFonts w:ascii="Arial" w:hAnsi="Arial" w:eastAsia="Arial"/>
          <w:color w:val="001F46"/>
          <w:spacing w:val="-2"/>
          <w:w w:val="100"/>
          <w:sz w:val="21"/>
          <w:vertAlign w:val="baseline"/>
          <w:lang w:val="en-US"/>
        </w:rPr>
        <w:t xml:space="preserve">make a clear distinction between ‘graduate teachers’ who have recently completed ITE, and ‘proficient teachers’ who have </w:t>
      </w:r>
      <w:r>
        <w:rPr>
          <w:rFonts w:ascii="Arial" w:hAnsi="Arial" w:eastAsia="Arial"/>
          <w:color w:val="001F46"/>
          <w:spacing w:val="-2"/>
          <w:w w:val="100"/>
          <w:sz w:val="20"/>
          <w:vertAlign w:val="baseline"/>
          <w:lang w:val="en-US"/>
        </w:rPr>
        <w:t xml:space="preserve">developed experience in the workplace. </w:t>
      </w:r>
      <w:r>
        <w:rPr>
          <w:rFonts w:ascii="Arial" w:hAnsi="Arial" w:eastAsia="Arial"/>
          <w:color w:val="001F46"/>
          <w:spacing w:val="-2"/>
          <w:w w:val="100"/>
          <w:sz w:val="21"/>
          <w:vertAlign w:val="baseline"/>
          <w:lang w:val="en-US"/>
        </w:rPr>
        <w:t xml:space="preserve">Further stages (‘highly accomplished’ and ‘lead’ teachers) </w:t>
      </w:r>
      <w:r>
        <w:rPr>
          <w:rFonts w:ascii="Arial" w:hAnsi="Arial" w:eastAsia="Arial"/>
          <w:color w:val="001F46"/>
          <w:spacing w:val="-2"/>
          <w:w w:val="100"/>
          <w:sz w:val="20"/>
          <w:vertAlign w:val="baseline"/>
          <w:lang w:val="en-US"/>
        </w:rPr>
        <w:t xml:space="preserve">certify more advanced levels of experience and skill in the workplace.</w:t>
      </w:r>
    </w:p>
    <w:p>
      <w:pPr>
        <w:spacing w:before="240" w:after="215" w:line="240" w:lineRule="exact"/>
        <w:ind w:right="144" w:left="72" w:firstLine="0"/>
        <w:jc w:val="left"/>
        <w:textAlignment w:val="baseline"/>
        <w:rPr>
          <w:rFonts w:ascii="Arial" w:hAnsi="Arial" w:eastAsia="Arial"/>
          <w:color w:val="001F46"/>
          <w:spacing w:val="0"/>
          <w:w w:val="100"/>
          <w:sz w:val="20"/>
          <w:vertAlign w:val="baseline"/>
          <w:lang w:val="en-US"/>
        </w:rPr>
      </w:pPr>
      <w:r>
        <w:rPr>
          <w:rFonts w:ascii="Arial" w:hAnsi="Arial" w:eastAsia="Arial"/>
          <w:color w:val="001F46"/>
          <w:spacing w:val="0"/>
          <w:w w:val="100"/>
          <w:sz w:val="20"/>
          <w:vertAlign w:val="baseline"/>
          <w:lang w:val="en-US"/>
        </w:rPr>
        <w:t xml:space="preserve">The structure of the professional standards has two important implications for </w:t>
      </w:r>
      <w:r>
        <w:rPr>
          <w:rFonts w:ascii="Arial" w:hAnsi="Arial" w:eastAsia="Arial"/>
          <w:color w:val="001F46"/>
          <w:spacing w:val="0"/>
          <w:w w:val="100"/>
          <w:sz w:val="21"/>
          <w:vertAlign w:val="baseline"/>
          <w:lang w:val="en-US"/>
        </w:rPr>
        <w:t xml:space="preserve">teachers’ </w:t>
      </w:r>
      <w:r>
        <w:rPr>
          <w:rFonts w:ascii="Arial" w:hAnsi="Arial" w:eastAsia="Arial"/>
          <w:color w:val="001F46"/>
          <w:spacing w:val="0"/>
          <w:w w:val="100"/>
          <w:sz w:val="20"/>
          <w:vertAlign w:val="baseline"/>
          <w:lang w:val="en-US"/>
        </w:rPr>
        <w:t xml:space="preserve">preparedness and effectiveness in the classroom. First, an ITE qualification </w:t>
      </w:r>
      <w:r>
        <w:rPr>
          <w:rFonts w:ascii="Arial" w:hAnsi="Arial" w:eastAsia="Arial"/>
          <w:color w:val="001F46"/>
          <w:spacing w:val="0"/>
          <w:w w:val="100"/>
          <w:sz w:val="21"/>
          <w:vertAlign w:val="baseline"/>
          <w:lang w:val="en-US"/>
        </w:rPr>
        <w:t xml:space="preserve">– </w:t>
      </w:r>
      <w:r>
        <w:rPr>
          <w:rFonts w:ascii="Arial" w:hAnsi="Arial" w:eastAsia="Arial"/>
          <w:color w:val="001F46"/>
          <w:spacing w:val="0"/>
          <w:w w:val="100"/>
          <w:sz w:val="20"/>
          <w:vertAlign w:val="baseline"/>
          <w:lang w:val="en-US"/>
        </w:rPr>
        <w:t xml:space="preserve">rather like a medical degree </w:t>
      </w:r>
      <w:r>
        <w:rPr>
          <w:rFonts w:ascii="Arial" w:hAnsi="Arial" w:eastAsia="Arial"/>
          <w:color w:val="001F46"/>
          <w:spacing w:val="0"/>
          <w:w w:val="100"/>
          <w:sz w:val="21"/>
          <w:vertAlign w:val="baseline"/>
          <w:lang w:val="en-US"/>
        </w:rPr>
        <w:t xml:space="preserve">– </w:t>
      </w:r>
      <w:r>
        <w:rPr>
          <w:rFonts w:ascii="Arial" w:hAnsi="Arial" w:eastAsia="Arial"/>
          <w:color w:val="001F46"/>
          <w:spacing w:val="0"/>
          <w:w w:val="100"/>
          <w:sz w:val="20"/>
          <w:vertAlign w:val="baseline"/>
          <w:lang w:val="en-US"/>
        </w:rPr>
        <w:t xml:space="preserve">is </w:t>
      </w:r>
      <w:r>
        <w:rPr>
          <w:rFonts w:ascii="Arial" w:hAnsi="Arial" w:eastAsia="Arial"/>
          <w:color w:val="001F46"/>
          <w:spacing w:val="0"/>
          <w:w w:val="100"/>
          <w:sz w:val="21"/>
          <w:vertAlign w:val="baseline"/>
          <w:lang w:val="en-US"/>
        </w:rPr>
        <w:t xml:space="preserve">the beginning and not the end of a new teacher’s journey to effective training </w:t>
      </w:r>
      <w:r>
        <w:rPr>
          <w:rFonts w:ascii="Arial" w:hAnsi="Arial" w:eastAsia="Arial"/>
          <w:color w:val="001F46"/>
          <w:spacing w:val="0"/>
          <w:w w:val="100"/>
          <w:sz w:val="20"/>
          <w:vertAlign w:val="baseline"/>
          <w:lang w:val="en-US"/>
        </w:rPr>
        <w:t xml:space="preserve">and professional accreditation. Second, just like more established teachers, newly qualified teachers will necessarily rely on professional development, mentoring and support in the workplace to become fully proficient and effective teachers.</w:t>
      </w:r>
    </w:p>
    <w:tbl>
      <w:tblPr>
        <w:jc w:val="left"/>
        <w:tblLayout w:type="fixed"/>
        <w:tblCellMar>
          <w:left w:w="0" w:type="dxa"/>
          <w:right w:w="0" w:type="dxa"/>
        </w:tblCellMar>
      </w:tblPr>
      <w:tblGrid>
        <w:gridCol w:w="8755"/>
      </w:tblGrid>
      <w:tr>
        <w:trPr>
          <w:trHeight w:val="4680" w:hRule="exact"/>
        </w:trPr>
        <w:tc>
          <w:tcPr>
            <w:tcW w:w="8755" w:type="dxa"/>
            <w:tcBorders>
              <w:top w:val="single" w:sz="5" w:color="B5B7B7"/>
              <w:left w:val="single" w:sz="5" w:color="B5B7B7"/>
              <w:bottom w:val="single" w:sz="5" w:color="B5B7B7"/>
              <w:right w:val="single" w:sz="5" w:color="B5B7B7"/>
            </w:tcBorders>
            <w:shd w:val="clear" w:color="EFEFEF" w:fill="EFEFEF"/>
            <w:textDirection w:val="lrTb"/>
            <w:vAlign w:val="top"/>
          </w:tcPr>
          <w:p>
            <w:pPr>
              <w:spacing w:before="288" w:after="0" w:line="263" w:lineRule="exact"/>
              <w:ind w:right="0" w:left="288" w:firstLine="0"/>
              <w:jc w:val="left"/>
              <w:textAlignment w:val="baseline"/>
              <w:rPr>
                <w:rFonts w:ascii="Arial" w:hAnsi="Arial" w:eastAsia="Arial"/>
                <w:b w:val="true"/>
                <w:color w:val="001F46"/>
                <w:spacing w:val="0"/>
                <w:w w:val="100"/>
                <w:sz w:val="22"/>
                <w:vertAlign w:val="baseline"/>
                <w:lang w:val="en-US"/>
              </w:rPr>
            </w:pPr>
            <w:r>
              <w:rPr>
                <w:rFonts w:ascii="Arial" w:hAnsi="Arial" w:eastAsia="Arial"/>
                <w:b w:val="true"/>
                <w:color w:val="001F46"/>
                <w:spacing w:val="0"/>
                <w:w w:val="100"/>
                <w:sz w:val="22"/>
                <w:vertAlign w:val="baseline"/>
                <w:lang w:val="en-US"/>
              </w:rPr>
              <w:t xml:space="preserve">The Australian Professional Standards for Teachers </w:t>
            </w:r>
            <w:r>
              <w:rPr>
                <w:rFonts w:ascii="Arial" w:hAnsi="Arial" w:eastAsia="Arial"/>
                <w:b w:val="true"/>
                <w:color w:val="001F46"/>
                <w:spacing w:val="0"/>
                <w:w w:val="100"/>
                <w:sz w:val="25"/>
                <w:vertAlign w:val="baseline"/>
                <w:lang w:val="en-US"/>
              </w:rPr>
              <w:t xml:space="preserve">– </w:t>
            </w:r>
            <w:r>
              <w:rPr>
                <w:rFonts w:ascii="Arial" w:hAnsi="Arial" w:eastAsia="Arial"/>
                <w:b w:val="true"/>
                <w:color w:val="001F46"/>
                <w:spacing w:val="0"/>
                <w:w w:val="100"/>
                <w:sz w:val="22"/>
                <w:vertAlign w:val="baseline"/>
                <w:lang w:val="en-US"/>
              </w:rPr>
              <w:t xml:space="preserve">four career stages</w:t>
            </w:r>
          </w:p>
          <w:p>
            <w:pPr>
              <w:spacing w:before="233" w:after="0" w:line="240" w:lineRule="exact"/>
              <w:ind w:right="504" w:left="288" w:firstLine="0"/>
              <w:jc w:val="left"/>
              <w:textAlignment w:val="baseline"/>
              <w:rPr>
                <w:rFonts w:ascii="Arial" w:hAnsi="Arial" w:eastAsia="Arial"/>
                <w:color w:val="001F46"/>
                <w:spacing w:val="0"/>
                <w:w w:val="100"/>
                <w:sz w:val="20"/>
                <w:vertAlign w:val="baseline"/>
                <w:lang w:val="en-US"/>
              </w:rPr>
            </w:pPr>
            <w:r>
              <w:rPr>
                <w:rFonts w:ascii="Arial" w:hAnsi="Arial" w:eastAsia="Arial"/>
                <w:color w:val="001F46"/>
                <w:spacing w:val="0"/>
                <w:w w:val="100"/>
                <w:sz w:val="20"/>
                <w:vertAlign w:val="baseline"/>
                <w:lang w:val="en-US"/>
              </w:rPr>
              <w:t xml:space="preserve">The Australian Professional Standards for Teachers are organised into four career stages and guide the preparation, support and development of teachers. The stages reflect the continuum of a teacher as they develop professional expertise from undergraduate preparation through to being an exemplary classroom practitioner and a leader in the profession.</w:t>
            </w:r>
          </w:p>
          <w:p>
            <w:pPr>
              <w:spacing w:before="240" w:after="0" w:line="240" w:lineRule="exact"/>
              <w:ind w:right="648" w:left="288" w:firstLine="0"/>
              <w:jc w:val="left"/>
              <w:textAlignment w:val="baseline"/>
              <w:rPr>
                <w:rFonts w:ascii="Arial" w:hAnsi="Arial" w:eastAsia="Arial"/>
                <w:color w:val="001F46"/>
                <w:spacing w:val="0"/>
                <w:w w:val="100"/>
                <w:sz w:val="20"/>
                <w:vertAlign w:val="baseline"/>
                <w:lang w:val="en-US"/>
              </w:rPr>
            </w:pPr>
            <w:r>
              <w:rPr>
                <w:rFonts w:ascii="Arial" w:hAnsi="Arial" w:eastAsia="Arial"/>
                <w:color w:val="001F46"/>
                <w:spacing w:val="0"/>
                <w:w w:val="100"/>
                <w:sz w:val="20"/>
                <w:vertAlign w:val="baseline"/>
                <w:lang w:val="en-US"/>
              </w:rPr>
              <w:t xml:space="preserve">The Graduate Standards will underpin the accreditation of initial teacher education programs. Graduates from accredited programs qualify for registration in each state and territory.</w:t>
            </w:r>
          </w:p>
          <w:p>
            <w:pPr>
              <w:spacing w:before="240" w:after="0" w:line="240" w:lineRule="exact"/>
              <w:ind w:right="1008" w:left="288" w:firstLine="0"/>
              <w:jc w:val="left"/>
              <w:textAlignment w:val="baseline"/>
              <w:rPr>
                <w:rFonts w:ascii="Arial" w:hAnsi="Arial" w:eastAsia="Arial"/>
                <w:color w:val="001F46"/>
                <w:spacing w:val="-2"/>
                <w:w w:val="100"/>
                <w:sz w:val="20"/>
                <w:vertAlign w:val="baseline"/>
                <w:lang w:val="en-US"/>
              </w:rPr>
            </w:pPr>
            <w:r>
              <w:rPr>
                <w:rFonts w:ascii="Arial" w:hAnsi="Arial" w:eastAsia="Arial"/>
                <w:color w:val="001F46"/>
                <w:spacing w:val="-2"/>
                <w:w w:val="100"/>
                <w:sz w:val="20"/>
                <w:vertAlign w:val="baseline"/>
                <w:lang w:val="en-US"/>
              </w:rPr>
              <w:t xml:space="preserve">The Proficient Standards will be used to underpin processes for full registration as a teacher and to support the requirements of nationally consistent teacher registration.</w:t>
            </w:r>
          </w:p>
          <w:p>
            <w:pPr>
              <w:spacing w:before="244" w:after="272" w:line="236" w:lineRule="exact"/>
              <w:ind w:right="648" w:left="288" w:firstLine="0"/>
              <w:jc w:val="left"/>
              <w:textAlignment w:val="baseline"/>
              <w:rPr>
                <w:rFonts w:ascii="Arial" w:hAnsi="Arial" w:eastAsia="Arial"/>
                <w:color w:val="001F46"/>
                <w:spacing w:val="0"/>
                <w:w w:val="100"/>
                <w:sz w:val="20"/>
                <w:vertAlign w:val="baseline"/>
                <w:lang w:val="en-US"/>
              </w:rPr>
            </w:pPr>
            <w:r>
              <w:rPr>
                <w:rFonts w:ascii="Arial" w:hAnsi="Arial" w:eastAsia="Arial"/>
                <w:color w:val="001F46"/>
                <w:spacing w:val="0"/>
                <w:w w:val="100"/>
                <w:sz w:val="20"/>
                <w:vertAlign w:val="baseline"/>
                <w:lang w:val="en-US"/>
              </w:rPr>
              <w:t xml:space="preserve">The Highly Accomplished and Lead career stages of the standards will inform voluntary certification</w:t>
            </w:r>
            <w:r>
              <w:rPr>
                <w:rFonts w:ascii="Arial" w:hAnsi="Arial" w:eastAsia="Arial"/>
                <w:color w:val="001F46"/>
                <w:spacing w:val="0"/>
                <w:w w:val="100"/>
                <w:sz w:val="20"/>
                <w:vertAlign w:val="superscript"/>
                <w:lang w:val="en-US"/>
              </w:rPr>
              <w:t xml:space="preserve">3</w:t>
            </w:r>
            <w:r>
              <w:rPr>
                <w:rFonts w:ascii="Arial" w:hAnsi="Arial" w:eastAsia="Arial"/>
                <w:color w:val="001F46"/>
                <w:spacing w:val="0"/>
                <w:w w:val="100"/>
                <w:sz w:val="20"/>
                <w:vertAlign w:val="baseline"/>
                <w:lang w:val="en-US"/>
              </w:rPr>
              <w:t xml:space="preserve">.</w:t>
            </w:r>
          </w:p>
        </w:tc>
      </w:tr>
    </w:tbl>
    <w:p>
      <w:pPr>
        <w:spacing w:before="0" w:after="656" w:line="20" w:lineRule="exact"/>
      </w:pPr>
    </w:p>
    <w:p>
      <w:pPr>
        <w:spacing w:before="91" w:after="781" w:line="198" w:lineRule="exact"/>
        <w:ind w:right="360" w:left="360" w:hanging="288"/>
        <w:jc w:val="left"/>
        <w:textAlignment w:val="baseline"/>
        <w:rPr>
          <w:rFonts w:ascii="Arial" w:hAnsi="Arial" w:eastAsia="Arial"/>
          <w:color w:val="001F46"/>
          <w:spacing w:val="0"/>
          <w:w w:val="100"/>
          <w:sz w:val="10"/>
          <w:vertAlign w:val="superscript"/>
          <w:lang w:val="en-US"/>
        </w:rPr>
      </w:pPr>
      <w:r>
        <w:pict>
          <v:line strokeweight="0.7pt" strokecolor="#001F46" from="113.5pt,729.85pt" to="257.8pt,729.85pt" style="position:absolute;mso-position-horizontal-relative:page;mso-position-vertical-relative:page;">
            <v:stroke dashstyle="solid"/>
          </v:line>
        </w:pict>
      </w:r>
      <w:r>
        <w:rPr>
          <w:rFonts w:ascii="Arial" w:hAnsi="Arial" w:eastAsia="Arial"/>
          <w:color w:val="001F46"/>
          <w:spacing w:val="0"/>
          <w:w w:val="100"/>
          <w:sz w:val="10"/>
          <w:vertAlign w:val="superscript"/>
          <w:lang w:val="en-US"/>
        </w:rPr>
        <w:t xml:space="preserve">3</w:t>
      </w:r>
      <w:r>
        <w:rPr>
          <w:rFonts w:ascii="Arial" w:hAnsi="Arial" w:eastAsia="Arial"/>
          <w:color w:val="001F46"/>
          <w:spacing w:val="0"/>
          <w:w w:val="100"/>
          <w:sz w:val="16"/>
          <w:vertAlign w:val="baseline"/>
          <w:lang w:val="en-US"/>
        </w:rPr>
        <w:t xml:space="preserve"> AITSL (2018), </w:t>
      </w:r>
      <w:r>
        <w:rPr>
          <w:rFonts w:ascii="Arial" w:hAnsi="Arial" w:eastAsia="Arial"/>
          <w:i w:val="true"/>
          <w:color w:val="001F46"/>
          <w:spacing w:val="0"/>
          <w:w w:val="100"/>
          <w:sz w:val="16"/>
          <w:vertAlign w:val="baseline"/>
          <w:lang w:val="en-US"/>
        </w:rPr>
        <w:t xml:space="preserve">Australian Professional Standards for Teachers</w:t>
      </w:r>
      <w:r>
        <w:rPr>
          <w:rFonts w:ascii="Arial" w:hAnsi="Arial" w:eastAsia="Arial"/>
          <w:color w:val="001F46"/>
          <w:spacing w:val="0"/>
          <w:w w:val="100"/>
          <w:sz w:val="16"/>
          <w:vertAlign w:val="baseline"/>
          <w:lang w:val="en-US"/>
        </w:rPr>
        <w:t xml:space="preserve">,</w:t>
      </w:r>
      <w:hyperlink r:id="dhId6">
        <w:r>
          <w:rPr>
            <w:rFonts w:ascii="Arial" w:hAnsi="Arial" w:eastAsia="Arial"/>
            <w:color w:val="0000FF"/>
            <w:spacing w:val="0"/>
            <w:w w:val="100"/>
            <w:sz w:val="16"/>
            <w:u w:val="single"/>
            <w:vertAlign w:val="baseline"/>
            <w:lang w:val="en-US"/>
          </w:rPr>
          <w:t xml:space="preserve"> https://www.aitsl.edu.au/docs/default-source/national-policy-framework/australian-professional-standards-for-teachers.pdf</w:t>
        </w:r>
      </w:hyperlink>
      <w:r>
        <w:rPr>
          <w:rFonts w:ascii="Arial" w:hAnsi="Arial" w:eastAsia="Arial"/>
          <w:color w:val="000000"/>
          <w:spacing w:val="0"/>
          <w:w w:val="100"/>
          <w:sz w:val="16"/>
          <w:vertAlign w:val="baseline"/>
          <w:lang w:val="en-US"/>
        </w:rPr>
        <w:t xml:space="preserve">
</w:t>
      </w:r>
    </w:p>
    <w:p>
      <w:pPr>
        <w:spacing w:before="91" w:after="781" w:line="198" w:lineRule="exact"/>
        <w:sectPr>
          <w:type w:val="nextPage"/>
          <w:pgSz w:w="11909" w:h="16843" w:orient="portrait"/>
          <w:pgMar w:bottom="287" w:top="360" w:right="921" w:left="2208" w:header="720" w:footer="720"/>
          <w:titlePg w:val="false"/>
          <w:textDirection w:val="lrTb"/>
        </w:sectPr>
      </w:pPr>
    </w:p>
    <w:p>
      <w:pPr>
        <w:tabs>
          <w:tab w:val="right" w:leader="none" w:pos="8640"/>
        </w:tabs>
        <w:spacing w:before="0" w:after="0" w:line="183" w:lineRule="exact"/>
        <w:ind w:right="0" w:left="144" w:firstLine="0"/>
        <w:jc w:val="left"/>
        <w:textAlignment w:val="baseline"/>
        <w:rPr>
          <w:rFonts w:ascii="Arial" w:hAnsi="Arial" w:eastAsia="Arial"/>
          <w:b w:val="true"/>
          <w:color w:val="001F46"/>
          <w:spacing w:val="0"/>
          <w:w w:val="100"/>
          <w:sz w:val="16"/>
          <w:vertAlign w:val="baseline"/>
          <w:lang w:val="en-US"/>
        </w:rPr>
      </w:pPr>
      <w:r>
        <w:rPr>
          <w:rFonts w:ascii="Arial" w:hAnsi="Arial" w:eastAsia="Arial"/>
          <w:b w:val="true"/>
          <w:color w:val="001F46"/>
          <w:spacing w:val="0"/>
          <w:w w:val="100"/>
          <w:sz w:val="16"/>
          <w:vertAlign w:val="baseline"/>
          <w:lang w:val="en-US"/>
        </w:rPr>
        <w:t xml:space="preserve">UNIVERSITIES AUSTRALIA </w:t>
      </w:r>
      <w:r>
        <w:rPr>
          <w:rFonts w:ascii="Arial" w:hAnsi="Arial" w:eastAsia="Arial"/>
          <w:color w:val="001F46"/>
          <w:spacing w:val="0"/>
          <w:w w:val="100"/>
          <w:sz w:val="16"/>
          <w:vertAlign w:val="baseline"/>
          <w:lang w:val="en-US"/>
        </w:rPr>
        <w:t xml:space="preserve">| QUALITY INITIAL TEACHER EDUCATION REVIEW	</w:t>
      </w:r>
      <w:r>
        <w:rPr>
          <w:rFonts w:ascii="Arial" w:hAnsi="Arial" w:eastAsia="Arial"/>
          <w:b w:val="true"/>
          <w:color w:val="001F46"/>
          <w:spacing w:val="0"/>
          <w:w w:val="100"/>
          <w:sz w:val="16"/>
          <w:vertAlign w:val="baseline"/>
          <w:lang w:val="en-US"/>
        </w:rPr>
        <w:t xml:space="preserve">6</w:t>
      </w:r>
    </w:p>
    <w:p>
      <w:pPr>
        <w:sectPr>
          <w:type w:val="continuous"/>
          <w:pgSz w:w="11909" w:h="16843" w:orient="portrait"/>
          <w:pgMar w:bottom="287" w:top="360" w:right="923" w:left="2206" w:header="720" w:footer="720"/>
          <w:titlePg w:val="false"/>
          <w:textDirection w:val="lrTb"/>
        </w:sectPr>
      </w:pPr>
    </w:p>
    <w:p>
      <w:pPr>
        <w:spacing w:before="19" w:after="410" w:line="240" w:lineRule="auto"/>
        <w:ind w:right="264" w:left="5429"/>
        <w:jc w:val="left"/>
        <w:textAlignment w:val="baseline"/>
      </w:pPr>
      <w:r>
        <w:drawing>
          <wp:inline>
            <wp:extent cx="1960245" cy="588645"/>
            <wp:docPr name="Picture" id="7"/>
            <a:graphic>
              <a:graphicData uri="http://schemas.openxmlformats.org/drawingml/2006/picture">
                <pic:pic>
                  <pic:nvPicPr>
                    <pic:cNvPr id="7" name="Picture"/>
                    <pic:cNvPicPr preferRelativeResize="false"/>
                  </pic:nvPicPr>
                  <pic:blipFill>
                    <a:blip r:embed="prId7"/>
                    <a:stretch>
                      <a:fillRect/>
                    </a:stretch>
                  </pic:blipFill>
                  <pic:spPr>
                    <a:xfrm>
                      <a:off x="0" y="0"/>
                      <a:ext cx="1960245" cy="588645"/>
                    </a:xfrm>
                    <a:prstGeom prst="rect"/>
                  </pic:spPr>
                </pic:pic>
              </a:graphicData>
            </a:graphic>
          </wp:inline>
        </w:drawing>
      </w:r>
    </w:p>
    <w:p>
      <w:pPr>
        <w:spacing w:before="0" w:after="0" w:line="239" w:lineRule="exact"/>
        <w:ind w:right="72" w:left="72" w:firstLine="0"/>
        <w:jc w:val="left"/>
        <w:textAlignment w:val="baseline"/>
        <w:rPr>
          <w:rFonts w:ascii="Arial" w:hAnsi="Arial" w:eastAsia="Arial"/>
          <w:color w:val="001F46"/>
          <w:spacing w:val="-1"/>
          <w:w w:val="100"/>
          <w:sz w:val="20"/>
          <w:vertAlign w:val="baseline"/>
          <w:lang w:val="en-US"/>
        </w:rPr>
      </w:pPr>
      <w:r>
        <w:rPr>
          <w:rFonts w:ascii="Arial" w:hAnsi="Arial" w:eastAsia="Arial"/>
          <w:color w:val="001F46"/>
          <w:spacing w:val="-1"/>
          <w:w w:val="100"/>
          <w:sz w:val="20"/>
          <w:vertAlign w:val="baseline"/>
          <w:lang w:val="en-US"/>
        </w:rPr>
        <w:t xml:space="preserve">Nevertheless, it is important to work to attract more students to undertake ITE and to encourage more high achieving students to apply. It is equally important to attract a more diverse group of students in order to work towards diversifying the teaching workforce to better reflect the diversity of the school population. Building on earlier initiatives to increase Indigenous participation in the teaching workforce </w:t>
      </w:r>
      <w:r>
        <w:rPr>
          <w:rFonts w:ascii="Arial" w:hAnsi="Arial" w:eastAsia="Arial"/>
          <w:b w:val="true"/>
          <w:color w:val="001F46"/>
          <w:spacing w:val="-1"/>
          <w:w w:val="100"/>
          <w:sz w:val="19"/>
          <w:vertAlign w:val="baseline"/>
          <w:lang w:val="en-US"/>
        </w:rPr>
        <w:t xml:space="preserve">– </w:t>
      </w:r>
      <w:r>
        <w:rPr>
          <w:rFonts w:ascii="Arial" w:hAnsi="Arial" w:eastAsia="Arial"/>
          <w:color w:val="001F46"/>
          <w:spacing w:val="-1"/>
          <w:w w:val="100"/>
          <w:sz w:val="20"/>
          <w:vertAlign w:val="baseline"/>
          <w:lang w:val="en-US"/>
        </w:rPr>
        <w:t xml:space="preserve">such as the successful More Aboriginal and Torres Strait Islander Teachers Initiative (MATSITI) </w:t>
      </w:r>
      <w:r>
        <w:rPr>
          <w:rFonts w:ascii="Arial" w:hAnsi="Arial" w:eastAsia="Arial"/>
          <w:b w:val="true"/>
          <w:color w:val="001F46"/>
          <w:spacing w:val="-1"/>
          <w:w w:val="100"/>
          <w:sz w:val="19"/>
          <w:vertAlign w:val="baseline"/>
          <w:lang w:val="en-US"/>
        </w:rPr>
        <w:t xml:space="preserve">– </w:t>
      </w:r>
      <w:r>
        <w:rPr>
          <w:rFonts w:ascii="Arial" w:hAnsi="Arial" w:eastAsia="Arial"/>
          <w:color w:val="001F46"/>
          <w:spacing w:val="-1"/>
          <w:w w:val="100"/>
          <w:sz w:val="20"/>
          <w:vertAlign w:val="baseline"/>
          <w:lang w:val="en-US"/>
        </w:rPr>
        <w:t xml:space="preserve">will be especially important both to improve Indigenous access to university and to reflect the rapidly growing Indigenous youth population in schools.</w:t>
      </w:r>
    </w:p>
    <w:p>
      <w:pPr>
        <w:spacing w:before="240" w:after="0" w:line="240" w:lineRule="exact"/>
        <w:ind w:right="72" w:left="72" w:firstLine="0"/>
        <w:jc w:val="left"/>
        <w:textAlignment w:val="baseline"/>
        <w:rPr>
          <w:rFonts w:ascii="Arial" w:hAnsi="Arial" w:eastAsia="Arial"/>
          <w:color w:val="001F46"/>
          <w:spacing w:val="0"/>
          <w:w w:val="100"/>
          <w:sz w:val="20"/>
          <w:vertAlign w:val="baseline"/>
          <w:lang w:val="en-US"/>
        </w:rPr>
      </w:pPr>
      <w:r>
        <w:rPr>
          <w:rFonts w:ascii="Arial" w:hAnsi="Arial" w:eastAsia="Arial"/>
          <w:color w:val="001F46"/>
          <w:spacing w:val="0"/>
          <w:w w:val="100"/>
          <w:sz w:val="20"/>
          <w:vertAlign w:val="baseline"/>
          <w:lang w:val="en-US"/>
        </w:rPr>
        <w:t xml:space="preserve">Optimising the design of ITE programs and providing an appropriate variety of options for students is important to attracting students. In particular, universities showcase the opportunities that ITE programs afford for practical classroom experience and strong career outcomes within a reasonable time.</w:t>
      </w:r>
    </w:p>
    <w:p>
      <w:pPr>
        <w:spacing w:before="241" w:after="0" w:line="240" w:lineRule="exact"/>
        <w:ind w:right="360" w:left="72" w:firstLine="0"/>
        <w:jc w:val="left"/>
        <w:textAlignment w:val="baseline"/>
        <w:rPr>
          <w:rFonts w:ascii="Arial" w:hAnsi="Arial" w:eastAsia="Arial"/>
          <w:color w:val="001F46"/>
          <w:spacing w:val="-2"/>
          <w:w w:val="100"/>
          <w:sz w:val="20"/>
          <w:vertAlign w:val="baseline"/>
          <w:lang w:val="en-US"/>
        </w:rPr>
      </w:pPr>
      <w:r>
        <w:rPr>
          <w:rFonts w:ascii="Arial" w:hAnsi="Arial" w:eastAsia="Arial"/>
          <w:color w:val="001F46"/>
          <w:spacing w:val="-2"/>
          <w:w w:val="100"/>
          <w:sz w:val="20"/>
          <w:vertAlign w:val="baseline"/>
          <w:lang w:val="en-US"/>
        </w:rPr>
        <w:t xml:space="preserve">Nevertheless, the attractiveness of teaching as a career </w:t>
      </w:r>
      <w:r>
        <w:rPr>
          <w:rFonts w:ascii="Arial" w:hAnsi="Arial" w:eastAsia="Arial"/>
          <w:b w:val="true"/>
          <w:color w:val="001F46"/>
          <w:spacing w:val="-2"/>
          <w:w w:val="100"/>
          <w:sz w:val="19"/>
          <w:vertAlign w:val="baseline"/>
          <w:lang w:val="en-US"/>
        </w:rPr>
        <w:t xml:space="preserve">– </w:t>
      </w:r>
      <w:r>
        <w:rPr>
          <w:rFonts w:ascii="Arial" w:hAnsi="Arial" w:eastAsia="Arial"/>
          <w:color w:val="001F46"/>
          <w:spacing w:val="-2"/>
          <w:w w:val="100"/>
          <w:sz w:val="20"/>
          <w:vertAlign w:val="baseline"/>
          <w:lang w:val="en-US"/>
        </w:rPr>
        <w:t xml:space="preserve">and therefore of ITE </w:t>
      </w:r>
      <w:r>
        <w:rPr>
          <w:rFonts w:ascii="Arial" w:hAnsi="Arial" w:eastAsia="Arial"/>
          <w:b w:val="true"/>
          <w:color w:val="001F46"/>
          <w:spacing w:val="-2"/>
          <w:w w:val="100"/>
          <w:sz w:val="19"/>
          <w:vertAlign w:val="baseline"/>
          <w:lang w:val="en-US"/>
        </w:rPr>
        <w:t xml:space="preserve">– </w:t>
      </w:r>
      <w:r>
        <w:rPr>
          <w:rFonts w:ascii="Arial" w:hAnsi="Arial" w:eastAsia="Arial"/>
          <w:color w:val="001F46"/>
          <w:spacing w:val="-2"/>
          <w:w w:val="100"/>
          <w:sz w:val="20"/>
          <w:vertAlign w:val="baseline"/>
          <w:lang w:val="en-US"/>
        </w:rPr>
        <w:t xml:space="preserve">is affected by much broader factors of perception and reputation. Some of these are generic (and not necessarily well informed) perceptions about schools and teaching, while others are genuine concerns about career prospects and remuneration and the social status of the profession. </w:t>
      </w:r>
      <w:r>
        <w:rPr>
          <w:rFonts w:ascii="Arial" w:hAnsi="Arial" w:eastAsia="Arial"/>
          <w:b w:val="true"/>
          <w:color w:val="001F46"/>
          <w:spacing w:val="-2"/>
          <w:w w:val="100"/>
          <w:sz w:val="19"/>
          <w:vertAlign w:val="baseline"/>
          <w:lang w:val="en-US"/>
        </w:rPr>
        <w:t xml:space="preserve">Universities’ efforts to inform prospective students and offer excellent ITE programs </w:t>
      </w:r>
      <w:r>
        <w:rPr>
          <w:rFonts w:ascii="Arial" w:hAnsi="Arial" w:eastAsia="Arial"/>
          <w:color w:val="001F46"/>
          <w:spacing w:val="-2"/>
          <w:w w:val="100"/>
          <w:sz w:val="20"/>
          <w:vertAlign w:val="baseline"/>
          <w:lang w:val="en-US"/>
        </w:rPr>
        <w:t xml:space="preserve">can help </w:t>
      </w:r>
      <w:r>
        <w:rPr>
          <w:rFonts w:ascii="Arial" w:hAnsi="Arial" w:eastAsia="Arial"/>
          <w:b w:val="true"/>
          <w:color w:val="001F46"/>
          <w:spacing w:val="-2"/>
          <w:w w:val="100"/>
          <w:sz w:val="19"/>
          <w:vertAlign w:val="baseline"/>
          <w:lang w:val="en-US"/>
        </w:rPr>
        <w:t xml:space="preserve">address these concerns but universities can’t </w:t>
      </w:r>
      <w:r>
        <w:rPr>
          <w:rFonts w:ascii="Arial" w:hAnsi="Arial" w:eastAsia="Arial"/>
          <w:color w:val="001F46"/>
          <w:spacing w:val="-2"/>
          <w:w w:val="100"/>
          <w:sz w:val="20"/>
          <w:vertAlign w:val="baseline"/>
          <w:lang w:val="en-US"/>
        </w:rPr>
        <w:t xml:space="preserve">deal with these broad concerns by themselves.</w:t>
      </w:r>
    </w:p>
    <w:p>
      <w:pPr>
        <w:spacing w:before="239" w:after="0" w:line="240" w:lineRule="exact"/>
        <w:ind w:right="288" w:left="72" w:firstLine="0"/>
        <w:jc w:val="left"/>
        <w:textAlignment w:val="baseline"/>
        <w:rPr>
          <w:rFonts w:ascii="Arial" w:hAnsi="Arial" w:eastAsia="Arial"/>
          <w:color w:val="001F46"/>
          <w:spacing w:val="0"/>
          <w:w w:val="100"/>
          <w:sz w:val="20"/>
          <w:vertAlign w:val="baseline"/>
          <w:lang w:val="en-US"/>
        </w:rPr>
      </w:pPr>
      <w:r>
        <w:rPr>
          <w:rFonts w:ascii="Arial" w:hAnsi="Arial" w:eastAsia="Arial"/>
          <w:color w:val="001F46"/>
          <w:spacing w:val="0"/>
          <w:w w:val="100"/>
          <w:sz w:val="20"/>
          <w:vertAlign w:val="baseline"/>
          <w:lang w:val="en-US"/>
        </w:rPr>
        <w:t xml:space="preserve">Similarly, the discussion paper asks some good questions about supply of teachers to the workforce </w:t>
      </w:r>
      <w:r>
        <w:rPr>
          <w:rFonts w:ascii="Arial" w:hAnsi="Arial" w:eastAsia="Arial"/>
          <w:b w:val="true"/>
          <w:color w:val="001F46"/>
          <w:spacing w:val="0"/>
          <w:w w:val="100"/>
          <w:sz w:val="19"/>
          <w:vertAlign w:val="baseline"/>
          <w:lang w:val="en-US"/>
        </w:rPr>
        <w:t xml:space="preserve">– </w:t>
      </w:r>
      <w:r>
        <w:rPr>
          <w:rFonts w:ascii="Arial" w:hAnsi="Arial" w:eastAsia="Arial"/>
          <w:color w:val="001F46"/>
          <w:spacing w:val="0"/>
          <w:w w:val="100"/>
          <w:sz w:val="20"/>
          <w:vertAlign w:val="baseline"/>
          <w:lang w:val="en-US"/>
        </w:rPr>
        <w:t xml:space="preserve">both in particular disciplines and in various parts of the country. Of course, universities work actively to improve supply particularly in areas of difficulty such as remote and regional areas and low SES outer metropolitan areas. Universities also work to develop the teaching workforce in priority areas where supply can be a problem (for example, maths and indeed STEM more generally).</w:t>
      </w:r>
    </w:p>
    <w:p>
      <w:pPr>
        <w:spacing w:before="240" w:after="0" w:line="240" w:lineRule="exact"/>
        <w:ind w:right="72" w:left="72" w:firstLine="0"/>
        <w:jc w:val="left"/>
        <w:textAlignment w:val="baseline"/>
        <w:rPr>
          <w:rFonts w:ascii="Arial" w:hAnsi="Arial" w:eastAsia="Arial"/>
          <w:color w:val="001F46"/>
          <w:spacing w:val="0"/>
          <w:w w:val="100"/>
          <w:sz w:val="20"/>
          <w:vertAlign w:val="baseline"/>
          <w:lang w:val="en-US"/>
        </w:rPr>
      </w:pPr>
      <w:r>
        <w:rPr>
          <w:rFonts w:ascii="Arial" w:hAnsi="Arial" w:eastAsia="Arial"/>
          <w:color w:val="001F46"/>
          <w:spacing w:val="0"/>
          <w:w w:val="100"/>
          <w:sz w:val="20"/>
          <w:vertAlign w:val="baseline"/>
          <w:lang w:val="en-US"/>
        </w:rPr>
        <w:t xml:space="preserve">Most of the questions in the discussion paper, however, go somewhat beyond the scope of what universities do and into the realm of workforce planning. This is primarily a matter for school systems. Universities stand ready to work with state governments and school systems to improve the supply of skilled, appropriately qualified teachers overall and in hard to staff disciplines and schools.</w:t>
      </w:r>
    </w:p>
    <w:p>
      <w:pPr>
        <w:spacing w:before="240" w:after="0" w:line="240" w:lineRule="exact"/>
        <w:ind w:right="72" w:left="72" w:firstLine="0"/>
        <w:jc w:val="left"/>
        <w:textAlignment w:val="baseline"/>
        <w:rPr>
          <w:rFonts w:ascii="Arial" w:hAnsi="Arial" w:eastAsia="Arial"/>
          <w:color w:val="001F46"/>
          <w:spacing w:val="0"/>
          <w:w w:val="100"/>
          <w:sz w:val="20"/>
          <w:vertAlign w:val="baseline"/>
          <w:lang w:val="en-US"/>
        </w:rPr>
      </w:pPr>
      <w:r>
        <w:rPr>
          <w:rFonts w:ascii="Arial" w:hAnsi="Arial" w:eastAsia="Arial"/>
          <w:color w:val="001F46"/>
          <w:spacing w:val="0"/>
          <w:w w:val="100"/>
          <w:sz w:val="20"/>
          <w:vertAlign w:val="baseline"/>
          <w:lang w:val="en-US"/>
        </w:rPr>
        <w:t xml:space="preserve">Universities Australia welcomes the focus in the discussion paper on classroom readiness and practical experience for ITE students. Preparing students to become effective teachers in the classroom is of course the very definition of ITE and its purpose. However, it is not reasonable </w:t>
      </w:r>
      <w:r>
        <w:rPr>
          <w:rFonts w:ascii="Arial" w:hAnsi="Arial" w:eastAsia="Arial"/>
          <w:b w:val="true"/>
          <w:color w:val="001F46"/>
          <w:spacing w:val="0"/>
          <w:w w:val="100"/>
          <w:sz w:val="19"/>
          <w:vertAlign w:val="baseline"/>
          <w:lang w:val="en-US"/>
        </w:rPr>
        <w:t xml:space="preserve">– </w:t>
      </w:r>
      <w:r>
        <w:rPr>
          <w:rFonts w:ascii="Arial" w:hAnsi="Arial" w:eastAsia="Arial"/>
          <w:color w:val="001F46"/>
          <w:spacing w:val="0"/>
          <w:w w:val="100"/>
          <w:sz w:val="20"/>
          <w:vertAlign w:val="baseline"/>
          <w:lang w:val="en-US"/>
        </w:rPr>
        <w:t xml:space="preserve">and it would go against the established professional standards for teachers </w:t>
      </w:r>
      <w:r>
        <w:rPr>
          <w:rFonts w:ascii="Arial" w:hAnsi="Arial" w:eastAsia="Arial"/>
          <w:b w:val="true"/>
          <w:color w:val="001F46"/>
          <w:spacing w:val="0"/>
          <w:w w:val="100"/>
          <w:sz w:val="19"/>
          <w:vertAlign w:val="baseline"/>
          <w:lang w:val="en-US"/>
        </w:rPr>
        <w:t xml:space="preserve">– </w:t>
      </w:r>
      <w:r>
        <w:rPr>
          <w:rFonts w:ascii="Arial" w:hAnsi="Arial" w:eastAsia="Arial"/>
          <w:color w:val="001F46"/>
          <w:spacing w:val="0"/>
          <w:w w:val="100"/>
          <w:sz w:val="20"/>
          <w:vertAlign w:val="baseline"/>
          <w:lang w:val="en-US"/>
        </w:rPr>
        <w:t xml:space="preserve">to expect that a student could come straight out of an ITE program and already be a fully effective and developed teacher. As with university graduates generally, ITE graduates are well positioned and ready to start the first job in their new careers. Their education prepares them to learn and develop further professional skills through experience in schools.</w:t>
      </w:r>
    </w:p>
    <w:p>
      <w:pPr>
        <w:spacing w:before="240" w:after="0" w:line="240" w:lineRule="exact"/>
        <w:ind w:right="72" w:left="72" w:firstLine="0"/>
        <w:jc w:val="left"/>
        <w:textAlignment w:val="baseline"/>
        <w:rPr>
          <w:rFonts w:ascii="Arial" w:hAnsi="Arial" w:eastAsia="Arial"/>
          <w:color w:val="001F46"/>
          <w:spacing w:val="0"/>
          <w:w w:val="100"/>
          <w:sz w:val="20"/>
          <w:vertAlign w:val="baseline"/>
          <w:lang w:val="en-US"/>
        </w:rPr>
      </w:pPr>
      <w:r>
        <w:rPr>
          <w:rFonts w:ascii="Arial" w:hAnsi="Arial" w:eastAsia="Arial"/>
          <w:color w:val="001F46"/>
          <w:spacing w:val="0"/>
          <w:w w:val="100"/>
          <w:sz w:val="20"/>
          <w:vertAlign w:val="baseline"/>
          <w:lang w:val="en-US"/>
        </w:rPr>
        <w:t xml:space="preserve">Universities Australia </w:t>
      </w:r>
      <w:r>
        <w:rPr>
          <w:rFonts w:ascii="Arial" w:hAnsi="Arial" w:eastAsia="Arial"/>
          <w:b w:val="true"/>
          <w:color w:val="001F46"/>
          <w:spacing w:val="0"/>
          <w:w w:val="100"/>
          <w:sz w:val="19"/>
          <w:vertAlign w:val="baseline"/>
          <w:lang w:val="en-US"/>
        </w:rPr>
        <w:t xml:space="preserve">welcomes the discussion paper’s questions </w:t>
      </w:r>
      <w:r>
        <w:rPr>
          <w:rFonts w:ascii="Arial" w:hAnsi="Arial" w:eastAsia="Arial"/>
          <w:color w:val="001F46"/>
          <w:spacing w:val="0"/>
          <w:w w:val="100"/>
          <w:sz w:val="20"/>
          <w:vertAlign w:val="baseline"/>
          <w:lang w:val="en-US"/>
        </w:rPr>
        <w:t xml:space="preserve">about how universities can play a bigger role in professional development. Universities are already involved in professional development for teachers (their graduates). Universities are keen to do more and to maximise the effectiveness of their activities. Of course, professional development is not something that universities should or indeed could deliver by themselves. Employers and school systems have a vital role to play in professional development and are best placed to gauge and respond to </w:t>
      </w:r>
      <w:r>
        <w:rPr>
          <w:rFonts w:ascii="Arial" w:hAnsi="Arial" w:eastAsia="Arial"/>
          <w:b w:val="true"/>
          <w:color w:val="001F46"/>
          <w:spacing w:val="0"/>
          <w:w w:val="100"/>
          <w:sz w:val="19"/>
          <w:vertAlign w:val="baseline"/>
          <w:lang w:val="en-US"/>
        </w:rPr>
        <w:t xml:space="preserve">teachers’ (as well as schools’ and students’) </w:t>
      </w:r>
      <w:r>
        <w:rPr>
          <w:rFonts w:ascii="Arial" w:hAnsi="Arial" w:eastAsia="Arial"/>
          <w:color w:val="001F46"/>
          <w:spacing w:val="0"/>
          <w:w w:val="100"/>
          <w:sz w:val="20"/>
          <w:vertAlign w:val="baseline"/>
          <w:lang w:val="en-US"/>
        </w:rPr>
        <w:t xml:space="preserve">needs. As with ITE itself, this is an area in which collaboration between universities and schools is the best approach to maintaining and building on the quality and effectiveness of the teaching workforce.</w:t>
      </w:r>
    </w:p>
    <w:p>
      <w:pPr>
        <w:spacing w:before="240" w:after="1011" w:line="240" w:lineRule="exact"/>
        <w:ind w:right="72" w:left="72" w:firstLine="0"/>
        <w:jc w:val="left"/>
        <w:textAlignment w:val="baseline"/>
        <w:rPr>
          <w:rFonts w:ascii="Arial" w:hAnsi="Arial" w:eastAsia="Arial"/>
          <w:color w:val="001F46"/>
          <w:spacing w:val="0"/>
          <w:w w:val="100"/>
          <w:sz w:val="20"/>
          <w:vertAlign w:val="baseline"/>
          <w:lang w:val="en-US"/>
        </w:rPr>
      </w:pPr>
      <w:r>
        <w:rPr>
          <w:rFonts w:ascii="Arial" w:hAnsi="Arial" w:eastAsia="Arial"/>
          <w:color w:val="001F46"/>
          <w:spacing w:val="0"/>
          <w:w w:val="100"/>
          <w:sz w:val="20"/>
          <w:vertAlign w:val="baseline"/>
          <w:lang w:val="en-US"/>
        </w:rPr>
        <w:t xml:space="preserve">Ongoing professional development and support are at least as important to teacher quality as is ITE. These actions </w:t>
      </w:r>
      <w:r>
        <w:rPr>
          <w:rFonts w:ascii="Arial" w:hAnsi="Arial" w:eastAsia="Arial"/>
          <w:b w:val="true"/>
          <w:color w:val="001F46"/>
          <w:spacing w:val="0"/>
          <w:w w:val="100"/>
          <w:sz w:val="19"/>
          <w:vertAlign w:val="baseline"/>
          <w:lang w:val="en-US"/>
        </w:rPr>
        <w:t xml:space="preserve">– </w:t>
      </w:r>
      <w:r>
        <w:rPr>
          <w:rFonts w:ascii="Arial" w:hAnsi="Arial" w:eastAsia="Arial"/>
          <w:color w:val="001F46"/>
          <w:spacing w:val="0"/>
          <w:w w:val="100"/>
          <w:sz w:val="20"/>
          <w:vertAlign w:val="baseline"/>
          <w:lang w:val="en-US"/>
        </w:rPr>
        <w:t xml:space="preserve">together with broader working conditions </w:t>
      </w:r>
      <w:r>
        <w:rPr>
          <w:rFonts w:ascii="Arial" w:hAnsi="Arial" w:eastAsia="Arial"/>
          <w:b w:val="true"/>
          <w:color w:val="001F46"/>
          <w:spacing w:val="0"/>
          <w:w w:val="100"/>
          <w:sz w:val="19"/>
          <w:vertAlign w:val="baseline"/>
          <w:lang w:val="en-US"/>
        </w:rPr>
        <w:t xml:space="preserve">– </w:t>
      </w:r>
      <w:r>
        <w:rPr>
          <w:rFonts w:ascii="Arial" w:hAnsi="Arial" w:eastAsia="Arial"/>
          <w:color w:val="001F46"/>
          <w:spacing w:val="0"/>
          <w:w w:val="100"/>
          <w:sz w:val="20"/>
          <w:vertAlign w:val="baseline"/>
          <w:lang w:val="en-US"/>
        </w:rPr>
        <w:t xml:space="preserve">help to determine retention in the profession and the number of teachers working in schools.</w:t>
      </w:r>
    </w:p>
    <w:p>
      <w:pPr>
        <w:spacing w:before="240" w:after="1011" w:line="240" w:lineRule="exact"/>
        <w:sectPr>
          <w:type w:val="nextPage"/>
          <w:pgSz w:w="11909" w:h="16843" w:orient="portrait"/>
          <w:pgMar w:bottom="287" w:top="360" w:right="936" w:left="2193" w:header="720" w:footer="720"/>
          <w:titlePg w:val="false"/>
          <w:textDirection w:val="lrTb"/>
        </w:sectPr>
      </w:pPr>
    </w:p>
    <w:p>
      <w:pPr>
        <w:tabs>
          <w:tab w:val="right" w:leader="none" w:pos="8640"/>
        </w:tabs>
        <w:spacing w:before="0" w:after="0" w:line="187" w:lineRule="exact"/>
        <w:ind w:right="0" w:left="144" w:firstLine="0"/>
        <w:jc w:val="left"/>
        <w:textAlignment w:val="baseline"/>
        <w:rPr>
          <w:rFonts w:ascii="Arial" w:hAnsi="Arial" w:eastAsia="Arial"/>
          <w:b w:val="true"/>
          <w:color w:val="001F46"/>
          <w:spacing w:val="0"/>
          <w:w w:val="100"/>
          <w:sz w:val="16"/>
          <w:vertAlign w:val="baseline"/>
          <w:lang w:val="en-US"/>
        </w:rPr>
      </w:pPr>
      <w:r>
        <w:rPr>
          <w:rFonts w:ascii="Arial" w:hAnsi="Arial" w:eastAsia="Arial"/>
          <w:b w:val="true"/>
          <w:color w:val="001F46"/>
          <w:spacing w:val="0"/>
          <w:w w:val="100"/>
          <w:sz w:val="16"/>
          <w:vertAlign w:val="baseline"/>
          <w:lang w:val="en-US"/>
        </w:rPr>
        <w:t xml:space="preserve">UNIVERSITIES AUSTRALIA </w:t>
      </w:r>
      <w:r>
        <w:rPr>
          <w:rFonts w:ascii="Arial" w:hAnsi="Arial" w:eastAsia="Arial"/>
          <w:color w:val="001F46"/>
          <w:spacing w:val="0"/>
          <w:w w:val="100"/>
          <w:sz w:val="16"/>
          <w:vertAlign w:val="baseline"/>
          <w:lang w:val="en-US"/>
        </w:rPr>
        <w:t xml:space="preserve">| QUALITY INITIAL TEACHER EDUCATION REVIEW	</w:t>
      </w:r>
      <w:r>
        <w:rPr>
          <w:rFonts w:ascii="Arial" w:hAnsi="Arial" w:eastAsia="Arial"/>
          <w:b w:val="true"/>
          <w:color w:val="001F46"/>
          <w:spacing w:val="0"/>
          <w:w w:val="100"/>
          <w:sz w:val="16"/>
          <w:vertAlign w:val="baseline"/>
          <w:lang w:val="en-US"/>
        </w:rPr>
        <w:t xml:space="preserve">7</w:t>
      </w:r>
    </w:p>
    <w:p>
      <w:pPr>
        <w:sectPr>
          <w:type w:val="continuous"/>
          <w:pgSz w:w="11909" w:h="16843" w:orient="portrait"/>
          <w:pgMar w:bottom="287" w:top="360" w:right="923" w:left="2206" w:header="720" w:footer="720"/>
          <w:titlePg w:val="false"/>
          <w:textDirection w:val="lrTb"/>
        </w:sectPr>
      </w:pPr>
    </w:p>
    <w:p>
      <w:pPr>
        <w:spacing w:before="19" w:after="410" w:line="240" w:lineRule="auto"/>
        <w:ind w:right="235" w:left="5458"/>
        <w:jc w:val="left"/>
        <w:textAlignment w:val="baseline"/>
      </w:pPr>
      <w:r>
        <w:drawing>
          <wp:inline>
            <wp:extent cx="1960245" cy="588645"/>
            <wp:docPr name="Picture" id="8"/>
            <a:graphic>
              <a:graphicData uri="http://schemas.openxmlformats.org/drawingml/2006/picture">
                <pic:pic>
                  <pic:nvPicPr>
                    <pic:cNvPr id="8" name="Picture"/>
                    <pic:cNvPicPr preferRelativeResize="false"/>
                  </pic:nvPicPr>
                  <pic:blipFill>
                    <a:blip r:embed="prId8"/>
                    <a:stretch>
                      <a:fillRect/>
                    </a:stretch>
                  </pic:blipFill>
                  <pic:spPr>
                    <a:xfrm>
                      <a:off x="0" y="0"/>
                      <a:ext cx="1960245" cy="588645"/>
                    </a:xfrm>
                    <a:prstGeom prst="rect"/>
                  </pic:spPr>
                </pic:pic>
              </a:graphicData>
            </a:graphic>
          </wp:inline>
        </w:drawing>
      </w:r>
    </w:p>
    <w:p>
      <w:pPr>
        <w:spacing w:before="0" w:after="0" w:line="239" w:lineRule="exact"/>
        <w:ind w:right="72" w:left="72" w:firstLine="0"/>
        <w:jc w:val="left"/>
        <w:textAlignment w:val="baseline"/>
        <w:rPr>
          <w:rFonts w:ascii="Arial" w:hAnsi="Arial" w:eastAsia="Arial"/>
          <w:color w:val="001F46"/>
          <w:spacing w:val="0"/>
          <w:w w:val="100"/>
          <w:sz w:val="20"/>
          <w:vertAlign w:val="baseline"/>
          <w:lang w:val="en-US"/>
        </w:rPr>
      </w:pPr>
      <w:r>
        <w:rPr>
          <w:rFonts w:ascii="Arial" w:hAnsi="Arial" w:eastAsia="Arial"/>
          <w:color w:val="001F46"/>
          <w:spacing w:val="0"/>
          <w:w w:val="100"/>
          <w:sz w:val="20"/>
          <w:vertAlign w:val="baseline"/>
          <w:lang w:val="en-US"/>
        </w:rPr>
        <w:t xml:space="preserve">The discussion paper expresses concerns about completion rates in ITE courses. Six-year completion rates in ITE are somewhat lower than the figure for all fields, as the graph on page 10 of the discussion paper points out.</w:t>
      </w:r>
    </w:p>
    <w:p>
      <w:pPr>
        <w:spacing w:before="240" w:after="0" w:line="240" w:lineRule="exact"/>
        <w:ind w:right="288" w:left="72" w:firstLine="0"/>
        <w:jc w:val="left"/>
        <w:textAlignment w:val="baseline"/>
        <w:rPr>
          <w:rFonts w:ascii="Arial" w:hAnsi="Arial" w:eastAsia="Arial"/>
          <w:color w:val="001F46"/>
          <w:spacing w:val="0"/>
          <w:w w:val="100"/>
          <w:sz w:val="20"/>
          <w:vertAlign w:val="baseline"/>
          <w:lang w:val="en-US"/>
        </w:rPr>
      </w:pPr>
      <w:r>
        <w:rPr>
          <w:rFonts w:ascii="Arial" w:hAnsi="Arial" w:eastAsia="Arial"/>
          <w:color w:val="001F46"/>
          <w:spacing w:val="0"/>
          <w:w w:val="100"/>
          <w:sz w:val="20"/>
          <w:vertAlign w:val="baseline"/>
          <w:lang w:val="en-US"/>
        </w:rPr>
        <w:t xml:space="preserve">The more relevant factor for supply of teachers, however, is retention in the profession over the first few years. National statistics on workforce attrition are not available. Estimates (based on state figures) have suggested that a third of new teachers leave the profession in the first few years. A study by the Queensland College of Teachers shows that in that state, nearly 15 per cent of teachers granted provisional registration had left the profession four years later</w:t>
      </w:r>
      <w:r>
        <w:rPr>
          <w:rFonts w:ascii="Arial" w:hAnsi="Arial" w:eastAsia="Arial"/>
          <w:color w:val="001F46"/>
          <w:spacing w:val="0"/>
          <w:w w:val="100"/>
          <w:sz w:val="20"/>
          <w:vertAlign w:val="superscript"/>
          <w:lang w:val="en-US"/>
        </w:rPr>
        <w:t xml:space="preserve">4</w:t>
      </w:r>
      <w:r>
        <w:rPr>
          <w:rFonts w:ascii="Arial" w:hAnsi="Arial" w:eastAsia="Arial"/>
          <w:color w:val="001F46"/>
          <w:spacing w:val="0"/>
          <w:w w:val="100"/>
          <w:sz w:val="20"/>
          <w:vertAlign w:val="baseline"/>
          <w:lang w:val="en-US"/>
        </w:rPr>
        <w:t xml:space="preserve">. Interestingly, attrition rates increased with age at provisional registration (especially for men) </w:t>
      </w:r>
      <w:r>
        <w:rPr>
          <w:rFonts w:ascii="Arial" w:hAnsi="Arial" w:eastAsia="Arial"/>
          <w:color w:val="001F46"/>
          <w:spacing w:val="0"/>
          <w:w w:val="100"/>
          <w:sz w:val="20"/>
          <w:vertAlign w:val="baseline"/>
          <w:lang w:val="en-US"/>
        </w:rPr>
        <w:t xml:space="preserve">– </w:t>
      </w:r>
      <w:r>
        <w:rPr>
          <w:rFonts w:ascii="Arial" w:hAnsi="Arial" w:eastAsia="Arial"/>
          <w:color w:val="001F46"/>
          <w:spacing w:val="0"/>
          <w:w w:val="100"/>
          <w:sz w:val="20"/>
          <w:vertAlign w:val="baseline"/>
          <w:lang w:val="en-US"/>
        </w:rPr>
        <w:t xml:space="preserve">suggesting that difficulties in the workplace are as much of an issue for mature age career changers as are factors related to ITE itself.</w:t>
      </w:r>
    </w:p>
    <w:p>
      <w:pPr>
        <w:spacing w:before="240" w:after="8110" w:line="240" w:lineRule="exact"/>
        <w:ind w:right="432" w:left="72" w:firstLine="0"/>
        <w:jc w:val="left"/>
        <w:textAlignment w:val="baseline"/>
        <w:rPr>
          <w:rFonts w:ascii="Arial" w:hAnsi="Arial" w:eastAsia="Arial"/>
          <w:color w:val="001F46"/>
          <w:spacing w:val="0"/>
          <w:w w:val="100"/>
          <w:sz w:val="20"/>
          <w:vertAlign w:val="baseline"/>
          <w:lang w:val="en-US"/>
        </w:rPr>
      </w:pPr>
      <w:r>
        <w:rPr>
          <w:rFonts w:ascii="Arial" w:hAnsi="Arial" w:eastAsia="Arial"/>
          <w:color w:val="001F46"/>
          <w:spacing w:val="0"/>
          <w:w w:val="100"/>
          <w:sz w:val="20"/>
          <w:vertAlign w:val="baseline"/>
          <w:lang w:val="en-US"/>
        </w:rPr>
        <w:t xml:space="preserve">Preparation for the classroom in ITE is a factor in attrition from the profession: graduates who enter the profession well prepared to teach and armed with the necessary theoretical and practical skills are less likely to leave soon after graduation, other things being equal. But of course, </w:t>
      </w:r>
      <w:r>
        <w:rPr>
          <w:rFonts w:ascii="Arial" w:hAnsi="Arial" w:eastAsia="Arial"/>
          <w:color w:val="001F46"/>
          <w:spacing w:val="0"/>
          <w:w w:val="100"/>
          <w:sz w:val="20"/>
          <w:vertAlign w:val="baseline"/>
          <w:lang w:val="en-US"/>
        </w:rPr>
        <w:t xml:space="preserve">other things are not equal: new teachers’ persistence depends on a range of factors </w:t>
      </w:r>
      <w:r>
        <w:rPr>
          <w:rFonts w:ascii="Arial" w:hAnsi="Arial" w:eastAsia="Arial"/>
          <w:color w:val="001F46"/>
          <w:spacing w:val="0"/>
          <w:w w:val="100"/>
          <w:sz w:val="20"/>
          <w:vertAlign w:val="baseline"/>
          <w:lang w:val="en-US"/>
        </w:rPr>
        <w:t xml:space="preserve">beyond ITE including access to professional development and support, working conditions, remuneration and perceived career opportunities.</w:t>
      </w:r>
    </w:p>
    <w:p>
      <w:pPr>
        <w:spacing w:before="240" w:after="8110" w:line="240" w:lineRule="exact"/>
        <w:sectPr>
          <w:type w:val="nextPage"/>
          <w:pgSz w:w="11909" w:h="16843" w:orient="portrait"/>
          <w:pgMar w:bottom="287" w:top="360" w:right="965" w:left="2164" w:header="720" w:footer="720"/>
          <w:titlePg w:val="false"/>
          <w:textDirection w:val="lrTb"/>
        </w:sectPr>
      </w:pPr>
    </w:p>
    <w:p>
      <w:pPr>
        <w:spacing w:before="0" w:after="0" w:line="184" w:lineRule="exact"/>
        <w:ind w:right="0" w:left="72" w:firstLine="0"/>
        <w:jc w:val="left"/>
        <w:textAlignment w:val="baseline"/>
        <w:rPr>
          <w:rFonts w:ascii="Arial" w:hAnsi="Arial" w:eastAsia="Arial"/>
          <w:color w:val="001F46"/>
          <w:spacing w:val="0"/>
          <w:w w:val="100"/>
          <w:sz w:val="10"/>
          <w:vertAlign w:val="baseline"/>
          <w:lang w:val="en-US"/>
        </w:rPr>
      </w:pPr>
      <w:r>
        <w:pict>
          <v:line strokeweight="0.7pt" strokecolor="#001F46" from="113.5pt,719.75pt" to="257.8pt,719.75pt" style="position:absolute;mso-position-horizontal-relative:page;mso-position-vertical-relative:page;">
            <v:stroke dashstyle="solid"/>
          </v:line>
        </w:pict>
      </w:r>
      <w:r>
        <w:rPr>
          <w:rFonts w:ascii="Arial" w:hAnsi="Arial" w:eastAsia="Arial"/>
          <w:color w:val="001F46"/>
          <w:spacing w:val="0"/>
          <w:w w:val="100"/>
          <w:sz w:val="10"/>
          <w:vertAlign w:val="baseline"/>
          <w:lang w:val="en-US"/>
        </w:rPr>
        <w:t xml:space="preserve">4 </w:t>
      </w:r>
      <w:r>
        <w:rPr>
          <w:rFonts w:ascii="Arial" w:hAnsi="Arial" w:eastAsia="Arial"/>
          <w:color w:val="001F46"/>
          <w:spacing w:val="0"/>
          <w:w w:val="100"/>
          <w:sz w:val="16"/>
          <w:vertAlign w:val="baseline"/>
          <w:lang w:val="en-US"/>
        </w:rPr>
        <w:t xml:space="preserve">Queensland College of Teachers, </w:t>
      </w:r>
      <w:r>
        <w:rPr>
          <w:rFonts w:ascii="Arial" w:hAnsi="Arial" w:eastAsia="Arial"/>
          <w:i w:val="true"/>
          <w:color w:val="001F46"/>
          <w:spacing w:val="0"/>
          <w:w w:val="100"/>
          <w:sz w:val="16"/>
          <w:vertAlign w:val="baseline"/>
          <w:lang w:val="en-US"/>
        </w:rPr>
        <w:t xml:space="preserve">Attrition of Queensland Graduate Teachers: 2019 Report</w:t>
      </w:r>
      <w:r>
        <w:rPr>
          <w:rFonts w:ascii="Arial" w:hAnsi="Arial" w:eastAsia="Arial"/>
          <w:color w:val="001F46"/>
          <w:spacing w:val="0"/>
          <w:w w:val="100"/>
          <w:sz w:val="16"/>
          <w:vertAlign w:val="baseline"/>
          <w:lang w:val="en-US"/>
        </w:rPr>
        <w:t xml:space="preserve">,</w:t>
      </w:r>
    </w:p>
    <w:p>
      <w:pPr>
        <w:spacing w:before="7" w:after="0" w:line="196" w:lineRule="exact"/>
        <w:ind w:right="72" w:left="360" w:firstLine="0"/>
        <w:jc w:val="left"/>
        <w:textAlignment w:val="baseline"/>
        <w:rPr>
          <w:rFonts w:ascii="Arial" w:hAnsi="Arial" w:eastAsia="Arial"/>
          <w:color w:val="000000"/>
          <w:spacing w:val="-1"/>
          <w:w w:val="100"/>
          <w:sz w:val="16"/>
          <w:u w:val="single"/>
          <w:vertAlign w:val="baseline"/>
          <w:lang w:val="en-US"/>
        </w:rPr>
      </w:pPr>
      <w:hyperlink r:id="dhId7">
        <w:r>
          <w:rPr>
            <w:rFonts w:ascii="Arial" w:hAnsi="Arial" w:eastAsia="Arial"/>
            <w:color w:val="0000FF"/>
            <w:spacing w:val="-1"/>
            <w:w w:val="100"/>
            <w:sz w:val="16"/>
            <w:u w:val="single"/>
            <w:vertAlign w:val="baseline"/>
            <w:lang w:val="en-US"/>
          </w:rPr>
          <w:t xml:space="preserve">https://cdn.qct.edu.au/pdf/QCT_Qld_Graduate_Attrition_Report_2019.pdf?_ga=2.63840495.1768617847.1626571521</w:t>
        </w:r>
      </w:hyperlink>
      <w:r>
        <w:rPr>
          <w:rFonts w:ascii="Arial" w:hAnsi="Arial" w:eastAsia="Arial"/>
          <w:color w:val="000000"/>
          <w:spacing w:val="-1"/>
          <w:w w:val="100"/>
          <w:sz w:val="16"/>
          <w:u w:val="single"/>
          <w:vertAlign w:val="baseline"/>
          <w:lang w:val="en-US"/>
        </w:rPr>
        <w:t xml:space="preserve"> </w:t>
      </w:r>
      <w:hyperlink r:id="dhId8">
        <w:r>
          <w:rPr>
            <w:rFonts w:ascii="Arial" w:hAnsi="Arial" w:eastAsia="Arial"/>
            <w:color w:val="0000FF"/>
            <w:spacing w:val="-1"/>
            <w:w w:val="100"/>
            <w:sz w:val="16"/>
            <w:u w:val="single"/>
            <w:vertAlign w:val="baseline"/>
            <w:lang w:val="en-US"/>
          </w:rPr>
          <w:t xml:space="preserve"> -257346865.1626571521</w:t>
        </w:r>
      </w:hyperlink>
      <w:r>
        <w:rPr>
          <w:rFonts w:ascii="Arial" w:hAnsi="Arial" w:eastAsia="Arial"/>
          <w:color w:val="001F46"/>
          <w:spacing w:val="-1"/>
          <w:w w:val="100"/>
          <w:sz w:val="16"/>
          <w:vertAlign w:val="baseline"/>
          <w:lang w:val="en-US"/>
        </w:rPr>
        <w:t xml:space="preserve"> </w:t>
      </w:r>
    </w:p>
    <w:p>
      <w:pPr>
        <w:tabs>
          <w:tab w:val="right" w:leader="none" w:pos="8640"/>
        </w:tabs>
        <w:spacing w:before="791" w:after="0" w:line="183" w:lineRule="exact"/>
        <w:ind w:right="0" w:left="144" w:firstLine="0"/>
        <w:jc w:val="left"/>
        <w:textAlignment w:val="baseline"/>
        <w:rPr>
          <w:rFonts w:ascii="Arial" w:hAnsi="Arial" w:eastAsia="Arial"/>
          <w:b w:val="true"/>
          <w:color w:val="001F46"/>
          <w:spacing w:val="0"/>
          <w:w w:val="100"/>
          <w:sz w:val="16"/>
          <w:vertAlign w:val="baseline"/>
          <w:lang w:val="en-US"/>
        </w:rPr>
      </w:pPr>
      <w:r>
        <w:rPr>
          <w:rFonts w:ascii="Arial" w:hAnsi="Arial" w:eastAsia="Arial"/>
          <w:b w:val="true"/>
          <w:color w:val="001F46"/>
          <w:spacing w:val="0"/>
          <w:w w:val="100"/>
          <w:sz w:val="16"/>
          <w:vertAlign w:val="baseline"/>
          <w:lang w:val="en-US"/>
        </w:rPr>
        <w:t xml:space="preserve">UNIVERSITIES AUSTRALIA </w:t>
      </w:r>
      <w:r>
        <w:rPr>
          <w:rFonts w:ascii="Arial" w:hAnsi="Arial" w:eastAsia="Arial"/>
          <w:color w:val="001F46"/>
          <w:spacing w:val="0"/>
          <w:w w:val="100"/>
          <w:sz w:val="16"/>
          <w:vertAlign w:val="baseline"/>
          <w:lang w:val="en-US"/>
        </w:rPr>
        <w:t xml:space="preserve">| QUALITY INITIAL TEACHER EDUCATION REVIEW	</w:t>
      </w:r>
      <w:r>
        <w:rPr>
          <w:rFonts w:ascii="Arial" w:hAnsi="Arial" w:eastAsia="Arial"/>
          <w:b w:val="true"/>
          <w:color w:val="001F46"/>
          <w:spacing w:val="0"/>
          <w:w w:val="100"/>
          <w:sz w:val="16"/>
          <w:vertAlign w:val="baseline"/>
          <w:lang w:val="en-US"/>
        </w:rPr>
        <w:t xml:space="preserve">8</w:t>
      </w:r>
    </w:p>
    <w:p>
      <w:pPr>
        <w:sectPr>
          <w:type w:val="continuous"/>
          <w:pgSz w:w="11909" w:h="16843" w:orient="portrait"/>
          <w:pgMar w:bottom="287" w:top="360" w:right="931" w:left="2198" w:header="720" w:footer="720"/>
          <w:titlePg w:val="false"/>
          <w:textDirection w:val="lrTb"/>
        </w:sectPr>
      </w:pPr>
    </w:p>
    <w:p>
      <w:pPr>
        <w:spacing w:before="19" w:after="489" w:line="240" w:lineRule="auto"/>
        <w:ind w:right="260" w:left="5433"/>
        <w:jc w:val="left"/>
        <w:textAlignment w:val="baseline"/>
      </w:pPr>
      <w:r>
        <w:drawing>
          <wp:inline>
            <wp:extent cx="1960245" cy="588645"/>
            <wp:docPr name="Picture" id="9"/>
            <a:graphic>
              <a:graphicData uri="http://schemas.openxmlformats.org/drawingml/2006/picture">
                <pic:pic>
                  <pic:nvPicPr>
                    <pic:cNvPr id="9" name="Picture"/>
                    <pic:cNvPicPr preferRelativeResize="false"/>
                  </pic:nvPicPr>
                  <pic:blipFill>
                    <a:blip r:embed="prId9"/>
                    <a:stretch>
                      <a:fillRect/>
                    </a:stretch>
                  </pic:blipFill>
                  <pic:spPr>
                    <a:xfrm>
                      <a:off x="0" y="0"/>
                      <a:ext cx="1960245" cy="588645"/>
                    </a:xfrm>
                    <a:prstGeom prst="rect"/>
                  </pic:spPr>
                </pic:pic>
              </a:graphicData>
            </a:graphic>
          </wp:inline>
        </w:drawing>
      </w:r>
    </w:p>
    <w:p>
      <w:pPr>
        <w:spacing w:before="0" w:after="0" w:line="448" w:lineRule="exact"/>
        <w:ind w:right="0" w:left="432" w:firstLine="0"/>
        <w:jc w:val="left"/>
        <w:textAlignment w:val="baseline"/>
        <w:rPr>
          <w:rFonts w:ascii="Arial Narrow" w:hAnsi="Arial Narrow" w:eastAsia="Arial Narrow"/>
          <w:color w:val="001F46"/>
          <w:spacing w:val="0"/>
          <w:w w:val="100"/>
          <w:sz w:val="39"/>
          <w:vertAlign w:val="baseline"/>
          <w:lang w:val="en-US"/>
        </w:rPr>
      </w:pPr>
      <w:r>
        <w:rPr>
          <w:rFonts w:ascii="Arial Narrow" w:hAnsi="Arial Narrow" w:eastAsia="Arial Narrow"/>
          <w:color w:val="001F46"/>
          <w:spacing w:val="0"/>
          <w:w w:val="100"/>
          <w:sz w:val="39"/>
          <w:vertAlign w:val="baseline"/>
          <w:lang w:val="en-US"/>
        </w:rPr>
        <w:t xml:space="preserve">2. BUILDING ON IMPROVEMENTS</w:t>
      </w:r>
    </w:p>
    <w:p>
      <w:pPr>
        <w:spacing w:before="268" w:after="0" w:line="240" w:lineRule="exact"/>
        <w:ind w:right="144" w:left="72" w:firstLine="0"/>
        <w:jc w:val="left"/>
        <w:textAlignment w:val="baseline"/>
        <w:rPr>
          <w:rFonts w:ascii="Arial" w:hAnsi="Arial" w:eastAsia="Arial"/>
          <w:color w:val="001F46"/>
          <w:spacing w:val="-1"/>
          <w:w w:val="100"/>
          <w:sz w:val="20"/>
          <w:vertAlign w:val="baseline"/>
          <w:lang w:val="en-US"/>
        </w:rPr>
      </w:pPr>
      <w:r>
        <w:rPr>
          <w:rFonts w:ascii="Arial" w:hAnsi="Arial" w:eastAsia="Arial"/>
          <w:color w:val="001F46"/>
          <w:spacing w:val="-1"/>
          <w:w w:val="100"/>
          <w:sz w:val="20"/>
          <w:vertAlign w:val="baseline"/>
          <w:lang w:val="en-US"/>
        </w:rPr>
        <w:t xml:space="preserve">Over the past decade </w:t>
      </w:r>
      <w:r>
        <w:rPr>
          <w:rFonts w:ascii="Arial" w:hAnsi="Arial" w:eastAsia="Arial"/>
          <w:color w:val="001F46"/>
          <w:spacing w:val="-1"/>
          <w:w w:val="100"/>
          <w:sz w:val="20"/>
          <w:vertAlign w:val="baseline"/>
          <w:lang w:val="en-US"/>
        </w:rPr>
        <w:t xml:space="preserve">– </w:t>
      </w:r>
      <w:r>
        <w:rPr>
          <w:rFonts w:ascii="Arial" w:hAnsi="Arial" w:eastAsia="Arial"/>
          <w:color w:val="001F46"/>
          <w:spacing w:val="-1"/>
          <w:w w:val="100"/>
          <w:sz w:val="20"/>
          <w:vertAlign w:val="baseline"/>
          <w:lang w:val="en-US"/>
        </w:rPr>
        <w:t xml:space="preserve">and especially since the Teacher Education Ministerial Advisory Group (TEMAG) </w:t>
      </w:r>
      <w:r>
        <w:rPr>
          <w:rFonts w:ascii="Arial" w:hAnsi="Arial" w:eastAsia="Arial"/>
          <w:color w:val="001F46"/>
          <w:spacing w:val="-1"/>
          <w:w w:val="100"/>
          <w:sz w:val="20"/>
          <w:vertAlign w:val="baseline"/>
          <w:lang w:val="en-US"/>
        </w:rPr>
        <w:t xml:space="preserve">– </w:t>
      </w:r>
      <w:r>
        <w:rPr>
          <w:rFonts w:ascii="Arial" w:hAnsi="Arial" w:eastAsia="Arial"/>
          <w:color w:val="001F46"/>
          <w:spacing w:val="-1"/>
          <w:w w:val="100"/>
          <w:sz w:val="20"/>
          <w:vertAlign w:val="baseline"/>
          <w:lang w:val="en-US"/>
        </w:rPr>
        <w:t xml:space="preserve">there have been some important improvements in initial teacher education (ITE) and professional standards and accreditation. Many of these reforms are already clearly effective. There are some others that are still too new to be fully evaluated, though the signs are encouraging. All of these reforms work towards the kind of goals set out in the discussion paper.</w:t>
      </w:r>
    </w:p>
    <w:p>
      <w:pPr>
        <w:spacing w:before="251" w:after="0" w:line="229" w:lineRule="exact"/>
        <w:ind w:right="0" w:left="72" w:firstLine="0"/>
        <w:jc w:val="left"/>
        <w:textAlignment w:val="baseline"/>
        <w:rPr>
          <w:rFonts w:ascii="Arial" w:hAnsi="Arial" w:eastAsia="Arial"/>
          <w:color w:val="001F46"/>
          <w:spacing w:val="0"/>
          <w:w w:val="100"/>
          <w:sz w:val="20"/>
          <w:vertAlign w:val="baseline"/>
          <w:lang w:val="en-US"/>
        </w:rPr>
      </w:pPr>
      <w:r>
        <w:rPr>
          <w:rFonts w:ascii="Arial" w:hAnsi="Arial" w:eastAsia="Arial"/>
          <w:color w:val="001F46"/>
          <w:spacing w:val="0"/>
          <w:w w:val="100"/>
          <w:sz w:val="20"/>
          <w:vertAlign w:val="baseline"/>
          <w:lang w:val="en-US"/>
        </w:rPr>
        <w:t xml:space="preserve">In general terms, all of these earlier reforms sought to:</w:t>
      </w:r>
    </w:p>
    <w:p>
      <w:pPr>
        <w:numPr>
          <w:ilvl w:val="0"/>
          <w:numId w:val="3"/>
        </w:numPr>
        <w:tabs>
          <w:tab w:val="clear" w:pos="576"/>
          <w:tab w:val="left" w:pos="1224"/>
        </w:tabs>
        <w:spacing w:before="121" w:after="0" w:line="249" w:lineRule="exact"/>
        <w:ind w:right="0" w:left="648" w:firstLine="0"/>
        <w:jc w:val="left"/>
        <w:textAlignment w:val="baseline"/>
        <w:rPr>
          <w:rFonts w:ascii="Arial" w:hAnsi="Arial" w:eastAsia="Arial"/>
          <w:color w:val="001F46"/>
          <w:spacing w:val="0"/>
          <w:w w:val="100"/>
          <w:sz w:val="20"/>
          <w:vertAlign w:val="baseline"/>
          <w:lang w:val="en-US"/>
        </w:rPr>
      </w:pPr>
      <w:r>
        <w:rPr>
          <w:rFonts w:ascii="Arial" w:hAnsi="Arial" w:eastAsia="Arial"/>
          <w:color w:val="001F46"/>
          <w:spacing w:val="0"/>
          <w:w w:val="100"/>
          <w:sz w:val="20"/>
          <w:vertAlign w:val="baseline"/>
          <w:lang w:val="en-US"/>
        </w:rPr>
        <w:t xml:space="preserve">strengthen professional accreditation and professionalism;</w:t>
      </w:r>
    </w:p>
    <w:p>
      <w:pPr>
        <w:numPr>
          <w:ilvl w:val="0"/>
          <w:numId w:val="3"/>
        </w:numPr>
        <w:tabs>
          <w:tab w:val="clear" w:pos="576"/>
          <w:tab w:val="left" w:pos="1224"/>
        </w:tabs>
        <w:spacing w:before="116" w:after="0" w:line="249" w:lineRule="exact"/>
        <w:ind w:right="0" w:left="648" w:firstLine="0"/>
        <w:jc w:val="left"/>
        <w:textAlignment w:val="baseline"/>
        <w:rPr>
          <w:rFonts w:ascii="Arial" w:hAnsi="Arial" w:eastAsia="Arial"/>
          <w:color w:val="001F46"/>
          <w:spacing w:val="-1"/>
          <w:w w:val="100"/>
          <w:sz w:val="20"/>
          <w:vertAlign w:val="baseline"/>
          <w:lang w:val="en-US"/>
        </w:rPr>
      </w:pPr>
      <w:r>
        <w:rPr>
          <w:rFonts w:ascii="Arial" w:hAnsi="Arial" w:eastAsia="Arial"/>
          <w:color w:val="001F46"/>
          <w:spacing w:val="-1"/>
          <w:w w:val="100"/>
          <w:sz w:val="20"/>
          <w:vertAlign w:val="baseline"/>
          <w:lang w:val="en-US"/>
        </w:rPr>
        <w:t xml:space="preserve">improve quality;</w:t>
      </w:r>
    </w:p>
    <w:p>
      <w:pPr>
        <w:numPr>
          <w:ilvl w:val="0"/>
          <w:numId w:val="3"/>
        </w:numPr>
        <w:tabs>
          <w:tab w:val="clear" w:pos="576"/>
          <w:tab w:val="left" w:pos="1224"/>
        </w:tabs>
        <w:spacing w:before="116" w:after="0" w:line="249" w:lineRule="exact"/>
        <w:ind w:right="0" w:left="648" w:firstLine="0"/>
        <w:jc w:val="left"/>
        <w:textAlignment w:val="baseline"/>
        <w:rPr>
          <w:rFonts w:ascii="Arial" w:hAnsi="Arial" w:eastAsia="Arial"/>
          <w:color w:val="001F46"/>
          <w:spacing w:val="0"/>
          <w:w w:val="100"/>
          <w:sz w:val="20"/>
          <w:vertAlign w:val="baseline"/>
          <w:lang w:val="en-US"/>
        </w:rPr>
      </w:pPr>
      <w:r>
        <w:rPr>
          <w:rFonts w:ascii="Arial" w:hAnsi="Arial" w:eastAsia="Arial"/>
          <w:color w:val="001F46"/>
          <w:spacing w:val="0"/>
          <w:w w:val="100"/>
          <w:sz w:val="20"/>
          <w:vertAlign w:val="baseline"/>
          <w:lang w:val="en-US"/>
        </w:rPr>
        <w:t xml:space="preserve">integrate theory and practice;</w:t>
      </w:r>
    </w:p>
    <w:p>
      <w:pPr>
        <w:numPr>
          <w:ilvl w:val="0"/>
          <w:numId w:val="3"/>
        </w:numPr>
        <w:tabs>
          <w:tab w:val="clear" w:pos="576"/>
          <w:tab w:val="left" w:pos="1224"/>
        </w:tabs>
        <w:spacing w:before="111" w:after="0" w:line="249" w:lineRule="exact"/>
        <w:ind w:right="0" w:left="648" w:firstLine="0"/>
        <w:jc w:val="left"/>
        <w:textAlignment w:val="baseline"/>
        <w:rPr>
          <w:rFonts w:ascii="Arial" w:hAnsi="Arial" w:eastAsia="Arial"/>
          <w:color w:val="001F46"/>
          <w:spacing w:val="0"/>
          <w:w w:val="100"/>
          <w:sz w:val="20"/>
          <w:vertAlign w:val="baseline"/>
          <w:lang w:val="en-US"/>
        </w:rPr>
      </w:pPr>
      <w:r>
        <w:rPr>
          <w:rFonts w:ascii="Arial" w:hAnsi="Arial" w:eastAsia="Arial"/>
          <w:color w:val="001F46"/>
          <w:spacing w:val="0"/>
          <w:w w:val="100"/>
          <w:sz w:val="20"/>
          <w:vertAlign w:val="baseline"/>
          <w:lang w:val="en-US"/>
        </w:rPr>
        <w:t xml:space="preserve">demonstrate capacity in more integrated and practical ways;</w:t>
      </w:r>
    </w:p>
    <w:p>
      <w:pPr>
        <w:numPr>
          <w:ilvl w:val="0"/>
          <w:numId w:val="3"/>
        </w:numPr>
        <w:tabs>
          <w:tab w:val="clear" w:pos="576"/>
          <w:tab w:val="left" w:pos="1224"/>
        </w:tabs>
        <w:spacing w:before="115" w:after="0" w:line="249" w:lineRule="exact"/>
        <w:ind w:right="0" w:left="648" w:firstLine="0"/>
        <w:jc w:val="left"/>
        <w:textAlignment w:val="baseline"/>
        <w:rPr>
          <w:rFonts w:ascii="Arial" w:hAnsi="Arial" w:eastAsia="Arial"/>
          <w:color w:val="001F46"/>
          <w:spacing w:val="-1"/>
          <w:w w:val="100"/>
          <w:sz w:val="20"/>
          <w:vertAlign w:val="baseline"/>
          <w:lang w:val="en-US"/>
        </w:rPr>
      </w:pPr>
      <w:r>
        <w:rPr>
          <w:rFonts w:ascii="Arial" w:hAnsi="Arial" w:eastAsia="Arial"/>
          <w:color w:val="001F46"/>
          <w:spacing w:val="-1"/>
          <w:w w:val="100"/>
          <w:sz w:val="20"/>
          <w:vertAlign w:val="baseline"/>
          <w:lang w:val="en-US"/>
        </w:rPr>
        <w:t xml:space="preserve">optimise admissions;</w:t>
      </w:r>
    </w:p>
    <w:p>
      <w:pPr>
        <w:numPr>
          <w:ilvl w:val="0"/>
          <w:numId w:val="3"/>
        </w:numPr>
        <w:tabs>
          <w:tab w:val="clear" w:pos="576"/>
          <w:tab w:val="left" w:pos="1224"/>
        </w:tabs>
        <w:spacing w:before="116" w:after="0" w:line="249" w:lineRule="exact"/>
        <w:ind w:right="0" w:left="648" w:firstLine="0"/>
        <w:jc w:val="left"/>
        <w:textAlignment w:val="baseline"/>
        <w:rPr>
          <w:rFonts w:ascii="Arial" w:hAnsi="Arial" w:eastAsia="Arial"/>
          <w:color w:val="001F46"/>
          <w:spacing w:val="0"/>
          <w:w w:val="100"/>
          <w:sz w:val="20"/>
          <w:vertAlign w:val="baseline"/>
          <w:lang w:val="en-US"/>
        </w:rPr>
      </w:pPr>
      <w:r>
        <w:rPr>
          <w:rFonts w:ascii="Arial" w:hAnsi="Arial" w:eastAsia="Arial"/>
          <w:color w:val="001F46"/>
          <w:spacing w:val="0"/>
          <w:w w:val="100"/>
          <w:sz w:val="20"/>
          <w:vertAlign w:val="baseline"/>
          <w:lang w:val="en-US"/>
        </w:rPr>
        <w:t xml:space="preserve">promote evidence-based practice; and</w:t>
      </w:r>
    </w:p>
    <w:p>
      <w:pPr>
        <w:numPr>
          <w:ilvl w:val="0"/>
          <w:numId w:val="3"/>
        </w:numPr>
        <w:tabs>
          <w:tab w:val="clear" w:pos="576"/>
          <w:tab w:val="left" w:pos="1224"/>
        </w:tabs>
        <w:spacing w:before="116" w:after="0" w:line="249" w:lineRule="exact"/>
        <w:ind w:right="0" w:left="648" w:firstLine="0"/>
        <w:jc w:val="left"/>
        <w:textAlignment w:val="baseline"/>
        <w:rPr>
          <w:rFonts w:ascii="Arial" w:hAnsi="Arial" w:eastAsia="Arial"/>
          <w:color w:val="001F46"/>
          <w:spacing w:val="0"/>
          <w:w w:val="100"/>
          <w:sz w:val="20"/>
          <w:vertAlign w:val="baseline"/>
          <w:lang w:val="en-US"/>
        </w:rPr>
      </w:pPr>
      <w:r>
        <w:rPr>
          <w:rFonts w:ascii="Arial" w:hAnsi="Arial" w:eastAsia="Arial"/>
          <w:color w:val="001F46"/>
          <w:spacing w:val="0"/>
          <w:w w:val="100"/>
          <w:sz w:val="20"/>
          <w:vertAlign w:val="baseline"/>
          <w:lang w:val="en-US"/>
        </w:rPr>
        <w:t xml:space="preserve">strengthen and improve practical experience within ITE.</w:t>
      </w:r>
    </w:p>
    <w:p>
      <w:pPr>
        <w:spacing w:before="235" w:after="0" w:line="240" w:lineRule="exact"/>
        <w:ind w:right="72" w:left="72" w:firstLine="0"/>
        <w:jc w:val="left"/>
        <w:textAlignment w:val="baseline"/>
        <w:rPr>
          <w:rFonts w:ascii="Arial" w:hAnsi="Arial" w:eastAsia="Arial"/>
          <w:color w:val="001F46"/>
          <w:spacing w:val="0"/>
          <w:w w:val="100"/>
          <w:sz w:val="20"/>
          <w:vertAlign w:val="baseline"/>
          <w:lang w:val="en-US"/>
        </w:rPr>
      </w:pPr>
      <w:r>
        <w:rPr>
          <w:rFonts w:ascii="Arial" w:hAnsi="Arial" w:eastAsia="Arial"/>
          <w:color w:val="001F46"/>
          <w:spacing w:val="0"/>
          <w:w w:val="100"/>
          <w:sz w:val="20"/>
          <w:vertAlign w:val="baseline"/>
          <w:lang w:val="en-US"/>
        </w:rPr>
        <w:t xml:space="preserve">The past decade has seen significant reforms, driven by a process to develop a national approach to standards and accreditation initiated by Commonwealth and State/Territory Education Ministers. These reforms include the adoption of the Australian Professional Standards for Teachers and national program accreditation standards as well as a national accreditation process for implementing and giving effect to these standards.</w:t>
      </w:r>
    </w:p>
    <w:p>
      <w:pPr>
        <w:spacing w:before="240" w:after="0" w:line="240" w:lineRule="exact"/>
        <w:ind w:right="72" w:left="72" w:firstLine="0"/>
        <w:jc w:val="left"/>
        <w:textAlignment w:val="baseline"/>
        <w:rPr>
          <w:rFonts w:ascii="Arial" w:hAnsi="Arial" w:eastAsia="Arial"/>
          <w:color w:val="001F46"/>
          <w:spacing w:val="0"/>
          <w:w w:val="100"/>
          <w:sz w:val="20"/>
          <w:vertAlign w:val="baseline"/>
          <w:lang w:val="en-US"/>
        </w:rPr>
      </w:pPr>
      <w:r>
        <w:rPr>
          <w:rFonts w:ascii="Arial" w:hAnsi="Arial" w:eastAsia="Arial"/>
          <w:color w:val="001F46"/>
          <w:spacing w:val="0"/>
          <w:w w:val="100"/>
          <w:sz w:val="20"/>
          <w:vertAlign w:val="baseline"/>
          <w:lang w:val="en-US"/>
        </w:rPr>
        <w:t xml:space="preserve">The professional standards were agreed and introduced in 2011 to provide a strong national foundation and common language for professional standards for teachers across Australia. The standards are a public statement setting out what teachers should know and be able to do at each of the four identified career stages and make clear the knowledge, practice and professional engagement required to be an effective teacher. The professional standards provide the benchmarks used in national approaches to accreditation of teacher education programs and registration of teachers for employment.</w:t>
      </w:r>
    </w:p>
    <w:p>
      <w:pPr>
        <w:spacing w:before="240" w:after="0" w:line="240" w:lineRule="exact"/>
        <w:ind w:right="216" w:left="72" w:firstLine="0"/>
        <w:jc w:val="left"/>
        <w:textAlignment w:val="baseline"/>
        <w:rPr>
          <w:rFonts w:ascii="Arial" w:hAnsi="Arial" w:eastAsia="Arial"/>
          <w:color w:val="001F46"/>
          <w:spacing w:val="0"/>
          <w:w w:val="100"/>
          <w:sz w:val="20"/>
          <w:vertAlign w:val="baseline"/>
          <w:lang w:val="en-US"/>
        </w:rPr>
      </w:pPr>
      <w:r>
        <w:rPr>
          <w:rFonts w:ascii="Arial" w:hAnsi="Arial" w:eastAsia="Arial"/>
          <w:color w:val="001F46"/>
          <w:spacing w:val="0"/>
          <w:w w:val="100"/>
          <w:sz w:val="20"/>
          <w:vertAlign w:val="baseline"/>
          <w:lang w:val="en-US"/>
        </w:rPr>
        <w:t xml:space="preserve">A nationally consistent approach to the accreditation of ITE programs was agreed in 2011, and implemented from 2013, through the accreditation standards. These set requirements to ensure that ITE programs produce graduates who meet the graduate career stage of the professional standards. The graduate career stage outlines the skills and capabilities that students should develop through their initial teacher education program. Students who successfully complete an accredited program meet the qualification requirements for registration and employment as a teacher in Australia.</w:t>
      </w:r>
    </w:p>
    <w:p>
      <w:pPr>
        <w:spacing w:before="240" w:after="0" w:line="240" w:lineRule="exact"/>
        <w:ind w:right="72" w:left="72" w:firstLine="0"/>
        <w:jc w:val="left"/>
        <w:textAlignment w:val="baseline"/>
        <w:rPr>
          <w:rFonts w:ascii="Arial" w:hAnsi="Arial" w:eastAsia="Arial"/>
          <w:color w:val="001F46"/>
          <w:spacing w:val="-1"/>
          <w:w w:val="100"/>
          <w:sz w:val="20"/>
          <w:vertAlign w:val="baseline"/>
          <w:lang w:val="en-US"/>
        </w:rPr>
      </w:pPr>
      <w:r>
        <w:rPr>
          <w:rFonts w:ascii="Arial" w:hAnsi="Arial" w:eastAsia="Arial"/>
          <w:color w:val="001F46"/>
          <w:spacing w:val="-1"/>
          <w:w w:val="100"/>
          <w:sz w:val="20"/>
          <w:vertAlign w:val="baseline"/>
          <w:lang w:val="en-US"/>
        </w:rPr>
        <w:t xml:space="preserve">The Australian Institute for Teaching and School Leadership (AITSL) was established in 2010 to provide national leadership in promoting excellence in the profession of teaching and school leadership. AITSL led the development of the professional standards and accreditation standards.</w:t>
      </w:r>
    </w:p>
    <w:p>
      <w:pPr>
        <w:spacing w:before="241" w:after="1745" w:line="240" w:lineRule="exact"/>
        <w:ind w:right="72" w:left="72" w:firstLine="0"/>
        <w:jc w:val="left"/>
        <w:textAlignment w:val="baseline"/>
        <w:rPr>
          <w:rFonts w:ascii="Arial" w:hAnsi="Arial" w:eastAsia="Arial"/>
          <w:color w:val="001F46"/>
          <w:spacing w:val="0"/>
          <w:w w:val="100"/>
          <w:sz w:val="20"/>
          <w:vertAlign w:val="baseline"/>
          <w:lang w:val="en-US"/>
        </w:rPr>
      </w:pPr>
      <w:r>
        <w:rPr>
          <w:rFonts w:ascii="Arial" w:hAnsi="Arial" w:eastAsia="Arial"/>
          <w:color w:val="001F46"/>
          <w:spacing w:val="0"/>
          <w:w w:val="100"/>
          <w:sz w:val="20"/>
          <w:vertAlign w:val="baseline"/>
          <w:lang w:val="en-US"/>
        </w:rPr>
        <w:t xml:space="preserve">In 2014, the Commonwealth Minister for Education, the Hon Christopher Pyne MP commissioned the Teacher Education Ministerial Advisory Group (TEMAG), led by Professor Greg Craven AO, </w:t>
      </w:r>
      <w:r>
        <w:rPr>
          <w:rFonts w:ascii="Arial" w:hAnsi="Arial" w:eastAsia="Arial"/>
          <w:color w:val="001F46"/>
          <w:spacing w:val="0"/>
          <w:w w:val="100"/>
          <w:sz w:val="20"/>
          <w:vertAlign w:val="baseline"/>
          <w:lang w:val="en-US"/>
        </w:rPr>
        <w:t xml:space="preserve">‘to make recommendations on how initial teacher education in Australia could be improved to </w:t>
      </w:r>
      <w:r>
        <w:rPr>
          <w:rFonts w:ascii="Arial" w:hAnsi="Arial" w:eastAsia="Arial"/>
          <w:color w:val="001F46"/>
          <w:spacing w:val="0"/>
          <w:w w:val="100"/>
          <w:sz w:val="20"/>
          <w:vertAlign w:val="baseline"/>
          <w:lang w:val="en-US"/>
        </w:rPr>
        <w:t xml:space="preserve">better prepare new teachers with the practical skills nee</w:t>
      </w:r>
      <w:r>
        <w:rPr>
          <w:rFonts w:ascii="Arial" w:hAnsi="Arial" w:eastAsia="Arial"/>
          <w:color w:val="001F46"/>
          <w:spacing w:val="0"/>
          <w:w w:val="100"/>
          <w:sz w:val="20"/>
          <w:vertAlign w:val="baseline"/>
          <w:lang w:val="en-US"/>
        </w:rPr>
        <w:t xml:space="preserve">ded for the classroom’.</w:t>
      </w:r>
    </w:p>
    <w:p>
      <w:pPr>
        <w:tabs>
          <w:tab w:val="right" w:leader="none" w:pos="8640"/>
        </w:tabs>
        <w:spacing w:before="0" w:after="0" w:line="187" w:lineRule="exact"/>
        <w:ind w:right="0" w:left="72" w:firstLine="0"/>
        <w:jc w:val="left"/>
        <w:textAlignment w:val="baseline"/>
        <w:rPr>
          <w:rFonts w:ascii="Arial" w:hAnsi="Arial" w:eastAsia="Arial"/>
          <w:b w:val="true"/>
          <w:color w:val="001F46"/>
          <w:spacing w:val="0"/>
          <w:w w:val="100"/>
          <w:sz w:val="16"/>
          <w:vertAlign w:val="baseline"/>
          <w:lang w:val="en-US"/>
        </w:rPr>
      </w:pPr>
      <w:r>
        <w:rPr>
          <w:rFonts w:ascii="Arial" w:hAnsi="Arial" w:eastAsia="Arial"/>
          <w:b w:val="true"/>
          <w:color w:val="001F46"/>
          <w:spacing w:val="0"/>
          <w:w w:val="100"/>
          <w:sz w:val="16"/>
          <w:vertAlign w:val="baseline"/>
          <w:lang w:val="en-US"/>
        </w:rPr>
        <w:t xml:space="preserve">UNIVERSITIES AUSTRALIA </w:t>
      </w:r>
      <w:r>
        <w:rPr>
          <w:rFonts w:ascii="Arial" w:hAnsi="Arial" w:eastAsia="Arial"/>
          <w:color w:val="001F46"/>
          <w:spacing w:val="0"/>
          <w:w w:val="100"/>
          <w:sz w:val="16"/>
          <w:vertAlign w:val="baseline"/>
          <w:lang w:val="en-US"/>
        </w:rPr>
        <w:t xml:space="preserve">| QUALITY INITIAL TEACHER EDUCATION REVIEW	</w:t>
      </w:r>
      <w:r>
        <w:rPr>
          <w:rFonts w:ascii="Arial" w:hAnsi="Arial" w:eastAsia="Arial"/>
          <w:b w:val="true"/>
          <w:color w:val="001F46"/>
          <w:spacing w:val="0"/>
          <w:w w:val="100"/>
          <w:sz w:val="16"/>
          <w:vertAlign w:val="baseline"/>
          <w:lang w:val="en-US"/>
        </w:rPr>
        <w:t xml:space="preserve">9</w:t>
      </w:r>
    </w:p>
    <w:p>
      <w:pPr>
        <w:sectPr>
          <w:type w:val="nextPage"/>
          <w:pgSz w:w="11909" w:h="16843" w:orient="portrait"/>
          <w:pgMar w:bottom="287" w:top="360" w:right="940" w:left="2189" w:header="720" w:footer="720"/>
          <w:titlePg w:val="false"/>
          <w:textDirection w:val="lrTb"/>
        </w:sectPr>
      </w:pPr>
    </w:p>
    <w:p>
      <w:pPr>
        <w:spacing w:before="19" w:after="419" w:line="240" w:lineRule="auto"/>
        <w:ind w:right="269" w:left="5424"/>
        <w:jc w:val="left"/>
        <w:textAlignment w:val="baseline"/>
      </w:pPr>
      <w:r>
        <w:drawing>
          <wp:inline>
            <wp:extent cx="1960245" cy="588645"/>
            <wp:docPr name="Picture" id="10"/>
            <a:graphic>
              <a:graphicData uri="http://schemas.openxmlformats.org/drawingml/2006/picture">
                <pic:pic>
                  <pic:nvPicPr>
                    <pic:cNvPr id="10" name="Picture"/>
                    <pic:cNvPicPr preferRelativeResize="false"/>
                  </pic:nvPicPr>
                  <pic:blipFill>
                    <a:blip r:embed="prId10"/>
                    <a:stretch>
                      <a:fillRect/>
                    </a:stretch>
                  </pic:blipFill>
                  <pic:spPr>
                    <a:xfrm>
                      <a:off x="0" y="0"/>
                      <a:ext cx="1960245" cy="588645"/>
                    </a:xfrm>
                    <a:prstGeom prst="rect"/>
                  </pic:spPr>
                </pic:pic>
              </a:graphicData>
            </a:graphic>
          </wp:inline>
        </w:drawing>
      </w:r>
    </w:p>
    <w:p>
      <w:pPr>
        <w:spacing w:before="0" w:after="0" w:line="230" w:lineRule="exact"/>
        <w:ind w:right="0" w:left="72" w:firstLine="0"/>
        <w:jc w:val="left"/>
        <w:textAlignment w:val="baseline"/>
        <w:rPr>
          <w:rFonts w:ascii="Arial" w:hAnsi="Arial" w:eastAsia="Arial"/>
          <w:color w:val="001F46"/>
          <w:spacing w:val="0"/>
          <w:w w:val="100"/>
          <w:sz w:val="20"/>
          <w:vertAlign w:val="baseline"/>
          <w:lang w:val="en-US"/>
        </w:rPr>
      </w:pPr>
      <w:r>
        <w:rPr>
          <w:rFonts w:ascii="Arial" w:hAnsi="Arial" w:eastAsia="Arial"/>
          <w:color w:val="001F46"/>
          <w:spacing w:val="0"/>
          <w:w w:val="100"/>
          <w:sz w:val="20"/>
          <w:vertAlign w:val="baseline"/>
          <w:lang w:val="en-US"/>
        </w:rPr>
        <w:t xml:space="preserve">TEMAG recognised the impact of the reforms to accreditation that immediately preceded it:</w:t>
      </w:r>
    </w:p>
    <w:p>
      <w:pPr>
        <w:spacing w:before="243" w:after="0" w:line="239" w:lineRule="exact"/>
        <w:ind w:right="360" w:left="792" w:firstLine="0"/>
        <w:jc w:val="left"/>
        <w:textAlignment w:val="baseline"/>
        <w:rPr>
          <w:rFonts w:ascii="Arial" w:hAnsi="Arial" w:eastAsia="Arial"/>
          <w:i w:val="true"/>
          <w:color w:val="001F46"/>
          <w:spacing w:val="0"/>
          <w:w w:val="100"/>
          <w:sz w:val="20"/>
          <w:vertAlign w:val="baseline"/>
          <w:lang w:val="en-US"/>
        </w:rPr>
      </w:pPr>
      <w:r>
        <w:rPr>
          <w:rFonts w:ascii="Arial" w:hAnsi="Arial" w:eastAsia="Arial"/>
          <w:i w:val="true"/>
          <w:color w:val="001F46"/>
          <w:spacing w:val="0"/>
          <w:w w:val="100"/>
          <w:sz w:val="20"/>
          <w:vertAlign w:val="baseline"/>
          <w:lang w:val="en-US"/>
        </w:rPr>
        <w:t xml:space="preserve">‘The Professional Standards and the Accreditation Standards have been important in </w:t>
      </w:r>
      <w:r>
        <w:rPr>
          <w:rFonts w:ascii="Arial" w:hAnsi="Arial" w:eastAsia="Arial"/>
          <w:i w:val="true"/>
          <w:color w:val="001F46"/>
          <w:spacing w:val="0"/>
          <w:w w:val="100"/>
          <w:sz w:val="20"/>
          <w:vertAlign w:val="baseline"/>
          <w:lang w:val="en-US"/>
        </w:rPr>
        <w:t xml:space="preserve">establishing clear criteria for the skills and knowledge we expect graduates to develop through their initial teacher education. They provide a strong foundation for quality </w:t>
      </w:r>
      <w:r>
        <w:rPr>
          <w:rFonts w:ascii="Arial" w:hAnsi="Arial" w:eastAsia="Arial"/>
          <w:i w:val="true"/>
          <w:color w:val="001F46"/>
          <w:spacing w:val="0"/>
          <w:w w:val="100"/>
          <w:sz w:val="20"/>
          <w:vertAlign w:val="baseline"/>
          <w:lang w:val="en-US"/>
        </w:rPr>
        <w:t xml:space="preserve">assurance and improvement to initial teacher education.’</w:t>
      </w:r>
      <w:r>
        <w:rPr>
          <w:rFonts w:ascii="Arial" w:hAnsi="Arial" w:eastAsia="Arial"/>
          <w:i w:val="true"/>
          <w:color w:val="001F46"/>
          <w:spacing w:val="0"/>
          <w:w w:val="100"/>
          <w:sz w:val="20"/>
          <w:vertAlign w:val="superscript"/>
          <w:lang w:val="en-US"/>
        </w:rPr>
        <w:t xml:space="preserve">5</w:t>
      </w:r>
      <w:r>
        <w:rPr>
          <w:rFonts w:ascii="Arial" w:hAnsi="Arial" w:eastAsia="Arial"/>
          <w:i w:val="true"/>
          <w:color w:val="001F46"/>
          <w:spacing w:val="0"/>
          <w:w w:val="100"/>
          <w:sz w:val="13"/>
          <w:vertAlign w:val="baseline"/>
          <w:lang w:val="en-US"/>
        </w:rPr>
        <w:t xml:space="preserve">
</w:t>
      </w:r>
    </w:p>
    <w:p>
      <w:pPr>
        <w:spacing w:before="241" w:after="0" w:line="240" w:lineRule="exact"/>
        <w:ind w:right="144" w:left="72" w:firstLine="0"/>
        <w:jc w:val="left"/>
        <w:textAlignment w:val="baseline"/>
        <w:rPr>
          <w:rFonts w:ascii="Arial" w:hAnsi="Arial" w:eastAsia="Arial"/>
          <w:color w:val="001F46"/>
          <w:spacing w:val="0"/>
          <w:w w:val="100"/>
          <w:sz w:val="20"/>
          <w:vertAlign w:val="baseline"/>
          <w:lang w:val="en-US"/>
        </w:rPr>
      </w:pPr>
      <w:r>
        <w:rPr>
          <w:rFonts w:ascii="Arial" w:hAnsi="Arial" w:eastAsia="Arial"/>
          <w:color w:val="001F46"/>
          <w:spacing w:val="0"/>
          <w:w w:val="100"/>
          <w:sz w:val="20"/>
          <w:vertAlign w:val="baseline"/>
          <w:lang w:val="en-US"/>
        </w:rPr>
        <w:t xml:space="preserve">TEMAG itself built on and extended earlier work. TEMAG made 38 recommendations, under five key themes:</w:t>
      </w:r>
    </w:p>
    <w:p>
      <w:pPr>
        <w:numPr>
          <w:ilvl w:val="0"/>
          <w:numId w:val="3"/>
        </w:numPr>
        <w:tabs>
          <w:tab w:val="clear" w:pos="576"/>
          <w:tab w:val="left" w:pos="1224"/>
        </w:tabs>
        <w:spacing w:before="124" w:after="0" w:line="240" w:lineRule="exact"/>
        <w:ind w:right="0" w:left="648" w:firstLine="0"/>
        <w:jc w:val="left"/>
        <w:textAlignment w:val="baseline"/>
        <w:rPr>
          <w:rFonts w:ascii="Arial" w:hAnsi="Arial" w:eastAsia="Arial"/>
          <w:color w:val="001F46"/>
          <w:spacing w:val="0"/>
          <w:w w:val="100"/>
          <w:sz w:val="20"/>
          <w:vertAlign w:val="baseline"/>
          <w:lang w:val="en-US"/>
        </w:rPr>
      </w:pPr>
      <w:r>
        <w:rPr>
          <w:rFonts w:ascii="Arial" w:hAnsi="Arial" w:eastAsia="Arial"/>
          <w:color w:val="001F46"/>
          <w:spacing w:val="0"/>
          <w:w w:val="100"/>
          <w:sz w:val="20"/>
          <w:vertAlign w:val="baseline"/>
          <w:lang w:val="en-US"/>
        </w:rPr>
        <w:t xml:space="preserve">stronger quality assurance of teacher education courses;</w:t>
      </w:r>
    </w:p>
    <w:p>
      <w:pPr>
        <w:numPr>
          <w:ilvl w:val="0"/>
          <w:numId w:val="3"/>
        </w:numPr>
        <w:tabs>
          <w:tab w:val="clear" w:pos="576"/>
          <w:tab w:val="left" w:pos="1224"/>
        </w:tabs>
        <w:spacing w:before="125" w:after="0" w:line="240" w:lineRule="exact"/>
        <w:ind w:right="0" w:left="648" w:firstLine="0"/>
        <w:jc w:val="left"/>
        <w:textAlignment w:val="baseline"/>
        <w:rPr>
          <w:rFonts w:ascii="Arial" w:hAnsi="Arial" w:eastAsia="Arial"/>
          <w:color w:val="001F46"/>
          <w:spacing w:val="0"/>
          <w:w w:val="100"/>
          <w:sz w:val="20"/>
          <w:vertAlign w:val="baseline"/>
          <w:lang w:val="en-US"/>
        </w:rPr>
      </w:pPr>
      <w:r>
        <w:rPr>
          <w:rFonts w:ascii="Arial" w:hAnsi="Arial" w:eastAsia="Arial"/>
          <w:color w:val="001F46"/>
          <w:spacing w:val="0"/>
          <w:w w:val="100"/>
          <w:sz w:val="20"/>
          <w:vertAlign w:val="baseline"/>
          <w:lang w:val="en-US"/>
        </w:rPr>
        <w:t xml:space="preserve">rigorous selection for entry to teacher education courses;</w:t>
      </w:r>
    </w:p>
    <w:p>
      <w:pPr>
        <w:numPr>
          <w:ilvl w:val="0"/>
          <w:numId w:val="3"/>
        </w:numPr>
        <w:tabs>
          <w:tab w:val="clear" w:pos="576"/>
          <w:tab w:val="left" w:pos="1224"/>
        </w:tabs>
        <w:spacing w:before="125" w:after="0" w:line="240" w:lineRule="exact"/>
        <w:ind w:right="0" w:left="648" w:firstLine="0"/>
        <w:jc w:val="left"/>
        <w:textAlignment w:val="baseline"/>
        <w:rPr>
          <w:rFonts w:ascii="Arial" w:hAnsi="Arial" w:eastAsia="Arial"/>
          <w:color w:val="001F46"/>
          <w:spacing w:val="0"/>
          <w:w w:val="100"/>
          <w:sz w:val="20"/>
          <w:vertAlign w:val="baseline"/>
          <w:lang w:val="en-US"/>
        </w:rPr>
      </w:pPr>
      <w:r>
        <w:rPr>
          <w:rFonts w:ascii="Arial" w:hAnsi="Arial" w:eastAsia="Arial"/>
          <w:color w:val="001F46"/>
          <w:spacing w:val="0"/>
          <w:w w:val="100"/>
          <w:sz w:val="20"/>
          <w:vertAlign w:val="baseline"/>
          <w:lang w:val="en-US"/>
        </w:rPr>
        <w:t xml:space="preserve">improved and structured practical experience for teacher education students;</w:t>
      </w:r>
    </w:p>
    <w:p>
      <w:pPr>
        <w:numPr>
          <w:ilvl w:val="0"/>
          <w:numId w:val="3"/>
        </w:numPr>
        <w:tabs>
          <w:tab w:val="clear" w:pos="576"/>
          <w:tab w:val="left" w:pos="1224"/>
        </w:tabs>
        <w:spacing w:before="120" w:after="0" w:line="240" w:lineRule="exact"/>
        <w:ind w:right="0" w:left="648" w:firstLine="0"/>
        <w:jc w:val="left"/>
        <w:textAlignment w:val="baseline"/>
        <w:rPr>
          <w:rFonts w:ascii="Arial" w:hAnsi="Arial" w:eastAsia="Arial"/>
          <w:color w:val="001F46"/>
          <w:spacing w:val="0"/>
          <w:w w:val="100"/>
          <w:sz w:val="20"/>
          <w:vertAlign w:val="baseline"/>
          <w:lang w:val="en-US"/>
        </w:rPr>
      </w:pPr>
      <w:r>
        <w:rPr>
          <w:rFonts w:ascii="Arial" w:hAnsi="Arial" w:eastAsia="Arial"/>
          <w:color w:val="001F46"/>
          <w:spacing w:val="0"/>
          <w:w w:val="100"/>
          <w:sz w:val="20"/>
          <w:vertAlign w:val="baseline"/>
          <w:lang w:val="en-US"/>
        </w:rPr>
        <w:t xml:space="preserve">robust assessment of graduates to ensure classroom readiness; and</w:t>
      </w:r>
    </w:p>
    <w:p>
      <w:pPr>
        <w:numPr>
          <w:ilvl w:val="0"/>
          <w:numId w:val="3"/>
        </w:numPr>
        <w:tabs>
          <w:tab w:val="clear" w:pos="576"/>
          <w:tab w:val="left" w:pos="1224"/>
        </w:tabs>
        <w:spacing w:before="125" w:after="0" w:line="240" w:lineRule="exact"/>
        <w:ind w:right="0" w:left="648" w:firstLine="0"/>
        <w:jc w:val="left"/>
        <w:textAlignment w:val="baseline"/>
        <w:rPr>
          <w:rFonts w:ascii="Arial" w:hAnsi="Arial" w:eastAsia="Arial"/>
          <w:color w:val="001F46"/>
          <w:spacing w:val="0"/>
          <w:w w:val="100"/>
          <w:sz w:val="20"/>
          <w:vertAlign w:val="baseline"/>
          <w:lang w:val="en-US"/>
        </w:rPr>
      </w:pPr>
      <w:r>
        <w:rPr>
          <w:rFonts w:ascii="Arial" w:hAnsi="Arial" w:eastAsia="Arial"/>
          <w:color w:val="001F46"/>
          <w:spacing w:val="0"/>
          <w:w w:val="100"/>
          <w:sz w:val="20"/>
          <w:vertAlign w:val="baseline"/>
          <w:lang w:val="en-US"/>
        </w:rPr>
        <w:t xml:space="preserve">national research and workforce planning capabilities.</w:t>
      </w:r>
    </w:p>
    <w:p>
      <w:pPr>
        <w:spacing w:before="240" w:after="0" w:line="240" w:lineRule="exact"/>
        <w:ind w:right="72" w:left="72" w:firstLine="0"/>
        <w:jc w:val="left"/>
        <w:textAlignment w:val="baseline"/>
        <w:rPr>
          <w:rFonts w:ascii="Arial" w:hAnsi="Arial" w:eastAsia="Arial"/>
          <w:color w:val="001F46"/>
          <w:spacing w:val="-1"/>
          <w:w w:val="100"/>
          <w:sz w:val="20"/>
          <w:vertAlign w:val="baseline"/>
          <w:lang w:val="en-US"/>
        </w:rPr>
      </w:pPr>
      <w:r>
        <w:rPr>
          <w:rFonts w:ascii="Arial" w:hAnsi="Arial" w:eastAsia="Arial"/>
          <w:color w:val="001F46"/>
          <w:spacing w:val="-1"/>
          <w:w w:val="100"/>
          <w:sz w:val="20"/>
          <w:vertAlign w:val="baseline"/>
          <w:lang w:val="en-US"/>
        </w:rPr>
        <w:t xml:space="preserve">The Commonwealth Government responded </w:t>
      </w:r>
      <w:r>
        <w:rPr>
          <w:rFonts w:ascii="Arial" w:hAnsi="Arial" w:eastAsia="Arial"/>
          <w:color w:val="001F46"/>
          <w:spacing w:val="-1"/>
          <w:w w:val="100"/>
          <w:sz w:val="20"/>
          <w:vertAlign w:val="baseline"/>
          <w:lang w:val="en-US"/>
        </w:rPr>
        <w:t xml:space="preserve">to TEMAG’s recommendations </w:t>
      </w:r>
      <w:r>
        <w:rPr>
          <w:rFonts w:ascii="Arial" w:hAnsi="Arial" w:eastAsia="Arial"/>
          <w:color w:val="001F46"/>
          <w:spacing w:val="-1"/>
          <w:w w:val="100"/>
          <w:sz w:val="20"/>
          <w:vertAlign w:val="baseline"/>
          <w:lang w:val="en-US"/>
        </w:rPr>
        <w:t xml:space="preserve">in February 2015. In </w:t>
      </w:r>
      <w:r>
        <w:rPr>
          <w:rFonts w:ascii="Arial" w:hAnsi="Arial" w:eastAsia="Arial"/>
          <w:color w:val="001F46"/>
          <w:spacing w:val="-1"/>
          <w:w w:val="100"/>
          <w:sz w:val="20"/>
          <w:vertAlign w:val="baseline"/>
          <w:lang w:val="en-US"/>
        </w:rPr>
        <w:t xml:space="preserve">response to TEMAG’s recommendations, t</w:t>
      </w:r>
      <w:r>
        <w:rPr>
          <w:rFonts w:ascii="Arial" w:hAnsi="Arial" w:eastAsia="Arial"/>
          <w:color w:val="001F46"/>
          <w:spacing w:val="-1"/>
          <w:w w:val="100"/>
          <w:sz w:val="20"/>
          <w:vertAlign w:val="baseline"/>
          <w:lang w:val="en-US"/>
        </w:rPr>
        <w:t xml:space="preserve">he Government has worked to strengthen the roles of AITSL and TEQSA in accreditation of ITE programs. </w:t>
      </w:r>
      <w:r>
        <w:rPr>
          <w:rFonts w:ascii="Arial" w:hAnsi="Arial" w:eastAsia="Arial"/>
          <w:color w:val="001F46"/>
          <w:spacing w:val="-1"/>
          <w:w w:val="100"/>
          <w:sz w:val="20"/>
          <w:vertAlign w:val="baseline"/>
          <w:lang w:val="en-US"/>
        </w:rPr>
        <w:t xml:space="preserve">Under AITSL’s leadership, university ITE </w:t>
      </w:r>
      <w:r>
        <w:rPr>
          <w:rFonts w:ascii="Arial" w:hAnsi="Arial" w:eastAsia="Arial"/>
          <w:color w:val="001F46"/>
          <w:spacing w:val="-1"/>
          <w:w w:val="100"/>
          <w:sz w:val="20"/>
          <w:vertAlign w:val="baseline"/>
          <w:lang w:val="en-US"/>
        </w:rPr>
        <w:t xml:space="preserve">programs began a new cycle of program accreditation according to more rigorous new standards.</w:t>
      </w:r>
    </w:p>
    <w:p>
      <w:pPr>
        <w:spacing w:before="240" w:after="0" w:line="240" w:lineRule="exact"/>
        <w:ind w:right="72" w:left="72" w:firstLine="0"/>
        <w:jc w:val="left"/>
        <w:textAlignment w:val="baseline"/>
        <w:rPr>
          <w:rFonts w:ascii="Arial" w:hAnsi="Arial" w:eastAsia="Arial"/>
          <w:color w:val="001F46"/>
          <w:spacing w:val="0"/>
          <w:w w:val="100"/>
          <w:sz w:val="20"/>
          <w:vertAlign w:val="baseline"/>
          <w:lang w:val="en-US"/>
        </w:rPr>
      </w:pPr>
      <w:r>
        <w:rPr>
          <w:rFonts w:ascii="Arial" w:hAnsi="Arial" w:eastAsia="Arial"/>
          <w:color w:val="001F46"/>
          <w:spacing w:val="0"/>
          <w:w w:val="100"/>
          <w:sz w:val="20"/>
          <w:vertAlign w:val="baseline"/>
          <w:lang w:val="en-US"/>
        </w:rPr>
        <w:t xml:space="preserve">Following TEMAG, the Commonwealth introduced the Literacy and Numeracy Test for Initial Teacher Education Students (LANTITE) and set a timetable for LANTITE to become a mandatory requirement for all ITE students to get their degrees. LANTITE requires students to demonstrate that they are in the top 30 per cent of the adult population for both literacy and numeracy. Over 90 per cent of ITE students consistently meet the standard.</w:t>
      </w:r>
    </w:p>
    <w:p>
      <w:pPr>
        <w:spacing w:before="240" w:after="0" w:line="240" w:lineRule="exact"/>
        <w:ind w:right="144" w:left="72" w:firstLine="0"/>
        <w:jc w:val="left"/>
        <w:textAlignment w:val="baseline"/>
        <w:rPr>
          <w:rFonts w:ascii="Arial" w:hAnsi="Arial" w:eastAsia="Arial"/>
          <w:color w:val="001F46"/>
          <w:spacing w:val="-1"/>
          <w:w w:val="100"/>
          <w:sz w:val="20"/>
          <w:vertAlign w:val="baseline"/>
          <w:lang w:val="en-US"/>
        </w:rPr>
      </w:pPr>
      <w:r>
        <w:rPr>
          <w:rFonts w:ascii="Arial" w:hAnsi="Arial" w:eastAsia="Arial"/>
          <w:color w:val="001F46"/>
          <w:spacing w:val="-1"/>
          <w:w w:val="100"/>
          <w:sz w:val="20"/>
          <w:vertAlign w:val="baseline"/>
          <w:lang w:val="en-US"/>
        </w:rPr>
        <w:t xml:space="preserve">The Government instructed AITSL </w:t>
      </w:r>
      <w:r>
        <w:rPr>
          <w:rFonts w:ascii="Arial" w:hAnsi="Arial" w:eastAsia="Arial"/>
          <w:color w:val="001F46"/>
          <w:spacing w:val="-1"/>
          <w:w w:val="100"/>
          <w:sz w:val="20"/>
          <w:vertAlign w:val="baseline"/>
          <w:lang w:val="en-US"/>
        </w:rPr>
        <w:t xml:space="preserve">– </w:t>
      </w:r>
      <w:r>
        <w:rPr>
          <w:rFonts w:ascii="Arial" w:hAnsi="Arial" w:eastAsia="Arial"/>
          <w:color w:val="001F46"/>
          <w:spacing w:val="-1"/>
          <w:w w:val="100"/>
          <w:sz w:val="20"/>
          <w:vertAlign w:val="baseline"/>
          <w:lang w:val="en-US"/>
        </w:rPr>
        <w:t xml:space="preserve">in partnership with universities, schools and education authorities </w:t>
      </w:r>
      <w:r>
        <w:rPr>
          <w:rFonts w:ascii="Arial" w:hAnsi="Arial" w:eastAsia="Arial"/>
          <w:color w:val="001F46"/>
          <w:spacing w:val="-1"/>
          <w:w w:val="100"/>
          <w:sz w:val="20"/>
          <w:vertAlign w:val="baseline"/>
          <w:lang w:val="en-US"/>
        </w:rPr>
        <w:t xml:space="preserve">– </w:t>
      </w:r>
      <w:r>
        <w:rPr>
          <w:rFonts w:ascii="Arial" w:hAnsi="Arial" w:eastAsia="Arial"/>
          <w:color w:val="001F46"/>
          <w:spacing w:val="-1"/>
          <w:w w:val="100"/>
          <w:sz w:val="20"/>
          <w:vertAlign w:val="baseline"/>
          <w:lang w:val="en-US"/>
        </w:rPr>
        <w:t xml:space="preserve">to establish and publish the essential requirements for practical experience, identify best practice examples in Australia, and model partnership agreements and other supporting materials for universities. </w:t>
      </w:r>
      <w:r>
        <w:rPr>
          <w:rFonts w:ascii="Arial" w:hAnsi="Arial" w:eastAsia="Arial"/>
          <w:color w:val="001F46"/>
          <w:spacing w:val="-1"/>
          <w:w w:val="100"/>
          <w:sz w:val="20"/>
          <w:vertAlign w:val="baseline"/>
          <w:lang w:val="en-US"/>
        </w:rPr>
        <w:t xml:space="preserve">The Government’s response to TEMAG’s recommendations included </w:t>
      </w:r>
      <w:r>
        <w:rPr>
          <w:rFonts w:ascii="Arial" w:hAnsi="Arial" w:eastAsia="Arial"/>
          <w:color w:val="001F46"/>
          <w:spacing w:val="-1"/>
          <w:w w:val="100"/>
          <w:sz w:val="20"/>
          <w:vertAlign w:val="baseline"/>
          <w:lang w:val="en-US"/>
        </w:rPr>
        <w:t xml:space="preserve">extra funding for universities to cover costs of teaching practica within ITE programs. This additional funding appears to have been removed as part of extensive changes to cluster funding arrangements under the Job-Ready Graduates (JRG) legislation.</w:t>
      </w:r>
    </w:p>
    <w:p>
      <w:pPr>
        <w:spacing w:before="235" w:after="0" w:line="240" w:lineRule="exact"/>
        <w:ind w:right="288" w:left="72" w:firstLine="0"/>
        <w:jc w:val="left"/>
        <w:textAlignment w:val="baseline"/>
        <w:rPr>
          <w:rFonts w:ascii="Arial" w:hAnsi="Arial" w:eastAsia="Arial"/>
          <w:color w:val="001F46"/>
          <w:spacing w:val="0"/>
          <w:w w:val="100"/>
          <w:sz w:val="20"/>
          <w:vertAlign w:val="baseline"/>
          <w:lang w:val="en-US"/>
        </w:rPr>
      </w:pPr>
      <w:r>
        <w:rPr>
          <w:rFonts w:ascii="Arial" w:hAnsi="Arial" w:eastAsia="Arial"/>
          <w:color w:val="001F46"/>
          <w:spacing w:val="0"/>
          <w:w w:val="100"/>
          <w:sz w:val="20"/>
          <w:vertAlign w:val="baseline"/>
          <w:lang w:val="en-US"/>
        </w:rPr>
        <w:t xml:space="preserve">TEMAG’s recommendations on assessment of graduating students’ classroom readiness led to </w:t>
      </w:r>
      <w:r>
        <w:rPr>
          <w:rFonts w:ascii="Arial" w:hAnsi="Arial" w:eastAsia="Arial"/>
          <w:color w:val="001F46"/>
          <w:spacing w:val="0"/>
          <w:w w:val="100"/>
          <w:sz w:val="20"/>
          <w:vertAlign w:val="baseline"/>
          <w:lang w:val="en-US"/>
        </w:rPr>
        <w:t xml:space="preserve">the Teacher Performance Assessment (TPA). The TPA is an integrated tool used to carry out a comprehensive assessment of the practical skills and knowledge of pre-service teachers. Pre-service teachers collect evidence of practice to complete the TPA in the final year of their initial teacher education program. The TPA is assessed by ITE providers and is a requirement for graduation</w:t>
      </w:r>
      <w:r>
        <w:rPr>
          <w:rFonts w:ascii="Arial" w:hAnsi="Arial" w:eastAsia="Arial"/>
          <w:color w:val="001F46"/>
          <w:spacing w:val="0"/>
          <w:w w:val="100"/>
          <w:sz w:val="20"/>
          <w:vertAlign w:val="superscript"/>
          <w:lang w:val="en-US"/>
        </w:rPr>
        <w:t xml:space="preserve">6</w:t>
      </w:r>
      <w:r>
        <w:rPr>
          <w:rFonts w:ascii="Arial" w:hAnsi="Arial" w:eastAsia="Arial"/>
          <w:color w:val="001F46"/>
          <w:spacing w:val="0"/>
          <w:w w:val="100"/>
          <w:sz w:val="20"/>
          <w:vertAlign w:val="baseline"/>
          <w:lang w:val="en-US"/>
        </w:rPr>
        <w:t xml:space="preserve">.</w:t>
      </w:r>
    </w:p>
    <w:p>
      <w:pPr>
        <w:spacing w:before="245" w:after="0" w:line="240" w:lineRule="exact"/>
        <w:ind w:right="288" w:left="72" w:firstLine="0"/>
        <w:jc w:val="left"/>
        <w:textAlignment w:val="baseline"/>
        <w:rPr>
          <w:rFonts w:ascii="Arial" w:hAnsi="Arial" w:eastAsia="Arial"/>
          <w:color w:val="001F46"/>
          <w:spacing w:val="0"/>
          <w:w w:val="100"/>
          <w:sz w:val="20"/>
          <w:vertAlign w:val="baseline"/>
          <w:lang w:val="en-US"/>
        </w:rPr>
      </w:pPr>
      <w:r>
        <w:rPr>
          <w:rFonts w:ascii="Arial" w:hAnsi="Arial" w:eastAsia="Arial"/>
          <w:color w:val="001F46"/>
          <w:spacing w:val="0"/>
          <w:w w:val="100"/>
          <w:sz w:val="20"/>
          <w:vertAlign w:val="baseline"/>
          <w:lang w:val="en-US"/>
        </w:rPr>
        <w:t xml:space="preserve">Finally, following TEMAG’s recommendations about improving </w:t>
      </w:r>
      <w:r>
        <w:rPr>
          <w:rFonts w:ascii="Arial" w:hAnsi="Arial" w:eastAsia="Arial"/>
          <w:color w:val="001F46"/>
          <w:spacing w:val="0"/>
          <w:w w:val="100"/>
          <w:sz w:val="20"/>
          <w:vertAlign w:val="baseline"/>
          <w:lang w:val="en-US"/>
        </w:rPr>
        <w:t xml:space="preserve">national capabilities for research and workforce planning related to teaching, Commonwealth and State/Territory Education Ministers have set up the National Evidence Institute.</w:t>
      </w:r>
    </w:p>
    <w:p>
      <w:pPr>
        <w:spacing w:before="240" w:after="459" w:line="240" w:lineRule="exact"/>
        <w:ind w:right="144" w:left="72" w:firstLine="0"/>
        <w:jc w:val="left"/>
        <w:textAlignment w:val="baseline"/>
        <w:rPr>
          <w:rFonts w:ascii="Arial" w:hAnsi="Arial" w:eastAsia="Arial"/>
          <w:color w:val="001F46"/>
          <w:spacing w:val="0"/>
          <w:w w:val="100"/>
          <w:sz w:val="20"/>
          <w:vertAlign w:val="baseline"/>
          <w:lang w:val="en-US"/>
        </w:rPr>
      </w:pPr>
      <w:r>
        <w:rPr>
          <w:rFonts w:ascii="Arial" w:hAnsi="Arial" w:eastAsia="Arial"/>
          <w:color w:val="001F46"/>
          <w:spacing w:val="0"/>
          <w:w w:val="100"/>
          <w:sz w:val="20"/>
          <w:vertAlign w:val="baseline"/>
          <w:lang w:val="en-US"/>
        </w:rPr>
        <w:t xml:space="preserve">Reforms following TEMAG have had a positive impact and have built on earlier improvements. Nevertheless, changes starting in the middle of the previous decade (at the very earliest) are still relatively recent and there has not been any comprehensive evaluation of the changes.</w:t>
      </w:r>
    </w:p>
    <w:p>
      <w:pPr>
        <w:spacing w:before="166" w:after="0" w:line="197" w:lineRule="exact"/>
        <w:ind w:right="1152" w:left="360" w:hanging="288"/>
        <w:jc w:val="left"/>
        <w:textAlignment w:val="baseline"/>
        <w:rPr>
          <w:rFonts w:ascii="Arial" w:hAnsi="Arial" w:eastAsia="Arial"/>
          <w:color w:val="001F46"/>
          <w:spacing w:val="0"/>
          <w:w w:val="100"/>
          <w:sz w:val="10"/>
          <w:vertAlign w:val="superscript"/>
          <w:lang w:val="en-US"/>
        </w:rPr>
      </w:pPr>
      <w:r>
        <w:pict>
          <v:line strokeweight="0.7pt" strokecolor="#001F46" from="113.5pt,716.65pt" to="257.8pt,716.65pt" style="position:absolute;mso-position-horizontal-relative:page;mso-position-vertical-relative:page;">
            <v:stroke dashstyle="solid"/>
          </v:line>
        </w:pict>
      </w:r>
      <w:r>
        <w:rPr>
          <w:rFonts w:ascii="Arial" w:hAnsi="Arial" w:eastAsia="Arial"/>
          <w:color w:val="001F46"/>
          <w:spacing w:val="0"/>
          <w:w w:val="100"/>
          <w:sz w:val="10"/>
          <w:vertAlign w:val="superscript"/>
          <w:lang w:val="en-US"/>
        </w:rPr>
        <w:t xml:space="preserve">5</w:t>
      </w:r>
      <w:r>
        <w:rPr>
          <w:rFonts w:ascii="Arial" w:hAnsi="Arial" w:eastAsia="Arial"/>
          <w:color w:val="001F46"/>
          <w:spacing w:val="0"/>
          <w:w w:val="100"/>
          <w:sz w:val="16"/>
          <w:vertAlign w:val="baseline"/>
          <w:lang w:val="en-US"/>
        </w:rPr>
        <w:t xml:space="preserve"> TEMAG (2014), </w:t>
      </w:r>
      <w:r>
        <w:rPr>
          <w:rFonts w:ascii="Arial" w:hAnsi="Arial" w:eastAsia="Arial"/>
          <w:i w:val="true"/>
          <w:color w:val="001F46"/>
          <w:spacing w:val="0"/>
          <w:w w:val="100"/>
          <w:sz w:val="16"/>
          <w:vertAlign w:val="baseline"/>
          <w:lang w:val="en-US"/>
        </w:rPr>
        <w:t xml:space="preserve">Action Now: Classroom Ready Teachers</w:t>
      </w:r>
      <w:r>
        <w:rPr>
          <w:rFonts w:ascii="Arial" w:hAnsi="Arial" w:eastAsia="Arial"/>
          <w:color w:val="001F46"/>
          <w:spacing w:val="0"/>
          <w:w w:val="100"/>
          <w:sz w:val="16"/>
          <w:vertAlign w:val="baseline"/>
          <w:lang w:val="en-US"/>
        </w:rPr>
        <w:t xml:space="preserve">,</w:t>
      </w:r>
      <w:hyperlink r:id="dhId9">
        <w:r>
          <w:rPr>
            <w:rFonts w:ascii="Arial" w:hAnsi="Arial" w:eastAsia="Arial"/>
            <w:color w:val="0000FF"/>
            <w:spacing w:val="0"/>
            <w:w w:val="100"/>
            <w:sz w:val="16"/>
            <w:u w:val="single"/>
            <w:vertAlign w:val="baseline"/>
            <w:lang w:val="en-US"/>
          </w:rPr>
          <w:t xml:space="preserve"> https://www.dese.gov.au/teaching-and-school-leadership/teacher-education-ministerial-advisory-group</w:t>
        </w:r>
      </w:hyperlink>
      <w:hyperlink r:id="dhId9">
        <w:r>
          <w:rPr>
            <w:rFonts w:ascii="Arial" w:hAnsi="Arial" w:eastAsia="Arial"/>
            <w:color w:val="0000FF"/>
            <w:spacing w:val="0"/>
            <w:w w:val="100"/>
            <w:sz w:val="16"/>
            <w:u w:val="single"/>
            <w:vertAlign w:val="baseline"/>
            <w:lang w:val="en-US"/>
          </w:rPr>
          <w:t xml:space="preserve">,</w:t>
        </w:r>
      </w:hyperlink>
      <w:r>
        <w:rPr>
          <w:rFonts w:ascii="Arial" w:hAnsi="Arial" w:eastAsia="Arial"/>
          <w:color w:val="001F46"/>
          <w:spacing w:val="0"/>
          <w:w w:val="100"/>
          <w:sz w:val="16"/>
          <w:vertAlign w:val="baseline"/>
          <w:lang w:val="en-US"/>
        </w:rPr>
        <w:t xml:space="preserve"> p.4</w:t>
      </w:r>
    </w:p>
    <w:p>
      <w:pPr>
        <w:spacing w:before="76" w:after="782" w:line="183" w:lineRule="exact"/>
        <w:ind w:right="0" w:left="72" w:firstLine="0"/>
        <w:jc w:val="left"/>
        <w:textAlignment w:val="baseline"/>
        <w:rPr>
          <w:rFonts w:ascii="Arial" w:hAnsi="Arial" w:eastAsia="Arial"/>
          <w:color w:val="001F46"/>
          <w:spacing w:val="0"/>
          <w:w w:val="100"/>
          <w:sz w:val="10"/>
          <w:vertAlign w:val="baseline"/>
          <w:lang w:val="en-US"/>
        </w:rPr>
      </w:pPr>
      <w:r>
        <w:rPr>
          <w:rFonts w:ascii="Arial" w:hAnsi="Arial" w:eastAsia="Arial"/>
          <w:color w:val="001F46"/>
          <w:spacing w:val="0"/>
          <w:w w:val="100"/>
          <w:sz w:val="10"/>
          <w:vertAlign w:val="baseline"/>
          <w:lang w:val="en-US"/>
        </w:rPr>
        <w:t xml:space="preserve">6 </w:t>
      </w:r>
      <w:r>
        <w:rPr>
          <w:rFonts w:ascii="Arial" w:hAnsi="Arial" w:eastAsia="Arial"/>
          <w:color w:val="001F46"/>
          <w:spacing w:val="0"/>
          <w:w w:val="100"/>
          <w:sz w:val="16"/>
          <w:vertAlign w:val="baseline"/>
          <w:lang w:val="en-US"/>
        </w:rPr>
        <w:t xml:space="preserve">See information on AITSL’s website at</w:t>
      </w:r>
      <w:hyperlink r:id="dhId10">
        <w:r>
          <w:rPr>
            <w:rFonts w:ascii="Arial" w:hAnsi="Arial" w:eastAsia="Arial"/>
            <w:color w:val="0000FF"/>
            <w:spacing w:val="0"/>
            <w:w w:val="100"/>
            <w:sz w:val="16"/>
            <w:u w:val="single"/>
            <w:vertAlign w:val="baseline"/>
            <w:lang w:val="en-US"/>
          </w:rPr>
          <w:t xml:space="preserve"> https://www.aitsl.edu.au/deliver-ite-programs/teaching-performance-assessment</w:t>
        </w:r>
      </w:hyperlink>
      <w:r>
        <w:rPr>
          <w:rFonts w:ascii="Arial" w:hAnsi="Arial" w:eastAsia="Arial"/>
          <w:color w:val="000000"/>
          <w:spacing w:val="0"/>
          <w:w w:val="100"/>
          <w:sz w:val="16"/>
          <w:vertAlign w:val="baseline"/>
          <w:lang w:val="en-US"/>
        </w:rPr>
        <w:t xml:space="preserve">
</w:t>
      </w:r>
    </w:p>
    <w:p>
      <w:pPr>
        <w:spacing w:before="76" w:after="782" w:line="183" w:lineRule="exact"/>
        <w:sectPr>
          <w:type w:val="nextPage"/>
          <w:pgSz w:w="11909" w:h="16843" w:orient="portrait"/>
          <w:pgMar w:bottom="287" w:top="360" w:right="931" w:left="2198" w:header="720" w:footer="720"/>
          <w:titlePg w:val="false"/>
          <w:textDirection w:val="lrTb"/>
        </w:sectPr>
      </w:pPr>
    </w:p>
    <w:p>
      <w:pPr>
        <w:tabs>
          <w:tab w:val="right" w:leader="none" w:pos="8640"/>
        </w:tabs>
        <w:spacing w:before="0" w:after="0" w:line="183" w:lineRule="exact"/>
        <w:ind w:right="0" w:left="144" w:firstLine="0"/>
        <w:jc w:val="left"/>
        <w:textAlignment w:val="baseline"/>
        <w:rPr>
          <w:rFonts w:ascii="Arial" w:hAnsi="Arial" w:eastAsia="Arial"/>
          <w:b w:val="true"/>
          <w:color w:val="001F46"/>
          <w:spacing w:val="0"/>
          <w:w w:val="100"/>
          <w:sz w:val="16"/>
          <w:vertAlign w:val="baseline"/>
          <w:lang w:val="en-US"/>
        </w:rPr>
      </w:pPr>
      <w:r>
        <w:rPr>
          <w:rFonts w:ascii="Arial" w:hAnsi="Arial" w:eastAsia="Arial"/>
          <w:b w:val="true"/>
          <w:color w:val="001F46"/>
          <w:spacing w:val="0"/>
          <w:w w:val="100"/>
          <w:sz w:val="16"/>
          <w:vertAlign w:val="baseline"/>
          <w:lang w:val="en-US"/>
        </w:rPr>
        <w:t xml:space="preserve">UNIVERSITIES AUSTRALIA </w:t>
      </w:r>
      <w:r>
        <w:rPr>
          <w:rFonts w:ascii="Arial" w:hAnsi="Arial" w:eastAsia="Arial"/>
          <w:color w:val="001F46"/>
          <w:spacing w:val="0"/>
          <w:w w:val="100"/>
          <w:sz w:val="16"/>
          <w:vertAlign w:val="baseline"/>
          <w:lang w:val="en-US"/>
        </w:rPr>
        <w:t xml:space="preserve">| QUALITY INITIAL TEACHER EDUCATION REVIEW	</w:t>
      </w:r>
      <w:r>
        <w:rPr>
          <w:rFonts w:ascii="Arial" w:hAnsi="Arial" w:eastAsia="Arial"/>
          <w:b w:val="true"/>
          <w:color w:val="001F46"/>
          <w:spacing w:val="0"/>
          <w:w w:val="100"/>
          <w:sz w:val="16"/>
          <w:vertAlign w:val="baseline"/>
          <w:lang w:val="en-US"/>
        </w:rPr>
        <w:t xml:space="preserve">10</w:t>
      </w:r>
    </w:p>
    <w:p>
      <w:pPr>
        <w:sectPr>
          <w:type w:val="continuous"/>
          <w:pgSz w:w="11909" w:h="16843" w:orient="portrait"/>
          <w:pgMar w:bottom="287" w:top="360" w:right="926" w:left="2203" w:header="720" w:footer="720"/>
          <w:titlePg w:val="false"/>
          <w:textDirection w:val="lrTb"/>
        </w:sectPr>
      </w:pPr>
    </w:p>
    <w:p>
      <w:pPr>
        <w:spacing w:before="19" w:after="419" w:line="240" w:lineRule="auto"/>
        <w:ind w:right="219" w:left="5474"/>
        <w:jc w:val="left"/>
        <w:textAlignment w:val="baseline"/>
      </w:pPr>
      <w:r>
        <w:drawing>
          <wp:inline>
            <wp:extent cx="1960245" cy="588645"/>
            <wp:docPr name="Picture" id="11"/>
            <a:graphic>
              <a:graphicData uri="http://schemas.openxmlformats.org/drawingml/2006/picture">
                <pic:pic>
                  <pic:nvPicPr>
                    <pic:cNvPr id="11" name="Picture"/>
                    <pic:cNvPicPr preferRelativeResize="false"/>
                  </pic:nvPicPr>
                  <pic:blipFill>
                    <a:blip r:embed="prId11"/>
                    <a:stretch>
                      <a:fillRect/>
                    </a:stretch>
                  </pic:blipFill>
                  <pic:spPr>
                    <a:xfrm>
                      <a:off x="0" y="0"/>
                      <a:ext cx="1960245" cy="588645"/>
                    </a:xfrm>
                    <a:prstGeom prst="rect"/>
                  </pic:spPr>
                </pic:pic>
              </a:graphicData>
            </a:graphic>
          </wp:inline>
        </w:drawing>
      </w:r>
    </w:p>
    <w:p>
      <w:pPr>
        <w:spacing w:before="0" w:after="0" w:line="234" w:lineRule="exact"/>
        <w:ind w:right="432" w:left="72" w:firstLine="0"/>
        <w:jc w:val="left"/>
        <w:textAlignment w:val="baseline"/>
        <w:rPr>
          <w:rFonts w:ascii="Arial" w:hAnsi="Arial" w:eastAsia="Arial"/>
          <w:color w:val="001F46"/>
          <w:spacing w:val="0"/>
          <w:w w:val="100"/>
          <w:sz w:val="20"/>
          <w:vertAlign w:val="baseline"/>
          <w:lang w:val="en-US"/>
        </w:rPr>
      </w:pPr>
      <w:r>
        <w:rPr>
          <w:rFonts w:ascii="Arial" w:hAnsi="Arial" w:eastAsia="Arial"/>
          <w:color w:val="001F46"/>
          <w:spacing w:val="0"/>
          <w:w w:val="100"/>
          <w:sz w:val="20"/>
          <w:vertAlign w:val="baseline"/>
          <w:lang w:val="en-US"/>
        </w:rPr>
        <w:t xml:space="preserve">Most of the ideas and concerns set out in the discussion paper for the current review address similar issues and seek to advance similar goals.</w:t>
      </w:r>
    </w:p>
    <w:p>
      <w:pPr>
        <w:spacing w:before="243" w:after="0" w:line="240" w:lineRule="exact"/>
        <w:ind w:right="144" w:left="72" w:firstLine="0"/>
        <w:jc w:val="left"/>
        <w:textAlignment w:val="baseline"/>
        <w:rPr>
          <w:rFonts w:ascii="Arial" w:hAnsi="Arial" w:eastAsia="Arial"/>
          <w:color w:val="001F46"/>
          <w:spacing w:val="0"/>
          <w:w w:val="100"/>
          <w:sz w:val="20"/>
          <w:vertAlign w:val="baseline"/>
          <w:lang w:val="en-US"/>
        </w:rPr>
      </w:pPr>
      <w:r>
        <w:rPr>
          <w:rFonts w:ascii="Arial" w:hAnsi="Arial" w:eastAsia="Arial"/>
          <w:color w:val="001F46"/>
          <w:spacing w:val="0"/>
          <w:w w:val="100"/>
          <w:sz w:val="20"/>
          <w:vertAlign w:val="baseline"/>
          <w:lang w:val="en-US"/>
        </w:rPr>
        <w:t xml:space="preserve">However, some of the specific ideas in the discussion paper threaten to contradict established </w:t>
      </w:r>
      <w:r>
        <w:rPr>
          <w:rFonts w:ascii="Arial" w:hAnsi="Arial" w:eastAsia="Arial"/>
          <w:color w:val="001F46"/>
          <w:spacing w:val="0"/>
          <w:w w:val="100"/>
          <w:sz w:val="20"/>
          <w:vertAlign w:val="baseline"/>
          <w:lang w:val="en-US"/>
        </w:rPr>
        <w:t xml:space="preserve">– </w:t>
      </w:r>
      <w:r>
        <w:rPr>
          <w:rFonts w:ascii="Arial" w:hAnsi="Arial" w:eastAsia="Arial"/>
          <w:color w:val="001F46"/>
          <w:spacing w:val="0"/>
          <w:w w:val="100"/>
          <w:sz w:val="20"/>
          <w:vertAlign w:val="baseline"/>
          <w:lang w:val="en-US"/>
        </w:rPr>
        <w:t xml:space="preserve">and beneficial </w:t>
      </w:r>
      <w:r>
        <w:rPr>
          <w:rFonts w:ascii="Arial" w:hAnsi="Arial" w:eastAsia="Arial"/>
          <w:color w:val="001F46"/>
          <w:spacing w:val="0"/>
          <w:w w:val="100"/>
          <w:sz w:val="20"/>
          <w:vertAlign w:val="baseline"/>
          <w:lang w:val="en-US"/>
        </w:rPr>
        <w:t xml:space="preserve">– </w:t>
      </w:r>
      <w:r>
        <w:rPr>
          <w:rFonts w:ascii="Arial" w:hAnsi="Arial" w:eastAsia="Arial"/>
          <w:color w:val="001F46"/>
          <w:spacing w:val="0"/>
          <w:w w:val="100"/>
          <w:sz w:val="20"/>
          <w:vertAlign w:val="baseline"/>
          <w:lang w:val="en-US"/>
        </w:rPr>
        <w:t xml:space="preserve">trends in ITE, including some supported by earlier reforms.</w:t>
      </w:r>
    </w:p>
    <w:p>
      <w:pPr>
        <w:spacing w:before="237" w:after="0" w:line="240" w:lineRule="exact"/>
        <w:ind w:right="648" w:left="72" w:firstLine="0"/>
        <w:jc w:val="left"/>
        <w:textAlignment w:val="baseline"/>
        <w:rPr>
          <w:rFonts w:ascii="Arial" w:hAnsi="Arial" w:eastAsia="Arial"/>
          <w:color w:val="001F46"/>
          <w:spacing w:val="-1"/>
          <w:w w:val="100"/>
          <w:sz w:val="20"/>
          <w:vertAlign w:val="baseline"/>
          <w:lang w:val="en-US"/>
        </w:rPr>
      </w:pPr>
      <w:r>
        <w:rPr>
          <w:rFonts w:ascii="Arial" w:hAnsi="Arial" w:eastAsia="Arial"/>
          <w:color w:val="001F46"/>
          <w:spacing w:val="-1"/>
          <w:w w:val="100"/>
          <w:sz w:val="20"/>
          <w:vertAlign w:val="baseline"/>
          <w:lang w:val="en-US"/>
        </w:rPr>
        <w:t xml:space="preserve">In particular, statements in the discussion paper (and the ToRs for the review) about easier admissions, shorter qualifications and higher completion rates are not easy to reconcile with salutary trends towards more rigorous entry processes, longer ITE qualification at the postgraduate level and measures to make it harder to get through an ITE course.</w:t>
      </w:r>
    </w:p>
    <w:p>
      <w:pPr>
        <w:spacing w:before="240" w:after="0" w:line="240" w:lineRule="exact"/>
        <w:ind w:right="72" w:left="72" w:firstLine="0"/>
        <w:jc w:val="left"/>
        <w:textAlignment w:val="baseline"/>
        <w:rPr>
          <w:rFonts w:ascii="Arial" w:hAnsi="Arial" w:eastAsia="Arial"/>
          <w:color w:val="001F46"/>
          <w:spacing w:val="0"/>
          <w:w w:val="100"/>
          <w:sz w:val="20"/>
          <w:vertAlign w:val="baseline"/>
          <w:lang w:val="en-US"/>
        </w:rPr>
      </w:pPr>
      <w:r>
        <w:rPr>
          <w:rFonts w:ascii="Arial" w:hAnsi="Arial" w:eastAsia="Arial"/>
          <w:color w:val="001F46"/>
          <w:spacing w:val="0"/>
          <w:w w:val="100"/>
          <w:sz w:val="20"/>
          <w:vertAlign w:val="baseline"/>
          <w:lang w:val="en-US"/>
        </w:rPr>
        <w:t xml:space="preserve">Aspirations expressed in the discussion paper for changes to admission and progress for mature age students take a very different tack from the approach to raising the quality and reputation of ITE and the teaching profession agreed between governments, universities and the</w:t>
      </w:r>
    </w:p>
    <w:p>
      <w:pPr>
        <w:spacing w:before="13" w:after="0" w:line="227" w:lineRule="exact"/>
        <w:ind w:right="0" w:left="72" w:firstLine="0"/>
        <w:jc w:val="left"/>
        <w:textAlignment w:val="baseline"/>
        <w:rPr>
          <w:rFonts w:ascii="Arial" w:hAnsi="Arial" w:eastAsia="Arial"/>
          <w:color w:val="001F46"/>
          <w:spacing w:val="0"/>
          <w:w w:val="100"/>
          <w:sz w:val="20"/>
          <w:vertAlign w:val="baseline"/>
          <w:lang w:val="en-US"/>
        </w:rPr>
      </w:pPr>
      <w:r>
        <w:rPr>
          <w:rFonts w:ascii="Arial" w:hAnsi="Arial" w:eastAsia="Arial"/>
          <w:color w:val="001F46"/>
          <w:spacing w:val="0"/>
          <w:w w:val="100"/>
          <w:sz w:val="20"/>
          <w:vertAlign w:val="baseline"/>
          <w:lang w:val="en-US"/>
        </w:rPr>
        <w:t xml:space="preserve">profession through initiatives such as TEMAG.</w:t>
      </w:r>
    </w:p>
    <w:p>
      <w:pPr>
        <w:spacing w:before="240" w:after="0" w:line="240" w:lineRule="exact"/>
        <w:ind w:right="720" w:left="72" w:firstLine="0"/>
        <w:jc w:val="left"/>
        <w:textAlignment w:val="baseline"/>
        <w:rPr>
          <w:rFonts w:ascii="Arial" w:hAnsi="Arial" w:eastAsia="Arial"/>
          <w:color w:val="001F46"/>
          <w:spacing w:val="0"/>
          <w:w w:val="100"/>
          <w:sz w:val="20"/>
          <w:vertAlign w:val="baseline"/>
          <w:lang w:val="en-US"/>
        </w:rPr>
      </w:pPr>
      <w:r>
        <w:rPr>
          <w:rFonts w:ascii="Arial" w:hAnsi="Arial" w:eastAsia="Arial"/>
          <w:color w:val="001F46"/>
          <w:spacing w:val="0"/>
          <w:w w:val="100"/>
          <w:sz w:val="20"/>
          <w:vertAlign w:val="baseline"/>
          <w:lang w:val="en-US"/>
        </w:rPr>
        <w:t xml:space="preserve">It will be important to ensure that recommendations of the current review work in the same direction as these beneficial trends and build on improvements already underway.</w:t>
      </w:r>
    </w:p>
    <w:p>
      <w:pPr>
        <w:spacing w:before="240" w:after="0" w:line="240" w:lineRule="exact"/>
        <w:ind w:right="648" w:left="72" w:firstLine="0"/>
        <w:jc w:val="left"/>
        <w:textAlignment w:val="baseline"/>
        <w:rPr>
          <w:rFonts w:ascii="Arial" w:hAnsi="Arial" w:eastAsia="Arial"/>
          <w:color w:val="001F46"/>
          <w:spacing w:val="0"/>
          <w:w w:val="100"/>
          <w:sz w:val="20"/>
          <w:vertAlign w:val="baseline"/>
          <w:lang w:val="en-US"/>
        </w:rPr>
      </w:pPr>
      <w:r>
        <w:rPr>
          <w:rFonts w:ascii="Arial" w:hAnsi="Arial" w:eastAsia="Arial"/>
          <w:color w:val="001F46"/>
          <w:spacing w:val="0"/>
          <w:w w:val="100"/>
          <w:sz w:val="20"/>
          <w:vertAlign w:val="baseline"/>
          <w:lang w:val="en-US"/>
        </w:rPr>
        <w:t xml:space="preserve">Finally, it should be noted that the House of Representatives Standing Committee on Employment, Education and Training conducted an inquiry into the status of teaching in 2019. The Committee reported at the end of 2019</w:t>
      </w:r>
      <w:r>
        <w:rPr>
          <w:rFonts w:ascii="Arial" w:hAnsi="Arial" w:eastAsia="Arial"/>
          <w:color w:val="001F46"/>
          <w:spacing w:val="0"/>
          <w:w w:val="100"/>
          <w:sz w:val="20"/>
          <w:vertAlign w:val="superscript"/>
          <w:lang w:val="en-US"/>
        </w:rPr>
        <w:t xml:space="preserve">7</w:t>
      </w:r>
      <w:r>
        <w:rPr>
          <w:rFonts w:ascii="Arial" w:hAnsi="Arial" w:eastAsia="Arial"/>
          <w:color w:val="001F46"/>
          <w:spacing w:val="0"/>
          <w:w w:val="100"/>
          <w:sz w:val="20"/>
          <w:vertAlign w:val="baseline"/>
          <w:lang w:val="en-US"/>
        </w:rPr>
        <w:t xml:space="preserve">, and this should be considered in policy development.</w:t>
      </w:r>
    </w:p>
    <w:p>
      <w:pPr>
        <w:spacing w:before="240" w:after="0" w:line="240" w:lineRule="exact"/>
        <w:ind w:right="648" w:left="72" w:firstLine="0"/>
        <w:jc w:val="left"/>
        <w:textAlignment w:val="baseline"/>
        <w:rPr>
          <w:rFonts w:ascii="Arial" w:hAnsi="Arial" w:eastAsia="Arial"/>
          <w:color w:val="001F46"/>
          <w:spacing w:val="0"/>
          <w:w w:val="100"/>
          <w:sz w:val="20"/>
          <w:vertAlign w:val="baseline"/>
          <w:lang w:val="en-US"/>
        </w:rPr>
      </w:pPr>
      <w:r>
        <w:rPr>
          <w:rFonts w:ascii="Arial" w:hAnsi="Arial" w:eastAsia="Arial"/>
          <w:color w:val="001F46"/>
          <w:spacing w:val="0"/>
          <w:w w:val="100"/>
          <w:sz w:val="20"/>
          <w:vertAlign w:val="baseline"/>
          <w:lang w:val="en-US"/>
        </w:rPr>
        <w:t xml:space="preserve">The Committee’s enquiry received submissions and </w:t>
      </w:r>
      <w:r>
        <w:rPr>
          <w:rFonts w:ascii="Arial" w:hAnsi="Arial" w:eastAsia="Arial"/>
          <w:color w:val="001F46"/>
          <w:spacing w:val="0"/>
          <w:w w:val="100"/>
          <w:sz w:val="20"/>
          <w:vertAlign w:val="baseline"/>
          <w:lang w:val="en-US"/>
        </w:rPr>
        <w:t xml:space="preserve">heard evidence on a number of issues relevant to the current review, including:</w:t>
      </w:r>
    </w:p>
    <w:p>
      <w:pPr>
        <w:numPr>
          <w:ilvl w:val="0"/>
          <w:numId w:val="3"/>
        </w:numPr>
        <w:tabs>
          <w:tab w:val="clear" w:pos="576"/>
          <w:tab w:val="left" w:pos="1296"/>
        </w:tabs>
        <w:spacing w:before="117" w:after="0" w:line="247" w:lineRule="exact"/>
        <w:ind w:right="0" w:left="720" w:firstLine="0"/>
        <w:jc w:val="left"/>
        <w:textAlignment w:val="baseline"/>
        <w:rPr>
          <w:rFonts w:ascii="Arial" w:hAnsi="Arial" w:eastAsia="Arial"/>
          <w:color w:val="001F46"/>
          <w:spacing w:val="-2"/>
          <w:w w:val="100"/>
          <w:sz w:val="20"/>
          <w:vertAlign w:val="baseline"/>
          <w:lang w:val="en-US"/>
        </w:rPr>
      </w:pPr>
      <w:r>
        <w:rPr>
          <w:rFonts w:ascii="Arial" w:hAnsi="Arial" w:eastAsia="Arial"/>
          <w:color w:val="001F46"/>
          <w:spacing w:val="-2"/>
          <w:w w:val="100"/>
          <w:sz w:val="20"/>
          <w:vertAlign w:val="baseline"/>
          <w:lang w:val="en-US"/>
        </w:rPr>
        <w:t xml:space="preserve">teacher selection;</w:t>
      </w:r>
    </w:p>
    <w:p>
      <w:pPr>
        <w:numPr>
          <w:ilvl w:val="0"/>
          <w:numId w:val="3"/>
        </w:numPr>
        <w:tabs>
          <w:tab w:val="clear" w:pos="576"/>
          <w:tab w:val="left" w:pos="1296"/>
        </w:tabs>
        <w:spacing w:before="118" w:after="0" w:line="247" w:lineRule="exact"/>
        <w:ind w:right="0" w:left="720" w:firstLine="0"/>
        <w:jc w:val="left"/>
        <w:textAlignment w:val="baseline"/>
        <w:rPr>
          <w:rFonts w:ascii="Arial" w:hAnsi="Arial" w:eastAsia="Arial"/>
          <w:color w:val="001F46"/>
          <w:spacing w:val="-2"/>
          <w:w w:val="100"/>
          <w:sz w:val="20"/>
          <w:vertAlign w:val="baseline"/>
          <w:lang w:val="en-US"/>
        </w:rPr>
      </w:pPr>
      <w:r>
        <w:rPr>
          <w:rFonts w:ascii="Arial" w:hAnsi="Arial" w:eastAsia="Arial"/>
          <w:color w:val="001F46"/>
          <w:spacing w:val="-2"/>
          <w:w w:val="100"/>
          <w:sz w:val="20"/>
          <w:vertAlign w:val="baseline"/>
          <w:lang w:val="en-US"/>
        </w:rPr>
        <w:t xml:space="preserve">induction and mentoring;</w:t>
      </w:r>
    </w:p>
    <w:p>
      <w:pPr>
        <w:numPr>
          <w:ilvl w:val="0"/>
          <w:numId w:val="3"/>
        </w:numPr>
        <w:tabs>
          <w:tab w:val="clear" w:pos="576"/>
          <w:tab w:val="left" w:pos="1296"/>
        </w:tabs>
        <w:spacing w:before="118" w:after="0" w:line="247" w:lineRule="exact"/>
        <w:ind w:right="0" w:left="720" w:firstLine="0"/>
        <w:jc w:val="left"/>
        <w:textAlignment w:val="baseline"/>
        <w:rPr>
          <w:rFonts w:ascii="Arial" w:hAnsi="Arial" w:eastAsia="Arial"/>
          <w:color w:val="001F46"/>
          <w:spacing w:val="-2"/>
          <w:w w:val="100"/>
          <w:sz w:val="20"/>
          <w:vertAlign w:val="baseline"/>
          <w:lang w:val="en-US"/>
        </w:rPr>
      </w:pPr>
      <w:r>
        <w:rPr>
          <w:rFonts w:ascii="Arial" w:hAnsi="Arial" w:eastAsia="Arial"/>
          <w:color w:val="001F46"/>
          <w:spacing w:val="-2"/>
          <w:w w:val="100"/>
          <w:sz w:val="20"/>
          <w:vertAlign w:val="baseline"/>
          <w:lang w:val="en-US"/>
        </w:rPr>
        <w:t xml:space="preserve">specialist support;</w:t>
      </w:r>
    </w:p>
    <w:p>
      <w:pPr>
        <w:numPr>
          <w:ilvl w:val="0"/>
          <w:numId w:val="3"/>
        </w:numPr>
        <w:tabs>
          <w:tab w:val="clear" w:pos="576"/>
          <w:tab w:val="left" w:pos="1296"/>
        </w:tabs>
        <w:spacing w:before="113" w:after="0" w:line="247" w:lineRule="exact"/>
        <w:ind w:right="0" w:left="720" w:firstLine="0"/>
        <w:jc w:val="left"/>
        <w:textAlignment w:val="baseline"/>
        <w:rPr>
          <w:rFonts w:ascii="Arial" w:hAnsi="Arial" w:eastAsia="Arial"/>
          <w:color w:val="001F46"/>
          <w:spacing w:val="-1"/>
          <w:w w:val="100"/>
          <w:sz w:val="20"/>
          <w:vertAlign w:val="baseline"/>
          <w:lang w:val="en-US"/>
        </w:rPr>
      </w:pPr>
      <w:r>
        <w:rPr>
          <w:rFonts w:ascii="Arial" w:hAnsi="Arial" w:eastAsia="Arial"/>
          <w:color w:val="001F46"/>
          <w:spacing w:val="-1"/>
          <w:w w:val="100"/>
          <w:sz w:val="20"/>
          <w:vertAlign w:val="baseline"/>
          <w:lang w:val="en-US"/>
        </w:rPr>
        <w:t xml:space="preserve">teaching, education and student data;</w:t>
      </w:r>
    </w:p>
    <w:p>
      <w:pPr>
        <w:numPr>
          <w:ilvl w:val="0"/>
          <w:numId w:val="3"/>
        </w:numPr>
        <w:tabs>
          <w:tab w:val="clear" w:pos="576"/>
          <w:tab w:val="left" w:pos="1296"/>
        </w:tabs>
        <w:spacing w:before="118" w:after="0" w:line="247" w:lineRule="exact"/>
        <w:ind w:right="0" w:left="720" w:firstLine="0"/>
        <w:jc w:val="left"/>
        <w:textAlignment w:val="baseline"/>
        <w:rPr>
          <w:rFonts w:ascii="Arial" w:hAnsi="Arial" w:eastAsia="Arial"/>
          <w:color w:val="001F46"/>
          <w:spacing w:val="-1"/>
          <w:w w:val="100"/>
          <w:sz w:val="20"/>
          <w:vertAlign w:val="baseline"/>
          <w:lang w:val="en-US"/>
        </w:rPr>
      </w:pPr>
      <w:r>
        <w:rPr>
          <w:rFonts w:ascii="Arial" w:hAnsi="Arial" w:eastAsia="Arial"/>
          <w:color w:val="001F46"/>
          <w:spacing w:val="-1"/>
          <w:w w:val="100"/>
          <w:sz w:val="20"/>
          <w:vertAlign w:val="baseline"/>
          <w:lang w:val="en-US"/>
        </w:rPr>
        <w:t xml:space="preserve">professional development and leadership;</w:t>
      </w:r>
    </w:p>
    <w:p>
      <w:pPr>
        <w:numPr>
          <w:ilvl w:val="0"/>
          <w:numId w:val="3"/>
        </w:numPr>
        <w:tabs>
          <w:tab w:val="clear" w:pos="576"/>
          <w:tab w:val="left" w:pos="1296"/>
        </w:tabs>
        <w:spacing w:before="118" w:after="0" w:line="247" w:lineRule="exact"/>
        <w:ind w:right="0" w:left="720" w:firstLine="0"/>
        <w:jc w:val="left"/>
        <w:textAlignment w:val="baseline"/>
        <w:rPr>
          <w:rFonts w:ascii="Arial" w:hAnsi="Arial" w:eastAsia="Arial"/>
          <w:color w:val="001F46"/>
          <w:spacing w:val="-1"/>
          <w:w w:val="100"/>
          <w:sz w:val="20"/>
          <w:vertAlign w:val="baseline"/>
          <w:lang w:val="en-US"/>
        </w:rPr>
      </w:pPr>
      <w:r>
        <w:rPr>
          <w:rFonts w:ascii="Arial" w:hAnsi="Arial" w:eastAsia="Arial"/>
          <w:color w:val="001F46"/>
          <w:spacing w:val="-1"/>
          <w:w w:val="100"/>
          <w:sz w:val="20"/>
          <w:vertAlign w:val="baseline"/>
          <w:lang w:val="en-US"/>
        </w:rPr>
        <w:t xml:space="preserve">early childhood teaching;</w:t>
      </w:r>
    </w:p>
    <w:p>
      <w:pPr>
        <w:numPr>
          <w:ilvl w:val="0"/>
          <w:numId w:val="3"/>
        </w:numPr>
        <w:tabs>
          <w:tab w:val="clear" w:pos="576"/>
          <w:tab w:val="left" w:pos="1296"/>
        </w:tabs>
        <w:spacing w:before="117" w:after="0" w:line="247" w:lineRule="exact"/>
        <w:ind w:right="0" w:left="720" w:firstLine="0"/>
        <w:jc w:val="left"/>
        <w:textAlignment w:val="baseline"/>
        <w:rPr>
          <w:rFonts w:ascii="Arial" w:hAnsi="Arial" w:eastAsia="Arial"/>
          <w:color w:val="001F46"/>
          <w:spacing w:val="-1"/>
          <w:w w:val="100"/>
          <w:sz w:val="20"/>
          <w:vertAlign w:val="baseline"/>
          <w:lang w:val="en-US"/>
        </w:rPr>
      </w:pPr>
      <w:r>
        <w:rPr>
          <w:rFonts w:ascii="Arial" w:hAnsi="Arial" w:eastAsia="Arial"/>
          <w:color w:val="001F46"/>
          <w:spacing w:val="-1"/>
          <w:w w:val="100"/>
          <w:sz w:val="20"/>
          <w:vertAlign w:val="baseline"/>
          <w:lang w:val="en-US"/>
        </w:rPr>
        <w:t xml:space="preserve">rural and regional teachers;</w:t>
      </w:r>
    </w:p>
    <w:p>
      <w:pPr>
        <w:numPr>
          <w:ilvl w:val="0"/>
          <w:numId w:val="3"/>
        </w:numPr>
        <w:tabs>
          <w:tab w:val="clear" w:pos="576"/>
          <w:tab w:val="left" w:pos="1296"/>
        </w:tabs>
        <w:spacing w:before="113" w:after="0" w:line="247" w:lineRule="exact"/>
        <w:ind w:right="0" w:left="720" w:firstLine="0"/>
        <w:jc w:val="left"/>
        <w:textAlignment w:val="baseline"/>
        <w:rPr>
          <w:rFonts w:ascii="Arial" w:hAnsi="Arial" w:eastAsia="Arial"/>
          <w:color w:val="001F46"/>
          <w:spacing w:val="0"/>
          <w:w w:val="100"/>
          <w:sz w:val="20"/>
          <w:vertAlign w:val="baseline"/>
          <w:lang w:val="en-US"/>
        </w:rPr>
      </w:pPr>
      <w:r>
        <w:rPr>
          <w:rFonts w:ascii="Arial" w:hAnsi="Arial" w:eastAsia="Arial"/>
          <w:color w:val="001F46"/>
          <w:spacing w:val="0"/>
          <w:w w:val="100"/>
          <w:sz w:val="20"/>
          <w:vertAlign w:val="baseline"/>
          <w:lang w:val="en-US"/>
        </w:rPr>
        <w:t xml:space="preserve">collaboration and professional learning communities; and</w:t>
      </w:r>
    </w:p>
    <w:p>
      <w:pPr>
        <w:numPr>
          <w:ilvl w:val="0"/>
          <w:numId w:val="3"/>
        </w:numPr>
        <w:tabs>
          <w:tab w:val="clear" w:pos="576"/>
          <w:tab w:val="left" w:pos="1296"/>
        </w:tabs>
        <w:spacing w:before="123" w:after="2953" w:line="247" w:lineRule="exact"/>
        <w:ind w:right="0" w:left="720" w:firstLine="0"/>
        <w:jc w:val="left"/>
        <w:textAlignment w:val="baseline"/>
        <w:rPr>
          <w:rFonts w:ascii="Arial" w:hAnsi="Arial" w:eastAsia="Arial"/>
          <w:color w:val="001F46"/>
          <w:spacing w:val="-3"/>
          <w:w w:val="100"/>
          <w:sz w:val="20"/>
          <w:vertAlign w:val="baseline"/>
          <w:lang w:val="en-US"/>
        </w:rPr>
      </w:pPr>
      <w:r>
        <w:rPr>
          <w:rFonts w:ascii="Arial" w:hAnsi="Arial" w:eastAsia="Arial"/>
          <w:color w:val="001F46"/>
          <w:spacing w:val="-3"/>
          <w:w w:val="100"/>
          <w:sz w:val="20"/>
          <w:vertAlign w:val="baseline"/>
          <w:lang w:val="en-US"/>
        </w:rPr>
        <w:t xml:space="preserve">teacher welfare.</w:t>
      </w:r>
    </w:p>
    <w:p>
      <w:pPr>
        <w:spacing w:before="123" w:after="2953" w:line="247" w:lineRule="exact"/>
        <w:sectPr>
          <w:type w:val="nextPage"/>
          <w:pgSz w:w="11909" w:h="16843" w:orient="portrait"/>
          <w:pgMar w:bottom="287" w:top="360" w:right="981" w:left="2148" w:header="720" w:footer="720"/>
          <w:titlePg w:val="false"/>
          <w:textDirection w:val="lrTb"/>
        </w:sectPr>
      </w:pPr>
    </w:p>
    <w:p>
      <w:pPr>
        <w:spacing w:before="0" w:after="0" w:line="200" w:lineRule="exact"/>
        <w:ind w:right="72" w:left="360" w:hanging="288"/>
        <w:jc w:val="left"/>
        <w:textAlignment w:val="baseline"/>
        <w:rPr>
          <w:rFonts w:ascii="Arial" w:hAnsi="Arial" w:eastAsia="Arial"/>
          <w:color w:val="001F46"/>
          <w:spacing w:val="0"/>
          <w:w w:val="100"/>
          <w:sz w:val="10"/>
          <w:vertAlign w:val="baseline"/>
          <w:lang w:val="en-US"/>
        </w:rPr>
      </w:pPr>
      <w:r>
        <w:pict>
          <v:line strokeweight="0.7pt" strokecolor="#001F46" from="113.5pt,709.7pt" to="257.8pt,709.7pt" style="position:absolute;mso-position-horizontal-relative:page;mso-position-vertical-relative:page;">
            <v:stroke dashstyle="solid"/>
          </v:line>
        </w:pict>
      </w:r>
      <w:r>
        <w:rPr>
          <w:rFonts w:ascii="Arial" w:hAnsi="Arial" w:eastAsia="Arial"/>
          <w:color w:val="001F46"/>
          <w:spacing w:val="0"/>
          <w:w w:val="100"/>
          <w:sz w:val="10"/>
          <w:vertAlign w:val="baseline"/>
          <w:lang w:val="en-US"/>
        </w:rPr>
        <w:t xml:space="preserve">7 </w:t>
      </w:r>
      <w:r>
        <w:rPr>
          <w:rFonts w:ascii="Arial" w:hAnsi="Arial" w:eastAsia="Arial"/>
          <w:color w:val="001F46"/>
          <w:spacing w:val="0"/>
          <w:w w:val="100"/>
          <w:sz w:val="16"/>
          <w:vertAlign w:val="baseline"/>
          <w:lang w:val="en-US"/>
        </w:rPr>
        <w:t xml:space="preserve">House of Representatives Standing Committee on Employment, Education and Training (2019), </w:t>
      </w:r>
      <w:r>
        <w:rPr>
          <w:rFonts w:ascii="Arial" w:hAnsi="Arial" w:eastAsia="Arial"/>
          <w:i w:val="true"/>
          <w:color w:val="001F46"/>
          <w:spacing w:val="0"/>
          <w:w w:val="100"/>
          <w:sz w:val="16"/>
          <w:vertAlign w:val="baseline"/>
          <w:lang w:val="en-US"/>
        </w:rPr>
        <w:t xml:space="preserve">Status of the Teaching Profession</w:t>
      </w:r>
      <w:r>
        <w:rPr>
          <w:rFonts w:ascii="Arial" w:hAnsi="Arial" w:eastAsia="Arial"/>
          <w:color w:val="001F46"/>
          <w:spacing w:val="0"/>
          <w:w w:val="100"/>
          <w:sz w:val="16"/>
          <w:vertAlign w:val="baseline"/>
          <w:lang w:val="en-US"/>
        </w:rPr>
        <w:t xml:space="preserve">, </w:t>
      </w:r>
      <w:hyperlink r:id="dhId11">
        <w:r>
          <w:rPr>
            <w:rFonts w:ascii="Arial" w:hAnsi="Arial" w:eastAsia="Arial"/>
            <w:color w:val="0000FF"/>
            <w:spacing w:val="0"/>
            <w:w w:val="100"/>
            <w:sz w:val="16"/>
            <w:u w:val="single"/>
            <w:vertAlign w:val="baseline"/>
            <w:lang w:val="en-US"/>
          </w:rPr>
          <w:t xml:space="preserve">https://www.aph.gov.au/Parliamentary_Business/Committees/House/Employment_Education_and_Training/Teaching</w:t>
        </w:r>
      </w:hyperlink>
      <w:r>
        <w:rPr>
          <w:rFonts w:ascii="Arial" w:hAnsi="Arial" w:eastAsia="Arial"/>
          <w:color w:val="000000"/>
          <w:spacing w:val="0"/>
          <w:w w:val="100"/>
          <w:sz w:val="16"/>
          <w:u w:val="single"/>
          <w:vertAlign w:val="baseline"/>
          <w:lang w:val="en-US"/>
        </w:rPr>
        <w:t xml:space="preserve"> </w:t>
      </w:r>
      <w:hyperlink r:id="dhId12">
        <w:r>
          <w:rPr>
            <w:rFonts w:ascii="Arial" w:hAnsi="Arial" w:eastAsia="Arial"/>
            <w:color w:val="0000FF"/>
            <w:spacing w:val="0"/>
            <w:w w:val="100"/>
            <w:sz w:val="16"/>
            <w:u w:val="single"/>
            <w:vertAlign w:val="baseline"/>
            <w:lang w:val="en-US"/>
          </w:rPr>
          <w:t xml:space="preserve"> ProfessionNew/Report</w:t>
        </w:r>
      </w:hyperlink>
      <w:r>
        <w:rPr>
          <w:rFonts w:ascii="Arial" w:hAnsi="Arial" w:eastAsia="Arial"/>
          <w:color w:val="001F46"/>
          <w:spacing w:val="0"/>
          <w:w w:val="100"/>
          <w:sz w:val="16"/>
          <w:vertAlign w:val="baseline"/>
          <w:lang w:val="en-US"/>
        </w:rPr>
        <w:t xml:space="preserve"> </w:t>
      </w:r>
    </w:p>
    <w:p>
      <w:pPr>
        <w:tabs>
          <w:tab w:val="right" w:leader="none" w:pos="8640"/>
        </w:tabs>
        <w:spacing w:before="791" w:after="0" w:line="183" w:lineRule="exact"/>
        <w:ind w:right="0" w:left="216" w:firstLine="0"/>
        <w:jc w:val="left"/>
        <w:textAlignment w:val="baseline"/>
        <w:rPr>
          <w:rFonts w:ascii="Arial" w:hAnsi="Arial" w:eastAsia="Arial"/>
          <w:b w:val="true"/>
          <w:color w:val="001F46"/>
          <w:spacing w:val="0"/>
          <w:w w:val="100"/>
          <w:sz w:val="16"/>
          <w:vertAlign w:val="baseline"/>
          <w:lang w:val="en-US"/>
        </w:rPr>
      </w:pPr>
      <w:r>
        <w:rPr>
          <w:rFonts w:ascii="Arial" w:hAnsi="Arial" w:eastAsia="Arial"/>
          <w:b w:val="true"/>
          <w:color w:val="001F46"/>
          <w:spacing w:val="0"/>
          <w:w w:val="100"/>
          <w:sz w:val="16"/>
          <w:vertAlign w:val="baseline"/>
          <w:lang w:val="en-US"/>
        </w:rPr>
        <w:t xml:space="preserve">UNIVERSITIES AUSTRALIA </w:t>
      </w:r>
      <w:r>
        <w:rPr>
          <w:rFonts w:ascii="Arial" w:hAnsi="Arial" w:eastAsia="Arial"/>
          <w:color w:val="001F46"/>
          <w:spacing w:val="0"/>
          <w:w w:val="100"/>
          <w:sz w:val="16"/>
          <w:vertAlign w:val="baseline"/>
          <w:lang w:val="en-US"/>
        </w:rPr>
        <w:t xml:space="preserve">| QUALITY INITIAL TEACHER EDUCATION REVIEW	</w:t>
      </w:r>
      <w:r>
        <w:rPr>
          <w:rFonts w:ascii="Arial" w:hAnsi="Arial" w:eastAsia="Arial"/>
          <w:b w:val="true"/>
          <w:color w:val="001F46"/>
          <w:spacing w:val="0"/>
          <w:w w:val="100"/>
          <w:sz w:val="16"/>
          <w:vertAlign w:val="baseline"/>
          <w:lang w:val="en-US"/>
        </w:rPr>
        <w:t xml:space="preserve">11</w:t>
      </w:r>
    </w:p>
    <w:p>
      <w:pPr>
        <w:sectPr>
          <w:type w:val="continuous"/>
          <w:pgSz w:w="11909" w:h="16843" w:orient="portrait"/>
          <w:pgMar w:bottom="287" w:top="360" w:right="953" w:left="2176" w:header="720" w:footer="720"/>
          <w:titlePg w:val="false"/>
          <w:textDirection w:val="lrTb"/>
        </w:sectPr>
      </w:pPr>
    </w:p>
    <w:p>
      <w:pPr>
        <w:spacing w:before="19" w:after="489" w:line="240" w:lineRule="auto"/>
        <w:ind w:right="267" w:left="5426"/>
        <w:jc w:val="left"/>
        <w:textAlignment w:val="baseline"/>
      </w:pPr>
      <w:r>
        <w:drawing>
          <wp:inline>
            <wp:extent cx="1960245" cy="588645"/>
            <wp:docPr name="Picture" id="12"/>
            <a:graphic>
              <a:graphicData uri="http://schemas.openxmlformats.org/drawingml/2006/picture">
                <pic:pic>
                  <pic:nvPicPr>
                    <pic:cNvPr id="12" name="Picture"/>
                    <pic:cNvPicPr preferRelativeResize="false"/>
                  </pic:nvPicPr>
                  <pic:blipFill>
                    <a:blip r:embed="prId12"/>
                    <a:stretch>
                      <a:fillRect/>
                    </a:stretch>
                  </pic:blipFill>
                  <pic:spPr>
                    <a:xfrm>
                      <a:off x="0" y="0"/>
                      <a:ext cx="1960245" cy="588645"/>
                    </a:xfrm>
                    <a:prstGeom prst="rect"/>
                  </pic:spPr>
                </pic:pic>
              </a:graphicData>
            </a:graphic>
          </wp:inline>
        </w:drawing>
      </w:r>
    </w:p>
    <w:p>
      <w:pPr>
        <w:spacing w:before="0" w:after="0" w:line="448" w:lineRule="exact"/>
        <w:ind w:right="0" w:left="432" w:firstLine="0"/>
        <w:jc w:val="left"/>
        <w:textAlignment w:val="baseline"/>
        <w:rPr>
          <w:rFonts w:ascii="Arial Narrow" w:hAnsi="Arial Narrow" w:eastAsia="Arial Narrow"/>
          <w:color w:val="001F46"/>
          <w:spacing w:val="4"/>
          <w:w w:val="100"/>
          <w:sz w:val="39"/>
          <w:vertAlign w:val="baseline"/>
          <w:lang w:val="en-US"/>
        </w:rPr>
      </w:pPr>
      <w:r>
        <w:rPr>
          <w:rFonts w:ascii="Arial Narrow" w:hAnsi="Arial Narrow" w:eastAsia="Arial Narrow"/>
          <w:color w:val="001F46"/>
          <w:spacing w:val="4"/>
          <w:w w:val="100"/>
          <w:sz w:val="39"/>
          <w:vertAlign w:val="baseline"/>
          <w:lang w:val="en-US"/>
        </w:rPr>
        <w:t xml:space="preserve">3. WHAT UNIVERSITIES ARE ALREADY DOING</w:t>
      </w:r>
    </w:p>
    <w:p>
      <w:pPr>
        <w:spacing w:before="269" w:after="0" w:line="240" w:lineRule="exact"/>
        <w:ind w:right="216" w:left="72" w:firstLine="0"/>
        <w:jc w:val="left"/>
        <w:textAlignment w:val="baseline"/>
        <w:rPr>
          <w:rFonts w:ascii="Arial" w:hAnsi="Arial" w:eastAsia="Arial"/>
          <w:color w:val="001F46"/>
          <w:spacing w:val="-1"/>
          <w:w w:val="100"/>
          <w:sz w:val="20"/>
          <w:vertAlign w:val="baseline"/>
          <w:lang w:val="en-US"/>
        </w:rPr>
      </w:pPr>
      <w:r>
        <w:rPr>
          <w:rFonts w:ascii="Arial" w:hAnsi="Arial" w:eastAsia="Arial"/>
          <w:color w:val="001F46"/>
          <w:spacing w:val="-1"/>
          <w:w w:val="100"/>
          <w:sz w:val="20"/>
          <w:vertAlign w:val="baseline"/>
          <w:lang w:val="en-US"/>
        </w:rPr>
        <w:t xml:space="preserve">Universities Australia has collected information from member universities on initiatives they are undertaking in initial teacher education (ITE), especially to provide longer blocks of professional </w:t>
      </w:r>
      <w:r>
        <w:rPr>
          <w:rFonts w:ascii="Arial" w:hAnsi="Arial" w:eastAsia="Arial"/>
          <w:color w:val="001F46"/>
          <w:spacing w:val="-1"/>
          <w:w w:val="100"/>
          <w:sz w:val="20"/>
          <w:vertAlign w:val="baseline"/>
          <w:lang w:val="en-US"/>
        </w:rPr>
        <w:t xml:space="preserve">experience and to enable students to complete qualifications in less ‘elapsed time’ than is </w:t>
      </w:r>
      <w:r>
        <w:rPr>
          <w:rFonts w:ascii="Arial" w:hAnsi="Arial" w:eastAsia="Arial"/>
          <w:color w:val="001F46"/>
          <w:spacing w:val="-1"/>
          <w:w w:val="100"/>
          <w:sz w:val="20"/>
          <w:vertAlign w:val="baseline"/>
          <w:lang w:val="en-US"/>
        </w:rPr>
        <w:t xml:space="preserve">indicated by the study load of the course. Members have also provided information on their work to prepare their ITE graduates to work in regional locations and to provide enhanced, targeted financial support to their ITE students </w:t>
      </w:r>
      <w:r>
        <w:rPr>
          <w:rFonts w:ascii="Arial" w:hAnsi="Arial" w:eastAsia="Arial"/>
          <w:color w:val="001F46"/>
          <w:spacing w:val="-1"/>
          <w:w w:val="100"/>
          <w:sz w:val="20"/>
          <w:vertAlign w:val="baseline"/>
          <w:lang w:val="en-US"/>
        </w:rPr>
        <w:t xml:space="preserve">– </w:t>
      </w:r>
      <w:r>
        <w:rPr>
          <w:rFonts w:ascii="Arial" w:hAnsi="Arial" w:eastAsia="Arial"/>
          <w:color w:val="001F46"/>
          <w:spacing w:val="-1"/>
          <w:w w:val="100"/>
          <w:sz w:val="20"/>
          <w:vertAlign w:val="baseline"/>
          <w:lang w:val="en-US"/>
        </w:rPr>
        <w:t xml:space="preserve">especially while they are undertaking placements.</w:t>
      </w:r>
    </w:p>
    <w:p>
      <w:pPr>
        <w:spacing w:before="239" w:after="0" w:line="240" w:lineRule="exact"/>
        <w:ind w:right="432" w:left="72" w:firstLine="0"/>
        <w:jc w:val="left"/>
        <w:textAlignment w:val="baseline"/>
        <w:rPr>
          <w:rFonts w:ascii="Arial" w:hAnsi="Arial" w:eastAsia="Arial"/>
          <w:color w:val="001F46"/>
          <w:spacing w:val="0"/>
          <w:w w:val="100"/>
          <w:sz w:val="20"/>
          <w:vertAlign w:val="baseline"/>
          <w:lang w:val="en-US"/>
        </w:rPr>
      </w:pPr>
      <w:r>
        <w:rPr>
          <w:rFonts w:ascii="Arial" w:hAnsi="Arial" w:eastAsia="Arial"/>
          <w:color w:val="001F46"/>
          <w:spacing w:val="0"/>
          <w:w w:val="100"/>
          <w:sz w:val="20"/>
          <w:vertAlign w:val="baseline"/>
          <w:lang w:val="en-US"/>
        </w:rPr>
        <w:t xml:space="preserve">Examples are listed below. We would be very happy to discuss any of these initiatives further, and to seek additional information on these programs.</w:t>
      </w:r>
    </w:p>
    <w:p>
      <w:pPr>
        <w:spacing w:before="358" w:after="0" w:line="319" w:lineRule="exact"/>
        <w:ind w:right="0" w:left="72" w:firstLine="0"/>
        <w:jc w:val="left"/>
        <w:textAlignment w:val="baseline"/>
        <w:rPr>
          <w:rFonts w:ascii="Arial" w:hAnsi="Arial" w:eastAsia="Arial"/>
          <w:b w:val="true"/>
          <w:color w:val="001F46"/>
          <w:spacing w:val="0"/>
          <w:w w:val="100"/>
          <w:sz w:val="28"/>
          <w:vertAlign w:val="baseline"/>
          <w:lang w:val="en-US"/>
        </w:rPr>
      </w:pPr>
      <w:r>
        <w:rPr>
          <w:rFonts w:ascii="Arial" w:hAnsi="Arial" w:eastAsia="Arial"/>
          <w:b w:val="true"/>
          <w:color w:val="001F46"/>
          <w:spacing w:val="0"/>
          <w:w w:val="100"/>
          <w:sz w:val="28"/>
          <w:vertAlign w:val="baseline"/>
          <w:lang w:val="en-US"/>
        </w:rPr>
        <w:t xml:space="preserve">AUSTRALIAN CATHOLIC UNIVERSITY</w:t>
      </w:r>
    </w:p>
    <w:p>
      <w:pPr>
        <w:spacing w:before="361" w:after="0" w:line="240" w:lineRule="exact"/>
        <w:ind w:right="936" w:left="72" w:firstLine="0"/>
        <w:jc w:val="left"/>
        <w:textAlignment w:val="baseline"/>
        <w:rPr>
          <w:rFonts w:ascii="Arial" w:hAnsi="Arial" w:eastAsia="Arial"/>
          <w:b w:val="true"/>
          <w:color w:val="001F46"/>
          <w:spacing w:val="0"/>
          <w:w w:val="100"/>
          <w:sz w:val="22"/>
          <w:vertAlign w:val="baseline"/>
          <w:lang w:val="en-US"/>
        </w:rPr>
      </w:pPr>
      <w:r>
        <w:rPr>
          <w:rFonts w:ascii="Arial" w:hAnsi="Arial" w:eastAsia="Arial"/>
          <w:b w:val="true"/>
          <w:color w:val="001F46"/>
          <w:spacing w:val="0"/>
          <w:w w:val="100"/>
          <w:sz w:val="22"/>
          <w:vertAlign w:val="baseline"/>
          <w:lang w:val="en-US"/>
        </w:rPr>
        <w:t xml:space="preserve">Models associated with long placements in schools/programs delivered in shortened timeframes.</w:t>
      </w:r>
    </w:p>
    <w:p>
      <w:pPr>
        <w:numPr>
          <w:ilvl w:val="0"/>
          <w:numId w:val="3"/>
        </w:numPr>
        <w:tabs>
          <w:tab w:val="clear" w:pos="576"/>
          <w:tab w:val="left" w:pos="1224"/>
        </w:tabs>
        <w:spacing w:before="249" w:after="0" w:line="240" w:lineRule="exact"/>
        <w:ind w:right="72" w:left="1224" w:hanging="576"/>
        <w:jc w:val="left"/>
        <w:textAlignment w:val="baseline"/>
        <w:rPr>
          <w:rFonts w:ascii="Arial" w:hAnsi="Arial" w:eastAsia="Arial"/>
          <w:color w:val="001F46"/>
          <w:spacing w:val="0"/>
          <w:w w:val="100"/>
          <w:sz w:val="20"/>
          <w:vertAlign w:val="baseline"/>
          <w:lang w:val="en-US"/>
        </w:rPr>
      </w:pPr>
      <w:r>
        <w:rPr>
          <w:rFonts w:ascii="Arial" w:hAnsi="Arial" w:eastAsia="Arial"/>
          <w:color w:val="001F46"/>
          <w:spacing w:val="0"/>
          <w:w w:val="100"/>
          <w:sz w:val="20"/>
          <w:vertAlign w:val="baseline"/>
          <w:lang w:val="en-US"/>
        </w:rPr>
        <w:t xml:space="preserve">Australian Catholic University</w:t>
      </w:r>
      <w:r>
        <w:rPr>
          <w:rFonts w:ascii="Arial" w:hAnsi="Arial" w:eastAsia="Arial"/>
          <w:color w:val="001F46"/>
          <w:spacing w:val="0"/>
          <w:w w:val="100"/>
          <w:sz w:val="20"/>
          <w:vertAlign w:val="baseline"/>
          <w:lang w:val="en-US"/>
        </w:rPr>
        <w:t xml:space="preserve">’s Master of Teaching (Secondary) (Professional </w:t>
      </w:r>
      <w:r>
        <w:rPr>
          <w:rFonts w:ascii="Arial" w:hAnsi="Arial" w:eastAsia="Arial"/>
          <w:color w:val="001F46"/>
          <w:spacing w:val="0"/>
          <w:w w:val="100"/>
          <w:sz w:val="20"/>
          <w:vertAlign w:val="baseline"/>
          <w:lang w:val="en-US"/>
        </w:rPr>
        <w:t xml:space="preserve">Practice) takes two years for Teach for Australia associates to complete, which is the same time as most other Master degrees but is, in effect, a condensed program given the cohort is mostly working full-time as teachers.</w:t>
      </w:r>
    </w:p>
    <w:p>
      <w:pPr>
        <w:spacing w:before="357" w:after="0" w:line="319" w:lineRule="exact"/>
        <w:ind w:right="0" w:left="72" w:firstLine="0"/>
        <w:jc w:val="left"/>
        <w:textAlignment w:val="baseline"/>
        <w:rPr>
          <w:rFonts w:ascii="Arial" w:hAnsi="Arial" w:eastAsia="Arial"/>
          <w:b w:val="true"/>
          <w:color w:val="001F46"/>
          <w:spacing w:val="0"/>
          <w:w w:val="100"/>
          <w:sz w:val="28"/>
          <w:vertAlign w:val="baseline"/>
          <w:lang w:val="en-US"/>
        </w:rPr>
      </w:pPr>
      <w:r>
        <w:rPr>
          <w:rFonts w:ascii="Arial" w:hAnsi="Arial" w:eastAsia="Arial"/>
          <w:b w:val="true"/>
          <w:color w:val="001F46"/>
          <w:spacing w:val="0"/>
          <w:w w:val="100"/>
          <w:sz w:val="28"/>
          <w:vertAlign w:val="baseline"/>
          <w:lang w:val="en-US"/>
        </w:rPr>
        <w:t xml:space="preserve">CHARLES DARWIN UNIVERSITY</w:t>
      </w:r>
    </w:p>
    <w:p>
      <w:pPr>
        <w:spacing w:before="362" w:after="0" w:line="240" w:lineRule="exact"/>
        <w:ind w:right="936" w:left="72" w:firstLine="0"/>
        <w:jc w:val="left"/>
        <w:textAlignment w:val="baseline"/>
        <w:rPr>
          <w:rFonts w:ascii="Arial" w:hAnsi="Arial" w:eastAsia="Arial"/>
          <w:b w:val="true"/>
          <w:color w:val="001F46"/>
          <w:spacing w:val="0"/>
          <w:w w:val="100"/>
          <w:sz w:val="22"/>
          <w:vertAlign w:val="baseline"/>
          <w:lang w:val="en-US"/>
        </w:rPr>
      </w:pPr>
      <w:r>
        <w:rPr>
          <w:rFonts w:ascii="Arial" w:hAnsi="Arial" w:eastAsia="Arial"/>
          <w:b w:val="true"/>
          <w:color w:val="001F46"/>
          <w:spacing w:val="0"/>
          <w:w w:val="100"/>
          <w:sz w:val="22"/>
          <w:vertAlign w:val="baseline"/>
          <w:lang w:val="en-US"/>
        </w:rPr>
        <w:t xml:space="preserve">Models associated with long placements in schools/programs delivered in shortened timeframes.</w:t>
      </w:r>
    </w:p>
    <w:p>
      <w:pPr>
        <w:numPr>
          <w:ilvl w:val="0"/>
          <w:numId w:val="3"/>
        </w:numPr>
        <w:tabs>
          <w:tab w:val="clear" w:pos="576"/>
          <w:tab w:val="left" w:pos="1224"/>
        </w:tabs>
        <w:spacing w:before="248" w:after="0" w:line="240" w:lineRule="exact"/>
        <w:ind w:right="72" w:left="1224" w:hanging="576"/>
        <w:jc w:val="left"/>
        <w:textAlignment w:val="baseline"/>
        <w:rPr>
          <w:rFonts w:ascii="Arial" w:hAnsi="Arial" w:eastAsia="Arial"/>
          <w:color w:val="001F46"/>
          <w:spacing w:val="0"/>
          <w:w w:val="100"/>
          <w:sz w:val="20"/>
          <w:vertAlign w:val="baseline"/>
          <w:lang w:val="en-US"/>
        </w:rPr>
      </w:pPr>
      <w:r>
        <w:rPr>
          <w:rFonts w:ascii="Arial" w:hAnsi="Arial" w:eastAsia="Arial"/>
          <w:color w:val="001F46"/>
          <w:spacing w:val="0"/>
          <w:w w:val="100"/>
          <w:sz w:val="20"/>
          <w:vertAlign w:val="baseline"/>
          <w:lang w:val="en-US"/>
        </w:rPr>
        <w:t xml:space="preserve">Some programs at Charles Darwin University exceed the minimum required number of days of placement in schools (Master of Teaching </w:t>
      </w:r>
      <w:r>
        <w:rPr>
          <w:rFonts w:ascii="Arial" w:hAnsi="Arial" w:eastAsia="Arial"/>
          <w:color w:val="001F46"/>
          <w:spacing w:val="0"/>
          <w:w w:val="100"/>
          <w:sz w:val="20"/>
          <w:vertAlign w:val="baseline"/>
          <w:lang w:val="en-US"/>
        </w:rPr>
        <w:t xml:space="preserve">– </w:t>
      </w:r>
      <w:r>
        <w:rPr>
          <w:rFonts w:ascii="Arial" w:hAnsi="Arial" w:eastAsia="Arial"/>
          <w:color w:val="001F46"/>
          <w:spacing w:val="0"/>
          <w:w w:val="100"/>
          <w:sz w:val="20"/>
          <w:vertAlign w:val="baseline"/>
          <w:lang w:val="en-US"/>
        </w:rPr>
        <w:t xml:space="preserve">Early Childhood and Primary Stream; Master of Teaching </w:t>
      </w:r>
      <w:r>
        <w:rPr>
          <w:rFonts w:ascii="Arial" w:hAnsi="Arial" w:eastAsia="Arial"/>
          <w:color w:val="001F46"/>
          <w:spacing w:val="0"/>
          <w:w w:val="100"/>
          <w:sz w:val="20"/>
          <w:vertAlign w:val="baseline"/>
          <w:lang w:val="en-US"/>
        </w:rPr>
        <w:t xml:space="preserve">– </w:t>
      </w:r>
      <w:r>
        <w:rPr>
          <w:rFonts w:ascii="Arial" w:hAnsi="Arial" w:eastAsia="Arial"/>
          <w:color w:val="001F46"/>
          <w:spacing w:val="0"/>
          <w:w w:val="100"/>
          <w:sz w:val="20"/>
          <w:vertAlign w:val="baseline"/>
          <w:lang w:val="en-US"/>
        </w:rPr>
        <w:t xml:space="preserve">Primary Stream; Bachelor of Education in Early Childhood Teaching)</w:t>
      </w:r>
    </w:p>
    <w:p>
      <w:pPr>
        <w:spacing w:before="358" w:after="0" w:line="319" w:lineRule="exact"/>
        <w:ind w:right="0" w:left="72" w:firstLine="0"/>
        <w:jc w:val="left"/>
        <w:textAlignment w:val="baseline"/>
        <w:rPr>
          <w:rFonts w:ascii="Arial" w:hAnsi="Arial" w:eastAsia="Arial"/>
          <w:b w:val="true"/>
          <w:color w:val="001F46"/>
          <w:spacing w:val="0"/>
          <w:w w:val="100"/>
          <w:sz w:val="28"/>
          <w:vertAlign w:val="baseline"/>
          <w:lang w:val="en-US"/>
        </w:rPr>
      </w:pPr>
      <w:r>
        <w:rPr>
          <w:rFonts w:ascii="Arial" w:hAnsi="Arial" w:eastAsia="Arial"/>
          <w:b w:val="true"/>
          <w:color w:val="001F46"/>
          <w:spacing w:val="0"/>
          <w:w w:val="100"/>
          <w:sz w:val="28"/>
          <w:vertAlign w:val="baseline"/>
          <w:lang w:val="en-US"/>
        </w:rPr>
        <w:t xml:space="preserve">CQUNIVERSITY</w:t>
      </w:r>
    </w:p>
    <w:p>
      <w:pPr>
        <w:spacing w:before="361" w:after="0" w:line="240" w:lineRule="exact"/>
        <w:ind w:right="936" w:left="72" w:firstLine="0"/>
        <w:jc w:val="left"/>
        <w:textAlignment w:val="baseline"/>
        <w:rPr>
          <w:rFonts w:ascii="Arial" w:hAnsi="Arial" w:eastAsia="Arial"/>
          <w:b w:val="true"/>
          <w:color w:val="001F46"/>
          <w:spacing w:val="0"/>
          <w:w w:val="100"/>
          <w:sz w:val="22"/>
          <w:vertAlign w:val="baseline"/>
          <w:lang w:val="en-US"/>
        </w:rPr>
      </w:pPr>
      <w:r>
        <w:rPr>
          <w:rFonts w:ascii="Arial" w:hAnsi="Arial" w:eastAsia="Arial"/>
          <w:b w:val="true"/>
          <w:color w:val="001F46"/>
          <w:spacing w:val="0"/>
          <w:w w:val="100"/>
          <w:sz w:val="22"/>
          <w:vertAlign w:val="baseline"/>
          <w:lang w:val="en-US"/>
        </w:rPr>
        <w:t xml:space="preserve">Models associated with long placements in schools/programs delivered in shortened timeframes.</w:t>
      </w:r>
    </w:p>
    <w:p>
      <w:pPr>
        <w:numPr>
          <w:ilvl w:val="0"/>
          <w:numId w:val="3"/>
        </w:numPr>
        <w:tabs>
          <w:tab w:val="clear" w:pos="576"/>
          <w:tab w:val="left" w:pos="1224"/>
        </w:tabs>
        <w:spacing w:before="244" w:after="0" w:line="240" w:lineRule="exact"/>
        <w:ind w:right="72" w:left="1224" w:hanging="576"/>
        <w:jc w:val="left"/>
        <w:textAlignment w:val="baseline"/>
        <w:rPr>
          <w:rFonts w:ascii="Arial" w:hAnsi="Arial" w:eastAsia="Arial"/>
          <w:color w:val="001F46"/>
          <w:spacing w:val="0"/>
          <w:w w:val="100"/>
          <w:sz w:val="20"/>
          <w:vertAlign w:val="baseline"/>
          <w:lang w:val="en-US"/>
        </w:rPr>
      </w:pPr>
      <w:r>
        <w:rPr>
          <w:rFonts w:ascii="Arial" w:hAnsi="Arial" w:eastAsia="Arial"/>
          <w:color w:val="001F46"/>
          <w:spacing w:val="0"/>
          <w:w w:val="100"/>
          <w:sz w:val="20"/>
          <w:vertAlign w:val="baseline"/>
          <w:lang w:val="en-US"/>
        </w:rPr>
        <w:t xml:space="preserve">The Master of Teaching is offered over three terms, </w:t>
      </w:r>
      <w:r>
        <w:rPr>
          <w:rFonts w:ascii="Arial" w:hAnsi="Arial" w:eastAsia="Arial"/>
          <w:color w:val="001F46"/>
          <w:spacing w:val="0"/>
          <w:w w:val="100"/>
          <w:sz w:val="20"/>
          <w:vertAlign w:val="baseline"/>
          <w:lang w:val="en-US"/>
        </w:rPr>
        <w:t xml:space="preserve">utilising CQUniversity’s </w:t>
      </w:r>
      <w:r>
        <w:rPr>
          <w:rFonts w:ascii="Arial" w:hAnsi="Arial" w:eastAsia="Arial"/>
          <w:color w:val="001F46"/>
          <w:spacing w:val="0"/>
          <w:w w:val="100"/>
          <w:sz w:val="20"/>
          <w:vertAlign w:val="baseline"/>
          <w:lang w:val="en-US"/>
        </w:rPr>
        <w:t xml:space="preserve">three term academic calendar. This means that the Master of Teaching is completed in 1.5 years, rather than the normal two-year period.</w:t>
      </w:r>
    </w:p>
    <w:p>
      <w:pPr>
        <w:spacing w:before="357" w:after="0" w:line="319" w:lineRule="exact"/>
        <w:ind w:right="0" w:left="72" w:firstLine="0"/>
        <w:jc w:val="left"/>
        <w:textAlignment w:val="baseline"/>
        <w:rPr>
          <w:rFonts w:ascii="Arial" w:hAnsi="Arial" w:eastAsia="Arial"/>
          <w:b w:val="true"/>
          <w:color w:val="001F46"/>
          <w:spacing w:val="0"/>
          <w:w w:val="100"/>
          <w:sz w:val="28"/>
          <w:vertAlign w:val="baseline"/>
          <w:lang w:val="en-US"/>
        </w:rPr>
      </w:pPr>
      <w:r>
        <w:rPr>
          <w:rFonts w:ascii="Arial" w:hAnsi="Arial" w:eastAsia="Arial"/>
          <w:b w:val="true"/>
          <w:color w:val="001F46"/>
          <w:spacing w:val="0"/>
          <w:w w:val="100"/>
          <w:sz w:val="28"/>
          <w:vertAlign w:val="baseline"/>
          <w:lang w:val="en-US"/>
        </w:rPr>
        <w:t xml:space="preserve">FEDERATION UNIVERSITY AUSTRALIA</w:t>
      </w:r>
    </w:p>
    <w:p>
      <w:pPr>
        <w:spacing w:before="362" w:after="0" w:line="240" w:lineRule="exact"/>
        <w:ind w:right="936" w:left="72" w:firstLine="0"/>
        <w:jc w:val="left"/>
        <w:textAlignment w:val="baseline"/>
        <w:rPr>
          <w:rFonts w:ascii="Arial" w:hAnsi="Arial" w:eastAsia="Arial"/>
          <w:b w:val="true"/>
          <w:color w:val="001F46"/>
          <w:spacing w:val="0"/>
          <w:w w:val="100"/>
          <w:sz w:val="22"/>
          <w:vertAlign w:val="baseline"/>
          <w:lang w:val="en-US"/>
        </w:rPr>
      </w:pPr>
      <w:r>
        <w:rPr>
          <w:rFonts w:ascii="Arial" w:hAnsi="Arial" w:eastAsia="Arial"/>
          <w:b w:val="true"/>
          <w:color w:val="001F46"/>
          <w:spacing w:val="0"/>
          <w:w w:val="100"/>
          <w:sz w:val="22"/>
          <w:vertAlign w:val="baseline"/>
          <w:lang w:val="en-US"/>
        </w:rPr>
        <w:t xml:space="preserve">Models associated with long placements in schools/programs delivered in shortened timeframes.</w:t>
      </w:r>
    </w:p>
    <w:p>
      <w:pPr>
        <w:numPr>
          <w:ilvl w:val="0"/>
          <w:numId w:val="4"/>
        </w:numPr>
        <w:tabs>
          <w:tab w:val="clear" w:pos="432"/>
          <w:tab w:val="left" w:pos="1224"/>
        </w:tabs>
        <w:spacing w:before="233" w:after="819" w:line="250" w:lineRule="exact"/>
        <w:ind w:right="72" w:left="1224" w:hanging="432"/>
        <w:jc w:val="left"/>
        <w:textAlignment w:val="baseline"/>
        <w:rPr>
          <w:rFonts w:ascii="Arial" w:hAnsi="Arial" w:eastAsia="Arial"/>
          <w:color w:val="001F46"/>
          <w:spacing w:val="0"/>
          <w:w w:val="100"/>
          <w:sz w:val="20"/>
          <w:vertAlign w:val="baseline"/>
          <w:lang w:val="en-US"/>
        </w:rPr>
      </w:pPr>
      <w:r>
        <w:rPr>
          <w:rFonts w:ascii="Arial" w:hAnsi="Arial" w:eastAsia="Arial"/>
          <w:color w:val="001F46"/>
          <w:spacing w:val="0"/>
          <w:w w:val="100"/>
          <w:sz w:val="20"/>
          <w:vertAlign w:val="baseline"/>
          <w:lang w:val="en-US"/>
        </w:rPr>
        <w:t xml:space="preserve">The School of Education at Federation University offers a Master of Teaching degree in early childhooducation, Primary and Secondary, which can be completed in accelerated mode in 1.5 years instead of two years.</w:t>
      </w:r>
    </w:p>
    <w:p>
      <w:pPr>
        <w:tabs>
          <w:tab w:val="right" w:leader="none" w:pos="8640"/>
        </w:tabs>
        <w:spacing w:before="6" w:after="0" w:line="187" w:lineRule="exact"/>
        <w:ind w:right="0" w:left="72" w:firstLine="0"/>
        <w:jc w:val="left"/>
        <w:textAlignment w:val="baseline"/>
        <w:rPr>
          <w:rFonts w:ascii="Arial" w:hAnsi="Arial" w:eastAsia="Arial"/>
          <w:b w:val="true"/>
          <w:color w:val="001F46"/>
          <w:spacing w:val="0"/>
          <w:w w:val="100"/>
          <w:sz w:val="16"/>
          <w:vertAlign w:val="baseline"/>
          <w:lang w:val="en-US"/>
        </w:rPr>
      </w:pPr>
      <w:r>
        <w:rPr>
          <w:rFonts w:ascii="Arial" w:hAnsi="Arial" w:eastAsia="Arial"/>
          <w:b w:val="true"/>
          <w:color w:val="001F46"/>
          <w:spacing w:val="0"/>
          <w:w w:val="100"/>
          <w:sz w:val="16"/>
          <w:vertAlign w:val="baseline"/>
          <w:lang w:val="en-US"/>
        </w:rPr>
        <w:t xml:space="preserve">UNIVERSITIES AUSTRALIA </w:t>
      </w:r>
      <w:r>
        <w:rPr>
          <w:rFonts w:ascii="Arial" w:hAnsi="Arial" w:eastAsia="Arial"/>
          <w:color w:val="001F46"/>
          <w:spacing w:val="0"/>
          <w:w w:val="100"/>
          <w:sz w:val="16"/>
          <w:vertAlign w:val="baseline"/>
          <w:lang w:val="en-US"/>
        </w:rPr>
        <w:t xml:space="preserve">| QUALITY INITIAL TEACHER EDUCATION REVIEW	</w:t>
      </w:r>
      <w:r>
        <w:rPr>
          <w:rFonts w:ascii="Arial" w:hAnsi="Arial" w:eastAsia="Arial"/>
          <w:b w:val="true"/>
          <w:color w:val="001F46"/>
          <w:spacing w:val="0"/>
          <w:w w:val="100"/>
          <w:sz w:val="16"/>
          <w:vertAlign w:val="baseline"/>
          <w:lang w:val="en-US"/>
        </w:rPr>
        <w:t xml:space="preserve">12</w:t>
      </w:r>
    </w:p>
    <w:p>
      <w:pPr>
        <w:sectPr>
          <w:type w:val="nextPage"/>
          <w:pgSz w:w="11909" w:h="16843" w:orient="portrait"/>
          <w:pgMar w:bottom="287" w:top="360" w:right="933" w:left="2196" w:header="720" w:footer="720"/>
          <w:titlePg w:val="false"/>
          <w:textDirection w:val="lrTb"/>
        </w:sectPr>
      </w:pPr>
    </w:p>
    <w:p>
      <w:pPr>
        <w:spacing w:before="19" w:after="391" w:line="240" w:lineRule="auto"/>
        <w:ind w:right="272" w:left="5421"/>
        <w:jc w:val="left"/>
        <w:textAlignment w:val="baseline"/>
      </w:pPr>
      <w:r>
        <w:drawing>
          <wp:inline>
            <wp:extent cx="1960245" cy="588645"/>
            <wp:docPr name="Picture" id="13"/>
            <a:graphic>
              <a:graphicData uri="http://schemas.openxmlformats.org/drawingml/2006/picture">
                <pic:pic>
                  <pic:nvPicPr>
                    <pic:cNvPr id="13" name="Picture"/>
                    <pic:cNvPicPr preferRelativeResize="false"/>
                  </pic:nvPicPr>
                  <pic:blipFill>
                    <a:blip r:embed="prId13"/>
                    <a:stretch>
                      <a:fillRect/>
                    </a:stretch>
                  </pic:blipFill>
                  <pic:spPr>
                    <a:xfrm>
                      <a:off x="0" y="0"/>
                      <a:ext cx="1960245" cy="588645"/>
                    </a:xfrm>
                    <a:prstGeom prst="rect"/>
                  </pic:spPr>
                </pic:pic>
              </a:graphicData>
            </a:graphic>
          </wp:inline>
        </w:drawing>
      </w:r>
    </w:p>
    <w:p>
      <w:pPr>
        <w:spacing w:before="14" w:after="0" w:line="240" w:lineRule="exact"/>
        <w:ind w:right="0" w:left="72" w:firstLine="0"/>
        <w:jc w:val="left"/>
        <w:textAlignment w:val="baseline"/>
        <w:rPr>
          <w:rFonts w:ascii="Arial" w:hAnsi="Arial" w:eastAsia="Arial"/>
          <w:b w:val="true"/>
          <w:color w:val="001F46"/>
          <w:spacing w:val="-1"/>
          <w:w w:val="100"/>
          <w:sz w:val="22"/>
          <w:vertAlign w:val="baseline"/>
          <w:lang w:val="en-US"/>
        </w:rPr>
      </w:pPr>
      <w:r>
        <w:rPr>
          <w:rFonts w:ascii="Arial" w:hAnsi="Arial" w:eastAsia="Arial"/>
          <w:b w:val="true"/>
          <w:color w:val="001F46"/>
          <w:spacing w:val="-1"/>
          <w:w w:val="100"/>
          <w:sz w:val="22"/>
          <w:vertAlign w:val="baseline"/>
          <w:lang w:val="en-US"/>
        </w:rPr>
        <w:t xml:space="preserve">Financial support.</w:t>
      </w:r>
    </w:p>
    <w:p>
      <w:pPr>
        <w:numPr>
          <w:ilvl w:val="0"/>
          <w:numId w:val="4"/>
        </w:numPr>
        <w:tabs>
          <w:tab w:val="clear" w:pos="432"/>
          <w:tab w:val="left" w:pos="1224"/>
        </w:tabs>
        <w:spacing w:before="236" w:after="0" w:line="249" w:lineRule="exact"/>
        <w:ind w:right="216" w:left="1224" w:hanging="432"/>
        <w:jc w:val="left"/>
        <w:textAlignment w:val="baseline"/>
        <w:rPr>
          <w:rFonts w:ascii="Arial" w:hAnsi="Arial" w:eastAsia="Arial"/>
          <w:color w:val="001F46"/>
          <w:spacing w:val="0"/>
          <w:w w:val="100"/>
          <w:sz w:val="20"/>
          <w:vertAlign w:val="baseline"/>
          <w:lang w:val="en-US"/>
        </w:rPr>
      </w:pPr>
      <w:r>
        <w:rPr>
          <w:rFonts w:ascii="Arial" w:hAnsi="Arial" w:eastAsia="Arial"/>
          <w:color w:val="001F46"/>
          <w:spacing w:val="0"/>
          <w:w w:val="100"/>
          <w:sz w:val="20"/>
          <w:vertAlign w:val="baseline"/>
          <w:lang w:val="en-US"/>
        </w:rPr>
        <w:t xml:space="preserve">The program involves students receiving a $15,000 stipend in the first year of study and being employed 0.8 in secondary schools in the final semester of their study under the </w:t>
      </w:r>
      <w:r>
        <w:rPr>
          <w:rFonts w:ascii="Arial" w:hAnsi="Arial" w:eastAsia="Arial"/>
          <w:color w:val="001F46"/>
          <w:spacing w:val="0"/>
          <w:w w:val="100"/>
          <w:sz w:val="20"/>
          <w:vertAlign w:val="baseline"/>
          <w:lang w:val="en-US"/>
        </w:rPr>
        <w:t xml:space="preserve">“Permission to teach” pathway.</w:t>
      </w:r>
    </w:p>
    <w:p>
      <w:pPr>
        <w:spacing w:before="374" w:after="0" w:line="321" w:lineRule="exact"/>
        <w:ind w:right="792" w:left="72" w:firstLine="0"/>
        <w:jc w:val="left"/>
        <w:textAlignment w:val="baseline"/>
        <w:rPr>
          <w:rFonts w:ascii="Arial" w:hAnsi="Arial" w:eastAsia="Arial"/>
          <w:b w:val="true"/>
          <w:color w:val="001F46"/>
          <w:spacing w:val="-2"/>
          <w:w w:val="100"/>
          <w:sz w:val="28"/>
          <w:vertAlign w:val="baseline"/>
          <w:lang w:val="en-US"/>
        </w:rPr>
      </w:pPr>
      <w:r>
        <w:rPr>
          <w:rFonts w:ascii="Arial" w:hAnsi="Arial" w:eastAsia="Arial"/>
          <w:b w:val="true"/>
          <w:color w:val="001F46"/>
          <w:spacing w:val="-2"/>
          <w:w w:val="100"/>
          <w:sz w:val="28"/>
          <w:vertAlign w:val="baseline"/>
          <w:lang w:val="en-US"/>
        </w:rPr>
        <w:t xml:space="preserve">GRIFFITH UNIVERSITY </w:t>
      </w:r>
      <w:r>
        <w:rPr>
          <w:rFonts w:ascii="Arial" w:hAnsi="Arial" w:eastAsia="Arial"/>
          <w:b w:val="true"/>
          <w:color w:val="001F46"/>
          <w:spacing w:val="-2"/>
          <w:w w:val="100"/>
          <w:sz w:val="30"/>
          <w:vertAlign w:val="baseline"/>
          <w:lang w:val="en-US"/>
        </w:rPr>
        <w:t xml:space="preserve">– </w:t>
      </w:r>
      <w:r>
        <w:rPr>
          <w:rFonts w:ascii="Arial" w:hAnsi="Arial" w:eastAsia="Arial"/>
          <w:b w:val="true"/>
          <w:color w:val="001F46"/>
          <w:spacing w:val="-2"/>
          <w:w w:val="100"/>
          <w:sz w:val="28"/>
          <w:vertAlign w:val="baseline"/>
          <w:lang w:val="en-US"/>
        </w:rPr>
        <w:t xml:space="preserve">TURN TO TEACHING INTERNSHIP PROGRAM (TTT)</w:t>
      </w:r>
    </w:p>
    <w:p>
      <w:pPr>
        <w:spacing w:before="358" w:after="0" w:line="240" w:lineRule="exact"/>
        <w:ind w:right="936" w:left="72" w:firstLine="0"/>
        <w:jc w:val="left"/>
        <w:textAlignment w:val="baseline"/>
        <w:rPr>
          <w:rFonts w:ascii="Arial" w:hAnsi="Arial" w:eastAsia="Arial"/>
          <w:b w:val="true"/>
          <w:color w:val="001F46"/>
          <w:spacing w:val="0"/>
          <w:w w:val="100"/>
          <w:sz w:val="22"/>
          <w:vertAlign w:val="baseline"/>
          <w:lang w:val="en-US"/>
        </w:rPr>
      </w:pPr>
      <w:r>
        <w:rPr>
          <w:rFonts w:ascii="Arial" w:hAnsi="Arial" w:eastAsia="Arial"/>
          <w:b w:val="true"/>
          <w:color w:val="001F46"/>
          <w:spacing w:val="0"/>
          <w:w w:val="100"/>
          <w:sz w:val="22"/>
          <w:vertAlign w:val="baseline"/>
          <w:lang w:val="en-US"/>
        </w:rPr>
        <w:t xml:space="preserve">Models associated with long placements in schools/programs delivered in shortened timeframes.</w:t>
      </w:r>
    </w:p>
    <w:p>
      <w:pPr>
        <w:numPr>
          <w:ilvl w:val="0"/>
          <w:numId w:val="3"/>
        </w:numPr>
        <w:tabs>
          <w:tab w:val="clear" w:pos="576"/>
          <w:tab w:val="left" w:pos="1224"/>
        </w:tabs>
        <w:spacing w:before="253" w:after="0" w:line="240" w:lineRule="exact"/>
        <w:ind w:right="72" w:left="1224" w:hanging="576"/>
        <w:jc w:val="left"/>
        <w:textAlignment w:val="baseline"/>
        <w:rPr>
          <w:rFonts w:ascii="Arial" w:hAnsi="Arial" w:eastAsia="Arial"/>
          <w:color w:val="001F46"/>
          <w:spacing w:val="0"/>
          <w:w w:val="100"/>
          <w:sz w:val="20"/>
          <w:vertAlign w:val="baseline"/>
          <w:lang w:val="en-US"/>
        </w:rPr>
      </w:pPr>
      <w:r>
        <w:rPr>
          <w:rFonts w:ascii="Arial" w:hAnsi="Arial" w:eastAsia="Arial"/>
          <w:color w:val="001F46"/>
          <w:spacing w:val="0"/>
          <w:w w:val="100"/>
          <w:sz w:val="20"/>
          <w:vertAlign w:val="baseline"/>
          <w:lang w:val="en-US"/>
        </w:rPr>
        <w:t xml:space="preserve">Griffith University offers financial support through the Queensland state </w:t>
      </w:r>
      <w:r>
        <w:rPr>
          <w:rFonts w:ascii="Arial" w:hAnsi="Arial" w:eastAsia="Arial"/>
          <w:color w:val="001F46"/>
          <w:spacing w:val="0"/>
          <w:w w:val="100"/>
          <w:sz w:val="20"/>
          <w:vertAlign w:val="baseline"/>
          <w:lang w:val="en-US"/>
        </w:rPr>
        <w:t xml:space="preserve">government’s ‘Turn to Teaching’ scholarship program during the first year of post </w:t>
      </w:r>
      <w:r>
        <w:rPr>
          <w:rFonts w:ascii="Arial" w:hAnsi="Arial" w:eastAsia="Arial"/>
          <w:color w:val="001F46"/>
          <w:spacing w:val="0"/>
          <w:w w:val="100"/>
          <w:sz w:val="20"/>
          <w:vertAlign w:val="baseline"/>
          <w:lang w:val="en-US"/>
        </w:rPr>
        <w:t xml:space="preserve">graduate ITE fulltime study via a Turn to Teaching Scholarship; internship employment, including a 0.5 FTE teaching workload, at a Queensland state school in a position created specifically for an intern, while completing the second year of post graduate ITE full-time study.</w:t>
      </w:r>
    </w:p>
    <w:p>
      <w:pPr>
        <w:numPr>
          <w:ilvl w:val="0"/>
          <w:numId w:val="3"/>
        </w:numPr>
        <w:tabs>
          <w:tab w:val="clear" w:pos="576"/>
          <w:tab w:val="left" w:pos="1224"/>
        </w:tabs>
        <w:spacing w:before="120" w:after="0" w:line="240" w:lineRule="exact"/>
        <w:ind w:right="216" w:left="1224" w:hanging="576"/>
        <w:jc w:val="left"/>
        <w:textAlignment w:val="baseline"/>
        <w:rPr>
          <w:rFonts w:ascii="Arial" w:hAnsi="Arial" w:eastAsia="Arial"/>
          <w:color w:val="001F46"/>
          <w:spacing w:val="0"/>
          <w:w w:val="100"/>
          <w:sz w:val="20"/>
          <w:vertAlign w:val="baseline"/>
          <w:lang w:val="en-US"/>
        </w:rPr>
      </w:pPr>
      <w:r>
        <w:rPr>
          <w:rFonts w:ascii="Arial" w:hAnsi="Arial" w:eastAsia="Arial"/>
          <w:color w:val="001F46"/>
          <w:spacing w:val="0"/>
          <w:w w:val="100"/>
          <w:sz w:val="20"/>
          <w:vertAlign w:val="baseline"/>
          <w:lang w:val="en-US"/>
        </w:rPr>
        <w:t xml:space="preserve">Interns also have access to a supervising teacher and a mentor to support their learning journey while employed in the internship position; access to an Intern Community of Practice, established by the department for interns to share their experiences, learn from their peers; and guaranteed permanent full-time employment at a Queensland state school, subject to successfully completing their qualification and internship, and immediately gaining their provisional registration from the Queensland College of Teachers (QCT).</w:t>
      </w:r>
    </w:p>
    <w:p>
      <w:pPr>
        <w:spacing w:before="353" w:after="0" w:line="323" w:lineRule="exact"/>
        <w:ind w:right="0" w:left="72" w:firstLine="0"/>
        <w:jc w:val="left"/>
        <w:textAlignment w:val="baseline"/>
        <w:rPr>
          <w:rFonts w:ascii="Arial" w:hAnsi="Arial" w:eastAsia="Arial"/>
          <w:b w:val="true"/>
          <w:color w:val="001F46"/>
          <w:spacing w:val="0"/>
          <w:w w:val="100"/>
          <w:sz w:val="28"/>
          <w:vertAlign w:val="baseline"/>
          <w:lang w:val="en-US"/>
        </w:rPr>
      </w:pPr>
      <w:r>
        <w:rPr>
          <w:rFonts w:ascii="Arial" w:hAnsi="Arial" w:eastAsia="Arial"/>
          <w:b w:val="true"/>
          <w:color w:val="001F46"/>
          <w:spacing w:val="0"/>
          <w:w w:val="100"/>
          <w:sz w:val="28"/>
          <w:vertAlign w:val="baseline"/>
          <w:lang w:val="en-US"/>
        </w:rPr>
        <w:t xml:space="preserve">LA TROBE UNIVERSITY</w:t>
      </w:r>
    </w:p>
    <w:p>
      <w:pPr>
        <w:spacing w:before="357" w:after="0" w:line="240" w:lineRule="exact"/>
        <w:ind w:right="936" w:left="72" w:firstLine="0"/>
        <w:jc w:val="left"/>
        <w:textAlignment w:val="baseline"/>
        <w:rPr>
          <w:rFonts w:ascii="Arial" w:hAnsi="Arial" w:eastAsia="Arial"/>
          <w:b w:val="true"/>
          <w:color w:val="001F46"/>
          <w:spacing w:val="0"/>
          <w:w w:val="100"/>
          <w:sz w:val="22"/>
          <w:vertAlign w:val="baseline"/>
          <w:lang w:val="en-US"/>
        </w:rPr>
      </w:pPr>
      <w:r>
        <w:rPr>
          <w:rFonts w:ascii="Arial" w:hAnsi="Arial" w:eastAsia="Arial"/>
          <w:b w:val="true"/>
          <w:color w:val="001F46"/>
          <w:spacing w:val="0"/>
          <w:w w:val="100"/>
          <w:sz w:val="22"/>
          <w:vertAlign w:val="baseline"/>
          <w:lang w:val="en-US"/>
        </w:rPr>
        <w:t xml:space="preserve">Models associated with long placements in schools/programs delivered in shortened timeframes.</w:t>
      </w:r>
    </w:p>
    <w:p>
      <w:pPr>
        <w:numPr>
          <w:ilvl w:val="0"/>
          <w:numId w:val="3"/>
        </w:numPr>
        <w:tabs>
          <w:tab w:val="clear" w:pos="576"/>
          <w:tab w:val="left" w:pos="1224"/>
        </w:tabs>
        <w:spacing w:before="258" w:after="0" w:line="240" w:lineRule="exact"/>
        <w:ind w:right="0" w:left="1224" w:hanging="576"/>
        <w:jc w:val="left"/>
        <w:textAlignment w:val="baseline"/>
        <w:rPr>
          <w:rFonts w:ascii="Calibri" w:hAnsi="Calibri" w:eastAsia="Calibri"/>
          <w:color w:val="001F46"/>
          <w:spacing w:val="0"/>
          <w:w w:val="100"/>
          <w:sz w:val="21"/>
          <w:vertAlign w:val="baseline"/>
          <w:lang w:val="en-US"/>
        </w:rPr>
      </w:pPr>
      <w:r>
        <w:rPr>
          <w:rFonts w:ascii="Calibri" w:hAnsi="Calibri" w:eastAsia="Calibri"/>
          <w:color w:val="001F46"/>
          <w:spacing w:val="0"/>
          <w:w w:val="100"/>
          <w:sz w:val="21"/>
          <w:vertAlign w:val="baseline"/>
          <w:lang w:val="en-US"/>
        </w:rPr>
        <w:t xml:space="preserve">‘</w:t>
      </w:r>
      <w:r>
        <w:rPr>
          <w:rFonts w:ascii="Arial" w:hAnsi="Arial" w:eastAsia="Arial"/>
          <w:color w:val="001F46"/>
          <w:spacing w:val="0"/>
          <w:w w:val="100"/>
          <w:sz w:val="20"/>
          <w:vertAlign w:val="baseline"/>
          <w:lang w:val="en-US"/>
        </w:rPr>
        <w:t xml:space="preserve">Nexus </w:t>
      </w:r>
      <w:r>
        <w:rPr>
          <w:rFonts w:ascii="Arial" w:hAnsi="Arial" w:eastAsia="Arial"/>
          <w:color w:val="001F46"/>
          <w:spacing w:val="0"/>
          <w:w w:val="100"/>
          <w:sz w:val="20"/>
          <w:vertAlign w:val="baseline"/>
          <w:lang w:val="en-US"/>
        </w:rPr>
        <w:t xml:space="preserve">Program’ – </w:t>
      </w:r>
      <w:r>
        <w:rPr>
          <w:rFonts w:ascii="Arial" w:hAnsi="Arial" w:eastAsia="Arial"/>
          <w:color w:val="001F46"/>
          <w:spacing w:val="0"/>
          <w:w w:val="100"/>
          <w:sz w:val="20"/>
          <w:vertAlign w:val="baseline"/>
          <w:lang w:val="en-US"/>
        </w:rPr>
        <w:t xml:space="preserve">a supported 18-24 month-long Master of</w:t>
      </w:r>
    </w:p>
    <w:p>
      <w:pPr>
        <w:spacing w:before="5" w:after="0" w:line="240" w:lineRule="exact"/>
        <w:ind w:right="360" w:left="1224" w:firstLine="0"/>
        <w:jc w:val="left"/>
        <w:textAlignment w:val="baseline"/>
        <w:rPr>
          <w:rFonts w:ascii="Arial" w:hAnsi="Arial" w:eastAsia="Arial"/>
          <w:color w:val="001F46"/>
          <w:spacing w:val="0"/>
          <w:w w:val="100"/>
          <w:sz w:val="20"/>
          <w:vertAlign w:val="baseline"/>
          <w:lang w:val="en-US"/>
        </w:rPr>
      </w:pPr>
      <w:r>
        <w:rPr>
          <w:rFonts w:ascii="Arial" w:hAnsi="Arial" w:eastAsia="Arial"/>
          <w:color w:val="001F46"/>
          <w:spacing w:val="0"/>
          <w:w w:val="100"/>
          <w:sz w:val="20"/>
          <w:vertAlign w:val="baseline"/>
          <w:lang w:val="en-US"/>
        </w:rPr>
        <w:t xml:space="preserve">Teaching (Secondary) that gives students the opportunity in their first year of study to intern part-</w:t>
      </w:r>
      <w:r>
        <w:rPr>
          <w:rFonts w:ascii="Arial" w:hAnsi="Arial" w:eastAsia="Arial"/>
          <w:color w:val="001F46"/>
          <w:spacing w:val="0"/>
          <w:w w:val="100"/>
          <w:sz w:val="20"/>
          <w:vertAlign w:val="baseline"/>
          <w:lang w:val="en-US"/>
        </w:rPr>
        <w:t xml:space="preserve">time as teachers’ aides in hard</w:t>
      </w:r>
      <w:r>
        <w:rPr>
          <w:rFonts w:ascii="Arial" w:hAnsi="Arial" w:eastAsia="Arial"/>
          <w:color w:val="001F46"/>
          <w:spacing w:val="0"/>
          <w:w w:val="100"/>
          <w:sz w:val="20"/>
          <w:vertAlign w:val="baseline"/>
          <w:lang w:val="en-US"/>
        </w:rPr>
        <w:t xml:space="preserve">-to-staff schools. In the second </w:t>
      </w:r>
      <w:r>
        <w:rPr>
          <w:rFonts w:ascii="Arial" w:hAnsi="Arial" w:eastAsia="Arial"/>
          <w:color w:val="001F46"/>
          <w:spacing w:val="0"/>
          <w:w w:val="100"/>
          <w:sz w:val="20"/>
          <w:vertAlign w:val="baseline"/>
          <w:lang w:val="en-US"/>
        </w:rPr>
        <w:t xml:space="preserve">year, students become ‘paraprofessionals’ </w:t>
      </w:r>
      <w:r>
        <w:rPr>
          <w:rFonts w:ascii="Arial" w:hAnsi="Arial" w:eastAsia="Arial"/>
          <w:color w:val="001F46"/>
          <w:spacing w:val="0"/>
          <w:w w:val="100"/>
          <w:sz w:val="20"/>
          <w:vertAlign w:val="baseline"/>
          <w:lang w:val="en-US"/>
        </w:rPr>
        <w:t xml:space="preserve">with a 0.8 teaching load (and their own class).</w:t>
      </w:r>
    </w:p>
    <w:p>
      <w:pPr>
        <w:spacing w:before="356" w:after="0" w:line="240" w:lineRule="exact"/>
        <w:ind w:right="0" w:left="72" w:firstLine="0"/>
        <w:jc w:val="left"/>
        <w:textAlignment w:val="baseline"/>
        <w:rPr>
          <w:rFonts w:ascii="Arial" w:hAnsi="Arial" w:eastAsia="Arial"/>
          <w:b w:val="true"/>
          <w:color w:val="001F46"/>
          <w:spacing w:val="0"/>
          <w:w w:val="100"/>
          <w:sz w:val="22"/>
          <w:vertAlign w:val="baseline"/>
          <w:lang w:val="en-US"/>
        </w:rPr>
      </w:pPr>
      <w:r>
        <w:rPr>
          <w:rFonts w:ascii="Arial" w:hAnsi="Arial" w:eastAsia="Arial"/>
          <w:b w:val="true"/>
          <w:color w:val="001F46"/>
          <w:spacing w:val="0"/>
          <w:w w:val="100"/>
          <w:sz w:val="22"/>
          <w:vertAlign w:val="baseline"/>
          <w:lang w:val="en-US"/>
        </w:rPr>
        <w:t xml:space="preserve">Financial support</w:t>
      </w:r>
    </w:p>
    <w:p>
      <w:pPr>
        <w:numPr>
          <w:ilvl w:val="0"/>
          <w:numId w:val="3"/>
        </w:numPr>
        <w:tabs>
          <w:tab w:val="clear" w:pos="576"/>
          <w:tab w:val="left" w:pos="1224"/>
        </w:tabs>
        <w:spacing w:before="249" w:after="0" w:line="240" w:lineRule="exact"/>
        <w:ind w:right="504" w:left="1224" w:hanging="576"/>
        <w:jc w:val="left"/>
        <w:textAlignment w:val="baseline"/>
        <w:rPr>
          <w:rFonts w:ascii="Arial" w:hAnsi="Arial" w:eastAsia="Arial"/>
          <w:color w:val="001F46"/>
          <w:spacing w:val="0"/>
          <w:w w:val="100"/>
          <w:sz w:val="20"/>
          <w:vertAlign w:val="baseline"/>
          <w:lang w:val="en-US"/>
        </w:rPr>
      </w:pPr>
      <w:r>
        <w:rPr>
          <w:rFonts w:ascii="Arial" w:hAnsi="Arial" w:eastAsia="Arial"/>
          <w:color w:val="001F46"/>
          <w:spacing w:val="0"/>
          <w:w w:val="100"/>
          <w:sz w:val="20"/>
          <w:vertAlign w:val="baseline"/>
          <w:lang w:val="en-US"/>
        </w:rPr>
        <w:t xml:space="preserve">Students receive a small, part-time salary (from the Victorian Government) while studying as well as access to mentoring and professional development.</w:t>
      </w:r>
    </w:p>
    <w:p>
      <w:pPr>
        <w:spacing w:before="353" w:after="0" w:line="323" w:lineRule="exact"/>
        <w:ind w:right="0" w:left="72" w:firstLine="0"/>
        <w:jc w:val="left"/>
        <w:textAlignment w:val="baseline"/>
        <w:rPr>
          <w:rFonts w:ascii="Arial" w:hAnsi="Arial" w:eastAsia="Arial"/>
          <w:b w:val="true"/>
          <w:color w:val="001F46"/>
          <w:spacing w:val="0"/>
          <w:w w:val="100"/>
          <w:sz w:val="28"/>
          <w:vertAlign w:val="baseline"/>
          <w:lang w:val="en-US"/>
        </w:rPr>
      </w:pPr>
      <w:r>
        <w:rPr>
          <w:rFonts w:ascii="Arial" w:hAnsi="Arial" w:eastAsia="Arial"/>
          <w:b w:val="true"/>
          <w:color w:val="001F46"/>
          <w:spacing w:val="0"/>
          <w:w w:val="100"/>
          <w:sz w:val="28"/>
          <w:vertAlign w:val="baseline"/>
          <w:lang w:val="en-US"/>
        </w:rPr>
        <w:t xml:space="preserve">SOUTHERN CROSS UNIVERSITY</w:t>
      </w:r>
    </w:p>
    <w:p>
      <w:pPr>
        <w:spacing w:before="357" w:after="0" w:line="240" w:lineRule="exact"/>
        <w:ind w:right="936" w:left="72" w:firstLine="0"/>
        <w:jc w:val="left"/>
        <w:textAlignment w:val="baseline"/>
        <w:rPr>
          <w:rFonts w:ascii="Arial" w:hAnsi="Arial" w:eastAsia="Arial"/>
          <w:b w:val="true"/>
          <w:color w:val="001F46"/>
          <w:spacing w:val="0"/>
          <w:w w:val="100"/>
          <w:sz w:val="22"/>
          <w:vertAlign w:val="baseline"/>
          <w:lang w:val="en-US"/>
        </w:rPr>
      </w:pPr>
      <w:r>
        <w:rPr>
          <w:rFonts w:ascii="Arial" w:hAnsi="Arial" w:eastAsia="Arial"/>
          <w:b w:val="true"/>
          <w:color w:val="001F46"/>
          <w:spacing w:val="0"/>
          <w:w w:val="100"/>
          <w:sz w:val="22"/>
          <w:vertAlign w:val="baseline"/>
          <w:lang w:val="en-US"/>
        </w:rPr>
        <w:t xml:space="preserve">Models associated with long placements in schools/programs delivered in shortened timeframes.</w:t>
      </w:r>
    </w:p>
    <w:p>
      <w:pPr>
        <w:numPr>
          <w:ilvl w:val="0"/>
          <w:numId w:val="3"/>
        </w:numPr>
        <w:tabs>
          <w:tab w:val="clear" w:pos="576"/>
          <w:tab w:val="left" w:pos="1224"/>
        </w:tabs>
        <w:spacing w:before="253" w:after="858" w:line="240" w:lineRule="exact"/>
        <w:ind w:right="216" w:left="1224" w:hanging="576"/>
        <w:jc w:val="left"/>
        <w:textAlignment w:val="baseline"/>
        <w:rPr>
          <w:rFonts w:ascii="Arial" w:hAnsi="Arial" w:eastAsia="Arial"/>
          <w:color w:val="001F46"/>
          <w:spacing w:val="-1"/>
          <w:w w:val="100"/>
          <w:sz w:val="20"/>
          <w:vertAlign w:val="baseline"/>
          <w:lang w:val="en-US"/>
        </w:rPr>
      </w:pPr>
      <w:r>
        <w:rPr>
          <w:rFonts w:ascii="Arial" w:hAnsi="Arial" w:eastAsia="Arial"/>
          <w:color w:val="001F46"/>
          <w:spacing w:val="-1"/>
          <w:w w:val="100"/>
          <w:sz w:val="20"/>
          <w:vertAlign w:val="baseline"/>
          <w:lang w:val="en-US"/>
        </w:rPr>
        <w:t xml:space="preserve">Southern Cross University (SCU) is currently implementing a new innovative model which provides guided and active learning experiences focused on supporting student success. The new model divides the academic calendar year into six study</w:t>
      </w:r>
    </w:p>
    <w:p>
      <w:pPr>
        <w:spacing w:before="253" w:after="858" w:line="240" w:lineRule="exact"/>
        <w:sectPr>
          <w:type w:val="nextPage"/>
          <w:pgSz w:w="11909" w:h="16843" w:orient="portrait"/>
          <w:pgMar w:bottom="287" w:top="360" w:right="928" w:left="2201" w:header="720" w:footer="720"/>
          <w:titlePg w:val="false"/>
          <w:textDirection w:val="lrTb"/>
        </w:sectPr>
      </w:pPr>
    </w:p>
    <w:p>
      <w:pPr>
        <w:tabs>
          <w:tab w:val="right" w:leader="none" w:pos="8640"/>
        </w:tabs>
        <w:spacing w:before="6" w:after="0" w:line="187" w:lineRule="exact"/>
        <w:ind w:right="0" w:left="144" w:firstLine="0"/>
        <w:jc w:val="left"/>
        <w:textAlignment w:val="baseline"/>
        <w:rPr>
          <w:rFonts w:ascii="Arial" w:hAnsi="Arial" w:eastAsia="Arial"/>
          <w:b w:val="true"/>
          <w:color w:val="001F46"/>
          <w:spacing w:val="0"/>
          <w:w w:val="100"/>
          <w:sz w:val="16"/>
          <w:vertAlign w:val="baseline"/>
          <w:lang w:val="en-US"/>
        </w:rPr>
      </w:pPr>
      <w:r>
        <w:rPr>
          <w:rFonts w:ascii="Arial" w:hAnsi="Arial" w:eastAsia="Arial"/>
          <w:b w:val="true"/>
          <w:color w:val="001F46"/>
          <w:spacing w:val="0"/>
          <w:w w:val="100"/>
          <w:sz w:val="16"/>
          <w:vertAlign w:val="baseline"/>
          <w:lang w:val="en-US"/>
        </w:rPr>
        <w:t xml:space="preserve">UNIVERSITIES AUSTRALIA </w:t>
      </w:r>
      <w:r>
        <w:rPr>
          <w:rFonts w:ascii="Arial" w:hAnsi="Arial" w:eastAsia="Arial"/>
          <w:color w:val="001F46"/>
          <w:spacing w:val="0"/>
          <w:w w:val="100"/>
          <w:sz w:val="16"/>
          <w:vertAlign w:val="baseline"/>
          <w:lang w:val="en-US"/>
        </w:rPr>
        <w:t xml:space="preserve">| QUALITY INITIAL TEACHER EDUCATION REVIEW	</w:t>
      </w:r>
      <w:r>
        <w:rPr>
          <w:rFonts w:ascii="Arial" w:hAnsi="Arial" w:eastAsia="Arial"/>
          <w:b w:val="true"/>
          <w:color w:val="001F46"/>
          <w:spacing w:val="0"/>
          <w:w w:val="100"/>
          <w:sz w:val="16"/>
          <w:vertAlign w:val="baseline"/>
          <w:lang w:val="en-US"/>
        </w:rPr>
        <w:t xml:space="preserve">13</w:t>
      </w:r>
    </w:p>
    <w:p>
      <w:pPr>
        <w:sectPr>
          <w:type w:val="continuous"/>
          <w:pgSz w:w="11909" w:h="16843" w:orient="portrait"/>
          <w:pgMar w:bottom="287" w:top="360" w:right="923" w:left="2206" w:header="720" w:footer="720"/>
          <w:titlePg w:val="false"/>
          <w:textDirection w:val="lrTb"/>
        </w:sectPr>
      </w:pPr>
    </w:p>
    <w:p>
      <w:pPr>
        <w:spacing w:before="19" w:after="410" w:line="240" w:lineRule="auto"/>
        <w:ind w:right="248" w:left="5445"/>
        <w:jc w:val="left"/>
        <w:textAlignment w:val="baseline"/>
      </w:pPr>
      <w:r>
        <w:drawing>
          <wp:inline>
            <wp:extent cx="1960245" cy="588645"/>
            <wp:docPr name="Picture" id="14"/>
            <a:graphic>
              <a:graphicData uri="http://schemas.openxmlformats.org/drawingml/2006/picture">
                <pic:pic>
                  <pic:nvPicPr>
                    <pic:cNvPr id="14" name="Picture"/>
                    <pic:cNvPicPr preferRelativeResize="false"/>
                  </pic:nvPicPr>
                  <pic:blipFill>
                    <a:blip r:embed="prId14"/>
                    <a:stretch>
                      <a:fillRect/>
                    </a:stretch>
                  </pic:blipFill>
                  <pic:spPr>
                    <a:xfrm>
                      <a:off x="0" y="0"/>
                      <a:ext cx="1960245" cy="588645"/>
                    </a:xfrm>
                    <a:prstGeom prst="rect"/>
                  </pic:spPr>
                </pic:pic>
              </a:graphicData>
            </a:graphic>
          </wp:inline>
        </w:drawing>
      </w:r>
    </w:p>
    <w:p>
      <w:pPr>
        <w:spacing w:before="0" w:after="0" w:line="240" w:lineRule="exact"/>
        <w:ind w:right="72" w:left="1224" w:firstLine="0"/>
        <w:jc w:val="left"/>
        <w:textAlignment w:val="baseline"/>
        <w:rPr>
          <w:rFonts w:ascii="Arial" w:hAnsi="Arial" w:eastAsia="Arial"/>
          <w:color w:val="001F46"/>
          <w:spacing w:val="0"/>
          <w:w w:val="100"/>
          <w:sz w:val="20"/>
          <w:vertAlign w:val="baseline"/>
          <w:lang w:val="en-US"/>
        </w:rPr>
      </w:pPr>
      <w:r>
        <w:rPr>
          <w:rFonts w:ascii="Arial" w:hAnsi="Arial" w:eastAsia="Arial"/>
          <w:color w:val="001F46"/>
          <w:spacing w:val="0"/>
          <w:w w:val="100"/>
          <w:sz w:val="20"/>
          <w:vertAlign w:val="baseline"/>
          <w:lang w:val="en-US"/>
        </w:rPr>
        <w:t xml:space="preserve">terms of six teaching weeks each. This allows students to study subjects in six-week blocks, where students have the option to complete one or two units per term. A full-time study load is a minimum of six units and a maximum of 12 units per year, meaning that a student can do more study and complete their program in much </w:t>
      </w:r>
      <w:r>
        <w:rPr>
          <w:rFonts w:ascii="Arial" w:hAnsi="Arial" w:eastAsia="Arial"/>
          <w:color w:val="001F46"/>
          <w:spacing w:val="0"/>
          <w:w w:val="100"/>
          <w:sz w:val="20"/>
          <w:vertAlign w:val="baseline"/>
          <w:lang w:val="en-US"/>
        </w:rPr>
        <w:t xml:space="preserve">shorter timeframes (e.g. up to 18 months shorter). SCU’s Faculty of Education ha</w:t>
      </w:r>
      <w:r>
        <w:rPr>
          <w:rFonts w:ascii="Arial" w:hAnsi="Arial" w:eastAsia="Arial"/>
          <w:color w:val="001F46"/>
          <w:spacing w:val="0"/>
          <w:w w:val="100"/>
          <w:sz w:val="20"/>
          <w:vertAlign w:val="baseline"/>
          <w:lang w:val="en-US"/>
        </w:rPr>
        <w:t xml:space="preserve">s transformed their Initial Teacher Education (ITE) programs through their adoption of the new Southern Cross model enabling students to complete their ITE program faster and flexibly.</w:t>
      </w:r>
    </w:p>
    <w:p>
      <w:pPr>
        <w:numPr>
          <w:ilvl w:val="0"/>
          <w:numId w:val="3"/>
        </w:numPr>
        <w:tabs>
          <w:tab w:val="clear" w:pos="576"/>
          <w:tab w:val="left" w:pos="1224"/>
        </w:tabs>
        <w:spacing w:before="124" w:after="0" w:line="240" w:lineRule="exact"/>
        <w:ind w:right="504" w:left="1224" w:hanging="576"/>
        <w:jc w:val="left"/>
        <w:textAlignment w:val="baseline"/>
        <w:rPr>
          <w:rFonts w:ascii="Arial" w:hAnsi="Arial" w:eastAsia="Arial"/>
          <w:color w:val="001F46"/>
          <w:spacing w:val="0"/>
          <w:w w:val="100"/>
          <w:sz w:val="20"/>
          <w:vertAlign w:val="baseline"/>
          <w:lang w:val="en-US"/>
        </w:rPr>
      </w:pPr>
      <w:r>
        <w:rPr>
          <w:rFonts w:ascii="Arial" w:hAnsi="Arial" w:eastAsia="Arial"/>
          <w:color w:val="001F46"/>
          <w:spacing w:val="0"/>
          <w:w w:val="100"/>
          <w:sz w:val="20"/>
          <w:vertAlign w:val="baseline"/>
          <w:lang w:val="en-US"/>
        </w:rPr>
        <w:t xml:space="preserve">SCU courses include ‘community volunteer experiences’ which are primarily for </w:t>
      </w:r>
      <w:r>
        <w:rPr>
          <w:rFonts w:ascii="Arial" w:hAnsi="Arial" w:eastAsia="Arial"/>
          <w:color w:val="001F46"/>
          <w:spacing w:val="0"/>
          <w:w w:val="100"/>
          <w:sz w:val="20"/>
          <w:vertAlign w:val="baseline"/>
          <w:lang w:val="en-US"/>
        </w:rPr>
        <w:t xml:space="preserve">interest-driven community engagement and enhancement in-or-beyond formal educational settings. Such experience is logged and recorded.</w:t>
      </w:r>
    </w:p>
    <w:p>
      <w:pPr>
        <w:spacing w:before="352" w:after="0" w:line="319" w:lineRule="exact"/>
        <w:ind w:right="0" w:left="72" w:firstLine="0"/>
        <w:jc w:val="left"/>
        <w:textAlignment w:val="baseline"/>
        <w:rPr>
          <w:rFonts w:ascii="Arial" w:hAnsi="Arial" w:eastAsia="Arial"/>
          <w:b w:val="true"/>
          <w:color w:val="001F46"/>
          <w:spacing w:val="0"/>
          <w:w w:val="100"/>
          <w:sz w:val="28"/>
          <w:vertAlign w:val="baseline"/>
          <w:lang w:val="en-US"/>
        </w:rPr>
      </w:pPr>
      <w:r>
        <w:rPr>
          <w:rFonts w:ascii="Arial" w:hAnsi="Arial" w:eastAsia="Arial"/>
          <w:b w:val="true"/>
          <w:color w:val="001F46"/>
          <w:spacing w:val="0"/>
          <w:w w:val="100"/>
          <w:sz w:val="28"/>
          <w:vertAlign w:val="baseline"/>
          <w:lang w:val="en-US"/>
        </w:rPr>
        <w:t xml:space="preserve">SWINBURNE UNIVERSITY OF TECHNOLOGY</w:t>
      </w:r>
    </w:p>
    <w:p>
      <w:pPr>
        <w:spacing w:before="362" w:after="0" w:line="240" w:lineRule="exact"/>
        <w:ind w:right="936" w:left="72" w:firstLine="0"/>
        <w:jc w:val="left"/>
        <w:textAlignment w:val="baseline"/>
        <w:rPr>
          <w:rFonts w:ascii="Arial" w:hAnsi="Arial" w:eastAsia="Arial"/>
          <w:b w:val="true"/>
          <w:color w:val="001F46"/>
          <w:spacing w:val="0"/>
          <w:w w:val="100"/>
          <w:sz w:val="22"/>
          <w:vertAlign w:val="baseline"/>
          <w:lang w:val="en-US"/>
        </w:rPr>
      </w:pPr>
      <w:r>
        <w:rPr>
          <w:rFonts w:ascii="Arial" w:hAnsi="Arial" w:eastAsia="Arial"/>
          <w:b w:val="true"/>
          <w:color w:val="001F46"/>
          <w:spacing w:val="0"/>
          <w:w w:val="100"/>
          <w:sz w:val="22"/>
          <w:vertAlign w:val="baseline"/>
          <w:lang w:val="en-US"/>
        </w:rPr>
        <w:t xml:space="preserve">Models associated with long placements in schools/programs delivered in shortened timeframes.</w:t>
      </w:r>
    </w:p>
    <w:p>
      <w:pPr>
        <w:numPr>
          <w:ilvl w:val="0"/>
          <w:numId w:val="3"/>
        </w:numPr>
        <w:tabs>
          <w:tab w:val="clear" w:pos="576"/>
          <w:tab w:val="left" w:pos="1224"/>
        </w:tabs>
        <w:spacing w:before="254" w:after="0" w:line="240" w:lineRule="exact"/>
        <w:ind w:right="144" w:left="1224" w:hanging="576"/>
        <w:jc w:val="left"/>
        <w:textAlignment w:val="baseline"/>
        <w:rPr>
          <w:rFonts w:ascii="Arial" w:hAnsi="Arial" w:eastAsia="Arial"/>
          <w:color w:val="001F46"/>
          <w:spacing w:val="-1"/>
          <w:w w:val="100"/>
          <w:sz w:val="20"/>
          <w:vertAlign w:val="baseline"/>
          <w:lang w:val="en-US"/>
        </w:rPr>
      </w:pPr>
      <w:r>
        <w:rPr>
          <w:rFonts w:ascii="Arial" w:hAnsi="Arial" w:eastAsia="Arial"/>
          <w:color w:val="001F46"/>
          <w:spacing w:val="-1"/>
          <w:w w:val="100"/>
          <w:sz w:val="20"/>
          <w:vertAlign w:val="baseline"/>
          <w:lang w:val="en-US"/>
        </w:rPr>
        <w:t xml:space="preserve">A good example of innovation at Swinburne University of technology is the new Master of Teaching (Secondary). This accelerated 1.5-year online program is structured to align with school terms to allow better connections around placements and to support the participation of specific cohorts. A key feature of this program is the use of virtual reality technology to provide students opportunities to build confidence in virtual classrooms before commencing their placements.</w:t>
      </w:r>
    </w:p>
    <w:p>
      <w:pPr>
        <w:spacing w:before="352" w:after="0" w:line="319" w:lineRule="exact"/>
        <w:ind w:right="0" w:left="72" w:firstLine="0"/>
        <w:jc w:val="left"/>
        <w:textAlignment w:val="baseline"/>
        <w:rPr>
          <w:rFonts w:ascii="Arial" w:hAnsi="Arial" w:eastAsia="Arial"/>
          <w:b w:val="true"/>
          <w:color w:val="001F46"/>
          <w:spacing w:val="0"/>
          <w:w w:val="100"/>
          <w:sz w:val="28"/>
          <w:vertAlign w:val="baseline"/>
          <w:lang w:val="en-US"/>
        </w:rPr>
      </w:pPr>
      <w:r>
        <w:rPr>
          <w:rFonts w:ascii="Arial" w:hAnsi="Arial" w:eastAsia="Arial"/>
          <w:b w:val="true"/>
          <w:color w:val="001F46"/>
          <w:spacing w:val="0"/>
          <w:w w:val="100"/>
          <w:sz w:val="28"/>
          <w:vertAlign w:val="baseline"/>
          <w:lang w:val="en-US"/>
        </w:rPr>
        <w:t xml:space="preserve">THE UNIVERSITY OF MELBOURNE</w:t>
      </w:r>
    </w:p>
    <w:p>
      <w:pPr>
        <w:spacing w:before="361" w:after="0" w:line="240" w:lineRule="exact"/>
        <w:ind w:right="936" w:left="72" w:firstLine="0"/>
        <w:jc w:val="left"/>
        <w:textAlignment w:val="baseline"/>
        <w:rPr>
          <w:rFonts w:ascii="Arial" w:hAnsi="Arial" w:eastAsia="Arial"/>
          <w:b w:val="true"/>
          <w:color w:val="001F46"/>
          <w:spacing w:val="0"/>
          <w:w w:val="100"/>
          <w:sz w:val="22"/>
          <w:vertAlign w:val="baseline"/>
          <w:lang w:val="en-US"/>
        </w:rPr>
      </w:pPr>
      <w:r>
        <w:rPr>
          <w:rFonts w:ascii="Arial" w:hAnsi="Arial" w:eastAsia="Arial"/>
          <w:b w:val="true"/>
          <w:color w:val="001F46"/>
          <w:spacing w:val="0"/>
          <w:w w:val="100"/>
          <w:sz w:val="22"/>
          <w:vertAlign w:val="baseline"/>
          <w:lang w:val="en-US"/>
        </w:rPr>
        <w:t xml:space="preserve">Models associated with long placements in schools/programs delivered in shortened timeframes.</w:t>
      </w:r>
    </w:p>
    <w:p>
      <w:pPr>
        <w:numPr>
          <w:ilvl w:val="0"/>
          <w:numId w:val="3"/>
        </w:numPr>
        <w:tabs>
          <w:tab w:val="clear" w:pos="576"/>
          <w:tab w:val="left" w:pos="1224"/>
        </w:tabs>
        <w:spacing w:before="249" w:after="0" w:line="240" w:lineRule="exact"/>
        <w:ind w:right="144" w:left="1224" w:hanging="576"/>
        <w:jc w:val="left"/>
        <w:textAlignment w:val="baseline"/>
        <w:rPr>
          <w:rFonts w:ascii="Arial" w:hAnsi="Arial" w:eastAsia="Arial"/>
          <w:color w:val="001F46"/>
          <w:spacing w:val="0"/>
          <w:w w:val="100"/>
          <w:sz w:val="20"/>
          <w:vertAlign w:val="baseline"/>
          <w:lang w:val="en-US"/>
        </w:rPr>
      </w:pPr>
      <w:r>
        <w:rPr>
          <w:rFonts w:ascii="Arial" w:hAnsi="Arial" w:eastAsia="Arial"/>
          <w:color w:val="001F46"/>
          <w:spacing w:val="0"/>
          <w:w w:val="100"/>
          <w:sz w:val="20"/>
          <w:vertAlign w:val="baseline"/>
          <w:lang w:val="en-US"/>
        </w:rPr>
        <w:t xml:space="preserve">The University of </w:t>
      </w:r>
      <w:r>
        <w:rPr>
          <w:rFonts w:ascii="Arial" w:hAnsi="Arial" w:eastAsia="Arial"/>
          <w:color w:val="001F46"/>
          <w:spacing w:val="0"/>
          <w:w w:val="100"/>
          <w:sz w:val="20"/>
          <w:vertAlign w:val="baseline"/>
          <w:lang w:val="en-US"/>
        </w:rPr>
        <w:t xml:space="preserve">Melbourne offers a ‘secondary internship’: ITE students are </w:t>
      </w:r>
      <w:r>
        <w:rPr>
          <w:rFonts w:ascii="Arial" w:hAnsi="Arial" w:eastAsia="Arial"/>
          <w:color w:val="001F46"/>
          <w:spacing w:val="0"/>
          <w:w w:val="100"/>
          <w:sz w:val="20"/>
          <w:vertAlign w:val="baseline"/>
          <w:lang w:val="en-US"/>
        </w:rPr>
        <w:t xml:space="preserve">employed 0.6 to 0.8 FTE for two years </w:t>
      </w:r>
      <w:r>
        <w:rPr>
          <w:rFonts w:ascii="Arial" w:hAnsi="Arial" w:eastAsia="Arial"/>
          <w:color w:val="001F46"/>
          <w:spacing w:val="0"/>
          <w:w w:val="100"/>
          <w:sz w:val="20"/>
          <w:vertAlign w:val="baseline"/>
          <w:lang w:val="en-US"/>
        </w:rPr>
        <w:t xml:space="preserve">– </w:t>
      </w:r>
      <w:r>
        <w:rPr>
          <w:rFonts w:ascii="Arial" w:hAnsi="Arial" w:eastAsia="Arial"/>
          <w:color w:val="001F46"/>
          <w:spacing w:val="0"/>
          <w:w w:val="100"/>
          <w:sz w:val="20"/>
          <w:vertAlign w:val="baseline"/>
          <w:lang w:val="en-US"/>
        </w:rPr>
        <w:t xml:space="preserve">the focus of the program is on regional and other difficult to staff schools. Most ITE content is delivered online so students can study from their placements. There are also summer semesters.</w:t>
      </w:r>
    </w:p>
    <w:p>
      <w:pPr>
        <w:numPr>
          <w:ilvl w:val="0"/>
          <w:numId w:val="3"/>
        </w:numPr>
        <w:tabs>
          <w:tab w:val="clear" w:pos="576"/>
          <w:tab w:val="left" w:pos="1224"/>
        </w:tabs>
        <w:spacing w:before="125" w:after="0" w:line="240" w:lineRule="exact"/>
        <w:ind w:right="288" w:left="1224" w:hanging="576"/>
        <w:jc w:val="left"/>
        <w:textAlignment w:val="baseline"/>
        <w:rPr>
          <w:rFonts w:ascii="Arial" w:hAnsi="Arial" w:eastAsia="Arial"/>
          <w:color w:val="001F46"/>
          <w:spacing w:val="0"/>
          <w:w w:val="100"/>
          <w:sz w:val="20"/>
          <w:vertAlign w:val="baseline"/>
          <w:lang w:val="en-US"/>
        </w:rPr>
      </w:pPr>
      <w:r>
        <w:rPr>
          <w:rFonts w:ascii="Arial" w:hAnsi="Arial" w:eastAsia="Arial"/>
          <w:color w:val="001F46"/>
          <w:spacing w:val="0"/>
          <w:w w:val="100"/>
          <w:sz w:val="20"/>
          <w:vertAlign w:val="baseline"/>
          <w:lang w:val="en-US"/>
        </w:rPr>
        <w:t xml:space="preserve">The University of </w:t>
      </w:r>
      <w:r>
        <w:rPr>
          <w:rFonts w:ascii="Arial" w:hAnsi="Arial" w:eastAsia="Arial"/>
          <w:color w:val="001F46"/>
          <w:spacing w:val="0"/>
          <w:w w:val="100"/>
          <w:sz w:val="20"/>
          <w:vertAlign w:val="baseline"/>
          <w:lang w:val="en-US"/>
        </w:rPr>
        <w:t xml:space="preserve">Melbourne also offers a ‘secondary accelerated’ Masters degree (two years’ worth of content compl</w:t>
      </w:r>
      <w:r>
        <w:rPr>
          <w:rFonts w:ascii="Arial" w:hAnsi="Arial" w:eastAsia="Arial"/>
          <w:color w:val="001F46"/>
          <w:spacing w:val="0"/>
          <w:w w:val="100"/>
          <w:sz w:val="20"/>
          <w:vertAlign w:val="baseline"/>
          <w:lang w:val="en-US"/>
        </w:rPr>
        <w:t xml:space="preserve">eted in 18 months). This is achieved through a more intensive study load, plus some summer and winter semesters.</w:t>
      </w:r>
    </w:p>
    <w:p>
      <w:pPr>
        <w:numPr>
          <w:ilvl w:val="0"/>
          <w:numId w:val="3"/>
        </w:numPr>
        <w:tabs>
          <w:tab w:val="clear" w:pos="576"/>
          <w:tab w:val="left" w:pos="1224"/>
        </w:tabs>
        <w:spacing w:before="125" w:after="0" w:line="240" w:lineRule="exact"/>
        <w:ind w:right="360" w:left="1224" w:hanging="576"/>
        <w:jc w:val="left"/>
        <w:textAlignment w:val="baseline"/>
        <w:rPr>
          <w:rFonts w:ascii="Arial" w:hAnsi="Arial" w:eastAsia="Arial"/>
          <w:color w:val="001F46"/>
          <w:spacing w:val="0"/>
          <w:w w:val="100"/>
          <w:sz w:val="20"/>
          <w:vertAlign w:val="baseline"/>
          <w:lang w:val="en-US"/>
        </w:rPr>
      </w:pPr>
      <w:r>
        <w:rPr>
          <w:rFonts w:ascii="Arial" w:hAnsi="Arial" w:eastAsia="Arial"/>
          <w:color w:val="001F46"/>
          <w:spacing w:val="0"/>
          <w:w w:val="100"/>
          <w:sz w:val="20"/>
          <w:vertAlign w:val="baseline"/>
          <w:lang w:val="en-US"/>
        </w:rPr>
        <w:t xml:space="preserve">Primary and early childhood Masters programs integrate disciplines. This is partly inspired by a crowded curriculum which would otherwise make it very difficult to cover the full curriculum in two years.</w:t>
      </w:r>
    </w:p>
    <w:p>
      <w:pPr>
        <w:spacing w:before="352" w:after="0" w:line="319" w:lineRule="exact"/>
        <w:ind w:right="0" w:left="72" w:firstLine="0"/>
        <w:jc w:val="left"/>
        <w:textAlignment w:val="baseline"/>
        <w:rPr>
          <w:rFonts w:ascii="Arial" w:hAnsi="Arial" w:eastAsia="Arial"/>
          <w:b w:val="true"/>
          <w:color w:val="001F46"/>
          <w:spacing w:val="0"/>
          <w:w w:val="100"/>
          <w:sz w:val="28"/>
          <w:vertAlign w:val="baseline"/>
          <w:lang w:val="en-US"/>
        </w:rPr>
      </w:pPr>
      <w:r>
        <w:rPr>
          <w:rFonts w:ascii="Arial" w:hAnsi="Arial" w:eastAsia="Arial"/>
          <w:b w:val="true"/>
          <w:color w:val="001F46"/>
          <w:spacing w:val="0"/>
          <w:w w:val="100"/>
          <w:sz w:val="28"/>
          <w:vertAlign w:val="baseline"/>
          <w:lang w:val="en-US"/>
        </w:rPr>
        <w:t xml:space="preserve">UNIVERSITY OF THE SUNSHINE COAST</w:t>
      </w:r>
    </w:p>
    <w:p>
      <w:pPr>
        <w:spacing w:before="361" w:after="0" w:line="240" w:lineRule="exact"/>
        <w:ind w:right="0" w:left="72" w:firstLine="0"/>
        <w:jc w:val="left"/>
        <w:textAlignment w:val="baseline"/>
        <w:rPr>
          <w:rFonts w:ascii="Arial" w:hAnsi="Arial" w:eastAsia="Arial"/>
          <w:b w:val="true"/>
          <w:color w:val="001F46"/>
          <w:spacing w:val="0"/>
          <w:w w:val="100"/>
          <w:sz w:val="22"/>
          <w:vertAlign w:val="baseline"/>
          <w:lang w:val="en-US"/>
        </w:rPr>
      </w:pPr>
      <w:r>
        <w:rPr>
          <w:rFonts w:ascii="Arial" w:hAnsi="Arial" w:eastAsia="Arial"/>
          <w:b w:val="true"/>
          <w:color w:val="001F46"/>
          <w:spacing w:val="0"/>
          <w:w w:val="100"/>
          <w:sz w:val="22"/>
          <w:vertAlign w:val="baseline"/>
          <w:lang w:val="en-US"/>
        </w:rPr>
        <w:t xml:space="preserve">Programs delivered in shortened timeframes.</w:t>
      </w:r>
    </w:p>
    <w:p>
      <w:pPr>
        <w:numPr>
          <w:ilvl w:val="0"/>
          <w:numId w:val="3"/>
        </w:numPr>
        <w:tabs>
          <w:tab w:val="clear" w:pos="576"/>
          <w:tab w:val="left" w:pos="1224"/>
        </w:tabs>
        <w:spacing w:before="254" w:after="1342" w:line="240" w:lineRule="exact"/>
        <w:ind w:right="360" w:left="1224" w:hanging="576"/>
        <w:jc w:val="left"/>
        <w:textAlignment w:val="baseline"/>
        <w:rPr>
          <w:rFonts w:ascii="Arial" w:hAnsi="Arial" w:eastAsia="Arial"/>
          <w:color w:val="001F46"/>
          <w:spacing w:val="-1"/>
          <w:w w:val="100"/>
          <w:sz w:val="20"/>
          <w:vertAlign w:val="baseline"/>
          <w:lang w:val="en-US"/>
        </w:rPr>
      </w:pPr>
      <w:r>
        <w:rPr>
          <w:rFonts w:ascii="Arial" w:hAnsi="Arial" w:eastAsia="Arial"/>
          <w:color w:val="001F46"/>
          <w:spacing w:val="-1"/>
          <w:w w:val="100"/>
          <w:sz w:val="20"/>
          <w:vertAlign w:val="baseline"/>
          <w:lang w:val="en-US"/>
        </w:rPr>
        <w:t xml:space="preserve">University of the Sunshine Coast (USC) offers a two-year postgraduate initial teacher education program to prepare secondary school teachers (the Master of Teaching (Secondary) program). With courses in this program offered in summer and winter semesters, students can complete this program in 18 months.</w:t>
      </w:r>
    </w:p>
    <w:p>
      <w:pPr>
        <w:spacing w:before="254" w:after="1342" w:line="240" w:lineRule="exact"/>
        <w:sectPr>
          <w:type w:val="nextPage"/>
          <w:pgSz w:w="11909" w:h="16843" w:orient="portrait"/>
          <w:pgMar w:bottom="287" w:top="360" w:right="952" w:left="2177" w:header="720" w:footer="720"/>
          <w:titlePg w:val="false"/>
          <w:textDirection w:val="lrTb"/>
        </w:sectPr>
      </w:pPr>
    </w:p>
    <w:p>
      <w:pPr>
        <w:tabs>
          <w:tab w:val="right" w:leader="none" w:pos="8640"/>
        </w:tabs>
        <w:spacing w:before="6" w:after="0" w:line="187" w:lineRule="exact"/>
        <w:ind w:right="0" w:left="144" w:firstLine="0"/>
        <w:jc w:val="left"/>
        <w:textAlignment w:val="baseline"/>
        <w:rPr>
          <w:rFonts w:ascii="Arial" w:hAnsi="Arial" w:eastAsia="Arial"/>
          <w:b w:val="true"/>
          <w:color w:val="001F46"/>
          <w:spacing w:val="0"/>
          <w:w w:val="100"/>
          <w:sz w:val="16"/>
          <w:vertAlign w:val="baseline"/>
          <w:lang w:val="en-US"/>
        </w:rPr>
      </w:pPr>
      <w:r>
        <w:rPr>
          <w:rFonts w:ascii="Arial" w:hAnsi="Arial" w:eastAsia="Arial"/>
          <w:b w:val="true"/>
          <w:color w:val="001F46"/>
          <w:spacing w:val="0"/>
          <w:w w:val="100"/>
          <w:sz w:val="16"/>
          <w:vertAlign w:val="baseline"/>
          <w:lang w:val="en-US"/>
        </w:rPr>
        <w:t xml:space="preserve">UNIVERSITIES AUSTRALIA </w:t>
      </w:r>
      <w:r>
        <w:rPr>
          <w:rFonts w:ascii="Arial" w:hAnsi="Arial" w:eastAsia="Arial"/>
          <w:color w:val="001F46"/>
          <w:spacing w:val="0"/>
          <w:w w:val="100"/>
          <w:sz w:val="16"/>
          <w:vertAlign w:val="baseline"/>
          <w:lang w:val="en-US"/>
        </w:rPr>
        <w:t xml:space="preserve">| QUALITY INITIAL TEACHER EDUCATION REVIEW	</w:t>
      </w:r>
      <w:r>
        <w:rPr>
          <w:rFonts w:ascii="Arial" w:hAnsi="Arial" w:eastAsia="Arial"/>
          <w:b w:val="true"/>
          <w:color w:val="001F46"/>
          <w:spacing w:val="0"/>
          <w:w w:val="100"/>
          <w:sz w:val="16"/>
          <w:vertAlign w:val="baseline"/>
          <w:lang w:val="en-US"/>
        </w:rPr>
        <w:t xml:space="preserve">14</w:t>
      </w:r>
    </w:p>
    <w:p>
      <w:pPr>
        <w:sectPr>
          <w:type w:val="continuous"/>
          <w:pgSz w:w="11909" w:h="16843" w:orient="portrait"/>
          <w:pgMar w:bottom="287" w:top="360" w:right="923" w:left="2206" w:header="720" w:footer="720"/>
          <w:titlePg w:val="false"/>
          <w:textDirection w:val="lrTb"/>
        </w:sectPr>
      </w:pPr>
    </w:p>
    <w:p>
      <w:pPr>
        <w:spacing w:before="19" w:after="319" w:line="240" w:lineRule="auto"/>
        <w:ind w:right="267" w:left="5426"/>
        <w:jc w:val="left"/>
        <w:textAlignment w:val="baseline"/>
      </w:pPr>
      <w:r>
        <w:drawing>
          <wp:inline>
            <wp:extent cx="1960245" cy="588645"/>
            <wp:docPr name="Picture" id="15"/>
            <a:graphic>
              <a:graphicData uri="http://schemas.openxmlformats.org/drawingml/2006/picture">
                <pic:pic>
                  <pic:nvPicPr>
                    <pic:cNvPr id="15" name="Picture"/>
                    <pic:cNvPicPr preferRelativeResize="false"/>
                  </pic:nvPicPr>
                  <pic:blipFill>
                    <a:blip r:embed="prId15"/>
                    <a:stretch>
                      <a:fillRect/>
                    </a:stretch>
                  </pic:blipFill>
                  <pic:spPr>
                    <a:xfrm>
                      <a:off x="0" y="0"/>
                      <a:ext cx="1960245" cy="588645"/>
                    </a:xfrm>
                    <a:prstGeom prst="rect"/>
                  </pic:spPr>
                </pic:pic>
              </a:graphicData>
            </a:graphic>
          </wp:inline>
        </w:drawing>
      </w:r>
    </w:p>
    <w:p>
      <w:pPr>
        <w:numPr>
          <w:ilvl w:val="0"/>
          <w:numId w:val="3"/>
        </w:numPr>
        <w:tabs>
          <w:tab w:val="clear" w:pos="576"/>
          <w:tab w:val="left" w:pos="1224"/>
        </w:tabs>
        <w:spacing w:before="95" w:after="0" w:line="240" w:lineRule="exact"/>
        <w:ind w:right="72" w:left="1224" w:hanging="576"/>
        <w:jc w:val="left"/>
        <w:textAlignment w:val="baseline"/>
        <w:rPr>
          <w:rFonts w:ascii="Arial" w:hAnsi="Arial" w:eastAsia="Arial"/>
          <w:color w:val="001F46"/>
          <w:spacing w:val="0"/>
          <w:w w:val="100"/>
          <w:sz w:val="20"/>
          <w:vertAlign w:val="baseline"/>
          <w:lang w:val="en-US"/>
        </w:rPr>
      </w:pPr>
      <w:r>
        <w:rPr>
          <w:rFonts w:ascii="Arial" w:hAnsi="Arial" w:eastAsia="Arial"/>
          <w:color w:val="001F46"/>
          <w:spacing w:val="0"/>
          <w:w w:val="100"/>
          <w:sz w:val="20"/>
          <w:vertAlign w:val="baseline"/>
          <w:lang w:val="en-US"/>
        </w:rPr>
        <w:t xml:space="preserve">The program assists with meeting demand for teachers in areas of shortage (such as industrial technology and design) through program design which enables secondary students to complete their program more quickly, through full utilisation of the three trimesters in </w:t>
      </w:r>
      <w:r>
        <w:rPr>
          <w:rFonts w:ascii="Arial" w:hAnsi="Arial" w:eastAsia="Arial"/>
          <w:color w:val="001F46"/>
          <w:spacing w:val="0"/>
          <w:w w:val="100"/>
          <w:sz w:val="21"/>
          <w:vertAlign w:val="baseline"/>
          <w:lang w:val="en-US"/>
        </w:rPr>
        <w:t xml:space="preserve">the university’s </w:t>
      </w:r>
      <w:r>
        <w:rPr>
          <w:rFonts w:ascii="Arial" w:hAnsi="Arial" w:eastAsia="Arial"/>
          <w:color w:val="001F46"/>
          <w:spacing w:val="0"/>
          <w:w w:val="100"/>
          <w:sz w:val="20"/>
          <w:vertAlign w:val="baseline"/>
          <w:lang w:val="en-US"/>
        </w:rPr>
        <w:t xml:space="preserve">calendar.</w:t>
      </w:r>
    </w:p>
    <w:p>
      <w:pPr>
        <w:spacing w:before="355" w:after="0" w:line="240" w:lineRule="exact"/>
        <w:ind w:right="936" w:left="72" w:firstLine="0"/>
        <w:jc w:val="left"/>
        <w:textAlignment w:val="baseline"/>
        <w:rPr>
          <w:rFonts w:ascii="Arial" w:hAnsi="Arial" w:eastAsia="Arial"/>
          <w:b w:val="true"/>
          <w:color w:val="001F46"/>
          <w:spacing w:val="0"/>
          <w:w w:val="100"/>
          <w:sz w:val="22"/>
          <w:vertAlign w:val="baseline"/>
          <w:lang w:val="en-US"/>
        </w:rPr>
      </w:pPr>
      <w:r>
        <w:rPr>
          <w:rFonts w:ascii="Arial" w:hAnsi="Arial" w:eastAsia="Arial"/>
          <w:b w:val="true"/>
          <w:color w:val="001F46"/>
          <w:spacing w:val="0"/>
          <w:w w:val="100"/>
          <w:sz w:val="22"/>
          <w:vertAlign w:val="baseline"/>
          <w:lang w:val="en-US"/>
        </w:rPr>
        <w:t xml:space="preserve">Preparing preservice teachers to teach in regional, rural and remote (RRR) locations.</w:t>
      </w:r>
    </w:p>
    <w:p>
      <w:pPr>
        <w:numPr>
          <w:ilvl w:val="0"/>
          <w:numId w:val="3"/>
        </w:numPr>
        <w:tabs>
          <w:tab w:val="clear" w:pos="576"/>
          <w:tab w:val="left" w:pos="1224"/>
        </w:tabs>
        <w:spacing w:before="249" w:after="0" w:line="240" w:lineRule="exact"/>
        <w:ind w:right="72" w:left="1224" w:hanging="576"/>
        <w:jc w:val="left"/>
        <w:textAlignment w:val="baseline"/>
        <w:rPr>
          <w:rFonts w:ascii="Arial" w:hAnsi="Arial" w:eastAsia="Arial"/>
          <w:color w:val="001F46"/>
          <w:spacing w:val="0"/>
          <w:w w:val="100"/>
          <w:sz w:val="20"/>
          <w:vertAlign w:val="baseline"/>
          <w:lang w:val="en-US"/>
        </w:rPr>
      </w:pPr>
      <w:r>
        <w:rPr>
          <w:rFonts w:ascii="Arial" w:hAnsi="Arial" w:eastAsia="Arial"/>
          <w:color w:val="001F46"/>
          <w:spacing w:val="0"/>
          <w:w w:val="100"/>
          <w:sz w:val="20"/>
          <w:vertAlign w:val="baseline"/>
          <w:lang w:val="en-US"/>
        </w:rPr>
        <w:t xml:space="preserve">USC encourages preservice teachers (PSTs) to undertake a placement in a regional, rural or remote (RRR) school during their initial teacher education (ITE) program, and implements a process of interviewing, monitoring and supporting PSTs throughout this time.</w:t>
      </w:r>
    </w:p>
    <w:p>
      <w:pPr>
        <w:numPr>
          <w:ilvl w:val="0"/>
          <w:numId w:val="3"/>
        </w:numPr>
        <w:tabs>
          <w:tab w:val="clear" w:pos="576"/>
          <w:tab w:val="left" w:pos="1224"/>
        </w:tabs>
        <w:spacing w:before="120" w:after="0" w:line="240" w:lineRule="exact"/>
        <w:ind w:right="360" w:left="1224" w:hanging="576"/>
        <w:jc w:val="left"/>
        <w:textAlignment w:val="baseline"/>
        <w:rPr>
          <w:rFonts w:ascii="Arial" w:hAnsi="Arial" w:eastAsia="Arial"/>
          <w:color w:val="001F46"/>
          <w:spacing w:val="0"/>
          <w:w w:val="100"/>
          <w:sz w:val="20"/>
          <w:vertAlign w:val="baseline"/>
          <w:lang w:val="en-US"/>
        </w:rPr>
      </w:pPr>
      <w:r>
        <w:rPr>
          <w:rFonts w:ascii="Arial" w:hAnsi="Arial" w:eastAsia="Arial"/>
          <w:color w:val="001F46"/>
          <w:spacing w:val="0"/>
          <w:w w:val="100"/>
          <w:sz w:val="20"/>
          <w:vertAlign w:val="baseline"/>
          <w:lang w:val="en-US"/>
        </w:rPr>
        <w:t xml:space="preserve">A further signature practice of USC is the </w:t>
      </w:r>
      <w:r>
        <w:rPr>
          <w:rFonts w:ascii="Arial" w:hAnsi="Arial" w:eastAsia="Arial"/>
          <w:color w:val="001F46"/>
          <w:spacing w:val="0"/>
          <w:w w:val="100"/>
          <w:sz w:val="21"/>
          <w:vertAlign w:val="baseline"/>
          <w:lang w:val="en-US"/>
        </w:rPr>
        <w:t xml:space="preserve">‘</w:t>
      </w:r>
      <w:r>
        <w:rPr>
          <w:rFonts w:ascii="Arial" w:hAnsi="Arial" w:eastAsia="Arial"/>
          <w:color w:val="001F46"/>
          <w:spacing w:val="0"/>
          <w:w w:val="100"/>
          <w:sz w:val="20"/>
          <w:vertAlign w:val="baseline"/>
          <w:lang w:val="en-US"/>
        </w:rPr>
        <w:t xml:space="preserve">Coast to Country</w:t>
      </w:r>
      <w:r>
        <w:rPr>
          <w:rFonts w:ascii="Arial" w:hAnsi="Arial" w:eastAsia="Arial"/>
          <w:color w:val="001F46"/>
          <w:spacing w:val="0"/>
          <w:w w:val="100"/>
          <w:sz w:val="21"/>
          <w:vertAlign w:val="baseline"/>
          <w:lang w:val="en-US"/>
        </w:rPr>
        <w:t xml:space="preserve">’ </w:t>
      </w:r>
      <w:r>
        <w:rPr>
          <w:rFonts w:ascii="Arial" w:hAnsi="Arial" w:eastAsia="Arial"/>
          <w:color w:val="001F46"/>
          <w:spacing w:val="0"/>
          <w:w w:val="100"/>
          <w:sz w:val="20"/>
          <w:vertAlign w:val="baseline"/>
          <w:lang w:val="en-US"/>
        </w:rPr>
        <w:t xml:space="preserve">bus trip that occurs twice a year, in which a group of PSTs travel together (with supervision from USC staff) on a scheduled route, visiting RRR schools, meeting school staff and being immersed into community events.</w:t>
      </w:r>
    </w:p>
    <w:p>
      <w:pPr>
        <w:numPr>
          <w:ilvl w:val="0"/>
          <w:numId w:val="3"/>
        </w:numPr>
        <w:tabs>
          <w:tab w:val="clear" w:pos="576"/>
          <w:tab w:val="left" w:pos="1224"/>
        </w:tabs>
        <w:spacing w:before="125" w:after="0" w:line="240" w:lineRule="exact"/>
        <w:ind w:right="72" w:left="1224" w:hanging="576"/>
        <w:jc w:val="left"/>
        <w:textAlignment w:val="baseline"/>
        <w:rPr>
          <w:rFonts w:ascii="Arial" w:hAnsi="Arial" w:eastAsia="Arial"/>
          <w:color w:val="001F46"/>
          <w:spacing w:val="0"/>
          <w:w w:val="100"/>
          <w:sz w:val="20"/>
          <w:vertAlign w:val="baseline"/>
          <w:lang w:val="en-US"/>
        </w:rPr>
      </w:pPr>
      <w:r>
        <w:rPr>
          <w:rFonts w:ascii="Arial" w:hAnsi="Arial" w:eastAsia="Arial"/>
          <w:color w:val="001F46"/>
          <w:spacing w:val="0"/>
          <w:w w:val="100"/>
          <w:sz w:val="20"/>
          <w:vertAlign w:val="baseline"/>
          <w:lang w:val="en-US"/>
        </w:rPr>
        <w:t xml:space="preserve">USC data indicates that 52.7 per cent of USC preservice teachers with RRR exposure (through bursaries and/or </w:t>
      </w:r>
      <w:r>
        <w:rPr>
          <w:rFonts w:ascii="Arial" w:hAnsi="Arial" w:eastAsia="Arial"/>
          <w:color w:val="001F46"/>
          <w:spacing w:val="0"/>
          <w:w w:val="100"/>
          <w:sz w:val="21"/>
          <w:vertAlign w:val="baseline"/>
          <w:lang w:val="en-US"/>
        </w:rPr>
        <w:t xml:space="preserve">‘</w:t>
      </w:r>
      <w:r>
        <w:rPr>
          <w:rFonts w:ascii="Arial" w:hAnsi="Arial" w:eastAsia="Arial"/>
          <w:color w:val="001F46"/>
          <w:spacing w:val="0"/>
          <w:w w:val="100"/>
          <w:sz w:val="20"/>
          <w:vertAlign w:val="baseline"/>
          <w:lang w:val="en-US"/>
        </w:rPr>
        <w:t xml:space="preserve">Coast to Country</w:t>
      </w:r>
      <w:r>
        <w:rPr>
          <w:rFonts w:ascii="Arial" w:hAnsi="Arial" w:eastAsia="Arial"/>
          <w:color w:val="001F46"/>
          <w:spacing w:val="0"/>
          <w:w w:val="100"/>
          <w:sz w:val="21"/>
          <w:vertAlign w:val="baseline"/>
          <w:lang w:val="en-US"/>
        </w:rPr>
        <w:t xml:space="preserve">’ </w:t>
      </w:r>
      <w:r>
        <w:rPr>
          <w:rFonts w:ascii="Arial" w:hAnsi="Arial" w:eastAsia="Arial"/>
          <w:color w:val="001F46"/>
          <w:spacing w:val="0"/>
          <w:w w:val="100"/>
          <w:sz w:val="20"/>
          <w:vertAlign w:val="baseline"/>
          <w:lang w:val="en-US"/>
        </w:rPr>
        <w:t xml:space="preserve">experience) were identified as teachers employed by Education Queensland. From those identified, 69.4 per cent of the bursary recipients were employed in teaching positions in RRR locations in Queensland immediately following graduation.</w:t>
      </w:r>
    </w:p>
    <w:p>
      <w:pPr>
        <w:numPr>
          <w:ilvl w:val="0"/>
          <w:numId w:val="3"/>
        </w:numPr>
        <w:tabs>
          <w:tab w:val="clear" w:pos="576"/>
          <w:tab w:val="left" w:pos="1224"/>
        </w:tabs>
        <w:spacing w:before="125" w:after="0" w:line="240" w:lineRule="exact"/>
        <w:ind w:right="504" w:left="1224" w:hanging="576"/>
        <w:jc w:val="left"/>
        <w:textAlignment w:val="baseline"/>
        <w:rPr>
          <w:rFonts w:ascii="Arial" w:hAnsi="Arial" w:eastAsia="Arial"/>
          <w:color w:val="001F46"/>
          <w:spacing w:val="0"/>
          <w:w w:val="100"/>
          <w:sz w:val="20"/>
          <w:vertAlign w:val="baseline"/>
          <w:lang w:val="en-US"/>
        </w:rPr>
      </w:pPr>
      <w:r>
        <w:rPr>
          <w:rFonts w:ascii="Arial" w:hAnsi="Arial" w:eastAsia="Arial"/>
          <w:color w:val="001F46"/>
          <w:spacing w:val="0"/>
          <w:w w:val="100"/>
          <w:sz w:val="20"/>
          <w:vertAlign w:val="baseline"/>
          <w:lang w:val="en-US"/>
        </w:rPr>
        <w:t xml:space="preserve">USC PSTs who are accepted into the Outback Advantage program are provided with:</w:t>
      </w:r>
    </w:p>
    <w:p>
      <w:pPr>
        <w:tabs>
          <w:tab w:val="left" w:leader="none" w:pos="1800"/>
        </w:tabs>
        <w:spacing w:before="121" w:after="0" w:line="240" w:lineRule="exact"/>
        <w:ind w:right="0" w:left="1224" w:firstLine="0"/>
        <w:jc w:val="left"/>
        <w:textAlignment w:val="baseline"/>
        <w:rPr>
          <w:rFonts w:ascii="Arial" w:hAnsi="Arial" w:eastAsia="Arial"/>
          <w:color w:val="001F46"/>
          <w:spacing w:val="0"/>
          <w:w w:val="100"/>
          <w:sz w:val="21"/>
          <w:vertAlign w:val="baseline"/>
          <w:lang w:val="en-US"/>
        </w:rPr>
      </w:pPr>
      <w:r>
        <w:rPr>
          <w:rFonts w:ascii="Arial" w:hAnsi="Arial" w:eastAsia="Arial"/>
          <w:color w:val="001F46"/>
          <w:spacing w:val="0"/>
          <w:w w:val="100"/>
          <w:sz w:val="21"/>
          <w:vertAlign w:val="baseline"/>
          <w:lang w:val="en-US"/>
        </w:rPr>
        <w:t xml:space="preserve">–	</w:t>
      </w:r>
      <w:r>
        <w:rPr>
          <w:rFonts w:ascii="Arial" w:hAnsi="Arial" w:eastAsia="Arial"/>
          <w:color w:val="001F46"/>
          <w:spacing w:val="0"/>
          <w:w w:val="100"/>
          <w:sz w:val="20"/>
          <w:vertAlign w:val="baseline"/>
          <w:lang w:val="en-US"/>
        </w:rPr>
        <w:t xml:space="preserve">nine days</w:t>
      </w:r>
      <w:r>
        <w:rPr>
          <w:rFonts w:ascii="Arial" w:hAnsi="Arial" w:eastAsia="Arial"/>
          <w:color w:val="001F46"/>
          <w:spacing w:val="0"/>
          <w:w w:val="100"/>
          <w:sz w:val="21"/>
          <w:vertAlign w:val="baseline"/>
          <w:lang w:val="en-US"/>
        </w:rPr>
        <w:t xml:space="preserve">’ </w:t>
      </w:r>
      <w:r>
        <w:rPr>
          <w:rFonts w:ascii="Arial" w:hAnsi="Arial" w:eastAsia="Arial"/>
          <w:color w:val="001F46"/>
          <w:spacing w:val="0"/>
          <w:w w:val="100"/>
          <w:sz w:val="20"/>
          <w:vertAlign w:val="baseline"/>
          <w:lang w:val="en-US"/>
        </w:rPr>
        <w:t xml:space="preserve">classroom experience with ongoing teacher mentorship;</w:t>
      </w:r>
    </w:p>
    <w:p>
      <w:pPr>
        <w:tabs>
          <w:tab w:val="left" w:leader="none" w:pos="1800"/>
        </w:tabs>
        <w:spacing w:before="120" w:after="0" w:line="240" w:lineRule="exact"/>
        <w:ind w:right="0" w:left="1224" w:firstLine="0"/>
        <w:jc w:val="left"/>
        <w:textAlignment w:val="baseline"/>
        <w:rPr>
          <w:rFonts w:ascii="Arial" w:hAnsi="Arial" w:eastAsia="Arial"/>
          <w:color w:val="001F46"/>
          <w:spacing w:val="0"/>
          <w:w w:val="100"/>
          <w:sz w:val="21"/>
          <w:vertAlign w:val="baseline"/>
          <w:lang w:val="en-US"/>
        </w:rPr>
      </w:pPr>
      <w:r>
        <w:rPr>
          <w:rFonts w:ascii="Arial" w:hAnsi="Arial" w:eastAsia="Arial"/>
          <w:color w:val="001F46"/>
          <w:spacing w:val="0"/>
          <w:w w:val="100"/>
          <w:sz w:val="21"/>
          <w:vertAlign w:val="baseline"/>
          <w:lang w:val="en-US"/>
        </w:rPr>
        <w:t xml:space="preserve">–	</w:t>
      </w:r>
      <w:r>
        <w:rPr>
          <w:rFonts w:ascii="Arial" w:hAnsi="Arial" w:eastAsia="Arial"/>
          <w:color w:val="001F46"/>
          <w:spacing w:val="0"/>
          <w:w w:val="100"/>
          <w:sz w:val="20"/>
          <w:vertAlign w:val="baseline"/>
          <w:lang w:val="en-US"/>
        </w:rPr>
        <w:t xml:space="preserve">ongoing professional learning including practical workshops;</w:t>
      </w:r>
    </w:p>
    <w:p>
      <w:pPr>
        <w:tabs>
          <w:tab w:val="left" w:leader="none" w:pos="1800"/>
        </w:tabs>
        <w:spacing w:before="120" w:after="0" w:line="240" w:lineRule="exact"/>
        <w:ind w:right="0" w:left="1224" w:firstLine="0"/>
        <w:jc w:val="left"/>
        <w:textAlignment w:val="baseline"/>
        <w:rPr>
          <w:rFonts w:ascii="Arial" w:hAnsi="Arial" w:eastAsia="Arial"/>
          <w:color w:val="001F46"/>
          <w:spacing w:val="0"/>
          <w:w w:val="100"/>
          <w:sz w:val="21"/>
          <w:vertAlign w:val="baseline"/>
          <w:lang w:val="en-US"/>
        </w:rPr>
      </w:pPr>
      <w:r>
        <w:rPr>
          <w:rFonts w:ascii="Arial" w:hAnsi="Arial" w:eastAsia="Arial"/>
          <w:color w:val="001F46"/>
          <w:spacing w:val="0"/>
          <w:w w:val="100"/>
          <w:sz w:val="21"/>
          <w:vertAlign w:val="baseline"/>
          <w:lang w:val="en-US"/>
        </w:rPr>
        <w:t xml:space="preserve">–	</w:t>
      </w:r>
      <w:r>
        <w:rPr>
          <w:rFonts w:ascii="Arial" w:hAnsi="Arial" w:eastAsia="Arial"/>
          <w:color w:val="001F46"/>
          <w:spacing w:val="0"/>
          <w:w w:val="100"/>
          <w:sz w:val="20"/>
          <w:vertAlign w:val="baseline"/>
          <w:lang w:val="en-US"/>
        </w:rPr>
        <w:t xml:space="preserve">a final professional experience at an RRR state school; and</w:t>
      </w:r>
    </w:p>
    <w:p>
      <w:pPr>
        <w:tabs>
          <w:tab w:val="left" w:leader="none" w:pos="1800"/>
        </w:tabs>
        <w:spacing w:before="0" w:after="0" w:line="477" w:lineRule="exact"/>
        <w:ind w:right="0" w:left="72" w:firstLine="1152"/>
        <w:jc w:val="left"/>
        <w:textAlignment w:val="baseline"/>
        <w:rPr>
          <w:rFonts w:ascii="Arial" w:hAnsi="Arial" w:eastAsia="Arial"/>
          <w:color w:val="001F46"/>
          <w:spacing w:val="0"/>
          <w:w w:val="100"/>
          <w:sz w:val="21"/>
          <w:vertAlign w:val="baseline"/>
          <w:lang w:val="en-US"/>
        </w:rPr>
      </w:pPr>
      <w:r>
        <w:rPr>
          <w:rFonts w:ascii="Arial" w:hAnsi="Arial" w:eastAsia="Arial"/>
          <w:color w:val="001F46"/>
          <w:spacing w:val="0"/>
          <w:w w:val="100"/>
          <w:sz w:val="21"/>
          <w:vertAlign w:val="baseline"/>
          <w:lang w:val="en-US"/>
        </w:rPr>
        <w:t xml:space="preserve">–	</w:t>
      </w:r>
      <w:r>
        <w:rPr>
          <w:rFonts w:ascii="Arial" w:hAnsi="Arial" w:eastAsia="Arial"/>
          <w:color w:val="001F46"/>
          <w:spacing w:val="0"/>
          <w:w w:val="100"/>
          <w:sz w:val="20"/>
          <w:vertAlign w:val="baseline"/>
          <w:lang w:val="en-US"/>
        </w:rPr>
        <w:t xml:space="preserve">permanent employment at an RRR school.</w:t>
        <w:br/>
      </w:r>
      <w:r>
        <w:rPr>
          <w:rFonts w:ascii="Arial" w:hAnsi="Arial" w:eastAsia="Arial"/>
          <w:b w:val="true"/>
          <w:color w:val="001F46"/>
          <w:spacing w:val="0"/>
          <w:w w:val="100"/>
          <w:sz w:val="22"/>
          <w:vertAlign w:val="baseline"/>
          <w:lang w:val="en-US"/>
        </w:rPr>
        <w:t xml:space="preserve">Financial support</w:t>
      </w:r>
    </w:p>
    <w:p>
      <w:pPr>
        <w:numPr>
          <w:ilvl w:val="0"/>
          <w:numId w:val="3"/>
        </w:numPr>
        <w:tabs>
          <w:tab w:val="clear" w:pos="576"/>
          <w:tab w:val="left" w:pos="1224"/>
        </w:tabs>
        <w:spacing w:before="250" w:after="0" w:line="240" w:lineRule="exact"/>
        <w:ind w:right="72" w:left="1224" w:hanging="576"/>
        <w:jc w:val="left"/>
        <w:textAlignment w:val="baseline"/>
        <w:rPr>
          <w:rFonts w:ascii="Arial" w:hAnsi="Arial" w:eastAsia="Arial"/>
          <w:color w:val="001F46"/>
          <w:spacing w:val="0"/>
          <w:w w:val="100"/>
          <w:sz w:val="20"/>
          <w:vertAlign w:val="baseline"/>
          <w:lang w:val="en-US"/>
        </w:rPr>
      </w:pPr>
      <w:r>
        <w:rPr>
          <w:rFonts w:ascii="Arial" w:hAnsi="Arial" w:eastAsia="Arial"/>
          <w:color w:val="001F46"/>
          <w:spacing w:val="0"/>
          <w:w w:val="100"/>
          <w:sz w:val="20"/>
          <w:vertAlign w:val="baseline"/>
          <w:lang w:val="en-US"/>
        </w:rPr>
        <w:t xml:space="preserve">Through a bursary donated by the Tim Fairfax Family Foundation (TFFF), USC PSTs are provided with some financial support during such placements, and this can be </w:t>
      </w:r>
      <w:r>
        <w:rPr>
          <w:rFonts w:ascii="Arial" w:hAnsi="Arial" w:eastAsia="Arial"/>
          <w:color w:val="001F46"/>
          <w:spacing w:val="0"/>
          <w:w w:val="100"/>
          <w:sz w:val="21"/>
          <w:vertAlign w:val="baseline"/>
          <w:lang w:val="en-US"/>
        </w:rPr>
        <w:t xml:space="preserve">augmented by Education Queensland’s ‘Beyond the Range’ initiative that </w:t>
      </w:r>
      <w:r>
        <w:rPr>
          <w:rFonts w:ascii="Arial" w:hAnsi="Arial" w:eastAsia="Arial"/>
          <w:color w:val="001F46"/>
          <w:spacing w:val="0"/>
          <w:w w:val="100"/>
          <w:sz w:val="20"/>
          <w:vertAlign w:val="baseline"/>
          <w:lang w:val="en-US"/>
        </w:rPr>
        <w:t xml:space="preserve">provides further cash incentives.</w:t>
      </w:r>
    </w:p>
    <w:p>
      <w:pPr>
        <w:spacing w:before="357" w:after="0" w:line="319" w:lineRule="exact"/>
        <w:ind w:right="0" w:left="72" w:firstLine="0"/>
        <w:jc w:val="left"/>
        <w:textAlignment w:val="baseline"/>
        <w:rPr>
          <w:rFonts w:ascii="Arial" w:hAnsi="Arial" w:eastAsia="Arial"/>
          <w:b w:val="true"/>
          <w:color w:val="001F46"/>
          <w:spacing w:val="0"/>
          <w:w w:val="100"/>
          <w:sz w:val="28"/>
          <w:vertAlign w:val="baseline"/>
          <w:lang w:val="en-US"/>
        </w:rPr>
      </w:pPr>
      <w:r>
        <w:rPr>
          <w:rFonts w:ascii="Arial" w:hAnsi="Arial" w:eastAsia="Arial"/>
          <w:b w:val="true"/>
          <w:color w:val="001F46"/>
          <w:spacing w:val="0"/>
          <w:w w:val="100"/>
          <w:sz w:val="28"/>
          <w:vertAlign w:val="baseline"/>
          <w:lang w:val="en-US"/>
        </w:rPr>
        <w:t xml:space="preserve">UNIVERSITY OF SOUTHERN QUEENSLAND</w:t>
      </w:r>
    </w:p>
    <w:p>
      <w:pPr>
        <w:spacing w:before="361" w:after="0" w:line="240" w:lineRule="exact"/>
        <w:ind w:right="936" w:left="72" w:firstLine="0"/>
        <w:jc w:val="left"/>
        <w:textAlignment w:val="baseline"/>
        <w:rPr>
          <w:rFonts w:ascii="Arial" w:hAnsi="Arial" w:eastAsia="Arial"/>
          <w:b w:val="true"/>
          <w:color w:val="001F46"/>
          <w:spacing w:val="0"/>
          <w:w w:val="100"/>
          <w:sz w:val="22"/>
          <w:vertAlign w:val="baseline"/>
          <w:lang w:val="en-US"/>
        </w:rPr>
      </w:pPr>
      <w:r>
        <w:rPr>
          <w:rFonts w:ascii="Arial" w:hAnsi="Arial" w:eastAsia="Arial"/>
          <w:b w:val="true"/>
          <w:color w:val="001F46"/>
          <w:spacing w:val="0"/>
          <w:w w:val="100"/>
          <w:sz w:val="22"/>
          <w:vertAlign w:val="baseline"/>
          <w:lang w:val="en-US"/>
        </w:rPr>
        <w:t xml:space="preserve">Models associated with long placements in schools/programs delivered in shortened timeframes.</w:t>
      </w:r>
    </w:p>
    <w:p>
      <w:pPr>
        <w:numPr>
          <w:ilvl w:val="0"/>
          <w:numId w:val="3"/>
        </w:numPr>
        <w:tabs>
          <w:tab w:val="clear" w:pos="576"/>
          <w:tab w:val="left" w:pos="1224"/>
        </w:tabs>
        <w:spacing w:before="244" w:after="1986" w:line="240" w:lineRule="exact"/>
        <w:ind w:right="288" w:left="1224" w:hanging="576"/>
        <w:jc w:val="left"/>
        <w:textAlignment w:val="baseline"/>
        <w:rPr>
          <w:rFonts w:ascii="Arial" w:hAnsi="Arial" w:eastAsia="Arial"/>
          <w:color w:val="001F46"/>
          <w:spacing w:val="-1"/>
          <w:w w:val="100"/>
          <w:sz w:val="20"/>
          <w:vertAlign w:val="baseline"/>
          <w:lang w:val="en-US"/>
        </w:rPr>
      </w:pPr>
      <w:r>
        <w:rPr>
          <w:rFonts w:ascii="Arial" w:hAnsi="Arial" w:eastAsia="Arial"/>
          <w:color w:val="001F46"/>
          <w:spacing w:val="-1"/>
          <w:w w:val="100"/>
          <w:sz w:val="20"/>
          <w:vertAlign w:val="baseline"/>
          <w:lang w:val="en-US"/>
        </w:rPr>
        <w:t xml:space="preserve">University of Southern Queensland (USQ) has a placement program that exceeds the minimum national requirements for placement days by providing a transition to employment placement (a supervised internship where students take 50 per cent responsibility of the classroom, enabling students to be employed as they graduate and to improve their prospects of obtaining continuing employment).</w:t>
      </w:r>
    </w:p>
    <w:p>
      <w:pPr>
        <w:spacing w:before="244" w:after="1986" w:line="240" w:lineRule="exact"/>
        <w:sectPr>
          <w:type w:val="nextPage"/>
          <w:pgSz w:w="11909" w:h="16843" w:orient="portrait"/>
          <w:pgMar w:bottom="287" w:top="360" w:right="933" w:left="2196" w:header="720" w:footer="720"/>
          <w:titlePg w:val="false"/>
          <w:textDirection w:val="lrTb"/>
        </w:sectPr>
      </w:pPr>
    </w:p>
    <w:p>
      <w:pPr>
        <w:tabs>
          <w:tab w:val="right" w:leader="none" w:pos="8640"/>
        </w:tabs>
        <w:spacing w:before="0" w:after="0" w:line="187" w:lineRule="exact"/>
        <w:ind w:right="0" w:left="144" w:firstLine="0"/>
        <w:jc w:val="left"/>
        <w:textAlignment w:val="baseline"/>
        <w:rPr>
          <w:rFonts w:ascii="Arial" w:hAnsi="Arial" w:eastAsia="Arial"/>
          <w:b w:val="true"/>
          <w:color w:val="001F46"/>
          <w:spacing w:val="0"/>
          <w:w w:val="100"/>
          <w:sz w:val="16"/>
          <w:vertAlign w:val="baseline"/>
          <w:lang w:val="en-US"/>
        </w:rPr>
      </w:pPr>
      <w:r>
        <w:rPr>
          <w:rFonts w:ascii="Arial" w:hAnsi="Arial" w:eastAsia="Arial"/>
          <w:b w:val="true"/>
          <w:color w:val="001F46"/>
          <w:spacing w:val="0"/>
          <w:w w:val="100"/>
          <w:sz w:val="16"/>
          <w:vertAlign w:val="baseline"/>
          <w:lang w:val="en-US"/>
        </w:rPr>
        <w:t xml:space="preserve">UNIVERSITIES AUSTRALIA </w:t>
      </w:r>
      <w:r>
        <w:rPr>
          <w:rFonts w:ascii="Arial" w:hAnsi="Arial" w:eastAsia="Arial"/>
          <w:color w:val="001F46"/>
          <w:spacing w:val="0"/>
          <w:w w:val="100"/>
          <w:sz w:val="16"/>
          <w:vertAlign w:val="baseline"/>
          <w:lang w:val="en-US"/>
        </w:rPr>
        <w:t xml:space="preserve">| QUALITY INITIAL TEACHER EDUCATION REVIEW	</w:t>
      </w:r>
      <w:r>
        <w:rPr>
          <w:rFonts w:ascii="Arial" w:hAnsi="Arial" w:eastAsia="Arial"/>
          <w:b w:val="true"/>
          <w:color w:val="001F46"/>
          <w:spacing w:val="0"/>
          <w:w w:val="100"/>
          <w:sz w:val="16"/>
          <w:vertAlign w:val="baseline"/>
          <w:lang w:val="en-US"/>
        </w:rPr>
        <w:t xml:space="preserve">15</w:t>
      </w:r>
    </w:p>
    <w:p>
      <w:pPr>
        <w:sectPr>
          <w:type w:val="continuous"/>
          <w:pgSz w:w="11909" w:h="16843" w:orient="portrait"/>
          <w:pgMar w:bottom="287" w:top="360" w:right="923" w:left="2206" w:header="720" w:footer="720"/>
          <w:titlePg w:val="false"/>
          <w:textDirection w:val="lrTb"/>
        </w:sectPr>
      </w:pPr>
    </w:p>
    <w:p>
      <w:pPr>
        <w:spacing w:before="19" w:after="391" w:line="240" w:lineRule="auto"/>
        <w:ind w:right="272" w:left="5421"/>
        <w:jc w:val="left"/>
        <w:textAlignment w:val="baseline"/>
      </w:pPr>
      <w:r>
        <w:drawing>
          <wp:inline>
            <wp:extent cx="1960245" cy="588645"/>
            <wp:docPr name="Picture" id="16"/>
            <a:graphic>
              <a:graphicData uri="http://schemas.openxmlformats.org/drawingml/2006/picture">
                <pic:pic>
                  <pic:nvPicPr>
                    <pic:cNvPr id="16" name="Picture"/>
                    <pic:cNvPicPr preferRelativeResize="false"/>
                  </pic:nvPicPr>
                  <pic:blipFill>
                    <a:blip r:embed="prId16"/>
                    <a:stretch>
                      <a:fillRect/>
                    </a:stretch>
                  </pic:blipFill>
                  <pic:spPr>
                    <a:xfrm>
                      <a:off x="0" y="0"/>
                      <a:ext cx="1960245" cy="588645"/>
                    </a:xfrm>
                    <a:prstGeom prst="rect"/>
                  </pic:spPr>
                </pic:pic>
              </a:graphicData>
            </a:graphic>
          </wp:inline>
        </w:drawing>
      </w:r>
    </w:p>
    <w:p>
      <w:pPr>
        <w:spacing w:before="13" w:after="0" w:line="240" w:lineRule="exact"/>
        <w:ind w:right="936" w:left="72" w:firstLine="0"/>
        <w:jc w:val="both"/>
        <w:textAlignment w:val="baseline"/>
        <w:rPr>
          <w:rFonts w:ascii="Arial" w:hAnsi="Arial" w:eastAsia="Arial"/>
          <w:b w:val="true"/>
          <w:color w:val="001F46"/>
          <w:spacing w:val="0"/>
          <w:w w:val="100"/>
          <w:sz w:val="22"/>
          <w:vertAlign w:val="baseline"/>
          <w:lang w:val="en-US"/>
        </w:rPr>
      </w:pPr>
      <w:r>
        <w:rPr>
          <w:rFonts w:ascii="Arial" w:hAnsi="Arial" w:eastAsia="Arial"/>
          <w:b w:val="true"/>
          <w:color w:val="001F46"/>
          <w:spacing w:val="0"/>
          <w:w w:val="100"/>
          <w:sz w:val="22"/>
          <w:vertAlign w:val="baseline"/>
          <w:lang w:val="en-US"/>
        </w:rPr>
        <w:t xml:space="preserve">Preparing preservice teachers to teach in regional, rural and remote (RRR) locations.</w:t>
      </w:r>
    </w:p>
    <w:p>
      <w:pPr>
        <w:numPr>
          <w:ilvl w:val="0"/>
          <w:numId w:val="3"/>
        </w:numPr>
        <w:tabs>
          <w:tab w:val="clear" w:pos="576"/>
          <w:tab w:val="left" w:pos="1224"/>
        </w:tabs>
        <w:spacing w:before="249" w:after="0" w:line="240" w:lineRule="exact"/>
        <w:ind w:right="360" w:left="1224" w:hanging="576"/>
        <w:jc w:val="left"/>
        <w:textAlignment w:val="baseline"/>
        <w:rPr>
          <w:rFonts w:ascii="Arial" w:hAnsi="Arial" w:eastAsia="Arial"/>
          <w:color w:val="001F46"/>
          <w:spacing w:val="0"/>
          <w:w w:val="100"/>
          <w:sz w:val="20"/>
          <w:vertAlign w:val="baseline"/>
          <w:lang w:val="en-US"/>
        </w:rPr>
      </w:pPr>
      <w:r>
        <w:rPr>
          <w:rFonts w:ascii="Arial" w:hAnsi="Arial" w:eastAsia="Arial"/>
          <w:color w:val="001F46"/>
          <w:spacing w:val="0"/>
          <w:w w:val="100"/>
          <w:sz w:val="20"/>
          <w:vertAlign w:val="baseline"/>
          <w:lang w:val="en-US"/>
        </w:rPr>
        <w:t xml:space="preserve">USQ has a strong focus in its placement strategy and partnerships on our context through rural and remote placements.</w:t>
      </w:r>
    </w:p>
    <w:p>
      <w:pPr>
        <w:numPr>
          <w:ilvl w:val="0"/>
          <w:numId w:val="3"/>
        </w:numPr>
        <w:tabs>
          <w:tab w:val="clear" w:pos="576"/>
          <w:tab w:val="left" w:pos="1224"/>
        </w:tabs>
        <w:spacing w:before="125" w:after="0" w:line="240" w:lineRule="exact"/>
        <w:ind w:right="144" w:left="1224" w:hanging="576"/>
        <w:jc w:val="left"/>
        <w:textAlignment w:val="baseline"/>
        <w:rPr>
          <w:rFonts w:ascii="Arial" w:hAnsi="Arial" w:eastAsia="Arial"/>
          <w:color w:val="001F46"/>
          <w:spacing w:val="0"/>
          <w:w w:val="100"/>
          <w:sz w:val="20"/>
          <w:vertAlign w:val="baseline"/>
          <w:lang w:val="en-US"/>
        </w:rPr>
      </w:pPr>
      <w:r>
        <w:rPr>
          <w:rFonts w:ascii="Arial" w:hAnsi="Arial" w:eastAsia="Arial"/>
          <w:color w:val="001F46"/>
          <w:spacing w:val="0"/>
          <w:w w:val="100"/>
          <w:sz w:val="20"/>
          <w:vertAlign w:val="baseline"/>
          <w:lang w:val="en-US"/>
        </w:rPr>
        <w:t xml:space="preserve">These assist students to engage in permission to teach arrangements, meaning from their third year some students are able to continue studying while being employed by teachers in areas of national teacher shortage.</w:t>
      </w:r>
    </w:p>
    <w:p>
      <w:pPr>
        <w:numPr>
          <w:ilvl w:val="0"/>
          <w:numId w:val="3"/>
        </w:numPr>
        <w:tabs>
          <w:tab w:val="clear" w:pos="576"/>
          <w:tab w:val="left" w:pos="1224"/>
        </w:tabs>
        <w:spacing w:before="120" w:after="0" w:line="240" w:lineRule="exact"/>
        <w:ind w:right="936" w:left="1224" w:hanging="576"/>
        <w:jc w:val="both"/>
        <w:textAlignment w:val="baseline"/>
        <w:rPr>
          <w:rFonts w:ascii="Arial" w:hAnsi="Arial" w:eastAsia="Arial"/>
          <w:color w:val="001F46"/>
          <w:spacing w:val="-2"/>
          <w:w w:val="100"/>
          <w:sz w:val="20"/>
          <w:vertAlign w:val="baseline"/>
          <w:lang w:val="en-US"/>
        </w:rPr>
      </w:pPr>
      <w:r>
        <w:rPr>
          <w:rFonts w:ascii="Arial" w:hAnsi="Arial" w:eastAsia="Arial"/>
          <w:color w:val="001F46"/>
          <w:spacing w:val="-2"/>
          <w:w w:val="100"/>
          <w:sz w:val="20"/>
          <w:vertAlign w:val="baseline"/>
          <w:lang w:val="en-US"/>
        </w:rPr>
        <w:t xml:space="preserve">USQ has industry partnerships in areas of high demand (for example, early childhood) where students can be employed in the sector while studying.</w:t>
      </w:r>
    </w:p>
    <w:p>
      <w:pPr>
        <w:spacing w:before="353" w:after="0" w:line="319" w:lineRule="exact"/>
        <w:ind w:right="0" w:left="72" w:firstLine="0"/>
        <w:jc w:val="left"/>
        <w:textAlignment w:val="baseline"/>
        <w:rPr>
          <w:rFonts w:ascii="Arial" w:hAnsi="Arial" w:eastAsia="Arial"/>
          <w:b w:val="true"/>
          <w:color w:val="001F46"/>
          <w:spacing w:val="0"/>
          <w:w w:val="100"/>
          <w:sz w:val="28"/>
          <w:vertAlign w:val="baseline"/>
          <w:lang w:val="en-US"/>
        </w:rPr>
      </w:pPr>
      <w:r>
        <w:rPr>
          <w:rFonts w:ascii="Arial" w:hAnsi="Arial" w:eastAsia="Arial"/>
          <w:b w:val="true"/>
          <w:color w:val="001F46"/>
          <w:spacing w:val="0"/>
          <w:w w:val="100"/>
          <w:sz w:val="28"/>
          <w:vertAlign w:val="baseline"/>
          <w:lang w:val="en-US"/>
        </w:rPr>
        <w:t xml:space="preserve">THE UNIVERSITY OF SYDNEY</w:t>
      </w:r>
    </w:p>
    <w:p>
      <w:pPr>
        <w:spacing w:before="360" w:after="0" w:line="240" w:lineRule="exact"/>
        <w:ind w:right="936" w:left="72" w:firstLine="0"/>
        <w:jc w:val="both"/>
        <w:textAlignment w:val="baseline"/>
        <w:rPr>
          <w:rFonts w:ascii="Arial" w:hAnsi="Arial" w:eastAsia="Arial"/>
          <w:b w:val="true"/>
          <w:color w:val="001F46"/>
          <w:spacing w:val="0"/>
          <w:w w:val="100"/>
          <w:sz w:val="22"/>
          <w:vertAlign w:val="baseline"/>
          <w:lang w:val="en-US"/>
        </w:rPr>
      </w:pPr>
      <w:r>
        <w:rPr>
          <w:rFonts w:ascii="Arial" w:hAnsi="Arial" w:eastAsia="Arial"/>
          <w:b w:val="true"/>
          <w:color w:val="001F46"/>
          <w:spacing w:val="0"/>
          <w:w w:val="100"/>
          <w:sz w:val="22"/>
          <w:vertAlign w:val="baseline"/>
          <w:lang w:val="en-US"/>
        </w:rPr>
        <w:t xml:space="preserve">Models associated with long placements in schools/programs delivered in shortened timeframes.</w:t>
      </w:r>
    </w:p>
    <w:p>
      <w:pPr>
        <w:numPr>
          <w:ilvl w:val="0"/>
          <w:numId w:val="3"/>
        </w:numPr>
        <w:tabs>
          <w:tab w:val="clear" w:pos="576"/>
          <w:tab w:val="left" w:pos="1224"/>
        </w:tabs>
        <w:spacing w:before="255" w:after="0" w:line="240" w:lineRule="exact"/>
        <w:ind w:right="144" w:left="1224" w:hanging="576"/>
        <w:jc w:val="left"/>
        <w:textAlignment w:val="baseline"/>
        <w:rPr>
          <w:rFonts w:ascii="Arial" w:hAnsi="Arial" w:eastAsia="Arial"/>
          <w:color w:val="001F46"/>
          <w:spacing w:val="-2"/>
          <w:w w:val="100"/>
          <w:sz w:val="20"/>
          <w:vertAlign w:val="baseline"/>
          <w:lang w:val="en-US"/>
        </w:rPr>
      </w:pPr>
      <w:r>
        <w:rPr>
          <w:rFonts w:ascii="Arial" w:hAnsi="Arial" w:eastAsia="Arial"/>
          <w:color w:val="001F46"/>
          <w:spacing w:val="-2"/>
          <w:w w:val="100"/>
          <w:sz w:val="20"/>
          <w:vertAlign w:val="baseline"/>
          <w:lang w:val="en-US"/>
        </w:rPr>
        <w:t xml:space="preserve">Next year, The University of Sydney School of Education and Social Work (SSESW) will introduce a suite of comprehensively redesigned Bachelor of Education degrees in Primary, Secondary, and Health and Physical Education. These new degrees provide students with the opportunity to complete a dual degree and attain specialist knowledge by adding a one-year Bachelor of Advanced Studies.</w:t>
      </w:r>
    </w:p>
    <w:p>
      <w:pPr>
        <w:numPr>
          <w:ilvl w:val="0"/>
          <w:numId w:val="3"/>
        </w:numPr>
        <w:tabs>
          <w:tab w:val="clear" w:pos="576"/>
          <w:tab w:val="left" w:pos="1224"/>
        </w:tabs>
        <w:spacing w:before="124" w:after="0" w:line="240" w:lineRule="exact"/>
        <w:ind w:right="576" w:left="1224" w:hanging="576"/>
        <w:jc w:val="left"/>
        <w:textAlignment w:val="baseline"/>
        <w:rPr>
          <w:rFonts w:ascii="Arial" w:hAnsi="Arial" w:eastAsia="Arial"/>
          <w:color w:val="001F46"/>
          <w:spacing w:val="0"/>
          <w:w w:val="100"/>
          <w:sz w:val="20"/>
          <w:vertAlign w:val="baseline"/>
          <w:lang w:val="en-US"/>
        </w:rPr>
      </w:pPr>
      <w:r>
        <w:rPr>
          <w:rFonts w:ascii="Arial" w:hAnsi="Arial" w:eastAsia="Arial"/>
          <w:color w:val="001F46"/>
          <w:spacing w:val="0"/>
          <w:w w:val="100"/>
          <w:sz w:val="20"/>
          <w:vertAlign w:val="baseline"/>
          <w:lang w:val="en-US"/>
        </w:rPr>
        <w:t xml:space="preserve">M.Teach (Masters) offers students the opportunity to complete the degree in 19 months.</w:t>
      </w:r>
    </w:p>
    <w:p>
      <w:pPr>
        <w:tabs>
          <w:tab w:val="left" w:leader="none" w:pos="1800"/>
        </w:tabs>
        <w:spacing w:before="120" w:after="0" w:line="240" w:lineRule="exact"/>
        <w:ind w:right="144" w:left="1728" w:hanging="504"/>
        <w:jc w:val="left"/>
        <w:textAlignment w:val="baseline"/>
        <w:rPr>
          <w:rFonts w:ascii="Arial" w:hAnsi="Arial" w:eastAsia="Arial"/>
          <w:color w:val="001F46"/>
          <w:spacing w:val="0"/>
          <w:w w:val="100"/>
          <w:sz w:val="23"/>
          <w:vertAlign w:val="baseline"/>
          <w:lang w:val="en-US"/>
        </w:rPr>
      </w:pPr>
      <w:r>
        <w:rPr>
          <w:rFonts w:ascii="Arial" w:hAnsi="Arial" w:eastAsia="Arial"/>
          <w:color w:val="001F46"/>
          <w:spacing w:val="0"/>
          <w:w w:val="100"/>
          <w:sz w:val="23"/>
          <w:vertAlign w:val="baseline"/>
          <w:lang w:val="en-US"/>
        </w:rPr>
        <w:t xml:space="preserve">–	</w:t>
      </w:r>
      <w:r>
        <w:rPr>
          <w:rFonts w:ascii="Arial" w:hAnsi="Arial" w:eastAsia="Arial"/>
          <w:color w:val="001F46"/>
          <w:spacing w:val="0"/>
          <w:w w:val="100"/>
          <w:sz w:val="20"/>
          <w:vertAlign w:val="baseline"/>
          <w:lang w:val="en-US"/>
        </w:rPr>
        <w:t xml:space="preserve">The program has the potential to be taught in an even shorter period, i.e. through a trimester style approach. However, this option may be limited due to current AQF restrictions.</w:t>
      </w:r>
    </w:p>
    <w:p>
      <w:pPr>
        <w:tabs>
          <w:tab w:val="left" w:leader="none" w:pos="1800"/>
        </w:tabs>
        <w:spacing w:before="128" w:after="0" w:line="240" w:lineRule="exact"/>
        <w:ind w:right="0" w:left="1224" w:firstLine="0"/>
        <w:jc w:val="left"/>
        <w:textAlignment w:val="baseline"/>
        <w:rPr>
          <w:rFonts w:ascii="Arial" w:hAnsi="Arial" w:eastAsia="Arial"/>
          <w:color w:val="001F46"/>
          <w:spacing w:val="0"/>
          <w:w w:val="100"/>
          <w:sz w:val="23"/>
          <w:vertAlign w:val="baseline"/>
          <w:lang w:val="en-US"/>
        </w:rPr>
      </w:pPr>
      <w:r>
        <w:rPr>
          <w:rFonts w:ascii="Arial" w:hAnsi="Arial" w:eastAsia="Arial"/>
          <w:color w:val="001F46"/>
          <w:spacing w:val="0"/>
          <w:w w:val="100"/>
          <w:sz w:val="23"/>
          <w:vertAlign w:val="baseline"/>
          <w:lang w:val="en-US"/>
        </w:rPr>
        <w:t xml:space="preserve">–	</w:t>
      </w:r>
      <w:r>
        <w:rPr>
          <w:rFonts w:ascii="Arial" w:hAnsi="Arial" w:eastAsia="Arial"/>
          <w:color w:val="001F46"/>
          <w:spacing w:val="0"/>
          <w:w w:val="100"/>
          <w:sz w:val="20"/>
          <w:vertAlign w:val="baseline"/>
          <w:lang w:val="en-US"/>
        </w:rPr>
        <w:t xml:space="preserve">Also, it may be possible to have two intakes per year.</w:t>
      </w:r>
    </w:p>
    <w:p>
      <w:pPr>
        <w:numPr>
          <w:ilvl w:val="0"/>
          <w:numId w:val="3"/>
        </w:numPr>
        <w:tabs>
          <w:tab w:val="clear" w:pos="576"/>
          <w:tab w:val="left" w:pos="1224"/>
        </w:tabs>
        <w:spacing w:before="117" w:after="0" w:line="240" w:lineRule="exact"/>
        <w:ind w:right="792" w:left="1224" w:hanging="576"/>
        <w:jc w:val="left"/>
        <w:textAlignment w:val="baseline"/>
        <w:rPr>
          <w:rFonts w:ascii="Arial" w:hAnsi="Arial" w:eastAsia="Arial"/>
          <w:color w:val="001F46"/>
          <w:spacing w:val="0"/>
          <w:w w:val="100"/>
          <w:sz w:val="20"/>
          <w:vertAlign w:val="baseline"/>
          <w:lang w:val="en-US"/>
        </w:rPr>
      </w:pPr>
      <w:r>
        <w:rPr>
          <w:rFonts w:ascii="Arial" w:hAnsi="Arial" w:eastAsia="Arial"/>
          <w:color w:val="001F46"/>
          <w:spacing w:val="0"/>
          <w:w w:val="100"/>
          <w:sz w:val="20"/>
          <w:vertAlign w:val="baseline"/>
          <w:lang w:val="en-US"/>
        </w:rPr>
        <w:t xml:space="preserve">The program includes 80 days of professional placements spread across two practicums and one internship.</w:t>
      </w:r>
    </w:p>
    <w:p>
      <w:pPr>
        <w:tabs>
          <w:tab w:val="left" w:leader="none" w:pos="1800"/>
        </w:tabs>
        <w:spacing w:before="128" w:after="0" w:line="240" w:lineRule="exact"/>
        <w:ind w:right="0" w:left="1224" w:firstLine="0"/>
        <w:jc w:val="left"/>
        <w:textAlignment w:val="baseline"/>
        <w:rPr>
          <w:rFonts w:ascii="Arial" w:hAnsi="Arial" w:eastAsia="Arial"/>
          <w:color w:val="001F46"/>
          <w:spacing w:val="0"/>
          <w:w w:val="100"/>
          <w:sz w:val="23"/>
          <w:vertAlign w:val="baseline"/>
          <w:lang w:val="en-US"/>
        </w:rPr>
      </w:pPr>
      <w:r>
        <w:rPr>
          <w:rFonts w:ascii="Arial" w:hAnsi="Arial" w:eastAsia="Arial"/>
          <w:color w:val="001F46"/>
          <w:spacing w:val="0"/>
          <w:w w:val="100"/>
          <w:sz w:val="23"/>
          <w:vertAlign w:val="baseline"/>
          <w:lang w:val="en-US"/>
        </w:rPr>
        <w:t xml:space="preserve">–	</w:t>
      </w:r>
      <w:r>
        <w:rPr>
          <w:rFonts w:ascii="Arial" w:hAnsi="Arial" w:eastAsia="Arial"/>
          <w:color w:val="001F46"/>
          <w:spacing w:val="0"/>
          <w:w w:val="100"/>
          <w:sz w:val="20"/>
          <w:vertAlign w:val="baseline"/>
          <w:lang w:val="en-US"/>
        </w:rPr>
        <w:t xml:space="preserve">Note, this is 20 days above the minimum 60 days required for accreditation.</w:t>
      </w:r>
    </w:p>
    <w:p>
      <w:pPr>
        <w:spacing w:before="345" w:after="0" w:line="319" w:lineRule="exact"/>
        <w:ind w:right="0" w:left="72" w:firstLine="0"/>
        <w:jc w:val="left"/>
        <w:textAlignment w:val="baseline"/>
        <w:rPr>
          <w:rFonts w:ascii="Arial" w:hAnsi="Arial" w:eastAsia="Arial"/>
          <w:b w:val="true"/>
          <w:color w:val="001F46"/>
          <w:spacing w:val="0"/>
          <w:w w:val="100"/>
          <w:sz w:val="28"/>
          <w:vertAlign w:val="baseline"/>
          <w:lang w:val="en-US"/>
        </w:rPr>
      </w:pPr>
      <w:r>
        <w:rPr>
          <w:rFonts w:ascii="Arial" w:hAnsi="Arial" w:eastAsia="Arial"/>
          <w:b w:val="true"/>
          <w:color w:val="001F46"/>
          <w:spacing w:val="0"/>
          <w:w w:val="100"/>
          <w:sz w:val="28"/>
          <w:vertAlign w:val="baseline"/>
          <w:lang w:val="en-US"/>
        </w:rPr>
        <w:t xml:space="preserve">UNIVERSITY OF WOLLONGONG</w:t>
      </w:r>
    </w:p>
    <w:p>
      <w:pPr>
        <w:spacing w:before="365" w:after="0" w:line="240" w:lineRule="exact"/>
        <w:ind w:right="936" w:left="72" w:firstLine="0"/>
        <w:jc w:val="both"/>
        <w:textAlignment w:val="baseline"/>
        <w:rPr>
          <w:rFonts w:ascii="Arial" w:hAnsi="Arial" w:eastAsia="Arial"/>
          <w:b w:val="true"/>
          <w:color w:val="001F46"/>
          <w:spacing w:val="0"/>
          <w:w w:val="100"/>
          <w:sz w:val="22"/>
          <w:vertAlign w:val="baseline"/>
          <w:lang w:val="en-US"/>
        </w:rPr>
      </w:pPr>
      <w:r>
        <w:rPr>
          <w:rFonts w:ascii="Arial" w:hAnsi="Arial" w:eastAsia="Arial"/>
          <w:b w:val="true"/>
          <w:color w:val="001F46"/>
          <w:spacing w:val="0"/>
          <w:w w:val="100"/>
          <w:sz w:val="22"/>
          <w:vertAlign w:val="baseline"/>
          <w:lang w:val="en-US"/>
        </w:rPr>
        <w:t xml:space="preserve">Models associated with long placements in schools/programs delivered in shortened timeframes.</w:t>
      </w:r>
    </w:p>
    <w:p>
      <w:pPr>
        <w:numPr>
          <w:ilvl w:val="0"/>
          <w:numId w:val="3"/>
        </w:numPr>
        <w:tabs>
          <w:tab w:val="clear" w:pos="576"/>
          <w:tab w:val="left" w:pos="1224"/>
        </w:tabs>
        <w:spacing w:before="245" w:after="0" w:line="240" w:lineRule="exact"/>
        <w:ind w:right="144" w:left="1224" w:hanging="576"/>
        <w:jc w:val="both"/>
        <w:textAlignment w:val="baseline"/>
        <w:rPr>
          <w:rFonts w:ascii="Arial" w:hAnsi="Arial" w:eastAsia="Arial"/>
          <w:color w:val="001F46"/>
          <w:spacing w:val="0"/>
          <w:w w:val="100"/>
          <w:sz w:val="20"/>
          <w:vertAlign w:val="baseline"/>
          <w:lang w:val="en-US"/>
        </w:rPr>
      </w:pPr>
      <w:r>
        <w:rPr>
          <w:rFonts w:ascii="Arial" w:hAnsi="Arial" w:eastAsia="Arial"/>
          <w:color w:val="001F46"/>
          <w:spacing w:val="0"/>
          <w:w w:val="100"/>
          <w:sz w:val="20"/>
          <w:vertAlign w:val="baseline"/>
          <w:lang w:val="en-US"/>
        </w:rPr>
        <w:t xml:space="preserve">Currently, University of Wollongong education degrees integrate between 60 and 80 days of carefully sequenced professional experience.</w:t>
      </w:r>
    </w:p>
    <w:p>
      <w:pPr>
        <w:numPr>
          <w:ilvl w:val="0"/>
          <w:numId w:val="3"/>
        </w:numPr>
        <w:tabs>
          <w:tab w:val="clear" w:pos="576"/>
          <w:tab w:val="left" w:pos="1224"/>
        </w:tabs>
        <w:spacing w:before="125" w:after="2979" w:line="240" w:lineRule="exact"/>
        <w:ind w:right="216" w:left="1224" w:hanging="576"/>
        <w:jc w:val="left"/>
        <w:textAlignment w:val="baseline"/>
        <w:rPr>
          <w:rFonts w:ascii="Arial" w:hAnsi="Arial" w:eastAsia="Arial"/>
          <w:color w:val="001F46"/>
          <w:spacing w:val="-1"/>
          <w:w w:val="100"/>
          <w:sz w:val="20"/>
          <w:vertAlign w:val="baseline"/>
          <w:lang w:val="en-US"/>
        </w:rPr>
      </w:pPr>
      <w:r>
        <w:rPr>
          <w:rFonts w:ascii="Arial" w:hAnsi="Arial" w:eastAsia="Arial"/>
          <w:color w:val="001F46"/>
          <w:spacing w:val="-1"/>
          <w:w w:val="100"/>
          <w:sz w:val="20"/>
          <w:vertAlign w:val="baseline"/>
          <w:lang w:val="en-US"/>
        </w:rPr>
        <w:t xml:space="preserve">Students are also encouraged to undertake additional voluntary service in educational settings which can be recognised through our extra-curricular program.</w:t>
      </w:r>
    </w:p>
    <w:p>
      <w:pPr>
        <w:spacing w:before="125" w:after="2979" w:line="240" w:lineRule="exact"/>
        <w:sectPr>
          <w:type w:val="nextPage"/>
          <w:pgSz w:w="11909" w:h="16843" w:orient="portrait"/>
          <w:pgMar w:bottom="287" w:top="360" w:right="928" w:left="2201" w:header="720" w:footer="720"/>
          <w:titlePg w:val="false"/>
          <w:textDirection w:val="lrTb"/>
        </w:sectPr>
      </w:pPr>
    </w:p>
    <w:p>
      <w:pPr>
        <w:tabs>
          <w:tab w:val="right" w:leader="none" w:pos="8640"/>
        </w:tabs>
        <w:spacing w:before="0" w:after="0" w:line="187" w:lineRule="exact"/>
        <w:ind w:right="0" w:left="144" w:firstLine="0"/>
        <w:jc w:val="left"/>
        <w:textAlignment w:val="baseline"/>
        <w:rPr>
          <w:rFonts w:ascii="Arial" w:hAnsi="Arial" w:eastAsia="Arial"/>
          <w:b w:val="true"/>
          <w:color w:val="001F46"/>
          <w:spacing w:val="0"/>
          <w:w w:val="100"/>
          <w:sz w:val="16"/>
          <w:vertAlign w:val="baseline"/>
          <w:lang w:val="en-US"/>
        </w:rPr>
      </w:pPr>
      <w:r>
        <w:rPr>
          <w:rFonts w:ascii="Arial" w:hAnsi="Arial" w:eastAsia="Arial"/>
          <w:b w:val="true"/>
          <w:color w:val="001F46"/>
          <w:spacing w:val="0"/>
          <w:w w:val="100"/>
          <w:sz w:val="16"/>
          <w:vertAlign w:val="baseline"/>
          <w:lang w:val="en-US"/>
        </w:rPr>
        <w:t xml:space="preserve">UNIVERSITIES AUSTRALIA </w:t>
      </w:r>
      <w:r>
        <w:rPr>
          <w:rFonts w:ascii="Arial" w:hAnsi="Arial" w:eastAsia="Arial"/>
          <w:color w:val="001F46"/>
          <w:spacing w:val="0"/>
          <w:w w:val="100"/>
          <w:sz w:val="16"/>
          <w:vertAlign w:val="baseline"/>
          <w:lang w:val="en-US"/>
        </w:rPr>
        <w:t xml:space="preserve">| QUALITY INITIAL TEACHER EDUCATION REVIEW	</w:t>
      </w:r>
      <w:r>
        <w:rPr>
          <w:rFonts w:ascii="Arial" w:hAnsi="Arial" w:eastAsia="Arial"/>
          <w:b w:val="true"/>
          <w:color w:val="001F46"/>
          <w:spacing w:val="0"/>
          <w:w w:val="100"/>
          <w:sz w:val="16"/>
          <w:vertAlign w:val="baseline"/>
          <w:lang w:val="en-US"/>
        </w:rPr>
        <w:t xml:space="preserve">16</w:t>
      </w:r>
    </w:p>
    <w:p>
      <w:pPr>
        <w:sectPr>
          <w:type w:val="continuous"/>
          <w:pgSz w:w="11909" w:h="16843" w:orient="portrait"/>
          <w:pgMar w:bottom="287" w:top="360" w:right="923" w:left="2206" w:header="720" w:footer="720"/>
          <w:titlePg w:val="false"/>
          <w:textDirection w:val="lrTb"/>
        </w:sectPr>
      </w:pPr>
    </w:p>
    <w:p>
      <w:pPr>
        <w:spacing w:before="19" w:after="399" w:line="240" w:lineRule="auto"/>
        <w:ind w:right="243" w:left="5450"/>
        <w:jc w:val="left"/>
        <w:textAlignment w:val="baseline"/>
      </w:pPr>
      <w:r>
        <w:drawing>
          <wp:inline>
            <wp:extent cx="1960245" cy="588645"/>
            <wp:docPr name="Picture" id="17"/>
            <a:graphic>
              <a:graphicData uri="http://schemas.openxmlformats.org/drawingml/2006/picture">
                <pic:pic>
                  <pic:nvPicPr>
                    <pic:cNvPr id="17" name="Picture"/>
                    <pic:cNvPicPr preferRelativeResize="false"/>
                  </pic:nvPicPr>
                  <pic:blipFill>
                    <a:blip r:embed="prId17"/>
                    <a:stretch>
                      <a:fillRect/>
                    </a:stretch>
                  </pic:blipFill>
                  <pic:spPr>
                    <a:xfrm>
                      <a:off x="0" y="0"/>
                      <a:ext cx="1960245" cy="588645"/>
                    </a:xfrm>
                    <a:prstGeom prst="rect"/>
                  </pic:spPr>
                </pic:pic>
              </a:graphicData>
            </a:graphic>
          </wp:inline>
        </w:drawing>
      </w:r>
    </w:p>
    <w:p>
      <w:pPr>
        <w:spacing w:before="2" w:after="0" w:line="319" w:lineRule="exact"/>
        <w:ind w:right="0" w:left="72" w:firstLine="0"/>
        <w:jc w:val="left"/>
        <w:textAlignment w:val="baseline"/>
        <w:rPr>
          <w:rFonts w:ascii="Arial" w:hAnsi="Arial" w:eastAsia="Arial"/>
          <w:b w:val="true"/>
          <w:color w:val="001F46"/>
          <w:spacing w:val="0"/>
          <w:w w:val="100"/>
          <w:sz w:val="28"/>
          <w:vertAlign w:val="baseline"/>
          <w:lang w:val="en-US"/>
        </w:rPr>
      </w:pPr>
      <w:r>
        <w:rPr>
          <w:rFonts w:ascii="Arial" w:hAnsi="Arial" w:eastAsia="Arial"/>
          <w:b w:val="true"/>
          <w:color w:val="001F46"/>
          <w:spacing w:val="0"/>
          <w:w w:val="100"/>
          <w:sz w:val="28"/>
          <w:vertAlign w:val="baseline"/>
          <w:lang w:val="en-US"/>
        </w:rPr>
        <w:t xml:space="preserve">UNIVERSITY OF TECHNOLOGY SYDNEY</w:t>
      </w:r>
    </w:p>
    <w:p>
      <w:pPr>
        <w:spacing w:before="362" w:after="0" w:line="240" w:lineRule="exact"/>
        <w:ind w:right="936" w:left="72" w:firstLine="0"/>
        <w:jc w:val="left"/>
        <w:textAlignment w:val="baseline"/>
        <w:rPr>
          <w:rFonts w:ascii="Arial" w:hAnsi="Arial" w:eastAsia="Arial"/>
          <w:b w:val="true"/>
          <w:color w:val="001F46"/>
          <w:spacing w:val="0"/>
          <w:w w:val="100"/>
          <w:sz w:val="22"/>
          <w:vertAlign w:val="baseline"/>
          <w:lang w:val="en-US"/>
        </w:rPr>
      </w:pPr>
      <w:r>
        <w:rPr>
          <w:rFonts w:ascii="Arial" w:hAnsi="Arial" w:eastAsia="Arial"/>
          <w:b w:val="true"/>
          <w:color w:val="001F46"/>
          <w:spacing w:val="0"/>
          <w:w w:val="100"/>
          <w:sz w:val="22"/>
          <w:vertAlign w:val="baseline"/>
          <w:lang w:val="en-US"/>
        </w:rPr>
        <w:t xml:space="preserve">Models associated with long placements in schools/programs delivered in shortened timeframes.</w:t>
      </w:r>
    </w:p>
    <w:p>
      <w:pPr>
        <w:numPr>
          <w:ilvl w:val="0"/>
          <w:numId w:val="3"/>
        </w:numPr>
        <w:tabs>
          <w:tab w:val="clear" w:pos="576"/>
          <w:tab w:val="left" w:pos="1224"/>
        </w:tabs>
        <w:spacing w:before="248" w:after="0" w:line="240" w:lineRule="exact"/>
        <w:ind w:right="288" w:left="1224" w:hanging="576"/>
        <w:jc w:val="left"/>
        <w:textAlignment w:val="baseline"/>
        <w:rPr>
          <w:rFonts w:ascii="Arial" w:hAnsi="Arial" w:eastAsia="Arial"/>
          <w:color w:val="001F46"/>
          <w:spacing w:val="-1"/>
          <w:w w:val="100"/>
          <w:sz w:val="20"/>
          <w:vertAlign w:val="baseline"/>
          <w:lang w:val="en-US"/>
        </w:rPr>
      </w:pPr>
      <w:r>
        <w:rPr>
          <w:rFonts w:ascii="Arial" w:hAnsi="Arial" w:eastAsia="Arial"/>
          <w:color w:val="001F46"/>
          <w:spacing w:val="-1"/>
          <w:w w:val="100"/>
          <w:sz w:val="20"/>
          <w:vertAlign w:val="baseline"/>
          <w:lang w:val="en-US"/>
        </w:rPr>
        <w:t xml:space="preserve">Since 2020, University of Technology Sydney has offered a mid-year entry option. This allows career changers to cross over when it suits them rather than having to wait until autumn each year and gets them into teaching positions earlier.</w:t>
      </w:r>
    </w:p>
    <w:p>
      <w:pPr>
        <w:numPr>
          <w:ilvl w:val="0"/>
          <w:numId w:val="3"/>
        </w:numPr>
        <w:tabs>
          <w:tab w:val="clear" w:pos="576"/>
          <w:tab w:val="left" w:pos="1224"/>
        </w:tabs>
        <w:spacing w:before="130" w:after="0" w:line="240" w:lineRule="exact"/>
        <w:ind w:right="72" w:left="1224" w:hanging="576"/>
        <w:jc w:val="left"/>
        <w:textAlignment w:val="baseline"/>
        <w:rPr>
          <w:rFonts w:ascii="Arial" w:hAnsi="Arial" w:eastAsia="Arial"/>
          <w:color w:val="001F46"/>
          <w:spacing w:val="0"/>
          <w:w w:val="100"/>
          <w:sz w:val="20"/>
          <w:vertAlign w:val="baseline"/>
          <w:lang w:val="en-US"/>
        </w:rPr>
      </w:pPr>
      <w:r>
        <w:rPr>
          <w:rFonts w:ascii="Arial" w:hAnsi="Arial" w:eastAsia="Arial"/>
          <w:color w:val="001F46"/>
          <w:spacing w:val="0"/>
          <w:w w:val="100"/>
          <w:sz w:val="20"/>
          <w:vertAlign w:val="baseline"/>
          <w:lang w:val="en-US"/>
        </w:rPr>
        <w:t xml:space="preserve">In the recent past, student teachers have been able to complete a Masters level teaching qualification course in accelerated mode, with students graduating after 1.5 years. Uptake of this was small (five to eight students per year) but could be re</w:t>
        <w:softHyphen/>
      </w:r>
      <w:r>
        <w:rPr>
          <w:rFonts w:ascii="Arial" w:hAnsi="Arial" w:eastAsia="Arial"/>
          <w:color w:val="001F46"/>
          <w:spacing w:val="0"/>
          <w:w w:val="100"/>
          <w:sz w:val="20"/>
          <w:vertAlign w:val="baseline"/>
          <w:lang w:val="en-US"/>
        </w:rPr>
        <w:t xml:space="preserve">introduced if the current review were to boost demand.</w:t>
      </w:r>
    </w:p>
    <w:p>
      <w:pPr>
        <w:numPr>
          <w:ilvl w:val="0"/>
          <w:numId w:val="3"/>
        </w:numPr>
        <w:tabs>
          <w:tab w:val="clear" w:pos="576"/>
          <w:tab w:val="left" w:pos="1224"/>
        </w:tabs>
        <w:spacing w:before="120" w:after="9920" w:line="240" w:lineRule="exact"/>
        <w:ind w:right="288" w:left="1224" w:hanging="576"/>
        <w:jc w:val="left"/>
        <w:textAlignment w:val="baseline"/>
        <w:rPr>
          <w:rFonts w:ascii="Arial" w:hAnsi="Arial" w:eastAsia="Arial"/>
          <w:color w:val="001F46"/>
          <w:spacing w:val="-1"/>
          <w:w w:val="100"/>
          <w:sz w:val="20"/>
          <w:vertAlign w:val="baseline"/>
          <w:lang w:val="en-US"/>
        </w:rPr>
      </w:pPr>
      <w:r>
        <w:rPr>
          <w:rFonts w:ascii="Arial" w:hAnsi="Arial" w:eastAsia="Arial"/>
          <w:color w:val="001F46"/>
          <w:spacing w:val="-1"/>
          <w:w w:val="100"/>
          <w:sz w:val="20"/>
          <w:vertAlign w:val="baseline"/>
          <w:lang w:val="en-US"/>
        </w:rPr>
        <w:t xml:space="preserve">Students can complete an undergraduate degree combined with an M.Teach in an accelerated time frame of four years (as opposed to five years). Undergraduate degrees on offer include science, business, engineering and communications (creative writing) and the combinations service areas of high teacher demand.</w:t>
      </w:r>
    </w:p>
    <w:p>
      <w:pPr>
        <w:spacing w:before="120" w:after="9920" w:line="240" w:lineRule="exact"/>
        <w:sectPr>
          <w:type w:val="nextPage"/>
          <w:pgSz w:w="11909" w:h="16843" w:orient="portrait"/>
          <w:pgMar w:bottom="287" w:top="360" w:right="957" w:left="2172" w:header="720" w:footer="720"/>
          <w:titlePg w:val="false"/>
          <w:textDirection w:val="lrTb"/>
        </w:sectPr>
      </w:pPr>
    </w:p>
    <w:p>
      <w:pPr>
        <w:tabs>
          <w:tab w:val="right" w:leader="none" w:pos="8640"/>
        </w:tabs>
        <w:spacing w:before="6" w:after="0" w:line="187" w:lineRule="exact"/>
        <w:ind w:right="0" w:left="144" w:firstLine="0"/>
        <w:jc w:val="left"/>
        <w:textAlignment w:val="baseline"/>
        <w:rPr>
          <w:rFonts w:ascii="Arial" w:hAnsi="Arial" w:eastAsia="Arial"/>
          <w:b w:val="true"/>
          <w:color w:val="001F46"/>
          <w:spacing w:val="0"/>
          <w:w w:val="100"/>
          <w:sz w:val="16"/>
          <w:vertAlign w:val="baseline"/>
          <w:lang w:val="en-US"/>
        </w:rPr>
      </w:pPr>
      <w:r>
        <w:rPr>
          <w:rFonts w:ascii="Arial" w:hAnsi="Arial" w:eastAsia="Arial"/>
          <w:b w:val="true"/>
          <w:color w:val="001F46"/>
          <w:spacing w:val="0"/>
          <w:w w:val="100"/>
          <w:sz w:val="16"/>
          <w:vertAlign w:val="baseline"/>
          <w:lang w:val="en-US"/>
        </w:rPr>
        <w:t xml:space="preserve">UNIVERSITIES AUSTRALIA </w:t>
      </w:r>
      <w:r>
        <w:rPr>
          <w:rFonts w:ascii="Arial" w:hAnsi="Arial" w:eastAsia="Arial"/>
          <w:color w:val="001F46"/>
          <w:spacing w:val="0"/>
          <w:w w:val="100"/>
          <w:sz w:val="16"/>
          <w:vertAlign w:val="baseline"/>
          <w:lang w:val="en-US"/>
        </w:rPr>
        <w:t xml:space="preserve">| QUALITY INITIAL TEACHER EDUCATION REVIEW	</w:t>
      </w:r>
      <w:r>
        <w:rPr>
          <w:rFonts w:ascii="Arial" w:hAnsi="Arial" w:eastAsia="Arial"/>
          <w:b w:val="true"/>
          <w:color w:val="001F46"/>
          <w:spacing w:val="0"/>
          <w:w w:val="100"/>
          <w:sz w:val="16"/>
          <w:vertAlign w:val="baseline"/>
          <w:lang w:val="en-US"/>
        </w:rPr>
        <w:t xml:space="preserve">17</w:t>
      </w:r>
    </w:p>
    <w:sectPr>
      <w:type w:val="continuous"/>
      <w:pgSz w:w="11909" w:h="16843" w:orient="portrait"/>
      <w:pgMar w:bottom="287" w:top="360" w:right="923" w:left="2206" w:header="720" w:footer="720"/>
      <w:titlePg w:val="false"/>
      <w:textDirection w:val="lrTb"/>
    </w:sectPr>
  </w:body>
</w:document>
</file>

<file path=word/fontTable.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Arial Narrow">
    <w:charset w:val="00"/>
    <w:pitch w:val="variable"/>
    <w:family w:val="swiss"/>
    <w:panose1 w:val="02020603050405020304"/>
  </w:font>
  <w:font w:name="Calibri">
    <w:charset w:val="00"/>
    <w:pitch w:val="variable"/>
    <w:family w:val="swiss"/>
    <w:panose1 w:val="02020603050405020304"/>
  </w:font>
  <w:font w:name="Times New Roman">
    <w:charset w:val="00"/>
    <w:pitch w:val="variable"/>
    <w:family w:val="auto"/>
    <w:panose1 w:val="02020603050405020304"/>
  </w:font>
</w:fonts>
</file>

<file path=word/footnotes.xml><?xml version="1.0" encoding="utf-8"?>
<w:footnot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otnote w:type="separator" w:id="-1">
    <w:p/>
  </w:footnote>
  <w:footnote w:type="continuationSeparator" w:id="0">
    <w:p>
      <w:r>
        <w:continuationSeparator/>
      </w:r>
    </w:p>
  </w:footnote>
</w:footnotes>
</file>

<file path=word/numbering.xml><?xml version="1.0" encoding="utf-8"?>
<w:numbering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abstractNum w:abstractNumId="1">
    <w:lvl w:ilvl="0">
      <w:start w:val="1"/>
      <w:numFmt w:val="decimal"/>
      <w:lvlText w:val="%1."/>
      <w:pPr>
        <w:tabs>
          <w:tab w:val="left" w:pos="576"/>
        </w:tabs>
      </w:pPr>
      <w:rPr>
        <w:rFonts w:ascii="Arial" w:hAnsi="Arial" w:eastAsia="Arial"/>
        <w:color w:val="001F46"/>
        <w:spacing w:val="0"/>
        <w:w w:val="100"/>
        <w:sz w:val="24"/>
        <w:vertAlign w:val="baseline"/>
        <w:lang w:val="en-US"/>
      </w:rPr>
    </w:lvl>
  </w:abstractNum>
  <w:abstractNum w:abstractNumId="2">
    <w:lvl w:ilvl="0">
      <w:start w:val="0"/>
      <w:numFmt w:val="bullet"/>
      <w:lvlText w:val="·"/>
      <w:pPr>
        <w:tabs>
          <w:tab w:val="left" w:pos="216"/>
        </w:tabs>
      </w:pPr>
      <w:rPr>
        <w:rFonts w:ascii="Symbol" w:hAnsi="Symbol" w:eastAsia="Symbol"/>
        <w:color w:val="001F46"/>
        <w:spacing w:val="0"/>
        <w:w w:val="100"/>
        <w:sz w:val="20"/>
        <w:vertAlign w:val="baseline"/>
        <w:lang w:val="en-US"/>
      </w:rPr>
    </w:lvl>
  </w:abstractNum>
  <w:abstractNum w:abstractNumId="3">
    <w:lvl w:ilvl="0">
      <w:start w:val="0"/>
      <w:numFmt w:val="bullet"/>
      <w:lvlText w:val="·"/>
      <w:pPr>
        <w:tabs>
          <w:tab w:val="left" w:pos="576"/>
        </w:tabs>
      </w:pPr>
      <w:rPr>
        <w:rFonts w:ascii="Symbol" w:hAnsi="Symbol" w:eastAsia="Symbol"/>
        <w:color w:val="001F46"/>
        <w:spacing w:val="0"/>
        <w:w w:val="100"/>
        <w:sz w:val="20"/>
        <w:vertAlign w:val="baseline"/>
        <w:lang w:val="en-US"/>
      </w:rPr>
    </w:lvl>
  </w:abstractNum>
  <w:abstractNum w:abstractNumId="4">
    <w:lvl w:ilvl="0">
      <w:start w:val="0"/>
      <w:numFmt w:val="bullet"/>
      <w:lvlText w:val="·"/>
      <w:pPr>
        <w:tabs>
          <w:tab w:val="left" w:pos="432"/>
        </w:tabs>
      </w:pPr>
      <w:rPr>
        <w:rFonts w:ascii="Symbol" w:hAnsi="Symbol" w:eastAsia="Symbol"/>
        <w:color w:val="001F46"/>
        <w:spacing w:val="0"/>
        <w:w w:val="100"/>
        <w:sz w:val="20"/>
        <w:vertAlign w:val="baseline"/>
        <w:lang w:val="en-US"/>
      </w:r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compat>
    <w:shapeLayoutLikeWW8/>
    <w:doNotUseHTMLParagraphAutoSpacing/>
    <w:applyBreakingRules/>
    <w:useFELayout/>
    <w:doNotUseIndentAsNumberingTabStop/>
    <w:compatSetting w:name="compatibilityMode" w:uri="http://schemas.microsoft.com/office/word" w:val="15"/>
  </w:compat>
  <w:footnotePr>
    <w:footnote w:id="-1"/>
    <w:footnote w:id="0"/>
  </w:footnotePr>
</w:settings>
</file>

<file path=word/styles.xml><?xml version="1.0" encoding="utf-8"?>
<w:styl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docDefaults>
    <w:rPrDefault>
      <w:rPr>
        <w:rFonts w:ascii="Times New Roman" w:hAnsi="Times New Roman" w:eastAsia="PMingLiU" w:cs="Times New Roman"/>
        <w:sz w:val="22"/>
        <w:szCs w:val="22"/>
        <w:lang w:val="en-US" w:eastAsia="en-US" w:bidi="ar-SA"/>
      </w:rPr>
    </w:rPrDefault>
    <w:pPrDefault/>
  </w:docDefaults>
  <w:style w:styleId="DefaultParagraphFont" w:type="paragraph" w:default="1">
    <w:name w:val="Normal"/>
  </w:style>
  <w:style w:styleId="DefaultParagraphFont" w:type="character" w:default="1">
    <w:name w:val="Default Paragraph Font"/>
  </w:style>
</w:styles>
</file>

<file path=word/_rels/document.xml.rels><Relationships xmlns="http://schemas.openxmlformats.org/package/2006/relationships"><Relationship Id="nId" Type="http://schemas.openxmlformats.org/officeDocument/2006/relationships/numbering" Target="numbering.xml"/><Relationship Id="fId" Type="http://schemas.openxmlformats.org/wordprocessingml/2006/fontTable" Target="fontTable.xml"/><Relationship Id="dhId1" Type="http://schemas.openxmlformats.org/officeDocument/2006/relationships/hyperlink" TargetMode="External" Target="mailto:contact@universitiesaustralia.edu.au"/><Relationship Id="dhId2" Type="http://schemas.openxmlformats.org/officeDocument/2006/relationships/hyperlink" TargetMode="External" Target="http://UNIVERSITIESAUSTRALIA.EDU.AU"/><Relationship Id="dhId3" Type="http://schemas.openxmlformats.org/officeDocument/2006/relationships/hyperlink" TargetMode="External" Target="https://www.abs.gov.au/statistics/people/education/schools/latest-release"/><Relationship Id="dhId4" Type="http://schemas.openxmlformats.org/officeDocument/2006/relationships/hyperlink" TargetMode="External" Target="https://www.dese.gov.au/higher-education-statistics/student-data/selected-higher-education-statistics-2019-student-data"/><Relationship Id="dhId5" Type="http://schemas.openxmlformats.org/officeDocument/2006/relationships/hyperlink" TargetMode="External" Target="https://www.dese.gov.au/higher-education-statistics/student-data/selected-higher-education-statistics-2019-student-data"/><Relationship Id="dhId6" Type="http://schemas.openxmlformats.org/officeDocument/2006/relationships/hyperlink" TargetMode="External" Target="https://www.aitsl.edu.au/docs/default-source/national-policy-framework/australian-professional-standards-for-teachers.pdf"/><Relationship Id="dhId7" Type="http://schemas.openxmlformats.org/officeDocument/2006/relationships/hyperlink" TargetMode="External" Target="https://cdn.qct.edu.au/pdf/QCT_Qld_Graduate_Attrition_Report_2019.pdf?_ga=2.63840495.1768617847.1626571521-257346865.1626571521"/><Relationship Id="dhId8" Type="http://schemas.openxmlformats.org/officeDocument/2006/relationships/hyperlink" TargetMode="External" Target="https://cdn.qct.edu.au/pdf/QCT_Qld_Graduate_Attrition_Report_2019.pdf?_ga=2.63840495.1768617847.1626571521-257346865.1626571521"/><Relationship Id="dhId9" Type="http://schemas.openxmlformats.org/officeDocument/2006/relationships/hyperlink" TargetMode="External" Target="https://www.dese.gov.au/teaching-and-school-leadership/teacher-education-ministerial-advisory-group"/><Relationship Id="dhId10" Type="http://schemas.openxmlformats.org/officeDocument/2006/relationships/hyperlink" TargetMode="External" Target="https://www.aitsl.edu.au/deliver-ite-programs/teaching-performance-assessment"/><Relationship Id="dhId11" Type="http://schemas.openxmlformats.org/officeDocument/2006/relationships/hyperlink" TargetMode="External" Target="https://www.aph.gov.au/Parliamentary_Business/Committees/House/Employment_Education_and_Training/TeachingProfessionNew/Report"/><Relationship Id="dhId12" Type="http://schemas.openxmlformats.org/officeDocument/2006/relationships/hyperlink" TargetMode="External" Target="https://www.aph.gov.au/Parliamentary_Business/Committees/House/Employment_Education_and_Training/TeachingProfessionNew/Report"/><Relationship Id="prId1" Type="http://schemas.openxmlformats.org/officeDocument/2006/relationships/image" Target="media/image1.jpg"/><Relationship Id="prId2" Type="http://schemas.openxmlformats.org/officeDocument/2006/relationships/image" Target="media/image2.jpg"/><Relationship Id="prId3" Type="http://schemas.openxmlformats.org/officeDocument/2006/relationships/image" Target="media/image3.jpg"/><Relationship Id="prId4" Type="http://schemas.openxmlformats.org/officeDocument/2006/relationships/image" Target="media/image4.jpg"/><Relationship Id="prId5" Type="http://schemas.openxmlformats.org/officeDocument/2006/relationships/image" Target="media/image5.jpg"/><Relationship Id="prId6" Type="http://schemas.openxmlformats.org/officeDocument/2006/relationships/image" Target="media/image6.jpg"/><Relationship Id="prId7" Type="http://schemas.openxmlformats.org/officeDocument/2006/relationships/image" Target="media/image7.jpg"/><Relationship Id="prId8" Type="http://schemas.openxmlformats.org/officeDocument/2006/relationships/image" Target="media/image8.jpg"/><Relationship Id="prId9" Type="http://schemas.openxmlformats.org/officeDocument/2006/relationships/image" Target="media/image9.jpg"/><Relationship Id="prId10" Type="http://schemas.openxmlformats.org/officeDocument/2006/relationships/image" Target="media/image10.jpg"/><Relationship Id="prId11" Type="http://schemas.openxmlformats.org/officeDocument/2006/relationships/image" Target="media/image11.jpg"/><Relationship Id="prId12" Type="http://schemas.openxmlformats.org/officeDocument/2006/relationships/image" Target="media/image12.jpg"/><Relationship Id="prId13" Type="http://schemas.openxmlformats.org/officeDocument/2006/relationships/image" Target="media/image13.jpg"/><Relationship Id="prId14" Type="http://schemas.openxmlformats.org/officeDocument/2006/relationships/image" Target="media/image14.jpg"/><Relationship Id="prId15" Type="http://schemas.openxmlformats.org/officeDocument/2006/relationships/image" Target="media/image15.jpg"/><Relationship Id="prId16" Type="http://schemas.openxmlformats.org/officeDocument/2006/relationships/image" Target="media/image16.jpg"/><Relationship Id="prId17" Type="http://schemas.openxmlformats.org/officeDocument/2006/relationships/image" Target="media/image17.jpg"/><Relationship Id="styleId" Type="http://schemas.openxmlformats.org/officeDocument/2006/relationships/styles" Target="styles.xml"/><Relationship Id="settingId" Type="http://schemas.openxmlformats.org/officeDocument/2006/relationships/settings" Target="settings.xml"/><Relationship Id="footnotesId" Type="http://schemas.openxmlformats.org/officeDocument/2006/relationships/footnotes" Target="footnotes.xml"/></Relationships>
</file>

<file path=docProps/core.xml><?xml version="1.0" encoding="utf-8"?>
<cp:coreProperties xmlns:dcterms="http://purl.org/dc/terms/" xmlns:xsi="http://www.w3.org/2001/XMLSchema-instance"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dc:creator>Sara De Lobel</dc:creator>
  <dcterms:created xsi:type="dcterms:W3CDTF">2021-10-05T05:18:03Z</dcterms:created>
  <dcterms:modified xsi:type="dcterms:W3CDTF">2021-10-05T05:18:03Z</dcterms:modified>
</cp:coreProperties>
</file>