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5D99" w14:textId="42F8E7CC" w:rsidR="00A54127" w:rsidRDefault="00A54127">
      <w:r w:rsidRPr="00A54127">
        <w:t>All states and territory education authorities should require, as a condition of employment, that newly graduated teachers have at least a semester unit on the special needs of gifted children in their degrees. This should include training in identification of gifted children and the pedagogy of teaching them.</w:t>
      </w:r>
    </w:p>
    <w:sectPr w:rsidR="00A54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27"/>
    <w:rsid w:val="00A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AB07"/>
  <w15:chartTrackingRefBased/>
  <w15:docId w15:val="{841B97C8-C3D1-4564-AC0C-21ED5B93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GARNER,Kate</dc:creator>
  <cp:keywords/>
  <dc:description/>
  <cp:lastModifiedBy>GARNER,Kate</cp:lastModifiedBy>
  <cp:revision>1</cp:revision>
  <dcterms:created xsi:type="dcterms:W3CDTF">2021-07-22T02:24:00Z</dcterms:created>
  <dcterms:modified xsi:type="dcterms:W3CDTF">2021-07-22T02:24:00Z</dcterms:modified>
</cp:coreProperties>
</file>