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374" w:line="331" w:lineRule="exact"/>
        <w:ind w:right="0" w:left="0" w:firstLine="0"/>
        <w:jc w:val="center"/>
        <w:textAlignment w:val="baseline"/>
        <w:rPr>
          <w:rFonts w:ascii="Calibri" w:hAnsi="Calibri" w:eastAsia="Calibri"/>
          <w:b w:val="true"/>
          <w:color w:val="000000"/>
          <w:spacing w:val="0"/>
          <w:w w:val="100"/>
          <w:sz w:val="28"/>
          <w:vertAlign w:val="baseline"/>
          <w:lang w:val="en-US"/>
        </w:rPr>
      </w:pPr>
      <w:r>
        <w:rPr>
          <w:rFonts w:ascii="Calibri" w:hAnsi="Calibri" w:eastAsia="Calibri"/>
          <w:b w:val="true"/>
          <w:color w:val="000000"/>
          <w:spacing w:val="0"/>
          <w:w w:val="100"/>
          <w:sz w:val="28"/>
          <w:vertAlign w:val="baseline"/>
          <w:lang w:val="en-US"/>
        </w:rPr>
        <w:t xml:space="preserve">NSW Council of Deans of Education. Response to</w:t>
        <w:br/>
      </w:r>
      <w:r>
        <w:rPr>
          <w:rFonts w:ascii="Calibri" w:hAnsi="Calibri" w:eastAsia="Calibri"/>
          <w:b w:val="true"/>
          <w:color w:val="000000"/>
          <w:spacing w:val="0"/>
          <w:w w:val="100"/>
          <w:sz w:val="28"/>
          <w:vertAlign w:val="baseline"/>
          <w:lang w:val="en-US"/>
        </w:rPr>
        <w:t xml:space="preserve">Quality Initial Teacher Education Review Discussion Paper</w:t>
      </w:r>
    </w:p>
    <w:p>
      <w:pPr>
        <w:spacing w:before="401" w:after="0" w:line="245" w:lineRule="exact"/>
        <w:ind w:right="0" w:left="0" w:firstLine="0"/>
        <w:jc w:val="center"/>
        <w:textAlignment w:val="baseline"/>
        <w:rPr>
          <w:rFonts w:ascii="Calibri" w:hAnsi="Calibri" w:eastAsia="Calibri"/>
          <w:b w:val="true"/>
          <w:color w:val="000000"/>
          <w:spacing w:val="0"/>
          <w:w w:val="100"/>
          <w:sz w:val="24"/>
          <w:vertAlign w:val="baseline"/>
          <w:lang w:val="en-US"/>
        </w:rPr>
      </w:pPr>
      <w:r>
        <w:pict>
          <v:line strokeweight="1.7pt" strokecolor="#000000" from="55.45pt,125.3pt" to="541.5pt,125.3pt" style="position:absolute;mso-position-horizontal-relative:page;mso-position-vertical-relative:page;">
            <v:stroke dashstyle="solid"/>
          </v:line>
        </w:pict>
      </w:r>
      <w:r>
        <w:rPr>
          <w:rFonts w:ascii="Calibri" w:hAnsi="Calibri" w:eastAsia="Calibri"/>
          <w:b w:val="true"/>
          <w:color w:val="000000"/>
          <w:spacing w:val="0"/>
          <w:w w:val="100"/>
          <w:sz w:val="24"/>
          <w:vertAlign w:val="baseline"/>
          <w:lang w:val="en-US"/>
        </w:rPr>
        <w:t xml:space="preserve">Who are the NSWCDE?</w:t>
      </w:r>
    </w:p>
    <w:p>
      <w:pPr>
        <w:spacing w:before="297" w:after="0" w:line="269" w:lineRule="exact"/>
        <w:ind w:right="72"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w:t>
      </w:r>
      <w:r>
        <w:rPr>
          <w:rFonts w:ascii="Calibri" w:hAnsi="Calibri" w:eastAsia="Calibri"/>
          <w:color w:val="0563C1"/>
          <w:spacing w:val="0"/>
          <w:w w:val="100"/>
          <w:sz w:val="22"/>
          <w:u w:val="single"/>
          <w:vertAlign w:val="baseline"/>
          <w:lang w:val="en-US"/>
        </w:rPr>
        <w:t xml:space="preserve"> NSW Council of Deans of Education</w:t>
      </w:r>
      <w:r>
        <w:rPr>
          <w:rFonts w:ascii="Calibri" w:hAnsi="Calibri" w:eastAsia="Calibri"/>
          <w:color w:val="000000"/>
          <w:spacing w:val="0"/>
          <w:w w:val="100"/>
          <w:sz w:val="22"/>
          <w:vertAlign w:val="baseline"/>
          <w:lang w:val="en-US"/>
        </w:rPr>
        <w:t xml:space="preserve"> is the peak body representing NSW Teacher Education Providers, University Education Faculties and Schools of Education. The NSWCDE leads the delivery and development of education programs, partnerships, and research. It acts as an advocate for pre-service and in-service teacher education and works cooperatively with key stakeholders. NSWCDE is the state affiliate of</w:t>
      </w:r>
    </w:p>
    <w:p>
      <w:pPr>
        <w:spacing w:before="78" w:after="0" w:line="269"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w:t>
      </w:r>
      <w:r>
        <w:rPr>
          <w:rFonts w:ascii="Calibri" w:hAnsi="Calibri" w:eastAsia="Calibri"/>
          <w:color w:val="1E73BE"/>
          <w:spacing w:val="0"/>
          <w:w w:val="100"/>
          <w:sz w:val="22"/>
          <w:vertAlign w:val="baseline"/>
          <w:lang w:val="en-US"/>
        </w:rPr>
        <w:t xml:space="preserve"> Australian Council of Deans of Education</w:t>
      </w:r>
      <w:r>
        <w:rPr>
          <w:rFonts w:ascii="Calibri" w:hAnsi="Calibri" w:eastAsia="Calibri"/>
          <w:color w:val="000000"/>
          <w:spacing w:val="0"/>
          <w:w w:val="100"/>
          <w:sz w:val="22"/>
          <w:vertAlign w:val="baseline"/>
          <w:lang w:val="en-US"/>
        </w:rPr>
        <w:t xml:space="preserve"> for New South Wales</w:t>
      </w:r>
      <w:r>
        <w:rPr>
          <w:rFonts w:ascii="Arial" w:hAnsi="Arial" w:eastAsia="Arial"/>
          <w:color w:val="000000"/>
          <w:spacing w:val="0"/>
          <w:w w:val="100"/>
          <w:sz w:val="32"/>
          <w:vertAlign w:val="baseline"/>
          <w:lang w:val="en-US"/>
        </w:rPr>
        <w:t xml:space="preserve">.</w:t>
      </w:r>
    </w:p>
    <w:p>
      <w:pPr>
        <w:spacing w:before="402" w:after="0" w:line="245" w:lineRule="exact"/>
        <w:ind w:right="0" w:left="0" w:firstLine="0"/>
        <w:jc w:val="center"/>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Background and Context</w:t>
      </w:r>
    </w:p>
    <w:p>
      <w:pPr>
        <w:spacing w:before="267" w:after="0" w:line="269"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NSWCDE welcomes opportunities to extend and improve the quality provision of pre-service and in-service education programs and research across all schooling sectors. In response to the TEMAG report in 2014, our organisations have effectively instituted significant reforms in our educational provision. We have strong partnerships with NSW schools in government, Catholic and independent sectors through the NSW Department of Education’s Hub School program; our shared professional experience agreements across all school sectors; agreements with the NSW Teachers’ Federation and Independent Education Union about payment for in-school supervisors across sectors; and collaborative research projects commissioned by the NSW Department of Education.</w:t>
      </w:r>
    </w:p>
    <w:p>
      <w:pPr>
        <w:spacing w:before="336" w:after="0" w:line="245" w:lineRule="exact"/>
        <w:ind w:right="0" w:left="0" w:firstLine="0"/>
        <w:jc w:val="center"/>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Summary of Recommendations</w:t>
      </w:r>
    </w:p>
    <w:p>
      <w:pPr>
        <w:spacing w:before="296" w:after="0" w:line="269" w:lineRule="exact"/>
        <w:ind w:right="576"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This submission proposes sustainable solutions that build upon recent reforms in the provision of pre-service and in-service teacher education:</w:t>
      </w:r>
    </w:p>
    <w:p>
      <w:pPr>
        <w:numPr>
          <w:ilvl w:val="0"/>
          <w:numId w:val="1"/>
        </w:numPr>
        <w:tabs>
          <w:tab w:val="clear" w:pos="360"/>
          <w:tab w:val="left" w:pos="792"/>
        </w:tabs>
        <w:spacing w:before="278" w:after="264" w:line="269" w:lineRule="exact"/>
        <w:ind w:right="216"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Establish federally funded leadership fellowships for teachers (including high performing early career teachers) to enable flexible and mobile roles across teaching and initial teacher education. Key responsibilities could include practice-based research; embedding evidence-based practices in the classroom; teaching across both contexts; and playing a key role in graduate teacher excellence. Candidates could also be supported to complete school-based industry PhDs for translation of research into practice.</w:t>
      </w:r>
    </w:p>
    <w:p>
      <w:pPr>
        <w:numPr>
          <w:ilvl w:val="0"/>
          <w:numId w:val="1"/>
        </w:numPr>
        <w:tabs>
          <w:tab w:val="clear" w:pos="360"/>
          <w:tab w:val="left" w:pos="792"/>
        </w:tabs>
        <w:spacing w:before="0" w:after="268" w:line="269" w:lineRule="exact"/>
        <w:ind w:right="72" w:left="792" w:hanging="360"/>
        <w:jc w:val="left"/>
        <w:textAlignment w:val="baseline"/>
        <w:rPr>
          <w:rFonts w:ascii="Calibri" w:hAnsi="Calibri" w:eastAsia="Calibri"/>
          <w:color w:val="000000"/>
          <w:spacing w:val="0"/>
          <w:w w:val="100"/>
          <w:sz w:val="22"/>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8.6pt;height:8.6pt;z-index:-999;margin-left:74.9pt;margin-top:578.9pt;mso-wrap-distance-left:0pt;mso-wrap-distance-right:0pt;mso-position-horizontal-relative:page;mso-position-vertical-relative:page">
            <v:fill opacity="1" o:opacity2="1" recolor="f" rotate="f" type="solid"/>
            <v:textbox inset="0pt, 0pt, 0pt, 0pt">
              <w:txbxContent>
                <w:p>
                  <w:pPr>
                    <w:spacing w:before="0" w:after="0" w:line="172" w:lineRule="exact"/>
                    <w:ind w:right="0" w:left="0"/>
                    <w:jc w:val="left"/>
                    <w:textAlignment w:val="baseline"/>
                  </w:pPr>
                  <w:r>
                    <w:drawing>
                      <wp:inline>
                        <wp:extent cx="109220" cy="10922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09220" cy="109220"/>
                                </a:xfrm>
                                <a:prstGeom prst="rect"/>
                              </pic:spPr>
                            </pic:pic>
                          </a:graphicData>
                        </a:graphic>
                      </wp:inline>
                    </w:drawing>
                  </w:r>
                </w:p>
              </w:txbxContent>
            </v:textbox>
          </v:shape>
        </w:pict>
      </w:r>
      <w:r>
        <w:rPr>
          <w:rFonts w:ascii="Calibri" w:hAnsi="Calibri" w:eastAsia="Calibri"/>
          <w:color w:val="000000"/>
          <w:spacing w:val="0"/>
          <w:w w:val="100"/>
          <w:sz w:val="22"/>
          <w:vertAlign w:val="baseline"/>
          <w:lang w:val="en-US"/>
        </w:rPr>
        <w:t xml:space="preserve">Maintain a master’s level minimum qualification for graduate applicants and career changers to transition into the teaching profession. A master’s level degree enables a strong focus on gathering, interpreting, and using evidence to improve teaching practices and student outcomes. Maintaining this qualification level is in line with international trends and demonstrates Australia’s national commitment to teaching as a high-status profession.</w:t>
      </w:r>
    </w:p>
    <w:p>
      <w:pPr>
        <w:numPr>
          <w:ilvl w:val="0"/>
          <w:numId w:val="1"/>
        </w:numPr>
        <w:tabs>
          <w:tab w:val="clear" w:pos="360"/>
          <w:tab w:val="left" w:pos="792"/>
        </w:tabs>
        <w:spacing w:before="0" w:after="269" w:line="269" w:lineRule="exact"/>
        <w:ind w:right="72" w:left="792" w:hanging="360"/>
        <w:jc w:val="left"/>
        <w:textAlignment w:val="baseline"/>
        <w:rPr>
          <w:rFonts w:ascii="Calibri" w:hAnsi="Calibri" w:eastAsia="Calibri"/>
          <w:color w:val="000000"/>
          <w:spacing w:val="0"/>
          <w:w w:val="100"/>
          <w:sz w:val="22"/>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8.6pt;height:8.65pt;z-index:-999;margin-left:74.9pt;margin-top:660pt;mso-wrap-distance-left:0pt;mso-wrap-distance-right:0pt;mso-position-horizontal-relative:page;mso-position-vertical-relative:page">
            <v:fill opacity="1" o:opacity2="1" recolor="f" rotate="f" type="solid"/>
            <v:textbox inset="0pt, 0pt, 0pt, 0pt">
              <w:txbxContent>
                <w:p>
                  <w:pPr>
                    <w:spacing w:before="0" w:after="0" w:line="173" w:lineRule="exact"/>
                    <w:ind w:right="0" w:left="0"/>
                    <w:jc w:val="left"/>
                    <w:textAlignment w:val="baseline"/>
                  </w:pPr>
                  <w:r>
                    <w:drawing>
                      <wp:inline>
                        <wp:extent cx="109220" cy="10985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109220" cy="109855"/>
                                </a:xfrm>
                                <a:prstGeom prst="rect"/>
                              </pic:spPr>
                            </pic:pic>
                          </a:graphicData>
                        </a:graphic>
                      </wp:inline>
                    </w:drawing>
                  </w:r>
                </w:p>
              </w:txbxContent>
            </v:textbox>
          </v:shape>
        </w:pict>
      </w:r>
      <w:r>
        <w:rPr>
          <w:rFonts w:ascii="Calibri" w:hAnsi="Calibri" w:eastAsia="Calibri"/>
          <w:color w:val="000000"/>
          <w:spacing w:val="0"/>
          <w:w w:val="100"/>
          <w:sz w:val="22"/>
          <w:vertAlign w:val="baseline"/>
          <w:lang w:val="en-US"/>
        </w:rPr>
        <w:t xml:space="preserve">Increase flexibility within Master of Teaching degrees so candidates can gain employment sooner. Dedicated time and support to continue university studies while beginning work as a teacher enables a continuous cycle of improvement: a strategy that prioritises a culture of ongoing learning and strengthens university-school partnerships.</w:t>
      </w:r>
    </w:p>
    <w:p>
      <w:pPr>
        <w:numPr>
          <w:ilvl w:val="0"/>
          <w:numId w:val="1"/>
        </w:numPr>
        <w:tabs>
          <w:tab w:val="clear" w:pos="360"/>
          <w:tab w:val="left" w:pos="792"/>
          <w:tab w:val="right" w:leader="none" w:pos="9576"/>
        </w:tabs>
        <w:spacing w:before="0" w:after="566" w:line="269" w:lineRule="exact"/>
        <w:ind w:right="144" w:left="792" w:hanging="360"/>
        <w:jc w:val="left"/>
        <w:textAlignment w:val="baseline"/>
        <w:rPr>
          <w:rFonts w:ascii="Calibri" w:hAnsi="Calibri" w:eastAsia="Calibri"/>
          <w:color w:val="000000"/>
          <w:spacing w:val="-1"/>
          <w:w w:val="100"/>
          <w:sz w:val="22"/>
          <w:vertAlign w:val="baseline"/>
          <w:lang w:val="en-US"/>
        </w:rPr>
      </w:pPr>
      <w:r>
        <w:pict>
          <v:shapetype id="_x0000_t3" coordsize="21600,21600" o:spt="202" path="m,l,21600r21600,l21600,xe">
            <v:stroke joinstyle="miter"/>
            <v:path gradientshapeok="t" o:connecttype="rect"/>
          </v:shapetype>
          <v:shape id="_x0000_s2" type="#_x0000_t3" filled="f" stroked="f" style="position:absolute;width:8.85pt;height:8.6pt;z-index:-999;margin-left:74.65pt;margin-top:727.7pt;mso-wrap-distance-left:0pt;mso-wrap-distance-right:0pt;mso-position-horizontal-relative:page;mso-position-vertical-relative:page">
            <v:fill opacity="1" o:opacity2="1" recolor="f" rotate="f" type="solid"/>
            <v:textbox inset="0pt, 0pt, 0pt, 0pt">
              <w:txbxContent>
                <w:p>
                  <w:pPr>
                    <w:spacing w:before="0" w:after="0" w:line="172" w:lineRule="exact"/>
                    <w:ind w:right="0" w:left="0"/>
                    <w:jc w:val="left"/>
                    <w:textAlignment w:val="baseline"/>
                  </w:pPr>
                  <w:r>
                    <w:drawing>
                      <wp:inline>
                        <wp:extent cx="112395" cy="10922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112395" cy="109220"/>
                                </a:xfrm>
                                <a:prstGeom prst="rect"/>
                              </pic:spPr>
                            </pic:pic>
                          </a:graphicData>
                        </a:graphic>
                      </wp:inline>
                    </w:drawing>
                  </w:r>
                </w:p>
              </w:txbxContent>
            </v:textbox>
          </v:shape>
        </w:pict>
      </w:r>
      <w:r>
        <w:rPr>
          <w:rFonts w:ascii="Calibri" w:hAnsi="Calibri" w:eastAsia="Calibri"/>
          <w:color w:val="000000"/>
          <w:spacing w:val="-1"/>
          <w:w w:val="100"/>
          <w:sz w:val="22"/>
          <w:vertAlign w:val="baseline"/>
          <w:lang w:val="en-US"/>
        </w:rPr>
        <w:t xml:space="preserve">Fund initiatives to attract a more diverse cohort of candidates to undergraduate and postgraduate</w:t>
        <w:br/>
      </w:r>
      <w:r>
        <w:rPr>
          <w:rFonts w:ascii="Calibri" w:hAnsi="Calibri" w:eastAsia="Calibri"/>
          <w:color w:val="000000"/>
          <w:spacing w:val="-1"/>
          <w:w w:val="100"/>
          <w:sz w:val="22"/>
          <w:vertAlign w:val="baseline"/>
          <w:lang w:val="en-US"/>
        </w:rPr>
        <w:t xml:space="preserve">ITE programs, including a strong media campaign, early identification with bespoke routes into teaching, financial incentives, and the expansion of more diverse university-school partnerships.</w:t>
      </w:r>
    </w:p>
    <w:p>
      <w:pPr>
        <w:spacing w:before="19" w:after="0" w:line="253" w:lineRule="exact"/>
        <w:ind w:right="0" w:left="0" w:firstLine="0"/>
        <w:jc w:val="righ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1</w:t>
      </w:r>
    </w:p>
    <w:p>
      <w:pPr>
        <w:sectPr>
          <w:type w:val="nextPage"/>
          <w:pgSz w:w="11909" w:h="16838" w:orient="portrait"/>
          <w:pgMar w:bottom="302" w:top="1440" w:right="1080" w:left="1109" w:header="720" w:footer="720"/>
          <w:titlePg w:val="false"/>
          <w:textDirection w:val="lrTb"/>
        </w:sectPr>
      </w:pPr>
    </w:p>
    <w:p>
      <w:pPr>
        <w:numPr>
          <w:ilvl w:val="0"/>
          <w:numId w:val="1"/>
        </w:numPr>
        <w:tabs>
          <w:tab w:val="clear" w:pos="360"/>
          <w:tab w:val="left" w:pos="792"/>
        </w:tabs>
        <w:spacing w:before="8" w:after="0" w:line="269" w:lineRule="exact"/>
        <w:ind w:right="216" w:left="792" w:hanging="360"/>
        <w:jc w:val="left"/>
        <w:textAlignment w:val="baseline"/>
        <w:rPr>
          <w:rFonts w:ascii="Calibri" w:hAnsi="Calibri" w:eastAsia="Calibri"/>
          <w:color w:val="000000"/>
          <w:spacing w:val="-4"/>
          <w:w w:val="100"/>
          <w:sz w:val="23"/>
          <w:vertAlign w:val="baseline"/>
          <w:lang w:val="en-US"/>
        </w:rPr>
      </w:pPr>
      <w:r>
        <w:pict>
          <v:shapetype id="_x0000_t4" coordsize="21600,21600" o:spt="202" path="m,l,21600r21600,l21600,xe">
            <v:stroke joinstyle="miter"/>
            <v:path gradientshapeok="t" o:connecttype="rect"/>
          </v:shapetype>
          <v:shape id="_x0000_s3" type="#_x0000_t4" filled="f" stroked="f" style="position:absolute;width:8.6pt;height:8.65pt;z-index:-999;margin-left:74.9pt;margin-top:89.05pt;mso-wrap-distance-left:0pt;mso-wrap-distance-right:0pt;mso-position-horizontal-relative:page;mso-position-vertical-relative:page">
            <v:fill opacity="1" o:opacity2="1" recolor="f" rotate="f" type="solid"/>
            <v:textbox inset="0pt, 0pt, 0pt, 0pt">
              <w:txbxContent>
                <w:p>
                  <w:pPr>
                    <w:spacing w:before="0" w:after="0" w:line="173" w:lineRule="exact"/>
                    <w:ind w:right="0" w:left="0"/>
                    <w:jc w:val="left"/>
                    <w:textAlignment w:val="baseline"/>
                  </w:pPr>
                  <w:r>
                    <w:drawing>
                      <wp:inline>
                        <wp:extent cx="109220" cy="109855"/>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109220" cy="109855"/>
                                </a:xfrm>
                                <a:prstGeom prst="rect"/>
                              </pic:spPr>
                            </pic:pic>
                          </a:graphicData>
                        </a:graphic>
                      </wp:inline>
                    </w:drawing>
                  </w:r>
                </w:p>
              </w:txbxContent>
            </v:textbox>
          </v:shape>
        </w:pict>
      </w:r>
      <w:r>
        <w:rPr>
          <w:rFonts w:ascii="Calibri" w:hAnsi="Calibri" w:eastAsia="Calibri"/>
          <w:color w:val="000000"/>
          <w:spacing w:val="-4"/>
          <w:w w:val="100"/>
          <w:sz w:val="23"/>
          <w:vertAlign w:val="baseline"/>
          <w:lang w:val="en-US"/>
        </w:rPr>
        <w:t xml:space="preserve">Create a new category of Transitional Accreditation to help retain ITE students. Teacher education students need to feel a sense of belonging to the profession on entering their degree. Transitional accreditation can provide ‘status’ and include the option to ‘log’ professional learning, access to school systems and data, along with opportunities for paraprofessional work.</w:t>
      </w:r>
    </w:p>
    <w:p>
      <w:pPr>
        <w:numPr>
          <w:ilvl w:val="0"/>
          <w:numId w:val="1"/>
        </w:numPr>
        <w:tabs>
          <w:tab w:val="clear" w:pos="360"/>
          <w:tab w:val="left" w:pos="792"/>
        </w:tabs>
        <w:spacing w:before="297" w:after="269" w:line="269" w:lineRule="exact"/>
        <w:ind w:right="360" w:left="792" w:hanging="360"/>
        <w:jc w:val="both"/>
        <w:textAlignment w:val="baseline"/>
        <w:rPr>
          <w:rFonts w:ascii="Calibri" w:hAnsi="Calibri" w:eastAsia="Calibri"/>
          <w:color w:val="000000"/>
          <w:spacing w:val="-5"/>
          <w:w w:val="100"/>
          <w:sz w:val="23"/>
          <w:vertAlign w:val="baseline"/>
          <w:lang w:val="en-US"/>
        </w:rPr>
      </w:pPr>
      <w:r>
        <w:pict>
          <v:shapetype id="_x0000_t5" coordsize="21600,21600" o:spt="202" path="m,l,21600r21600,l21600,xe">
            <v:stroke joinstyle="miter"/>
            <v:path gradientshapeok="t" o:connecttype="rect"/>
          </v:shapetype>
          <v:shape id="_x0000_s4" type="#_x0000_t5" filled="f" stroked="f" style="position:absolute;width:9.1pt;height:9.6pt;z-index:-999;margin-left:74.9pt;margin-top:156.95pt;mso-wrap-distance-left:0pt;mso-wrap-distance-right:0pt;mso-position-horizontal-relative:page;mso-position-vertical-relative:page">
            <v:fill opacity="1" o:opacity2="1" recolor="f" rotate="f" type="solid"/>
            <v:textbox inset="0pt, 0pt, 0pt, 0pt">
              <w:txbxContent>
                <w:p>
                  <w:pPr>
                    <w:spacing w:before="0" w:after="0" w:line="192" w:lineRule="exact"/>
                    <w:ind w:right="0" w:left="0"/>
                    <w:jc w:val="left"/>
                    <w:textAlignment w:val="baseline"/>
                  </w:pPr>
                  <w:r>
                    <w:drawing>
                      <wp:inline>
                        <wp:extent cx="115570" cy="121920"/>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115570" cy="121920"/>
                                </a:xfrm>
                                <a:prstGeom prst="rect"/>
                              </pic:spPr>
                            </pic:pic>
                          </a:graphicData>
                        </a:graphic>
                      </wp:inline>
                    </w:drawing>
                  </w:r>
                </w:p>
              </w:txbxContent>
            </v:textbox>
          </v:shape>
        </w:pict>
      </w:r>
      <w:r>
        <w:rPr>
          <w:rFonts w:ascii="Calibri" w:hAnsi="Calibri" w:eastAsia="Calibri"/>
          <w:color w:val="000000"/>
          <w:spacing w:val="-5"/>
          <w:w w:val="100"/>
          <w:sz w:val="23"/>
          <w:vertAlign w:val="baseline"/>
          <w:lang w:val="en-US"/>
        </w:rPr>
        <w:t xml:space="preserve">Provide targeted funding to ITE providers to strengthen and scale-up effective university-school partnership practices including high quality, sustainable professional experience opportunities.</w:t>
      </w:r>
    </w:p>
    <w:p>
      <w:pPr>
        <w:numPr>
          <w:ilvl w:val="0"/>
          <w:numId w:val="1"/>
        </w:numPr>
        <w:tabs>
          <w:tab w:val="clear" w:pos="360"/>
          <w:tab w:val="left" w:pos="792"/>
        </w:tabs>
        <w:spacing w:before="0" w:after="0" w:line="269" w:lineRule="exact"/>
        <w:ind w:right="720" w:left="792" w:hanging="360"/>
        <w:jc w:val="both"/>
        <w:textAlignment w:val="baseline"/>
        <w:rPr>
          <w:rFonts w:ascii="Calibri" w:hAnsi="Calibri" w:eastAsia="Calibri"/>
          <w:color w:val="000000"/>
          <w:spacing w:val="0"/>
          <w:w w:val="100"/>
          <w:sz w:val="23"/>
          <w:vertAlign w:val="baseline"/>
          <w:lang w:val="en-US"/>
        </w:rPr>
      </w:pPr>
      <w:r>
        <w:pict>
          <v:shapetype id="_x0000_t6" coordsize="21600,21600" o:spt="202" path="m,l,21600r21600,l21600,xe">
            <v:stroke joinstyle="miter"/>
            <v:path gradientshapeok="t" o:connecttype="rect"/>
          </v:shapetype>
          <v:shape id="_x0000_s5" type="#_x0000_t6" filled="f" stroked="f" style="position:absolute;width:8.6pt;height:8.6pt;z-index:-999;margin-left:74.9pt;margin-top:198.5pt;mso-wrap-distance-left:0pt;mso-wrap-distance-right:0pt;mso-position-horizontal-relative:page;mso-position-vertical-relative:page">
            <v:fill opacity="1" o:opacity2="1" recolor="f" rotate="f" type="solid"/>
            <v:textbox inset="0pt, 0pt, 0pt, 0pt">
              <w:txbxContent>
                <w:p>
                  <w:pPr>
                    <w:spacing w:before="0" w:after="0" w:line="172" w:lineRule="exact"/>
                    <w:ind w:right="0" w:left="0"/>
                    <w:jc w:val="left"/>
                    <w:textAlignment w:val="baseline"/>
                  </w:pPr>
                  <w:r>
                    <w:drawing>
                      <wp:inline>
                        <wp:extent cx="109220" cy="109220"/>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109220" cy="109220"/>
                                </a:xfrm>
                                <a:prstGeom prst="rect"/>
                              </pic:spPr>
                            </pic:pic>
                          </a:graphicData>
                        </a:graphic>
                      </wp:inline>
                    </w:drawing>
                  </w:r>
                </w:p>
              </w:txbxContent>
            </v:textbox>
          </v:shape>
        </w:pict>
      </w:r>
      <w:r>
        <w:rPr>
          <w:rFonts w:ascii="Calibri" w:hAnsi="Calibri" w:eastAsia="Calibri"/>
          <w:color w:val="000000"/>
          <w:spacing w:val="0"/>
          <w:w w:val="100"/>
          <w:sz w:val="23"/>
          <w:vertAlign w:val="baseline"/>
          <w:lang w:val="en-US"/>
        </w:rPr>
        <w:t xml:space="preserve">Provide infrastructure support for cross-institutional moderation processes for the teaching performance assessment (TPA).</w:t>
      </w:r>
    </w:p>
    <w:p>
      <w:pPr>
        <w:numPr>
          <w:ilvl w:val="0"/>
          <w:numId w:val="1"/>
        </w:numPr>
        <w:tabs>
          <w:tab w:val="clear" w:pos="360"/>
          <w:tab w:val="left" w:pos="792"/>
        </w:tabs>
        <w:spacing w:before="276" w:after="602" w:line="269" w:lineRule="exact"/>
        <w:ind w:right="648" w:left="792"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Introduce consistent, well-supported induction programs for new teachers (including casual teachers), with induction mentors, and research-based professional learning programs for all teachers.</w:t>
      </w:r>
    </w:p>
    <w:p>
      <w:pPr>
        <w:spacing w:before="27" w:after="0" w:line="266" w:lineRule="exact"/>
        <w:ind w:right="0" w:left="0" w:firstLine="0"/>
        <w:jc w:val="center"/>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Elaboration of Recommendations</w:t>
      </w:r>
    </w:p>
    <w:p>
      <w:pPr>
        <w:spacing w:before="317" w:after="0" w:line="229" w:lineRule="exact"/>
        <w:ind w:right="0" w:left="0" w:firstLine="0"/>
        <w:jc w:val="left"/>
        <w:textAlignment w:val="baseline"/>
        <w:rPr>
          <w:rFonts w:ascii="Calibri" w:hAnsi="Calibri" w:eastAsia="Calibri"/>
          <w:b w:val="true"/>
          <w:color w:val="000000"/>
          <w:spacing w:val="-3"/>
          <w:w w:val="100"/>
          <w:sz w:val="23"/>
          <w:vertAlign w:val="baseline"/>
          <w:lang w:val="en-US"/>
        </w:rPr>
      </w:pPr>
      <w:r>
        <w:rPr>
          <w:rFonts w:ascii="Calibri" w:hAnsi="Calibri" w:eastAsia="Calibri"/>
          <w:b w:val="true"/>
          <w:color w:val="000000"/>
          <w:spacing w:val="-3"/>
          <w:w w:val="100"/>
          <w:sz w:val="23"/>
          <w:vertAlign w:val="baseline"/>
          <w:lang w:val="en-US"/>
        </w:rPr>
        <w:t xml:space="preserve">PART A: – Attracting and selecting high-quality candidates into the teaching profession</w:t>
      </w:r>
    </w:p>
    <w:p>
      <w:pPr>
        <w:spacing w:before="308" w:after="0" w:line="230" w:lineRule="exact"/>
        <w:ind w:right="0" w:left="0" w:firstLine="0"/>
        <w:jc w:val="left"/>
        <w:textAlignment w:val="baseline"/>
        <w:rPr>
          <w:rFonts w:ascii="Calibri" w:hAnsi="Calibri" w:eastAsia="Calibri"/>
          <w:b w:val="true"/>
          <w:color w:val="000000"/>
          <w:spacing w:val="-3"/>
          <w:w w:val="100"/>
          <w:sz w:val="23"/>
          <w:vertAlign w:val="baseline"/>
          <w:lang w:val="en-US"/>
        </w:rPr>
      </w:pPr>
      <w:r>
        <w:rPr>
          <w:rFonts w:ascii="Calibri" w:hAnsi="Calibri" w:eastAsia="Calibri"/>
          <w:b w:val="true"/>
          <w:color w:val="000000"/>
          <w:spacing w:val="-3"/>
          <w:w w:val="100"/>
          <w:sz w:val="23"/>
          <w:vertAlign w:val="baseline"/>
          <w:lang w:val="en-US"/>
        </w:rPr>
        <w:t xml:space="preserve">1. Attracting high performing school leavers into the profession</w:t>
      </w:r>
    </w:p>
    <w:p>
      <w:pPr>
        <w:spacing w:before="308" w:after="0" w:line="229" w:lineRule="exact"/>
        <w:ind w:right="0"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High-achieving school leavers are largely motivated by:</w:t>
      </w:r>
    </w:p>
    <w:p>
      <w:pPr>
        <w:numPr>
          <w:ilvl w:val="0"/>
          <w:numId w:val="2"/>
        </w:numPr>
        <w:tabs>
          <w:tab w:val="clear" w:pos="360"/>
          <w:tab w:val="left" w:pos="792"/>
        </w:tabs>
        <w:spacing w:before="309" w:after="0" w:line="229" w:lineRule="exact"/>
        <w:ind w:right="0" w:left="792" w:hanging="36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Social justice: ability to contribute to society</w:t>
      </w:r>
    </w:p>
    <w:p>
      <w:pPr>
        <w:numPr>
          <w:ilvl w:val="0"/>
          <w:numId w:val="2"/>
        </w:numPr>
        <w:tabs>
          <w:tab w:val="clear" w:pos="360"/>
          <w:tab w:val="left" w:pos="792"/>
        </w:tabs>
        <w:spacing w:before="39" w:after="0" w:line="230" w:lineRule="exact"/>
        <w:ind w:right="0" w:left="792" w:hanging="36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Intellectual challenge and autonomy</w:t>
      </w:r>
    </w:p>
    <w:p>
      <w:pPr>
        <w:numPr>
          <w:ilvl w:val="0"/>
          <w:numId w:val="2"/>
        </w:numPr>
        <w:tabs>
          <w:tab w:val="clear" w:pos="360"/>
          <w:tab w:val="left" w:pos="792"/>
        </w:tabs>
        <w:spacing w:before="0" w:after="0" w:line="267" w:lineRule="exact"/>
        <w:ind w:right="0" w:left="792"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Remuneration along with career prospects</w:t>
        <w:br/>
      </w:r>
      <w:r>
        <w:rPr>
          <w:rFonts w:ascii="Calibri" w:hAnsi="Calibri" w:eastAsia="Calibri"/>
          <w:color w:val="000000"/>
          <w:spacing w:val="0"/>
          <w:w w:val="100"/>
          <w:sz w:val="23"/>
          <w:vertAlign w:val="baseline"/>
          <w:lang w:val="en-US"/>
        </w:rPr>
        <w:t xml:space="preserve">(Gore et al., 2015; Goss &amp; Sonnemann, 2019).</w:t>
      </w:r>
    </w:p>
    <w:p>
      <w:pPr>
        <w:spacing w:before="275" w:after="0" w:line="266" w:lineRule="exact"/>
        <w:ind w:right="360"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Given this, the desire to attract and select high quality candidates has implications that are system-wide rather than ITE specific, involving factors relating to the attractiveness of teaching as a profession and its ability to make best use of their skills. System factors of importance include:</w:t>
      </w:r>
    </w:p>
    <w:p>
      <w:pPr>
        <w:numPr>
          <w:ilvl w:val="0"/>
          <w:numId w:val="3"/>
        </w:numPr>
        <w:tabs>
          <w:tab w:val="clear" w:pos="360"/>
          <w:tab w:val="left" w:pos="792"/>
        </w:tabs>
        <w:spacing w:before="276" w:after="0" w:line="271" w:lineRule="exact"/>
        <w:ind w:right="144" w:left="792" w:hanging="36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Remuneration structures and career progression (eg. it only takes 6-8 years for teachers to start earning the maximum salary in Australia, and the top of the scale is only about 33-53% higher than starting salaries, compared to 66% on average across OECD countries) (OECD TALIS, 2020, p. 387);</w:t>
      </w:r>
    </w:p>
    <w:p>
      <w:pPr>
        <w:numPr>
          <w:ilvl w:val="0"/>
          <w:numId w:val="3"/>
        </w:numPr>
        <w:tabs>
          <w:tab w:val="clear" w:pos="360"/>
          <w:tab w:val="left" w:pos="792"/>
        </w:tabs>
        <w:spacing w:before="7" w:after="0" w:line="269" w:lineRule="exact"/>
        <w:ind w:right="432" w:left="792" w:hanging="36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Perceived intellectual challenge through one’s career (eg. developing specialist qualifications to support clearer non-leadership career pathways for teachers that want to stay and excel in the classroom);</w:t>
      </w:r>
    </w:p>
    <w:p>
      <w:pPr>
        <w:numPr>
          <w:ilvl w:val="0"/>
          <w:numId w:val="3"/>
        </w:numPr>
        <w:tabs>
          <w:tab w:val="clear" w:pos="360"/>
          <w:tab w:val="left" w:pos="792"/>
        </w:tabs>
        <w:spacing w:before="11" w:after="0" w:line="269" w:lineRule="exact"/>
        <w:ind w:right="576" w:left="792"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Teacher workload (particularly time on teaching vs “red tape” administrative/reporting tasks) (Laming, 2018);</w:t>
      </w:r>
    </w:p>
    <w:p>
      <w:pPr>
        <w:numPr>
          <w:ilvl w:val="0"/>
          <w:numId w:val="3"/>
        </w:numPr>
        <w:tabs>
          <w:tab w:val="clear" w:pos="360"/>
          <w:tab w:val="left" w:pos="792"/>
        </w:tabs>
        <w:spacing w:before="38" w:after="0" w:line="241" w:lineRule="exact"/>
        <w:ind w:right="0" w:left="792" w:hanging="36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Level of autonomy (Gallant &amp; Riley, 2017);</w:t>
      </w:r>
    </w:p>
    <w:p>
      <w:pPr>
        <w:numPr>
          <w:ilvl w:val="0"/>
          <w:numId w:val="3"/>
        </w:numPr>
        <w:tabs>
          <w:tab w:val="clear" w:pos="360"/>
          <w:tab w:val="left" w:pos="792"/>
        </w:tabs>
        <w:spacing w:before="42" w:after="0" w:line="241" w:lineRule="exact"/>
        <w:ind w:right="0" w:left="792" w:hanging="36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The quality of induction, support and professional development provided by employers; and</w:t>
      </w:r>
    </w:p>
    <w:p>
      <w:pPr>
        <w:numPr>
          <w:ilvl w:val="0"/>
          <w:numId w:val="3"/>
        </w:numPr>
        <w:tabs>
          <w:tab w:val="clear" w:pos="360"/>
          <w:tab w:val="left" w:pos="792"/>
        </w:tabs>
        <w:spacing w:before="7" w:after="0" w:line="269" w:lineRule="exact"/>
        <w:ind w:right="576" w:left="792"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 cultural valuing of teachers including the ways in which the profession is portrayed in the media.</w:t>
      </w:r>
    </w:p>
    <w:p>
      <w:pPr>
        <w:spacing w:before="311" w:after="0" w:line="229" w:lineRule="exact"/>
        <w:ind w:right="0" w:left="0"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These factors are recognised in recent reports in Australia and overseas including:</w:t>
      </w:r>
    </w:p>
    <w:p>
      <w:pPr>
        <w:tabs>
          <w:tab w:val="left" w:leader="none" w:pos="792"/>
        </w:tabs>
        <w:spacing w:before="268" w:after="470" w:line="269" w:lineRule="exact"/>
        <w:ind w:right="360" w:left="792" w:hanging="432"/>
        <w:jc w:val="left"/>
        <w:textAlignment w:val="baseline"/>
        <w:rPr>
          <w:rFonts w:ascii="Arial" w:hAnsi="Arial" w:eastAsia="Arial"/>
          <w:color w:val="000000"/>
          <w:spacing w:val="-6"/>
          <w:w w:val="100"/>
          <w:sz w:val="20"/>
          <w:vertAlign w:val="baseline"/>
          <w:lang w:val="en-US"/>
        </w:rPr>
      </w:pPr>
      <w:r>
        <w:rPr>
          <w:rFonts w:ascii="Arial" w:hAnsi="Arial" w:eastAsia="Arial"/>
          <w:color w:val="000000"/>
          <w:spacing w:val="-6"/>
          <w:w w:val="100"/>
          <w:sz w:val="20"/>
          <w:vertAlign w:val="baseline"/>
          <w:lang w:val="en-US"/>
        </w:rPr>
        <w:t xml:space="preserve">Ø	</w:t>
      </w:r>
      <w:r>
        <w:rPr>
          <w:rFonts w:ascii="Calibri" w:hAnsi="Calibri" w:eastAsia="Calibri"/>
          <w:color w:val="000000"/>
          <w:spacing w:val="-6"/>
          <w:w w:val="100"/>
          <w:sz w:val="23"/>
          <w:vertAlign w:val="baseline"/>
          <w:lang w:val="en-US"/>
        </w:rPr>
        <w:t xml:space="preserve">In Australia, the Grattan Institute’s report ‘Attracting High Achievers to Teaching’ (Goss &amp; Sonnermann, 2019) noted that “...more bright young people would choose teaching if there was</w:t>
      </w:r>
    </w:p>
    <w:p>
      <w:pPr>
        <w:spacing w:before="0" w:after="0" w:line="271" w:lineRule="exact"/>
        <w:ind w:right="0"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2</w:t>
      </w:r>
    </w:p>
    <w:p>
      <w:pPr>
        <w:sectPr>
          <w:type w:val="nextPage"/>
          <w:pgSz w:w="11909" w:h="16838" w:orient="portrait"/>
          <w:pgMar w:bottom="282" w:top="1700" w:right="1099" w:left="1090" w:header="720" w:footer="720"/>
          <w:titlePg w:val="false"/>
          <w:textDirection w:val="lrTb"/>
        </w:sectPr>
      </w:pPr>
    </w:p>
    <w:p>
      <w:pPr>
        <w:spacing w:before="16" w:after="0" w:line="268" w:lineRule="exact"/>
        <w:ind w:right="72" w:left="72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financial support while studying, better pay for top teachers, and better progression opportunities beyond traditional principal career paths” (p. 3). Findings in the report highlight that, unlike high performing systems such as Singapore and Finland, our best teachers are not provided with adequate opportunity to share their expertise or pursue innovative ideas; rather, they tend to be “confined to their own classrooms or stretched with ‘add-on’ instructional leadership responsibilities without adequate time, guidance, or support to improve teaching in their school” (p. 10).</w:t>
      </w:r>
    </w:p>
    <w:p>
      <w:pPr>
        <w:spacing w:before="0" w:after="0" w:line="267" w:lineRule="exact"/>
        <w:ind w:right="72" w:left="720" w:hanging="360"/>
        <w:jc w:val="left"/>
        <w:textAlignment w:val="baseline"/>
        <w:rPr>
          <w:rFonts w:ascii="Verdana" w:hAnsi="Verdana" w:eastAsia="Verdana"/>
          <w:color w:val="000000"/>
          <w:spacing w:val="0"/>
          <w:w w:val="100"/>
          <w:sz w:val="26"/>
          <w:vertAlign w:val="baseline"/>
          <w:lang w:val="en-US"/>
        </w:rPr>
      </w:pPr>
      <w:r>
        <w:rPr>
          <w:rFonts w:ascii="Verdana" w:hAnsi="Verdana" w:eastAsia="Verdana"/>
          <w:color w:val="000000"/>
          <w:spacing w:val="0"/>
          <w:w w:val="100"/>
          <w:sz w:val="26"/>
          <w:vertAlign w:val="baseline"/>
          <w:lang w:val="en-US"/>
        </w:rPr>
        <w:t xml:space="preserve">&gt; </w:t>
      </w:r>
      <w:r>
        <w:rPr>
          <w:rFonts w:ascii="Calibri" w:hAnsi="Calibri" w:eastAsia="Calibri"/>
          <w:color w:val="000000"/>
          <w:spacing w:val="0"/>
          <w:w w:val="100"/>
          <w:sz w:val="22"/>
          <w:vertAlign w:val="baseline"/>
          <w:lang w:val="en-US"/>
        </w:rPr>
        <w:t xml:space="preserve">OECD Report (2012) observed: “Competitive compensation and other incentives, career prospects and diversity, and giving teachers responsibility as professionals are important parts of strategies to attract the most talented teachers to the most challenging classrooms” (p. 55).</w:t>
      </w:r>
    </w:p>
    <w:p>
      <w:pPr>
        <w:spacing w:before="0" w:after="0" w:line="268" w:lineRule="exact"/>
        <w:ind w:right="72" w:left="720" w:hanging="360"/>
        <w:jc w:val="left"/>
        <w:textAlignment w:val="baseline"/>
        <w:rPr>
          <w:rFonts w:ascii="Verdana" w:hAnsi="Verdana" w:eastAsia="Verdana"/>
          <w:color w:val="000000"/>
          <w:spacing w:val="0"/>
          <w:w w:val="100"/>
          <w:sz w:val="26"/>
          <w:vertAlign w:val="baseline"/>
          <w:lang w:val="en-US"/>
        </w:rPr>
      </w:pPr>
      <w:r>
        <w:rPr>
          <w:rFonts w:ascii="Verdana" w:hAnsi="Verdana" w:eastAsia="Verdana"/>
          <w:color w:val="000000"/>
          <w:spacing w:val="0"/>
          <w:w w:val="100"/>
          <w:sz w:val="26"/>
          <w:vertAlign w:val="baseline"/>
          <w:lang w:val="en-US"/>
        </w:rPr>
        <w:t xml:space="preserve">&gt; </w:t>
      </w:r>
      <w:r>
        <w:rPr>
          <w:rFonts w:ascii="Calibri" w:hAnsi="Calibri" w:eastAsia="Calibri"/>
          <w:color w:val="000000"/>
          <w:spacing w:val="0"/>
          <w:w w:val="100"/>
          <w:sz w:val="22"/>
          <w:vertAlign w:val="baseline"/>
          <w:lang w:val="en-US"/>
        </w:rPr>
        <w:t xml:space="preserve">Finland has moved to increase investment in the support of novice teachers with additional time to collaborate with their peers to develop curricula and assessments – and considerable autonomy (OECD TALIS, 2019).</w:t>
      </w:r>
    </w:p>
    <w:p>
      <w:pPr>
        <w:tabs>
          <w:tab w:val="left" w:leader="none" w:pos="792"/>
        </w:tabs>
        <w:spacing w:before="2" w:after="0" w:line="268" w:lineRule="exact"/>
        <w:ind w:right="504" w:left="720" w:hanging="360"/>
        <w:jc w:val="left"/>
        <w:textAlignment w:val="baseline"/>
        <w:rPr>
          <w:rFonts w:ascii="Verdana" w:hAnsi="Verdana" w:eastAsia="Verdana"/>
          <w:color w:val="000000"/>
          <w:spacing w:val="0"/>
          <w:w w:val="100"/>
          <w:sz w:val="26"/>
          <w:vertAlign w:val="baseline"/>
          <w:lang w:val="en-US"/>
        </w:rPr>
      </w:pPr>
      <w:r>
        <w:rPr>
          <w:rFonts w:ascii="Verdana" w:hAnsi="Verdana" w:eastAsia="Verdana"/>
          <w:color w:val="000000"/>
          <w:spacing w:val="0"/>
          <w:w w:val="100"/>
          <w:sz w:val="26"/>
          <w:vertAlign w:val="baseline"/>
          <w:lang w:val="en-US"/>
        </w:rPr>
        <w:t xml:space="preserve">&gt;	</w:t>
      </w:r>
      <w:r>
        <w:rPr>
          <w:rFonts w:ascii="Calibri" w:hAnsi="Calibri" w:eastAsia="Calibri"/>
          <w:color w:val="000000"/>
          <w:spacing w:val="0"/>
          <w:w w:val="100"/>
          <w:sz w:val="22"/>
          <w:vertAlign w:val="baseline"/>
          <w:lang w:val="en-US"/>
        </w:rPr>
        <w:t xml:space="preserve">Ontario has instituted a comprehensive multi-year induction program for new teachers, which includes intensive mentoring and professional development, as well as appraisal (Darling-Hammond, 2017).</w:t>
      </w:r>
    </w:p>
    <w:p>
      <w:pPr>
        <w:spacing w:before="15" w:after="0" w:line="268" w:lineRule="exact"/>
        <w:ind w:right="72" w:left="0" w:firstLine="0"/>
        <w:jc w:val="center"/>
        <w:textAlignment w:val="baseline"/>
        <w:rPr>
          <w:rFonts w:ascii="Verdana" w:hAnsi="Verdana" w:eastAsia="Verdana"/>
          <w:color w:val="000000"/>
          <w:spacing w:val="0"/>
          <w:w w:val="100"/>
          <w:sz w:val="26"/>
          <w:vertAlign w:val="baseline"/>
          <w:lang w:val="en-US"/>
        </w:rPr>
      </w:pPr>
      <w:r>
        <w:rPr>
          <w:rFonts w:ascii="Verdana" w:hAnsi="Verdana" w:eastAsia="Verdana"/>
          <w:color w:val="000000"/>
          <w:spacing w:val="0"/>
          <w:w w:val="100"/>
          <w:sz w:val="26"/>
          <w:vertAlign w:val="baseline"/>
          <w:lang w:val="en-US"/>
        </w:rPr>
        <w:t xml:space="preserve">&gt; </w:t>
      </w:r>
      <w:r>
        <w:rPr>
          <w:rFonts w:ascii="Calibri" w:hAnsi="Calibri" w:eastAsia="Calibri"/>
          <w:color w:val="000000"/>
          <w:spacing w:val="0"/>
          <w:w w:val="100"/>
          <w:sz w:val="22"/>
          <w:vertAlign w:val="baseline"/>
          <w:lang w:val="en-US"/>
        </w:rPr>
        <w:t xml:space="preserve">In England, the Early Career Framework (2020) extending on the ‘Teacher Recruitment and</w:t>
      </w:r>
    </w:p>
    <w:p>
      <w:pPr>
        <w:spacing w:before="0" w:after="0" w:line="263" w:lineRule="exact"/>
        <w:ind w:right="792" w:left="7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Retention Strategy’ (DfE, 2019) extends induction and professional support for early career teachers to 2 years, with reduced workload, which is fully funded by DfE.</w:t>
      </w:r>
    </w:p>
    <w:p>
      <w:pPr>
        <w:spacing w:before="270" w:after="597" w:line="268" w:lineRule="exact"/>
        <w:ind w:right="72"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These broader policy settings can work in harmony with ITE. The federal government could implement signal strategies for intellectual challenge and autonomy to attract high performing school leavers to the teaching profession. ITE can play a strong role in offering intellectual challenge and talent mobility opportunities for teachers, including leadership pathways that focus on research translation and graduate teacher excellence.</w:t>
      </w:r>
    </w:p>
    <w:p>
      <w:pPr>
        <w:spacing w:before="0" w:after="0" w:line="265" w:lineRule="exact"/>
        <w:ind w:right="72" w:left="432" w:hanging="432"/>
        <w:jc w:val="left"/>
        <w:textAlignment w:val="baseline"/>
        <w:rPr>
          <w:rFonts w:ascii="Calibri" w:hAnsi="Calibri" w:eastAsia="Calibri"/>
          <w:b w:val="true"/>
          <w:color w:val="000000"/>
          <w:spacing w:val="0"/>
          <w:w w:val="100"/>
          <w:sz w:val="23"/>
          <w:vertAlign w:val="baseline"/>
          <w:lang w:val="en-US"/>
        </w:rPr>
      </w:pPr>
      <w:r>
        <w:pict>
          <v:shapetype id="_x0000_t7" coordsize="21600,21600" o:spt="202" path="m,l,21600r21600,l21600,xe">
            <v:stroke joinstyle="miter"/>
            <v:path gradientshapeok="t" o:connecttype="rect"/>
          </v:shapetype>
          <v:shape id="_x0000_s6" type="#_x0000_t7" fillcolor="#FBE5D6" stroked="f" style="position:absolute;width:459.35pt;height:107.2pt;z-index:-999;margin-left:54.25pt;margin-top:437.3pt;mso-wrap-distance-bottom:25.05pt;mso-wrap-distance-left:0pt;mso-wrap-distance-right:26.65pt;mso-position-horizontal-relative:page;mso-position-vertical-relative:page">
            <w10:wrap type="square"/>
            <v:textbox inset="0pt, 0pt, 0pt, 0pt">
              <w:txbxContent>
                <w:p>
                  <w:pPr>
                    <w:pBdr>
                      <w:top w:sz="4" w:space="0" w:color="000000" w:val="single"/>
                      <w:left w:sz="4" w:space="0" w:color="000000" w:val="single"/>
                      <w:bottom w:sz="4" w:space="25" w:color="000000" w:val="single"/>
                      <w:right w:sz="4" w:space="26" w:color="000000" w:val="single"/>
                    </w:pBdr>
                  </w:pPr>
                </w:p>
              </w:txbxContent>
            </v:textbox>
          </v:shape>
        </w:pict>
      </w:r>
      <w:r>
        <w:pict>
          <v:shapetype id="_x0000_t8" coordsize="21600,21600" o:spt="202" path="m,l,21600r21600,l21600,xe">
            <v:stroke joinstyle="miter"/>
            <v:path gradientshapeok="t" o:connecttype="rect"/>
          </v:shapetype>
          <v:shape id="_x0000_s7" type="#_x0000_t8" filled="f" stroked="f" style="position:absolute;width:456.35pt;height:106.3pt;z-index:-1;margin-left:55.75pt;margin-top:437.3pt;mso-wrap-distance-left:0pt;mso-wrap-distance-right:0pt;mso-position-horizontal-relative:page;mso-position-vertical-relative:page">
            <w10:wrap type="square" side="both"/>
            <v:fill opacity="1" o:opacity2="1" recolor="f" rotate="f" type="solid"/>
            <v:textbox inset="0pt, 0pt, 0pt, 0pt">
              <w:txbxContent>
                <w:p>
                  <w:pPr>
                    <w:spacing w:before="124" w:after="0" w:line="224" w:lineRule="exact"/>
                    <w:ind w:right="0" w:left="0" w:firstLine="0"/>
                    <w:jc w:val="center"/>
                    <w:textAlignment w:val="baseline"/>
                    <w:rPr>
                      <w:rFonts w:ascii="Calibri" w:hAnsi="Calibri" w:eastAsia="Calibri"/>
                      <w:color w:val="4472C4"/>
                      <w:spacing w:val="-1"/>
                      <w:w w:val="100"/>
                      <w:sz w:val="22"/>
                      <w:vertAlign w:val="baseline"/>
                      <w:lang w:val="en-US"/>
                    </w:rPr>
                  </w:pPr>
                  <w:r>
                    <w:rPr>
                      <w:rFonts w:ascii="Calibri" w:hAnsi="Calibri" w:eastAsia="Calibri"/>
                      <w:color w:val="4472C4"/>
                      <w:spacing w:val="-1"/>
                      <w:w w:val="100"/>
                      <w:sz w:val="22"/>
                      <w:vertAlign w:val="baseline"/>
                      <w:lang w:val="en-US"/>
                    </w:rPr>
                    <w:t xml:space="preserve">Recommendation 1</w:t>
                  </w:r>
                </w:p>
                <w:p>
                  <w:pPr>
                    <w:spacing w:before="36" w:after="134" w:line="268" w:lineRule="exact"/>
                    <w:ind w:right="144"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Establish federally funded leadership fellowships for teachers (including high performing early career teachers) to enable flexible and mobile roles across teaching and initial teacher education. Key responsibilities could include practice-based research; embedding evidence-based practices in the classroom; teaching across both contexts; and playing a key role in graduate teacher excellence. Candidates could be supported to complete school-based industry PhDs for translation of research into practice.</w:t>
                  </w:r>
                </w:p>
              </w:txbxContent>
            </v:textbox>
          </v:shape>
        </w:pict>
      </w:r>
      <w:r>
        <w:pict>
          <v:shapetype id="_x0000_t9" coordsize="21600,21600" o:spt="202" path="m,l,21600r21600,l21600,xe">
            <v:stroke joinstyle="miter"/>
            <v:path gradientshapeok="t" o:connecttype="rect"/>
          </v:shapetype>
          <v:shape id="_x0000_s8" type="#_x0000_t9" fillcolor="#FFFFFF" stroked="f" style="position:absolute;width:88.05pt;height:9.6pt;z-index:-999;margin-left:241.7pt;margin-top:444.7pt;mso-wrap-distance-left:0pt;mso-wrap-distance-right:0pt;mso-position-horizontal-relative:page;mso-position-vertical-relative:page">
            <v:textbox inset="0pt, 0pt, 0pt, 0pt">
              <w:txbxContent>
                <w:p>
                  <w:pPr>
                    <w:spacing w:before="0" w:after="0" w:line="192" w:lineRule="exact"/>
                    <w:ind w:right="0" w:left="0"/>
                    <w:jc w:val="left"/>
                    <w:textAlignment w:val="baseline"/>
                  </w:pPr>
                  <w:r>
                    <w:drawing>
                      <wp:inline>
                        <wp:extent cx="1118235" cy="121920"/>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1118235" cy="121920"/>
                                </a:xfrm>
                                <a:prstGeom prst="rect"/>
                              </pic:spPr>
                            </pic:pic>
                          </a:graphicData>
                        </a:graphic>
                      </wp:inline>
                    </w:drawing>
                  </w:r>
                </w:p>
              </w:txbxContent>
            </v:textbox>
          </v:shape>
        </w:pict>
      </w:r>
      <w:r>
        <w:rPr>
          <w:rFonts w:ascii="Calibri" w:hAnsi="Calibri" w:eastAsia="Calibri"/>
          <w:b w:val="true"/>
          <w:color w:val="000000"/>
          <w:spacing w:val="0"/>
          <w:w w:val="100"/>
          <w:sz w:val="23"/>
          <w:vertAlign w:val="baseline"/>
          <w:lang w:val="en-US"/>
        </w:rPr>
        <w:t xml:space="preserve">2. Attracting and supporting mid- and late-career professionals’ transition into the profession to become quality teachers</w:t>
      </w:r>
    </w:p>
    <w:p>
      <w:pPr>
        <w:spacing w:before="270" w:after="0" w:line="268"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addition to the factors motivating high-performing school-leavers to the teaching profession outlined above, mid- and late-career changers are influenced by career stability and work-life balance in the long term, and minimal disruption to their personal lives and their capacity to earn in the career change process (Allen et al, 2019).</w:t>
      </w:r>
    </w:p>
    <w:p>
      <w:pPr>
        <w:spacing w:before="271" w:after="715" w:line="268"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Master’s qualifications for teaching have become an international trend and are more highly valued than the PG Diploma, particularly for career changers (Ojala et al., 2021). In addition, master’s level degrees include a valuable research component as required within the AQF Framework, which places a strong focus on understanding, interpreting, and using data and evidence: key skills for teaching. The value of more flexible, accelerated master's programs in attracting career changers and targeting teacher shortages in particular subject areas and hard to staff schools has been shown internationally over recent years (DfE</w:t>
      </w:r>
    </w:p>
    <w:p>
      <w:pPr>
        <w:spacing w:before="271" w:after="715" w:line="268" w:lineRule="exact"/>
        <w:sectPr>
          <w:type w:val="nextPage"/>
          <w:pgSz w:w="11909" w:h="16838" w:orient="portrait"/>
          <w:pgMar w:bottom="302" w:top="1420" w:right="1104" w:left="1085" w:header="720" w:footer="720"/>
          <w:titlePg w:val="false"/>
          <w:textDirection w:val="lrTb"/>
        </w:sectPr>
      </w:pPr>
    </w:p>
    <w:p>
      <w:pPr>
        <w:spacing w:before="27" w:after="0" w:line="255" w:lineRule="exact"/>
        <w:ind w:right="0"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3</w:t>
      </w:r>
    </w:p>
    <w:p>
      <w:pPr>
        <w:sectPr>
          <w:type w:val="continuous"/>
          <w:pgSz w:w="11909" w:h="16838" w:orient="portrait"/>
          <w:pgMar w:bottom="302" w:top="1420" w:right="1071" w:left="10578" w:header="720" w:footer="720"/>
          <w:titlePg w:val="false"/>
          <w:textDirection w:val="lrTb"/>
        </w:sectPr>
      </w:pPr>
    </w:p>
    <w:p>
      <w:pPr>
        <w:spacing w:before="0" w:after="0" w:line="269" w:lineRule="exact"/>
        <w:ind w:right="288" w:left="7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Teacher Recruitment and Retention Strategy, 2019; Ojala et al., 2021; Podolsky et al., 2016; Worth et al., 2018).</w:t>
      </w:r>
    </w:p>
    <w:p>
      <w:pPr>
        <w:spacing w:before="261" w:after="0" w:line="269" w:lineRule="exact"/>
        <w:ind w:right="72" w:left="72"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Accelerated programs have a greater emphasis on workplace learning in schools. While workplace training is becoming increasingly in demand as a way of learning across employment sectors, a well-established body of research has highlighted several serious limitations to its effectiveness including: a variability of quality participation depending on the workplace supervisor (Billett, 2004); the reliance on observation and imitation rather than deeper cognitive engagement in reasoning and judgement (Billett &amp; Choy, 2012); and the capacity to provide an adequate level of structured learning and conceptual development including an ability to reflect, recontextualise, and apply learning (Gegenfurtner, 2011; Aarto-Pesonen &amp; Tynjala, 2017; Tynjala et al., 2020). The ability for workplace learning to effectively integrate the theoretical, practical, self-regulative and sociocultural knowledge required in professional learning is limited (Tynjala et al., 2020), particularly within the context of increasingly pressured workplaces (Fitzgerald, 2019; Thomson, 2020). In addition, leading educational researchers have expressed concerns that fast-track programs that place considerable weight on the school-based professional experience component can undermine the value of professional knowledge and theory gained within the university context (Darling-Hammond &amp; Bransford, 2005; Schmidt &amp; Schneider, 2018; Zeichner, 2010; Zeichner &amp; Bier, 2015).</w:t>
      </w:r>
    </w:p>
    <w:p>
      <w:pPr>
        <w:spacing w:before="270" w:after="0" w:line="269" w:lineRule="exact"/>
        <w:ind w:right="72" w:left="7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We broadly support initiatives within MTeach programs which can attract professionals from other field by minimising disruption to their personal lives and their capacity to earn while ensuring an effective alignment between theory and practice. Integrated strategies in university-based programs overseas and in Australia are based on key principles:</w:t>
      </w:r>
    </w:p>
    <w:p>
      <w:pPr>
        <w:numPr>
          <w:ilvl w:val="0"/>
          <w:numId w:val="3"/>
        </w:numPr>
        <w:tabs>
          <w:tab w:val="clear" w:pos="360"/>
          <w:tab w:val="left" w:pos="792"/>
        </w:tabs>
        <w:spacing w:before="23" w:after="0" w:line="262" w:lineRule="exact"/>
        <w:ind w:right="216" w:left="792"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Subsidised preparation through scholarships/bursaries and employment (0.6-0.8 FTE load) (eg. as paraprofessionals or teachers) generally in 2</w:t>
      </w:r>
      <w:r>
        <w:rPr>
          <w:rFonts w:ascii="Calibri" w:hAnsi="Calibri" w:eastAsia="Calibri"/>
          <w:color w:val="000000"/>
          <w:spacing w:val="0"/>
          <w:w w:val="100"/>
          <w:sz w:val="23"/>
          <w:vertAlign w:val="superscript"/>
          <w:lang w:val="en-US"/>
        </w:rPr>
        <w:t xml:space="preserve">nd</w:t>
      </w:r>
      <w:r>
        <w:rPr>
          <w:rFonts w:ascii="Calibri" w:hAnsi="Calibri" w:eastAsia="Calibri"/>
          <w:color w:val="000000"/>
          <w:spacing w:val="0"/>
          <w:w w:val="100"/>
          <w:sz w:val="23"/>
          <w:vertAlign w:val="baseline"/>
          <w:lang w:val="en-US"/>
        </w:rPr>
        <w:t xml:space="preserve"> year, or from 2</w:t>
      </w:r>
      <w:r>
        <w:rPr>
          <w:rFonts w:ascii="Calibri" w:hAnsi="Calibri" w:eastAsia="Calibri"/>
          <w:color w:val="000000"/>
          <w:spacing w:val="0"/>
          <w:w w:val="100"/>
          <w:sz w:val="23"/>
          <w:vertAlign w:val="superscript"/>
          <w:lang w:val="en-US"/>
        </w:rPr>
        <w:t xml:space="preserve">nd</w:t>
      </w:r>
      <w:r>
        <w:rPr>
          <w:rFonts w:ascii="Calibri" w:hAnsi="Calibri" w:eastAsia="Calibri"/>
          <w:color w:val="000000"/>
          <w:spacing w:val="0"/>
          <w:w w:val="100"/>
          <w:sz w:val="23"/>
          <w:vertAlign w:val="baseline"/>
          <w:lang w:val="en-US"/>
        </w:rPr>
        <w:t xml:space="preserve"> half of 1</w:t>
      </w:r>
      <w:r>
        <w:rPr>
          <w:rFonts w:ascii="Calibri" w:hAnsi="Calibri" w:eastAsia="Calibri"/>
          <w:color w:val="000000"/>
          <w:spacing w:val="0"/>
          <w:w w:val="100"/>
          <w:sz w:val="23"/>
          <w:vertAlign w:val="superscript"/>
          <w:lang w:val="en-US"/>
        </w:rPr>
        <w:t xml:space="preserve">st</w:t>
      </w:r>
      <w:r>
        <w:rPr>
          <w:rFonts w:ascii="Calibri" w:hAnsi="Calibri" w:eastAsia="Calibri"/>
          <w:color w:val="000000"/>
          <w:spacing w:val="0"/>
          <w:w w:val="100"/>
          <w:sz w:val="23"/>
          <w:vertAlign w:val="baseline"/>
          <w:lang w:val="en-US"/>
        </w:rPr>
        <w:t xml:space="preserve"> year;</w:t>
      </w:r>
    </w:p>
    <w:p>
      <w:pPr>
        <w:numPr>
          <w:ilvl w:val="0"/>
          <w:numId w:val="3"/>
        </w:numPr>
        <w:tabs>
          <w:tab w:val="clear" w:pos="360"/>
          <w:tab w:val="left" w:pos="792"/>
        </w:tabs>
        <w:spacing w:before="14" w:after="0" w:line="269" w:lineRule="exact"/>
        <w:ind w:right="432" w:left="792"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Flexible pathways, such as fast-tracking (eg. 18-month programs using intensives and trimester structures) or part time over 3-4 years while teaching;</w:t>
      </w:r>
    </w:p>
    <w:p>
      <w:pPr>
        <w:numPr>
          <w:ilvl w:val="0"/>
          <w:numId w:val="3"/>
        </w:numPr>
        <w:tabs>
          <w:tab w:val="clear" w:pos="360"/>
          <w:tab w:val="left" w:pos="792"/>
        </w:tabs>
        <w:spacing w:before="38" w:after="0" w:line="241" w:lineRule="exact"/>
        <w:ind w:right="72" w:left="792" w:hanging="36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Flexible delivery (online and blended; weekly or intensive offerings);</w:t>
      </w:r>
    </w:p>
    <w:p>
      <w:pPr>
        <w:numPr>
          <w:ilvl w:val="0"/>
          <w:numId w:val="3"/>
        </w:numPr>
        <w:tabs>
          <w:tab w:val="clear" w:pos="360"/>
          <w:tab w:val="left" w:pos="792"/>
        </w:tabs>
        <w:spacing w:before="9" w:after="0" w:line="269" w:lineRule="exact"/>
        <w:ind w:right="432" w:left="792"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Effective mentoring in schools by designated induction mentors working closely with university supervisors;</w:t>
      </w:r>
    </w:p>
    <w:p>
      <w:pPr>
        <w:numPr>
          <w:ilvl w:val="0"/>
          <w:numId w:val="3"/>
        </w:numPr>
        <w:tabs>
          <w:tab w:val="clear" w:pos="360"/>
          <w:tab w:val="left" w:pos="792"/>
        </w:tabs>
        <w:spacing w:before="14" w:after="0" w:line="269" w:lineRule="exact"/>
        <w:ind w:right="648" w:left="792" w:hanging="36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Connection with other ITE students within communities of practice offering opportunities for collaboration and peer support;</w:t>
      </w:r>
    </w:p>
    <w:p>
      <w:pPr>
        <w:numPr>
          <w:ilvl w:val="0"/>
          <w:numId w:val="3"/>
        </w:numPr>
        <w:tabs>
          <w:tab w:val="clear" w:pos="360"/>
          <w:tab w:val="left" w:pos="792"/>
        </w:tabs>
        <w:spacing w:before="9" w:after="0" w:line="269" w:lineRule="exact"/>
        <w:ind w:right="576" w:left="792" w:hanging="360"/>
        <w:jc w:val="left"/>
        <w:textAlignment w:val="baseline"/>
        <w:rPr>
          <w:rFonts w:ascii="Calibri" w:hAnsi="Calibri" w:eastAsia="Calibri"/>
          <w:color w:val="000000"/>
          <w:spacing w:val="0"/>
          <w:w w:val="100"/>
          <w:sz w:val="23"/>
          <w:vertAlign w:val="baseline"/>
          <w:lang w:val="en-US"/>
        </w:rPr>
      </w:pPr>
      <w:r>
        <w:pict>
          <v:shapetype id="_x0000_t10" coordsize="21600,21600" o:spt="202" path="m,l,21600r21600,l21600,xe">
            <v:stroke joinstyle="miter"/>
            <v:path gradientshapeok="t" o:connecttype="rect"/>
          </v:shapetype>
          <v:shape id="_x0000_s9" type="#_x0000_t10" fillcolor="#FBE5D6" stroked="f" style="position:absolute;width:459.6pt;height:177.3pt;z-index:-999;margin-left:54pt;margin-top:545.5pt;mso-wrap-distance-bottom:70.4pt;mso-wrap-distance-left:0pt;mso-wrap-distance-right:26.4pt;mso-position-horizontal-relative:page;mso-position-vertical-relative:page">
            <w10:wrap type="square"/>
            <v:textbox inset="0pt, 0pt, 0pt, 0pt">
              <w:txbxContent>
                <w:p>
                  <w:pPr>
                    <w:pBdr>
                      <w:top w:sz="4" w:space="0" w:color="000000" w:val="single"/>
                      <w:left w:sz="4" w:space="0" w:color="000000" w:val="single"/>
                      <w:bottom w:sz="4" w:space="70" w:color="000000" w:val="single"/>
                      <w:right w:sz="4" w:space="26" w:color="000000" w:val="single"/>
                    </w:pBdr>
                  </w:pP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456.6pt;height:86.4pt;z-index:-1;margin-left:55.5pt;margin-top:545.5pt;mso-wrap-distance-left:0pt;mso-wrap-distance-right:0pt;mso-position-horizontal-relative:page;mso-position-vertical-relative:page">
            <w10:wrap type="square" side="both"/>
            <v:fill opacity="1" o:opacity2="1" recolor="f" rotate="f" type="solid"/>
            <v:textbox inset="0pt, 0pt, 0pt, 0pt">
              <w:txbxContent>
                <w:p>
                  <w:pPr>
                    <w:spacing w:before="117" w:after="0" w:line="227" w:lineRule="exact"/>
                    <w:ind w:right="0" w:left="0" w:firstLine="0"/>
                    <w:jc w:val="center"/>
                    <w:textAlignment w:val="baseline"/>
                    <w:rPr>
                      <w:rFonts w:ascii="Calibri" w:hAnsi="Calibri" w:eastAsia="Calibri"/>
                      <w:color w:val="4472C4"/>
                      <w:spacing w:val="-5"/>
                      <w:w w:val="100"/>
                      <w:sz w:val="23"/>
                      <w:vertAlign w:val="baseline"/>
                      <w:lang w:val="en-US"/>
                    </w:rPr>
                  </w:pPr>
                  <w:r>
                    <w:rPr>
                      <w:rFonts w:ascii="Calibri" w:hAnsi="Calibri" w:eastAsia="Calibri"/>
                      <w:color w:val="4472C4"/>
                      <w:spacing w:val="-5"/>
                      <w:w w:val="100"/>
                      <w:sz w:val="23"/>
                      <w:vertAlign w:val="baseline"/>
                      <w:lang w:val="en-US"/>
                    </w:rPr>
                    <w:t xml:space="preserve">Recommendation 2</w:t>
                  </w:r>
                </w:p>
                <w:p>
                  <w:pPr>
                    <w:spacing w:before="35" w:after="0" w:line="267" w:lineRule="exact"/>
                    <w:ind w:right="144" w:left="144"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Maintain a master’s level minimum qualification for graduate applicants and career changers to transition into the teaching profession. A master’s level degree enables a strong focus on gathering, interpreting, and using evidence to improve teaching practices and student outcomes. Maintaining this qualification level is in line with international trends and demonstrates Australia’s national commitment to teaching as a high-status profession.</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456.6pt;height:90pt;z-index:-1;margin-left:55.5pt;margin-top:631.9pt;mso-wrap-distance-left:0pt;mso-wrap-distance-right:0pt;mso-position-horizontal-relative:page;mso-position-vertical-relative:page">
            <w10:wrap type="square" side="both"/>
            <v:fill opacity="1" o:opacity2="1" recolor="f" rotate="f" type="solid"/>
            <v:textbox inset="0pt, 0pt, 0pt, 0pt">
              <w:txbxContent>
                <w:p>
                  <w:pPr>
                    <w:spacing w:before="309" w:after="0" w:line="227" w:lineRule="exact"/>
                    <w:ind w:right="0" w:left="0" w:firstLine="0"/>
                    <w:jc w:val="center"/>
                    <w:textAlignment w:val="baseline"/>
                    <w:rPr>
                      <w:rFonts w:ascii="Calibri" w:hAnsi="Calibri" w:eastAsia="Calibri"/>
                      <w:color w:val="4472C4"/>
                      <w:spacing w:val="-5"/>
                      <w:w w:val="100"/>
                      <w:sz w:val="23"/>
                      <w:vertAlign w:val="baseline"/>
                      <w:lang w:val="en-US"/>
                    </w:rPr>
                  </w:pPr>
                  <w:r>
                    <w:rPr>
                      <w:rFonts w:ascii="Calibri" w:hAnsi="Calibri" w:eastAsia="Calibri"/>
                      <w:color w:val="4472C4"/>
                      <w:spacing w:val="-5"/>
                      <w:w w:val="100"/>
                      <w:sz w:val="23"/>
                      <w:vertAlign w:val="baseline"/>
                      <w:lang w:val="en-US"/>
                    </w:rPr>
                    <w:t xml:space="preserve">Recommendation 3</w:t>
                  </w:r>
                </w:p>
                <w:p>
                  <w:pPr>
                    <w:spacing w:before="35" w:after="143" w:line="269" w:lineRule="exact"/>
                    <w:ind w:right="216" w:left="144"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Increase flexibility within Master of Teaching degrees so candidates can gain employment sooner. Dedicated time and support to continue university studies while beginning work as a teacher enables a continuous cycle of improvement: a strategy that prioritises a culture of ongoing learning and strengthens university-school partnerships.</w:t>
                  </w:r>
                </w:p>
              </w:txbxContent>
            </v:textbox>
          </v:shape>
        </w:pict>
      </w:r>
      <w:r>
        <w:pict>
          <v:shapetype id="_x0000_t13" coordsize="21600,21600" o:spt="202" path="m,l,21600r21600,l21600,xe">
            <v:stroke joinstyle="miter"/>
            <v:path gradientshapeok="t" o:connecttype="rect"/>
          </v:shapetype>
          <v:shape id="_x0000_s12" type="#_x0000_t13" fillcolor="#FFFFFF" stroked="f" style="position:absolute;width:88.05pt;height:9.6pt;z-index:-999;margin-left:241.7pt;margin-top:552.7pt;mso-wrap-distance-left:0pt;mso-wrap-distance-right:0pt;mso-position-horizontal-relative:page;mso-position-vertical-relative:page">
            <v:textbox inset="0pt, 0pt, 0pt, 0pt">
              <w:txbxContent>
                <w:p>
                  <w:pPr>
                    <w:spacing w:before="0" w:after="0" w:line="192" w:lineRule="exact"/>
                    <w:ind w:right="0" w:left="0"/>
                    <w:jc w:val="left"/>
                    <w:textAlignment w:val="baseline"/>
                  </w:pPr>
                  <w:r>
                    <w:drawing>
                      <wp:inline>
                        <wp:extent cx="1118235" cy="121920"/>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1118235" cy="121920"/>
                                </a:xfrm>
                                <a:prstGeom prst="rect"/>
                              </pic:spPr>
                            </pic:pic>
                          </a:graphicData>
                        </a:graphic>
                      </wp:inline>
                    </w:drawing>
                  </w:r>
                </w:p>
              </w:txbxContent>
            </v:textbox>
          </v:shape>
        </w:pict>
      </w:r>
      <w:r>
        <w:pict>
          <v:shapetype id="_x0000_t14" coordsize="21600,21600" o:spt="202" path="m,l,21600r21600,l21600,xe">
            <v:stroke joinstyle="miter"/>
            <v:path gradientshapeok="t" o:connecttype="rect"/>
          </v:shapetype>
          <v:shape id="_x0000_s13" type="#_x0000_t14" fillcolor="#FFFFFF" stroked="f" style="position:absolute;width:88.05pt;height:9.6pt;z-index:-999;margin-left:241.7pt;margin-top:648.7pt;mso-wrap-distance-left:0pt;mso-wrap-distance-right:0pt;mso-position-horizontal-relative:page;mso-position-vertical-relative:page">
            <v:textbox inset="0pt, 0pt, 0pt, 0pt">
              <w:txbxContent>
                <w:p>
                  <w:pPr>
                    <w:spacing w:before="0" w:after="0" w:line="192" w:lineRule="exact"/>
                    <w:ind w:right="0" w:left="0"/>
                    <w:jc w:val="left"/>
                    <w:textAlignment w:val="baseline"/>
                  </w:pPr>
                  <w:r>
                    <w:drawing>
                      <wp:inline>
                        <wp:extent cx="1118235" cy="121920"/>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1118235" cy="121920"/>
                                </a:xfrm>
                                <a:prstGeom prst="rect"/>
                              </pic:spPr>
                            </pic:pic>
                          </a:graphicData>
                        </a:graphic>
                      </wp:inline>
                    </w:drawing>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13.95pt;height:14.65pt;z-index:-1;margin-left:528.35pt;margin-top:792.3pt;mso-wrap-distance-left:0pt;mso-wrap-distance-right:0pt;mso-position-horizontal-relative:page;mso-position-vertical-relative:page">
            <w10:wrap type="square" side="both"/>
            <v:fill opacity="1" o:opacity2="1" recolor="f" rotate="f" type="solid"/>
            <v:textbox inset="0pt, 0pt, 0pt, 0pt">
              <w:txbxContent>
                <w:p>
                  <w:pPr>
                    <w:spacing w:before="27" w:after="0" w:line="255" w:lineRule="exact"/>
                    <w:ind w:right="0"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4</w:t>
                  </w:r>
                </w:p>
              </w:txbxContent>
            </v:textbox>
          </v:shape>
        </w:pict>
      </w:r>
      <w:r>
        <w:rPr>
          <w:rFonts w:ascii="Calibri" w:hAnsi="Calibri" w:eastAsia="Calibri"/>
          <w:color w:val="000000"/>
          <w:spacing w:val="0"/>
          <w:w w:val="100"/>
          <w:sz w:val="23"/>
          <w:vertAlign w:val="baseline"/>
          <w:lang w:val="en-US"/>
        </w:rPr>
        <w:t xml:space="preserve">Guaranteed post-qualification employment (eg. in mutually agreed positions and schools with teacher shortages).</w:t>
      </w:r>
    </w:p>
    <w:p>
      <w:pPr>
        <w:sectPr>
          <w:type w:val="nextPage"/>
          <w:pgSz w:w="11909" w:h="16838" w:orient="portrait"/>
          <w:pgMar w:bottom="5532" w:top="1420" w:right="1109" w:left="1080" w:header="720" w:footer="720"/>
          <w:titlePg w:val="false"/>
          <w:textDirection w:val="lrTb"/>
        </w:sectPr>
      </w:pPr>
    </w:p>
    <w:p>
      <w:pPr>
        <w:tabs>
          <w:tab w:val="left" w:leader="none" w:pos="504"/>
        </w:tabs>
        <w:spacing w:before="0" w:after="0" w:line="264" w:lineRule="exact"/>
        <w:ind w:right="720" w:left="432" w:hanging="288"/>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3.	</w:t>
      </w:r>
      <w:r>
        <w:rPr>
          <w:rFonts w:ascii="Calibri" w:hAnsi="Calibri" w:eastAsia="Calibri"/>
          <w:b w:val="true"/>
          <w:color w:val="000000"/>
          <w:spacing w:val="0"/>
          <w:w w:val="100"/>
          <w:sz w:val="22"/>
          <w:vertAlign w:val="baseline"/>
          <w:lang w:val="en-US"/>
        </w:rPr>
        <w:t xml:space="preserve">Attracting a more diverse cohort into ITE so that teachers better mirror the diversity in school students and society?</w:t>
      </w:r>
    </w:p>
    <w:p>
      <w:pPr>
        <w:spacing w:before="268" w:after="0" w:line="269" w:lineRule="exact"/>
        <w:ind w:right="432"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First, we need to change public perception about the teaching profession. A national media campaign is needed to raise the status and attractiveness of teaching as a career.</w:t>
      </w:r>
    </w:p>
    <w:p>
      <w:pPr>
        <w:spacing w:before="261" w:after="0" w:line="269" w:lineRule="exact"/>
        <w:ind w:right="72"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Many universities have well-developed widening participation programs to attract students into higher education. Specific funding for ITE could be integrated within such programs. For example, university-school partnerships can play a strong role in attracting and retaining diverse candidates into teaching. Formalised university-school partnerships in diverse contexts are often seen as an investment in the local community and may promote minority student interest in teaching as a career (Goe &amp; Roth, 2019). The Hub School model of university-school partnerships (Le Cornu, 2016; Lemon et al., 2018), currently funded in NSW, includes hub schools working in close partnership with a university and a network of local schools. Each hub school has an in-school Professional Experience Coordinator (PEXC) to support induction of teacher education students into the school community. Hub school networks could encompass a more diverse range of schools including rural/regional schools, specialist schools such as STEM schools, special purpose schools and hard to staff schools. These hub networks could provide opportunities to promote teaching as a profession among senior students in each community. ITE students from diverse backgrounds could be ‘placed’ within a supportive hub network that includes familiar contexts along with the opportunity to experience a diversity of settings for professional experience. University-school partnerships in diverse schools can enable bespoke and contextualised initiatives including some that have been trialled elsewhere and some new suggestions:</w:t>
      </w:r>
    </w:p>
    <w:p>
      <w:pPr>
        <w:numPr>
          <w:ilvl w:val="0"/>
          <w:numId w:val="3"/>
        </w:numPr>
        <w:tabs>
          <w:tab w:val="clear" w:pos="360"/>
          <w:tab w:val="left" w:pos="792"/>
        </w:tabs>
        <w:spacing w:before="278" w:after="0" w:line="269" w:lineRule="exact"/>
        <w:ind w:right="504" w:left="792" w:hanging="36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Enabling prospective candidates to try out teaching prior to applying (in line with the ‘Discover Teaching’ initiative, UK) conducted through partner schools in students’ demographic.</w:t>
      </w:r>
    </w:p>
    <w:p>
      <w:pPr>
        <w:numPr>
          <w:ilvl w:val="0"/>
          <w:numId w:val="3"/>
        </w:numPr>
        <w:tabs>
          <w:tab w:val="clear" w:pos="360"/>
          <w:tab w:val="left" w:pos="792"/>
        </w:tabs>
        <w:spacing w:before="277" w:after="0" w:line="269" w:lineRule="exact"/>
        <w:ind w:right="72" w:left="792"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Use of financial incentives to attract diverse students, eg. scholarships and fee waivers, opportunities to work as paraprofessionals in schools while studying, bonuses for obtaining successful certification and bonuses for teaching in “hard to staff” schools or subject areas experiencing shortage (eg. in line with US initiative</w:t>
      </w:r>
      <w:r>
        <w:rPr>
          <w:rFonts w:ascii="Calibri" w:hAnsi="Calibri" w:eastAsia="Calibri"/>
          <w:i w:val="true"/>
          <w:color w:val="0563C1"/>
          <w:spacing w:val="0"/>
          <w:w w:val="100"/>
          <w:sz w:val="22"/>
          <w:u w:val="single"/>
          <w:vertAlign w:val="baseline"/>
          <w:lang w:val="en-US"/>
        </w:rPr>
        <w:t xml:space="preserve"> Teacher diversity in America</w:t>
      </w:r>
      <w:r>
        <w:rPr>
          <w:rFonts w:ascii="Calibri" w:hAnsi="Calibri" w:eastAsia="Calibri"/>
          <w:i w:val="true"/>
          <w:color w:val="0563C1"/>
          <w:spacing w:val="0"/>
          <w:w w:val="100"/>
          <w:sz w:val="22"/>
          <w:vertAlign w:val="baseline"/>
          <w:lang w:val="en-US"/>
        </w:rPr>
        <w:t xml:space="preserve">,</w:t>
      </w:r>
      <w:r>
        <w:rPr>
          <w:rFonts w:ascii="Calibri" w:hAnsi="Calibri" w:eastAsia="Calibri"/>
          <w:i w:val="true"/>
          <w:color w:val="000000"/>
          <w:spacing w:val="0"/>
          <w:w w:val="100"/>
          <w:sz w:val="22"/>
          <w:vertAlign w:val="baseline"/>
          <w:lang w:val="en-US"/>
        </w:rPr>
        <w:t xml:space="preserve"> (Brown Center on Education Policy</w:t>
      </w:r>
      <w:r>
        <w:rPr>
          <w:rFonts w:ascii="Calibri" w:hAnsi="Calibri" w:eastAsia="Calibri"/>
          <w:color w:val="000000"/>
          <w:spacing w:val="0"/>
          <w:w w:val="100"/>
          <w:sz w:val="23"/>
          <w:vertAlign w:val="baseline"/>
          <w:lang w:val="en-US"/>
        </w:rPr>
        <w:t xml:space="preserve">, 2018). Underwriting the cost of teacher preparation through service scholarships and loan forgiveness in exchange for a commitment to teach in high-need schools or subject areas, typically for at least 4 years.</w:t>
      </w:r>
    </w:p>
    <w:p>
      <w:pPr>
        <w:numPr>
          <w:ilvl w:val="0"/>
          <w:numId w:val="3"/>
        </w:numPr>
        <w:tabs>
          <w:tab w:val="clear" w:pos="360"/>
          <w:tab w:val="left" w:pos="792"/>
        </w:tabs>
        <w:spacing w:before="277" w:after="0" w:line="269" w:lineRule="exact"/>
        <w:ind w:right="216" w:left="792" w:hanging="36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Federal funding to support early identification of diverse students including Aboriginal and Torres Strait Islander students in senior school and developing wrap-around support to facilitate the pathway to a BEd (including support for LANTITE, which is a significant barrier for diverse teacher education candidates).</w:t>
      </w:r>
    </w:p>
    <w:p>
      <w:pPr>
        <w:numPr>
          <w:ilvl w:val="0"/>
          <w:numId w:val="3"/>
        </w:numPr>
        <w:tabs>
          <w:tab w:val="clear" w:pos="360"/>
          <w:tab w:val="left" w:pos="792"/>
        </w:tabs>
        <w:spacing w:before="283" w:after="792" w:line="269" w:lineRule="exact"/>
        <w:ind w:right="216" w:left="792" w:hanging="36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Implementing ‘Grow Your Own’ programs in rural/remote contexts that enable teacher education candidates from rural and remote schools to work at the school in a paraprofessional role while studying for a BEd (or MTeach) online, with school holiday intensives.</w:t>
      </w:r>
    </w:p>
    <w:p>
      <w:pPr>
        <w:spacing w:before="283" w:after="792" w:line="269" w:lineRule="exact"/>
        <w:sectPr>
          <w:type w:val="nextPage"/>
          <w:pgSz w:w="11909" w:h="16838" w:orient="portrait"/>
          <w:pgMar w:bottom="302" w:top="1440" w:right="1106" w:left="1083" w:header="720" w:footer="720"/>
          <w:titlePg w:val="false"/>
          <w:textDirection w:val="lrTb"/>
        </w:sectPr>
      </w:pPr>
    </w:p>
    <w:p>
      <w:pPr>
        <w:spacing w:before="117" w:after="0" w:line="228" w:lineRule="exact"/>
        <w:ind w:right="0" w:left="0" w:firstLine="0"/>
        <w:jc w:val="center"/>
        <w:textAlignment w:val="baseline"/>
        <w:rPr>
          <w:rFonts w:ascii="Calibri" w:hAnsi="Calibri" w:eastAsia="Calibri"/>
          <w:color w:val="4472C4"/>
          <w:spacing w:val="-5"/>
          <w:w w:val="100"/>
          <w:sz w:val="23"/>
          <w:vertAlign w:val="baseline"/>
          <w:lang w:val="en-US"/>
        </w:rPr>
      </w:pPr>
      <w:r>
        <w:pict>
          <v:shapetype id="_x0000_t16" coordsize="21600,21600" o:spt="202" path="m,l,21600r21600,l21600,xe">
            <v:stroke joinstyle="miter"/>
            <v:path gradientshapeok="t" o:connecttype="rect"/>
          </v:shapetype>
          <v:shape id="_x0000_s15" type="#_x0000_t16" fillcolor="#FBE5D6" stroked="f" style="position:absolute;width:463.1pt;height:78.95pt;z-index:-999;margin-left:77.05pt;margin-top:677.75pt;mso-wrap-distance-bottom:35.6pt;mso-wrap-distance-left:22.9pt;mso-wrap-distance-right:0pt;mso-position-horizontal-relative:page;mso-position-vertical-relative:page">
            <v:textbox inset="0pt, 0pt, 0pt, 0pt">
              <w:txbxContent>
                <w:p>
                  <w:pPr>
                    <w:pBdr>
                      <w:top w:sz="4" w:space="0" w:color="000000" w:val="single"/>
                      <w:left w:sz="4" w:space="22" w:color="000000" w:val="single"/>
                      <w:bottom w:sz="4" w:space="35" w:color="000000" w:val="single"/>
                      <w:right w:sz="4" w:space="0" w:color="000000" w:val="single"/>
                    </w:pBdr>
                  </w:pPr>
                </w:p>
              </w:txbxContent>
            </v:textbox>
          </v:shape>
        </w:pict>
      </w:r>
      <w:r>
        <w:pict>
          <v:shapetype id="_x0000_t17" coordsize="21600,21600" o:spt="202" path="m,l,21600r21600,l21600,xe">
            <v:stroke joinstyle="miter"/>
            <v:path gradientshapeok="t" o:connecttype="rect"/>
          </v:shapetype>
          <v:shape id="_x0000_s16" type="#_x0000_t17" fillcolor="#FFFFFF" stroked="f" style="position:absolute;width:88.3pt;height:9.6pt;z-index:-999;margin-left:262.1pt;margin-top:684.95pt;mso-wrap-distance-left:0pt;mso-wrap-distance-right:0pt;mso-position-horizontal-relative:page;mso-position-vertical-relative:page">
            <v:textbox inset="0pt, 0pt, 0pt, 0pt">
              <w:txbxContent>
                <w:p>
                  <w:pPr>
                    <w:spacing w:before="0" w:after="0" w:line="192" w:lineRule="exact"/>
                    <w:ind w:right="0" w:left="0"/>
                    <w:jc w:val="left"/>
                    <w:textAlignment w:val="baseline"/>
                  </w:pPr>
                  <w:r>
                    <w:drawing>
                      <wp:inline>
                        <wp:extent cx="1121410" cy="121920"/>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1121410" cy="121920"/>
                                </a:xfrm>
                                <a:prstGeom prst="rect"/>
                              </pic:spPr>
                            </pic:pic>
                          </a:graphicData>
                        </a:graphic>
                      </wp:inline>
                    </w:drawing>
                  </w:r>
                </w:p>
              </w:txbxContent>
            </v:textbox>
          </v:shape>
        </w:pict>
      </w:r>
      <w:r>
        <w:rPr>
          <w:rFonts w:ascii="Calibri" w:hAnsi="Calibri" w:eastAsia="Calibri"/>
          <w:color w:val="4472C4"/>
          <w:spacing w:val="-5"/>
          <w:w w:val="100"/>
          <w:sz w:val="23"/>
          <w:vertAlign w:val="baseline"/>
          <w:lang w:val="en-US"/>
        </w:rPr>
        <w:t xml:space="preserve">Recommendation 4</w:t>
      </w:r>
    </w:p>
    <w:p>
      <w:pPr>
        <w:spacing w:before="34" w:after="379" w:line="269" w:lineRule="exact"/>
        <w:ind w:right="0" w:left="0" w:firstLine="0"/>
        <w:jc w:val="center"/>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Fund initiatives to attract a more diverse cohort of candidates to undergraduate and postgraduate</w:t>
        <w:br/>
      </w:r>
      <w:r>
        <w:rPr>
          <w:rFonts w:ascii="Calibri" w:hAnsi="Calibri" w:eastAsia="Calibri"/>
          <w:color w:val="000000"/>
          <w:spacing w:val="-4"/>
          <w:w w:val="100"/>
          <w:sz w:val="23"/>
          <w:vertAlign w:val="baseline"/>
          <w:lang w:val="en-US"/>
        </w:rPr>
        <w:t xml:space="preserve">ITE programs, including a strong media campaign, early identification with bespoke routes into</w:t>
        <w:br/>
      </w:r>
      <w:r>
        <w:rPr>
          <w:rFonts w:ascii="Calibri" w:hAnsi="Calibri" w:eastAsia="Calibri"/>
          <w:color w:val="000000"/>
          <w:spacing w:val="-4"/>
          <w:w w:val="100"/>
          <w:sz w:val="23"/>
          <w:vertAlign w:val="baseline"/>
          <w:lang w:val="en-US"/>
        </w:rPr>
        <w:t xml:space="preserve">teaching, financial incentives, and the expansion of more diverse university-school partnerships.</w:t>
      </w:r>
    </w:p>
    <w:p>
      <w:pPr>
        <w:spacing w:before="34" w:after="379" w:line="269" w:lineRule="exact"/>
        <w:sectPr>
          <w:type w:val="continuous"/>
          <w:pgSz w:w="11909" w:h="16838" w:orient="portrait"/>
          <w:pgMar w:bottom="302" w:top="1440" w:right="1136" w:left="1571" w:header="720" w:footer="720"/>
          <w:titlePg w:val="false"/>
          <w:textDirection w:val="lrTb"/>
        </w:sectPr>
      </w:pPr>
    </w:p>
    <w:p>
      <w:pPr>
        <w:spacing w:before="442" w:after="0" w:line="288" w:lineRule="exact"/>
        <w:ind w:right="0" w:left="0" w:firstLine="0"/>
        <w:jc w:val="left"/>
        <w:textAlignment w:val="baseline"/>
        <w:rPr>
          <w:rFonts w:ascii="Times New Roman" w:hAnsi="Times New Roman" w:eastAsia="Times New Roman"/>
          <w:color w:val="000000"/>
          <w:w w:val="100"/>
          <w:sz w:val="24"/>
          <w:vertAlign w:val="baseline"/>
          <w:lang w:val="en-US"/>
        </w:rPr>
      </w:pPr>
    </w:p>
    <w:p>
      <w:pPr>
        <w:sectPr>
          <w:type w:val="continuous"/>
          <w:pgSz w:w="11909" w:h="16838" w:orient="portrait"/>
          <w:pgMar w:bottom="302" w:top="1440" w:right="1071" w:left="1083" w:header="720" w:footer="720"/>
          <w:titlePg w:val="false"/>
          <w:textDirection w:val="lrTb"/>
        </w:sectPr>
      </w:pPr>
    </w:p>
    <w:p>
      <w:pPr>
        <w:spacing w:before="27" w:after="0" w:line="255" w:lineRule="exact"/>
        <w:ind w:right="0"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5</w:t>
      </w:r>
    </w:p>
    <w:p>
      <w:pPr>
        <w:sectPr>
          <w:type w:val="continuous"/>
          <w:pgSz w:w="11909" w:h="16838" w:orient="portrait"/>
          <w:pgMar w:bottom="302" w:top="1440" w:right="1071" w:left="10578" w:header="720" w:footer="720"/>
          <w:titlePg w:val="false"/>
          <w:textDirection w:val="lrTb"/>
        </w:sectPr>
      </w:pPr>
    </w:p>
    <w:p>
      <w:pPr>
        <w:numPr>
          <w:ilvl w:val="0"/>
          <w:numId w:val="4"/>
        </w:numPr>
        <w:tabs>
          <w:tab w:val="clear" w:pos="504"/>
          <w:tab w:val="left" w:pos="504"/>
        </w:tabs>
        <w:spacing w:before="50" w:after="0" w:line="229" w:lineRule="exact"/>
        <w:ind w:right="0" w:left="0" w:firstLine="0"/>
        <w:jc w:val="left"/>
        <w:textAlignment w:val="baseline"/>
        <w:rPr>
          <w:rFonts w:ascii="Calibri" w:hAnsi="Calibri" w:eastAsia="Calibri"/>
          <w:b w:val="true"/>
          <w:color w:val="000000"/>
          <w:spacing w:val="-4"/>
          <w:w w:val="100"/>
          <w:sz w:val="23"/>
          <w:vertAlign w:val="baseline"/>
          <w:lang w:val="en-US"/>
        </w:rPr>
      </w:pPr>
      <w:r>
        <w:rPr>
          <w:rFonts w:ascii="Calibri" w:hAnsi="Calibri" w:eastAsia="Calibri"/>
          <w:b w:val="true"/>
          <w:color w:val="000000"/>
          <w:spacing w:val="-4"/>
          <w:w w:val="100"/>
          <w:sz w:val="23"/>
          <w:vertAlign w:val="baseline"/>
          <w:lang w:val="en-US"/>
        </w:rPr>
        <w:t xml:space="preserve">Increasing ITE completion rates</w:t>
      </w:r>
    </w:p>
    <w:p>
      <w:pPr>
        <w:spacing w:before="268" w:after="0" w:line="269"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ITE completion data are complex and require more nuanced analysis. First year attrition is often attributed to students entering university without a clear idea of their post-school pathway. Some attrition is a result of students not meeting university benchmarks for the appropriate qualification level. In addition, course attrition data include students who transfer from one ITE program to another, for example, from a Secondary UG program to a Primary UG program in the same institution, or who take a break and return a year or two later. All these forms of attrition could be considered healthy attrition to ensure we have the right graduates for teaching.</w:t>
      </w:r>
    </w:p>
    <w:p>
      <w:pPr>
        <w:spacing w:before="262" w:after="676" w:line="26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Bowles and Brindle’s (2017) systematic review of factors impacting retention identifies the impact of ‘belongingness’, resilience, and organisational and time management skills. For undergraduate students, blended learning programs offer the greatest opportunity for success (AITSL, 2019), but importantly, a sense of belonging to the profession can strengthen commitment to ITE programs. ITE students are sometimes regarded as outsiders to the profession: not readily permitted to access school systems, student data or professional learning opportunities. A new category of </w:t>
      </w:r>
      <w:r>
        <w:rPr>
          <w:rFonts w:ascii="Calibri" w:hAnsi="Calibri" w:eastAsia="Calibri"/>
          <w:i w:val="true"/>
          <w:color w:val="000000"/>
          <w:spacing w:val="0"/>
          <w:w w:val="100"/>
          <w:sz w:val="22"/>
          <w:vertAlign w:val="baseline"/>
          <w:lang w:val="en-US"/>
        </w:rPr>
        <w:t xml:space="preserve">Transitional Accreditation </w:t>
      </w:r>
      <w:r>
        <w:rPr>
          <w:rFonts w:ascii="Calibri" w:hAnsi="Calibri" w:eastAsia="Calibri"/>
          <w:color w:val="000000"/>
          <w:spacing w:val="0"/>
          <w:w w:val="100"/>
          <w:sz w:val="22"/>
          <w:vertAlign w:val="baseline"/>
          <w:lang w:val="en-US"/>
        </w:rPr>
        <w:t xml:space="preserve">could be introduced to provide a sense of ‘status’ for ITE students; and include access to systems, opportunities to ‘log’ professional learning; paraprofessional work; and a pathway to conditional accreditation.</w:t>
      </w:r>
    </w:p>
    <w:p>
      <w:pPr>
        <w:spacing w:before="33" w:after="0" w:line="229" w:lineRule="exact"/>
        <w:ind w:right="0" w:left="0" w:firstLine="0"/>
        <w:jc w:val="left"/>
        <w:textAlignment w:val="baseline"/>
        <w:rPr>
          <w:rFonts w:ascii="Calibri" w:hAnsi="Calibri" w:eastAsia="Calibri"/>
          <w:b w:val="true"/>
          <w:color w:val="000000"/>
          <w:spacing w:val="-3"/>
          <w:w w:val="100"/>
          <w:sz w:val="23"/>
          <w:vertAlign w:val="baseline"/>
          <w:lang w:val="en-US"/>
        </w:rPr>
      </w:pPr>
      <w:r>
        <w:pict>
          <v:shapetype id="_x0000_t18" coordsize="21600,21600" o:spt="202" path="m,l,21600r21600,l21600,xe">
            <v:stroke joinstyle="miter"/>
            <v:path gradientshapeok="t" o:connecttype="rect"/>
          </v:shapetype>
          <v:shape id="_x0000_s17" type="#_x0000_t18" fillcolor="#FBE5D6" stroked="f" style="position:absolute;width:457.2pt;height:82.5pt;z-index:-999;margin-left:63.85pt;margin-top:347.3pt;mso-wrap-distance-bottom:19.05pt;mso-wrap-distance-left:9.25pt;mso-wrap-distance-right:19.55pt;mso-position-horizontal-relative:page;mso-position-vertical-relative:page">
            <w10:wrap type="square"/>
            <v:textbox inset="0pt, 0pt, 0pt, 0pt">
              <w:txbxContent>
                <w:p>
                  <w:pPr>
                    <w:pBdr>
                      <w:top w:sz="4" w:space="0" w:color="000000" w:val="single"/>
                      <w:left w:sz="4" w:space="9" w:color="000000" w:val="single"/>
                      <w:bottom w:sz="4" w:space="19" w:color="000000" w:val="single"/>
                      <w:right w:sz="4" w:space="19" w:color="000000" w:val="single"/>
                    </w:pBdr>
                  </w:pP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454.2pt;height:81.6pt;z-index:-1;margin-left:65.35pt;margin-top:347.3pt;mso-wrap-distance-left:0pt;mso-wrap-distance-right:0pt;mso-position-horizontal-relative:page;mso-position-vertical-relative:page">
            <w10:wrap type="square" side="both"/>
            <v:fill opacity="1" o:opacity2="1" recolor="f" rotate="f" type="solid"/>
            <v:textbox inset="0pt, 0pt, 0pt, 0pt">
              <w:txbxContent>
                <w:p>
                  <w:pPr>
                    <w:spacing w:before="119" w:after="0" w:line="224" w:lineRule="exact"/>
                    <w:ind w:right="0" w:left="0" w:firstLine="0"/>
                    <w:jc w:val="center"/>
                    <w:textAlignment w:val="baseline"/>
                    <w:rPr>
                      <w:rFonts w:ascii="Calibri" w:hAnsi="Calibri" w:eastAsia="Calibri"/>
                      <w:color w:val="4472C4"/>
                      <w:spacing w:val="-1"/>
                      <w:w w:val="100"/>
                      <w:sz w:val="22"/>
                      <w:vertAlign w:val="baseline"/>
                      <w:lang w:val="en-US"/>
                    </w:rPr>
                  </w:pPr>
                  <w:r>
                    <w:rPr>
                      <w:rFonts w:ascii="Calibri" w:hAnsi="Calibri" w:eastAsia="Calibri"/>
                      <w:color w:val="4472C4"/>
                      <w:spacing w:val="-1"/>
                      <w:w w:val="100"/>
                      <w:sz w:val="22"/>
                      <w:vertAlign w:val="baseline"/>
                      <w:lang w:val="en-US"/>
                    </w:rPr>
                    <w:t xml:space="preserve">Recommendation 5</w:t>
                  </w:r>
                </w:p>
                <w:p>
                  <w:pPr>
                    <w:spacing w:before="35" w:after="168" w:line="269" w:lineRule="exact"/>
                    <w:ind w:right="216"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Create a new category of Transitional Accreditation to help retain ITE students. Teacher education students need to feel a sense of belonging to the profession on entering their degree. Transitional accreditation can provide ‘status’ and include the option to ‘log’ professional learning, access to school systems and data, along with opportunities for paraprofessional work.</w:t>
                  </w:r>
                </w:p>
              </w:txbxContent>
            </v:textbox>
          </v:shape>
        </w:pict>
      </w:r>
      <w:r>
        <w:pict>
          <v:shapetype id="_x0000_t20" coordsize="21600,21600" o:spt="202" path="m,l,21600r21600,l21600,xe">
            <v:stroke joinstyle="miter"/>
            <v:path gradientshapeok="t" o:connecttype="rect"/>
          </v:shapetype>
          <v:shape id="_x0000_s19" type="#_x0000_t20" fillcolor="#FFFFFF" stroked="f" style="position:absolute;width:88.1pt;height:9.6pt;z-index:-999;margin-left:249.1pt;margin-top:354.5pt;mso-wrap-distance-left:0pt;mso-wrap-distance-right:0pt;mso-position-horizontal-relative:page;mso-position-vertical-relative:page">
            <v:textbox inset="0pt, 0pt, 0pt, 0pt">
              <w:txbxContent>
                <w:p>
                  <w:pPr>
                    <w:spacing w:before="0" w:after="0" w:line="192" w:lineRule="exact"/>
                    <w:ind w:right="0" w:left="0"/>
                    <w:jc w:val="left"/>
                    <w:textAlignment w:val="baseline"/>
                  </w:pPr>
                  <w:r>
                    <w:drawing>
                      <wp:inline>
                        <wp:extent cx="1118870" cy="121920"/>
                        <wp:docPr name="Picture" id="11"/>
                        <a:graphic>
                          <a:graphicData uri="http://schemas.openxmlformats.org/drawingml/2006/picture">
                            <pic:pic>
                              <pic:nvPicPr>
                                <pic:cNvPr id="11" name="Picture"/>
                                <pic:cNvPicPr preferRelativeResize="false"/>
                              </pic:nvPicPr>
                              <pic:blipFill>
                                <a:blip r:embed="prId11"/>
                                <a:stretch>
                                  <a:fillRect/>
                                </a:stretch>
                              </pic:blipFill>
                              <pic:spPr>
                                <a:xfrm>
                                  <a:off x="0" y="0"/>
                                  <a:ext cx="1118870" cy="121920"/>
                                </a:xfrm>
                                <a:prstGeom prst="rect"/>
                              </pic:spPr>
                            </pic:pic>
                          </a:graphicData>
                        </a:graphic>
                      </wp:inline>
                    </w:drawing>
                  </w:r>
                </w:p>
              </w:txbxContent>
            </v:textbox>
          </v:shape>
        </w:pict>
      </w:r>
      <w:r>
        <w:rPr>
          <w:rFonts w:ascii="Calibri" w:hAnsi="Calibri" w:eastAsia="Calibri"/>
          <w:b w:val="true"/>
          <w:color w:val="000000"/>
          <w:spacing w:val="-3"/>
          <w:w w:val="100"/>
          <w:sz w:val="23"/>
          <w:vertAlign w:val="baseline"/>
          <w:lang w:val="en-US"/>
        </w:rPr>
        <w:t xml:space="preserve">PART B – Preparing ITE students to be effective teachers</w:t>
      </w:r>
    </w:p>
    <w:p>
      <w:pPr>
        <w:numPr>
          <w:ilvl w:val="0"/>
          <w:numId w:val="5"/>
        </w:numPr>
        <w:tabs>
          <w:tab w:val="clear" w:pos="288"/>
          <w:tab w:val="left" w:pos="288"/>
        </w:tabs>
        <w:spacing w:before="303" w:after="0" w:line="230" w:lineRule="exact"/>
        <w:ind w:right="0" w:left="0" w:firstLine="0"/>
        <w:jc w:val="left"/>
        <w:textAlignment w:val="baseline"/>
        <w:rPr>
          <w:rFonts w:ascii="Calibri" w:hAnsi="Calibri" w:eastAsia="Calibri"/>
          <w:b w:val="true"/>
          <w:color w:val="000000"/>
          <w:spacing w:val="-3"/>
          <w:w w:val="100"/>
          <w:sz w:val="23"/>
          <w:vertAlign w:val="baseline"/>
          <w:lang w:val="en-US"/>
        </w:rPr>
      </w:pPr>
      <w:r>
        <w:rPr>
          <w:rFonts w:ascii="Calibri" w:hAnsi="Calibri" w:eastAsia="Calibri"/>
          <w:b w:val="true"/>
          <w:color w:val="000000"/>
          <w:spacing w:val="-3"/>
          <w:w w:val="100"/>
          <w:sz w:val="23"/>
          <w:vertAlign w:val="baseline"/>
          <w:lang w:val="en-US"/>
        </w:rPr>
        <w:t xml:space="preserve">Evidence-based practice and professional experience</w:t>
      </w:r>
    </w:p>
    <w:p>
      <w:pPr>
        <w:spacing w:before="267" w:after="0" w:line="269" w:lineRule="exact"/>
        <w:ind w:right="72"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Australian Professional Standards for Teachers are adequate in providing a national framework for minimum skills and knowledge required for quality teaching. Current ITE programs in NSW, as required by accreditation, include a strong focus on effective teaching methods that are evidence-based with an emphasis on reflection and pedagogical agility (</w:t>
      </w:r>
      <w:hyperlink r:id="dhId1">
        <w:r>
          <w:rPr>
            <w:rFonts w:ascii="Calibri" w:hAnsi="Calibri" w:eastAsia="Calibri"/>
            <w:color w:val="0000FF"/>
            <w:spacing w:val="-1"/>
            <w:w w:val="100"/>
            <w:sz w:val="22"/>
            <w:u w:val="single"/>
            <w:vertAlign w:val="baseline"/>
            <w:lang w:val="en-US"/>
          </w:rPr>
          <w:t xml:space="preserve">https://www.aitsl.edu.au/deliver-ite-programs/understand-ite-program-accreditation)</w:t>
        </w:r>
      </w:hyperlink>
      <w:r>
        <w:rPr>
          <w:rFonts w:ascii="Calibri" w:hAnsi="Calibri" w:eastAsia="Calibri"/>
          <w:color w:val="000000"/>
          <w:spacing w:val="-1"/>
          <w:w w:val="100"/>
          <w:sz w:val="22"/>
          <w:vertAlign w:val="baseline"/>
          <w:lang w:val="en-US"/>
        </w:rPr>
        <w:t xml:space="preserve">. This enables graduates to be effective in a range of diverse contexts and to demonstrate, through their final TPA assessment, learning outcomes for students that they teach.</w:t>
      </w:r>
    </w:p>
    <w:p>
      <w:pPr>
        <w:spacing w:before="267" w:after="0" w:line="269"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Demonstration of some standards, such as those related to classroom management and engagement with parents and community, rely on strong partnerships with schools. As highlighted in a review by Darling Hammond et al. (2017), practical experience should be grounded in system-wide support for ongoing professional learning and opportunities for collaboration; a factor highlighted in the TEMAG Action Now: Classroom Ready Teachers report (2014, p. 7). Research in Australia has pointed to the quality of induction and mentor support in professional experience as crucial to ITE students’ perceptions of their ability to manage classrooms, teach diverse student cohorts, and apply subject content to plan, assess and report. Quality induction and mentoring during professional experience has been shown to be more important than the number of hours of professional experience (Gray et al., 2019; Reynolds et al., 2016).</w:t>
      </w:r>
    </w:p>
    <w:p>
      <w:pPr>
        <w:spacing w:before="264" w:after="0" w:line="26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Funding is needed to help solve enduring issues such as availability of places, the quality of placements and the cost of the provision of professional experience (both to providers and employers). The change in</w:t>
      </w:r>
    </w:p>
    <w:p>
      <w:pPr>
        <w:spacing w:before="748" w:after="0" w:line="255" w:lineRule="exact"/>
        <w:ind w:right="0" w:left="0" w:firstLine="0"/>
        <w:jc w:val="righ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6</w:t>
      </w:r>
    </w:p>
    <w:p>
      <w:pPr>
        <w:sectPr>
          <w:type w:val="nextPage"/>
          <w:pgSz w:w="11909" w:h="16838" w:orient="portrait"/>
          <w:pgMar w:bottom="302" w:top="1420" w:right="1097" w:left="1092" w:header="720" w:footer="720"/>
          <w:titlePg w:val="false"/>
          <w:textDirection w:val="lrTb"/>
        </w:sectPr>
      </w:pPr>
    </w:p>
    <w:p>
      <w:pPr>
        <w:spacing w:before="10" w:after="0" w:line="269" w:lineRule="exact"/>
        <w:ind w:right="288"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federal funding for ITE means that professional experience in ITE is no longer funded through a separate payment, considerably reducing the overall funding per ITE place. This reduction in funding has exacerbating the issues in delivering quality professional experience placements.</w:t>
      </w:r>
    </w:p>
    <w:p>
      <w:pPr>
        <w:spacing w:before="261" w:after="754" w:line="269" w:lineRule="exact"/>
        <w:ind w:right="72" w:left="72"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Strong university-school partnerships, such as the NSW Hub School model, could be federally supported to scale-up. Hub schools could be identified as champions of graduate teacher excellence, supporting diverse networks of schools to establish a networked approach to placements, with professional experience coordinators (induction mentors) in every hub network. This kind of approach could help to alleviate some of the challenges of practical experience including difficulty in finding placements, the variance in the quality of experience across schools, and the high costs of administration and relationship maintenance (Toe et al., 2020; Yeigh &amp; Lynch, 2017). Close partnerships supported by this kind of model have the potential to improve the quality and consistency of induction, supervision, and assessment (Green et al., 2020).</w:t>
      </w:r>
    </w:p>
    <w:p>
      <w:pPr>
        <w:numPr>
          <w:ilvl w:val="0"/>
          <w:numId w:val="5"/>
        </w:numPr>
        <w:tabs>
          <w:tab w:val="clear" w:pos="288"/>
          <w:tab w:val="left" w:pos="360"/>
        </w:tabs>
        <w:spacing w:before="33" w:after="0" w:line="229" w:lineRule="exact"/>
        <w:ind w:right="0" w:left="72" w:firstLine="0"/>
        <w:jc w:val="left"/>
        <w:textAlignment w:val="baseline"/>
        <w:rPr>
          <w:rFonts w:ascii="Calibri" w:hAnsi="Calibri" w:eastAsia="Calibri"/>
          <w:b w:val="true"/>
          <w:color w:val="000000"/>
          <w:spacing w:val="-4"/>
          <w:w w:val="100"/>
          <w:sz w:val="23"/>
          <w:vertAlign w:val="baseline"/>
          <w:lang w:val="en-US"/>
        </w:rPr>
      </w:pPr>
      <w:r>
        <w:pict>
          <v:shapetype id="_x0000_t21" coordsize="21600,21600" o:spt="202" path="m,l,21600r21600,l21600,xe">
            <v:stroke joinstyle="miter"/>
            <v:path gradientshapeok="t" o:connecttype="rect"/>
          </v:shapetype>
          <v:shape id="_x0000_s20" type="#_x0000_t21" fillcolor="#FBE5D6" stroked="f" style="position:absolute;width:457.2pt;height:54.7pt;z-index:-999;margin-left:60pt;margin-top:283.9pt;mso-wrap-distance-bottom:29.6pt;mso-wrap-distance-left:8pt;mso-wrap-distance-right:20.8pt;mso-position-horizontal-relative:page;mso-position-vertical-relative:page">
            <w10:wrap type="square"/>
            <v:textbox inset="0pt, 0pt, 0pt, 0pt">
              <w:txbxContent>
                <w:p>
                  <w:pPr>
                    <w:pBdr>
                      <w:top w:sz="4" w:space="0" w:color="000000" w:val="single"/>
                      <w:left w:sz="4" w:space="8" w:color="000000" w:val="single"/>
                      <w:bottom w:sz="4" w:space="29" w:color="000000" w:val="single"/>
                      <w:right w:sz="4" w:space="20" w:color="000000" w:val="single"/>
                    </w:pBdr>
                  </w:pP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454.2pt;height:53.8pt;z-index:-1;margin-left:61.5pt;margin-top:283.9pt;mso-wrap-distance-left:0pt;mso-wrap-distance-right:0pt;mso-position-horizontal-relative:page;mso-position-vertical-relative:page">
            <w10:wrap type="square" side="both"/>
            <v:fill opacity="1" o:opacity2="1" recolor="f" rotate="f" type="solid"/>
            <v:textbox inset="0pt, 0pt, 0pt, 0pt">
              <w:txbxContent>
                <w:p>
                  <w:pPr>
                    <w:spacing w:before="120" w:after="0" w:line="225" w:lineRule="exact"/>
                    <w:ind w:right="0" w:left="0" w:firstLine="0"/>
                    <w:jc w:val="center"/>
                    <w:textAlignment w:val="baseline"/>
                    <w:rPr>
                      <w:rFonts w:ascii="Calibri" w:hAnsi="Calibri" w:eastAsia="Calibri"/>
                      <w:color w:val="4472C4"/>
                      <w:spacing w:val="0"/>
                      <w:w w:val="100"/>
                      <w:sz w:val="22"/>
                      <w:vertAlign w:val="baseline"/>
                      <w:lang w:val="en-US"/>
                    </w:rPr>
                  </w:pPr>
                  <w:r>
                    <w:rPr>
                      <w:rFonts w:ascii="Calibri" w:hAnsi="Calibri" w:eastAsia="Calibri"/>
                      <w:color w:val="4472C4"/>
                      <w:spacing w:val="0"/>
                      <w:w w:val="100"/>
                      <w:sz w:val="22"/>
                      <w:vertAlign w:val="baseline"/>
                      <w:lang w:val="en-US"/>
                    </w:rPr>
                    <w:t xml:space="preserve">Recommendation 6</w:t>
                  </w:r>
                </w:p>
                <w:p>
                  <w:pPr>
                    <w:spacing w:before="34" w:after="158" w:line="269"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Provide targeted funding to ITE providers to strengthen and scale-up effective university-school</w:t>
                    <w:br/>
                  </w:r>
                  <w:r>
                    <w:rPr>
                      <w:rFonts w:ascii="Calibri" w:hAnsi="Calibri" w:eastAsia="Calibri"/>
                      <w:color w:val="000000"/>
                      <w:spacing w:val="0"/>
                      <w:w w:val="100"/>
                      <w:sz w:val="22"/>
                      <w:vertAlign w:val="baseline"/>
                      <w:lang w:val="en-US"/>
                    </w:rPr>
                    <w:t xml:space="preserve">partnership practices including high quality, sustainable professional experience opportunities.</w:t>
                  </w:r>
                </w:p>
              </w:txbxContent>
            </v:textbox>
          </v:shape>
        </w:pict>
      </w:r>
      <w:r>
        <w:pict>
          <v:shapetype id="_x0000_t23" coordsize="21600,21600" o:spt="202" path="m,l,21600r21600,l21600,xe">
            <v:stroke joinstyle="miter"/>
            <v:path gradientshapeok="t" o:connecttype="rect"/>
          </v:shapetype>
          <v:shape id="_x0000_s22" type="#_x0000_t23" fillcolor="#FFFFFF" stroked="f" style="position:absolute;width:88.3pt;height:9.6pt;z-index:-999;margin-left:245.05pt;margin-top:291.1pt;mso-wrap-distance-left:0pt;mso-wrap-distance-right:0pt;mso-position-horizontal-relative:page;mso-position-vertical-relative:page">
            <v:textbox inset="0pt, 0pt, 0pt, 0pt">
              <w:txbxContent>
                <w:p>
                  <w:pPr>
                    <w:spacing w:before="0" w:after="0" w:line="192" w:lineRule="exact"/>
                    <w:ind w:right="0" w:left="0"/>
                    <w:jc w:val="left"/>
                    <w:textAlignment w:val="baseline"/>
                  </w:pPr>
                  <w:r>
                    <w:drawing>
                      <wp:inline>
                        <wp:extent cx="1121410" cy="121920"/>
                        <wp:docPr name="Picture" id="12"/>
                        <a:graphic>
                          <a:graphicData uri="http://schemas.openxmlformats.org/drawingml/2006/picture">
                            <pic:pic>
                              <pic:nvPicPr>
                                <pic:cNvPr id="12" name="Picture"/>
                                <pic:cNvPicPr preferRelativeResize="false"/>
                              </pic:nvPicPr>
                              <pic:blipFill>
                                <a:blip r:embed="prId12"/>
                                <a:stretch>
                                  <a:fillRect/>
                                </a:stretch>
                              </pic:blipFill>
                              <pic:spPr>
                                <a:xfrm>
                                  <a:off x="0" y="0"/>
                                  <a:ext cx="1121410" cy="121920"/>
                                </a:xfrm>
                                <a:prstGeom prst="rect"/>
                              </pic:spPr>
                            </pic:pic>
                          </a:graphicData>
                        </a:graphic>
                      </wp:inline>
                    </w:drawing>
                  </w:r>
                </w:p>
              </w:txbxContent>
            </v:textbox>
          </v:shape>
        </w:pict>
      </w:r>
      <w:r>
        <w:rPr>
          <w:rFonts w:ascii="Calibri" w:hAnsi="Calibri" w:eastAsia="Calibri"/>
          <w:b w:val="true"/>
          <w:color w:val="000000"/>
          <w:spacing w:val="-4"/>
          <w:w w:val="100"/>
          <w:sz w:val="23"/>
          <w:vertAlign w:val="baseline"/>
          <w:lang w:val="en-US"/>
        </w:rPr>
        <w:t xml:space="preserve">Strengthening Teaching Performance Assessment (TPA) processes</w:t>
      </w:r>
    </w:p>
    <w:p>
      <w:pPr>
        <w:spacing w:before="263" w:after="0" w:line="269" w:lineRule="exact"/>
        <w:ind w:right="144"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introduction of the TPA has had the most positive impact of any of the TEMAG reforms on the quality of ITE and the readiness of graduates for the teaching profession. The current variety of TPAs presents no challenge to the validity or reliability of the TPA assessment. Every TPA that is endorsed by the Expert Advisory Group within AITSL, is based on the AITSL Standards, and includes the key components of planning, teaching, assessing, and reflecting. However, there is opportunity to do more to support the external moderation of TPAs across providers.</w:t>
      </w:r>
    </w:p>
    <w:p>
      <w:pPr>
        <w:spacing w:before="267" w:after="614" w:line="269" w:lineRule="exact"/>
        <w:ind w:right="144"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development of TPA instruments and engagement with TPA validation and moderation processes has had benefits and costs for providers. These assessment activities have afforded providers with valuable professional learning and collaboration opportunities and have led to improvements in ITE programs. However, these activities have come at a significant cost to providers. External moderation is not included in the normal cost of assessment: moderating TPAs from other providers is critical to all TPA models and constitutes an additional cost in both staff time and necessary software infrastructure.</w:t>
      </w:r>
    </w:p>
    <w:p>
      <w:pPr>
        <w:numPr>
          <w:ilvl w:val="0"/>
          <w:numId w:val="5"/>
        </w:numPr>
        <w:tabs>
          <w:tab w:val="clear" w:pos="288"/>
          <w:tab w:val="left" w:pos="360"/>
        </w:tabs>
        <w:spacing w:before="0" w:after="0" w:line="229" w:lineRule="exact"/>
        <w:ind w:right="0" w:left="72" w:firstLine="0"/>
        <w:jc w:val="left"/>
        <w:textAlignment w:val="baseline"/>
        <w:rPr>
          <w:rFonts w:ascii="Calibri" w:hAnsi="Calibri" w:eastAsia="Calibri"/>
          <w:b w:val="true"/>
          <w:color w:val="000000"/>
          <w:spacing w:val="-4"/>
          <w:w w:val="100"/>
          <w:sz w:val="23"/>
          <w:vertAlign w:val="baseline"/>
          <w:lang w:val="en-US"/>
        </w:rPr>
      </w:pPr>
      <w:r>
        <w:pict>
          <v:shapetype id="_x0000_t24" coordsize="21600,21600" o:spt="202" path="m,l,21600r21600,l21600,xe">
            <v:stroke joinstyle="miter"/>
            <v:path gradientshapeok="t" o:connecttype="rect"/>
          </v:shapetype>
          <v:shape id="_x0000_s23" type="#_x0000_t24" fillcolor="#FBE5D6" stroked="f" style="position:absolute;width:457.2pt;height:62.1pt;z-index:-999;margin-left:64.1pt;margin-top:599.75pt;mso-wrap-distance-bottom:28.65pt;mso-wrap-distance-left:12.1pt;mso-wrap-distance-right:16.7pt;mso-position-horizontal-relative:page;mso-position-vertical-relative:page">
            <w10:wrap type="square"/>
            <v:textbox inset="0pt, 0pt, 0pt, 0pt">
              <w:txbxContent>
                <w:p>
                  <w:pPr>
                    <w:pBdr>
                      <w:top w:sz="4" w:space="0" w:color="000000" w:val="single"/>
                      <w:left w:sz="4" w:space="12" w:color="000000" w:val="single"/>
                      <w:bottom w:sz="4" w:space="28" w:color="000000" w:val="single"/>
                      <w:right w:sz="4" w:space="16" w:color="000000" w:val="single"/>
                    </w:pBdr>
                  </w:pP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454.2pt;height:61.2pt;z-index:-1;margin-left:65.6pt;margin-top:599.75pt;mso-wrap-distance-left:0pt;mso-wrap-distance-right:0pt;mso-position-horizontal-relative:page;mso-position-vertical-relative:page">
            <w10:wrap type="square" side="both"/>
            <v:fill opacity="1" o:opacity2="1" recolor="f" rotate="f" type="solid"/>
            <v:textbox inset="0pt, 0pt, 0pt, 0pt">
              <w:txbxContent>
                <w:p>
                  <w:pPr>
                    <w:spacing w:before="124" w:after="0" w:line="225" w:lineRule="exact"/>
                    <w:ind w:right="0" w:left="0" w:firstLine="0"/>
                    <w:jc w:val="center"/>
                    <w:textAlignment w:val="baseline"/>
                    <w:rPr>
                      <w:rFonts w:ascii="Calibri" w:hAnsi="Calibri" w:eastAsia="Calibri"/>
                      <w:color w:val="4472C4"/>
                      <w:spacing w:val="0"/>
                      <w:w w:val="100"/>
                      <w:sz w:val="22"/>
                      <w:vertAlign w:val="baseline"/>
                      <w:lang w:val="en-US"/>
                    </w:rPr>
                  </w:pPr>
                  <w:r>
                    <w:rPr>
                      <w:rFonts w:ascii="Calibri" w:hAnsi="Calibri" w:eastAsia="Calibri"/>
                      <w:color w:val="4472C4"/>
                      <w:spacing w:val="0"/>
                      <w:w w:val="100"/>
                      <w:sz w:val="22"/>
                      <w:vertAlign w:val="baseline"/>
                      <w:lang w:val="en-US"/>
                    </w:rPr>
                    <w:t xml:space="preserve">Recommendation 7</w:t>
                  </w:r>
                </w:p>
                <w:p>
                  <w:pPr>
                    <w:spacing w:before="30" w:after="292" w:line="269" w:lineRule="exact"/>
                    <w:ind w:right="72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Provide infrastructure support for cross-institutional moderation processes for the teaching performance assessment (TPA).</w:t>
                  </w:r>
                </w:p>
              </w:txbxContent>
            </v:textbox>
          </v:shape>
        </w:pict>
      </w:r>
      <w:r>
        <w:pict>
          <v:shapetype id="_x0000_t26" coordsize="21600,21600" o:spt="202" path="m,l,21600r21600,l21600,xe">
            <v:stroke joinstyle="miter"/>
            <v:path gradientshapeok="t" o:connecttype="rect"/>
          </v:shapetype>
          <v:shape id="_x0000_s25" type="#_x0000_t26" fillcolor="#FFFFFF" stroked="f" style="position:absolute;width:88.1pt;height:9.6pt;z-index:-999;margin-left:249.35pt;margin-top:607.2pt;mso-wrap-distance-left:0pt;mso-wrap-distance-right:0pt;mso-position-horizontal-relative:page;mso-position-vertical-relative:page">
            <v:textbox inset="0pt, 0pt, 0pt, 0pt">
              <w:txbxContent>
                <w:p>
                  <w:pPr>
                    <w:spacing w:before="0" w:after="0" w:line="192" w:lineRule="exact"/>
                    <w:ind w:right="0" w:left="0"/>
                    <w:jc w:val="left"/>
                    <w:textAlignment w:val="baseline"/>
                  </w:pPr>
                  <w:r>
                    <w:drawing>
                      <wp:inline>
                        <wp:extent cx="1118870" cy="121920"/>
                        <wp:docPr name="Picture" id="13"/>
                        <a:graphic>
                          <a:graphicData uri="http://schemas.openxmlformats.org/drawingml/2006/picture">
                            <pic:pic>
                              <pic:nvPicPr>
                                <pic:cNvPr id="13" name="Picture"/>
                                <pic:cNvPicPr preferRelativeResize="false"/>
                              </pic:nvPicPr>
                              <pic:blipFill>
                                <a:blip r:embed="prId13"/>
                                <a:stretch>
                                  <a:fillRect/>
                                </a:stretch>
                              </pic:blipFill>
                              <pic:spPr>
                                <a:xfrm>
                                  <a:off x="0" y="0"/>
                                  <a:ext cx="1118870" cy="121920"/>
                                </a:xfrm>
                                <a:prstGeom prst="rect"/>
                              </pic:spPr>
                            </pic:pic>
                          </a:graphicData>
                        </a:graphic>
                      </wp:inline>
                    </w:drawing>
                  </w:r>
                </w:p>
              </w:txbxContent>
            </v:textbox>
          </v:shape>
        </w:pict>
      </w:r>
      <w:r>
        <w:rPr>
          <w:rFonts w:ascii="Calibri" w:hAnsi="Calibri" w:eastAsia="Calibri"/>
          <w:b w:val="true"/>
          <w:color w:val="000000"/>
          <w:spacing w:val="-4"/>
          <w:w w:val="100"/>
          <w:sz w:val="23"/>
          <w:vertAlign w:val="baseline"/>
          <w:lang w:val="en-US"/>
        </w:rPr>
        <w:t xml:space="preserve">Can ITE providers play a stronger role in ongoing professional development and support of teachers?</w:t>
      </w:r>
    </w:p>
    <w:p>
      <w:pPr>
        <w:spacing w:before="264" w:after="0" w:line="269" w:lineRule="exact"/>
        <w:ind w:right="504" w:left="72" w:firstLine="0"/>
        <w:jc w:val="both"/>
        <w:textAlignment w:val="baseline"/>
        <w:rPr>
          <w:rFonts w:ascii="Calibri" w:hAnsi="Calibri" w:eastAsia="Calibri"/>
          <w:color w:val="000000"/>
          <w:spacing w:val="-1"/>
          <w:w w:val="100"/>
          <w:sz w:val="22"/>
          <w:vertAlign w:val="baseline"/>
          <w:lang w:val="en-US"/>
        </w:rPr>
      </w:pPr>
      <w:r>
        <w:pict>
          <v:shapetype id="_x0000_t27" coordsize="21600,21600" o:spt="202" path="m,l,21600r21600,l21600,xe">
            <v:stroke joinstyle="miter"/>
            <v:path gradientshapeok="t" o:connecttype="rect"/>
          </v:shapetype>
          <v:shape id="_x0000_s26" type="#_x0000_t27" filled="f" stroked="f" style="position:absolute;width:13.1pt;height:14.65pt;z-index:-1;margin-left:528.9pt;margin-top:792.3pt;mso-wrap-distance-left:0pt;mso-wrap-distance-right:0pt;mso-position-horizontal-relative:page;mso-position-vertical-relative:page">
            <w10:wrap type="square" side="both"/>
            <v:fill opacity="1" o:opacity2="1" recolor="f" rotate="f" type="solid"/>
            <v:textbox inset="0pt, 0pt, 0pt, 0pt">
              <w:txbxContent>
                <w:p>
                  <w:pPr>
                    <w:spacing w:before="27" w:after="0" w:line="255" w:lineRule="exact"/>
                    <w:ind w:right="0"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7</w:t>
                  </w:r>
                </w:p>
              </w:txbxContent>
            </v:textbox>
          </v:shape>
        </w:pict>
      </w:r>
      <w:r>
        <w:rPr>
          <w:rFonts w:ascii="Calibri" w:hAnsi="Calibri" w:eastAsia="Calibri"/>
          <w:color w:val="000000"/>
          <w:spacing w:val="-1"/>
          <w:w w:val="100"/>
          <w:sz w:val="22"/>
          <w:vertAlign w:val="baseline"/>
          <w:lang w:val="en-US"/>
        </w:rPr>
        <w:t xml:space="preserve">The NSWCDE supports strengthening the support and PD provided to early career teachers in schools, including casual teachers. In the UK: Early Career Framework (ECF) initiative, the induction period was extended to two school years with Induction Mentor teachers receiving a time allocation. Early career</w:t>
      </w:r>
    </w:p>
    <w:p>
      <w:pPr>
        <w:sectPr>
          <w:type w:val="nextPage"/>
          <w:pgSz w:w="11909" w:h="16838" w:orient="portrait"/>
          <w:pgMar w:bottom="596" w:top="1420" w:right="1149" w:left="1040" w:header="720" w:footer="720"/>
          <w:titlePg w:val="false"/>
          <w:textDirection w:val="lrTb"/>
        </w:sectPr>
      </w:pPr>
    </w:p>
    <w:p>
      <w:pPr>
        <w:spacing w:before="0" w:after="0" w:line="268" w:lineRule="exact"/>
        <w:ind w:right="144"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teachers undergoing induction are now entitled to a two-year training and support program based on the ECF and funded by the Federal Government. In Ontario, the province provides a year-long induction program for graduate teachers (with an option to extend this to a second year). All new teachers are given a reduced teaching load and assigned a mentor who is an experienced teacher, who also has a reduced teaching load. New teachers also take part in professional development designed to orient and support them throughout the year.</w:t>
      </w:r>
    </w:p>
    <w:p>
      <w:pPr>
        <w:spacing w:before="268" w:after="0" w:line="268" w:lineRule="exact"/>
        <w:ind w:right="36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Clear guidance is needed for jurisdictions to differentiate the expectations of </w:t>
      </w:r>
      <w:r>
        <w:rPr>
          <w:rFonts w:ascii="Calibri" w:hAnsi="Calibri" w:eastAsia="Calibri"/>
          <w:i w:val="true"/>
          <w:color w:val="000000"/>
          <w:spacing w:val="0"/>
          <w:w w:val="100"/>
          <w:sz w:val="22"/>
          <w:vertAlign w:val="baseline"/>
          <w:lang w:val="en-US"/>
        </w:rPr>
        <w:t xml:space="preserve">graduate </w:t>
      </w:r>
      <w:r>
        <w:rPr>
          <w:rFonts w:ascii="Calibri" w:hAnsi="Calibri" w:eastAsia="Calibri"/>
          <w:color w:val="000000"/>
          <w:spacing w:val="0"/>
          <w:w w:val="100"/>
          <w:sz w:val="22"/>
          <w:vertAlign w:val="baseline"/>
          <w:lang w:val="en-US"/>
        </w:rPr>
        <w:t xml:space="preserve">and </w:t>
      </w:r>
      <w:r>
        <w:rPr>
          <w:rFonts w:ascii="Calibri" w:hAnsi="Calibri" w:eastAsia="Calibri"/>
          <w:i w:val="true"/>
          <w:color w:val="000000"/>
          <w:spacing w:val="0"/>
          <w:w w:val="100"/>
          <w:sz w:val="22"/>
          <w:vertAlign w:val="baseline"/>
          <w:lang w:val="en-US"/>
        </w:rPr>
        <w:t xml:space="preserve">proficient </w:t>
      </w:r>
      <w:r>
        <w:rPr>
          <w:rFonts w:ascii="Calibri" w:hAnsi="Calibri" w:eastAsia="Calibri"/>
          <w:color w:val="000000"/>
          <w:spacing w:val="0"/>
          <w:w w:val="100"/>
          <w:sz w:val="22"/>
          <w:vertAlign w:val="baseline"/>
          <w:lang w:val="en-US"/>
        </w:rPr>
        <w:t xml:space="preserve">teacher. Broadly, the emphasis for Graduate Teachers is on the demonstration of knowledge and understanding, and use of teaching strategies, whereas for Proficient Teachers, it is on planning, design, implementation, and application. The need for consistent, high quality in-school professional support to reach and maintain Proficient standards is an issue requiring urgent attention.</w:t>
      </w:r>
    </w:p>
    <w:p>
      <w:pPr>
        <w:spacing w:before="274" w:after="0" w:line="268" w:lineRule="exact"/>
        <w:ind w:right="72"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increasing complexity of teaching diverse groups means that predetermined technical skills and passed-down experiential knowledge may be insufficient for the kinds of complex problem-solving that is required for most contemporary teaching contexts (Willegems, Consuegra, Struyven, &amp; Engels, 2017). Effective teacher professional learning is fundamental for the ongoing support and motivation of teachers (Cosner, Leslie &amp; Shyjka, 2019). Key design features include contextual relevance, active learning (O’Meara, Whiting &amp; Steele-Maley, 2015) an iterative approach over a longer duration (Desimone, 2009), and based on a theory of action (Kennedy, 2016). Strong university-school partnerships can enable collaborative practice-based research and ongoing evidence-based professional learning to address real issues in classrooms and school communities.</w:t>
      </w:r>
    </w:p>
    <w:p>
      <w:pPr>
        <w:spacing w:before="272" w:after="0" w:line="268"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Darling Hammond (2017) emphasises in her review of education systems globally, that strong and coherent education </w:t>
      </w:r>
      <w:r>
        <w:rPr>
          <w:rFonts w:ascii="Calibri" w:hAnsi="Calibri" w:eastAsia="Calibri"/>
          <w:i w:val="true"/>
          <w:color w:val="000000"/>
          <w:spacing w:val="0"/>
          <w:w w:val="100"/>
          <w:sz w:val="22"/>
          <w:vertAlign w:val="baseline"/>
          <w:lang w:val="en-US"/>
        </w:rPr>
        <w:t xml:space="preserve">systems </w:t>
      </w:r>
      <w:r>
        <w:rPr>
          <w:rFonts w:ascii="Calibri" w:hAnsi="Calibri" w:eastAsia="Calibri"/>
          <w:color w:val="000000"/>
          <w:spacing w:val="0"/>
          <w:w w:val="100"/>
          <w:sz w:val="22"/>
          <w:vertAlign w:val="baseline"/>
          <w:lang w:val="en-US"/>
        </w:rPr>
        <w:t xml:space="preserve">and school improvement initiatives (such as in Ontario and Finland) are grounded in evidence-based practices throughout classrooms and schools, systematic induction and mentoring for novice teachers, and highly developed, school-embedded systems of professional learning as a collective rather than individual effort. She warns that in the context of teacher shortages “placing too strong an emphasis on recruitment without concomitant attention on professional development and retention could result in a continual churn within the teaching profession” (p. 294).</w:t>
      </w:r>
    </w:p>
    <w:p>
      <w:pPr>
        <w:spacing w:before="276" w:after="0" w:line="268" w:lineRule="exact"/>
        <w:ind w:right="0" w:left="72" w:firstLine="0"/>
        <w:jc w:val="left"/>
        <w:textAlignment w:val="baseline"/>
        <w:rPr>
          <w:rFonts w:ascii="Calibri" w:hAnsi="Calibri" w:eastAsia="Calibri"/>
          <w:color w:val="000000"/>
          <w:spacing w:val="0"/>
          <w:w w:val="100"/>
          <w:sz w:val="22"/>
          <w:vertAlign w:val="baseline"/>
          <w:lang w:val="en-US"/>
        </w:rPr>
      </w:pPr>
      <w:r>
        <w:pict>
          <v:shapetype id="_x0000_t28" coordsize="21600,21600" o:spt="202" path="m,l,21600r21600,l21600,xe">
            <v:stroke joinstyle="miter"/>
            <v:path gradientshapeok="t" o:connecttype="rect"/>
          </v:shapetype>
          <v:shape id="_x0000_s27" type="#_x0000_t28" filled="f" stroked="f" style="position:absolute;width:458.3pt;height:63.55pt;z-index:-999;margin-left:53.4pt;margin-top:644.4pt;mso-wrap-distance-bottom:85.25pt;mso-wrap-distance-left:0pt;mso-wrap-distance-right:27.7pt;mso-position-horizontal-relative:page;mso-position-vertical-relative:page">
            <w10:wrap type="square"/>
            <v:fill opacity="1" o:opacity2="1" recolor="f" rotate="f" type="solid"/>
            <v:textbox inset="0pt, 0pt, 0pt, 0pt">
              <w:txbxContent>
                <w:p>
                  <w:pPr>
                    <w:pBdr>
                      <w:top w:sz="4" w:space="0" w:color="000000" w:val="single"/>
                      <w:left w:sz="4" w:space="0" w:color="000000" w:val="single"/>
                      <w:bottom w:sz="4" w:space="85" w:color="000000" w:val="single"/>
                      <w:right w:sz="4" w:space="27" w:color="000000" w:val="single"/>
                    </w:pBdr>
                  </w:pP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455.3pt;height:62.65pt;z-index:-1;margin-left:54.9pt;margin-top:644.4pt;mso-wrap-distance-left:0pt;mso-wrap-distance-right:0pt;mso-position-horizontal-relative:page;mso-position-vertical-relative:page">
            <w10:wrap type="square" side="both"/>
            <v:fill opacity="1" o:opacity2="1" recolor="f" rotate="f" type="solid"/>
            <v:textbox inset="0pt, 0pt, 0pt, 0pt">
              <w:txbxContent>
                <w:p>
                  <w:pPr>
                    <w:spacing w:before="119" w:after="0" w:line="224" w:lineRule="exact"/>
                    <w:ind w:right="0" w:left="0" w:firstLine="0"/>
                    <w:jc w:val="center"/>
                    <w:textAlignment w:val="baseline"/>
                    <w:rPr>
                      <w:rFonts w:ascii="Calibri" w:hAnsi="Calibri" w:eastAsia="Calibri"/>
                      <w:color w:val="4472C4"/>
                      <w:spacing w:val="0"/>
                      <w:w w:val="100"/>
                      <w:sz w:val="22"/>
                      <w:vertAlign w:val="baseline"/>
                      <w:lang w:val="en-US"/>
                    </w:rPr>
                  </w:pPr>
                  <w:r>
                    <w:rPr>
                      <w:rFonts w:ascii="Calibri" w:hAnsi="Calibri" w:eastAsia="Calibri"/>
                      <w:color w:val="4472C4"/>
                      <w:spacing w:val="0"/>
                      <w:w w:val="100"/>
                      <w:sz w:val="22"/>
                      <w:vertAlign w:val="baseline"/>
                      <w:lang w:val="en-US"/>
                    </w:rPr>
                    <w:t xml:space="preserve">Recommendation 8</w:t>
                  </w:r>
                </w:p>
                <w:p>
                  <w:pPr>
                    <w:spacing w:before="36" w:after="69" w:line="268" w:lineRule="exact"/>
                    <w:ind w:right="648"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Introduce consistent, well-supported induction programs for new teachers (including casual teachers), with induction mentors, and research-based professional learning programs for all teachers.</w:t>
                  </w:r>
                </w:p>
              </w:txbxContent>
            </v:textbox>
          </v:shape>
        </w:pict>
      </w:r>
      <w:r>
        <w:pict>
          <v:shapetype id="_x0000_t30" coordsize="21600,21600" o:spt="202" path="m,l,21600r21600,l21600,xe">
            <v:stroke joinstyle="miter"/>
            <v:path gradientshapeok="t" o:connecttype="rect"/>
          </v:shapetype>
          <v:shape id="_x0000_s29" type="#_x0000_t30" filled="f" stroked="f" style="position:absolute;width:88.1pt;height:9.6pt;z-index:-999;margin-left:239.75pt;margin-top:651.6pt;mso-wrap-distance-left:0pt;mso-wrap-distance-right:0pt;mso-position-horizontal-relative:page;mso-position-vertical-relative:page">
            <v:fill opacity="1" o:opacity2="1" recolor="f" rotate="f" type="solid"/>
            <v:textbox inset="0pt, 0pt, 0pt, 0pt">
              <w:txbxContent>
                <w:p>
                  <w:pPr>
                    <w:spacing w:before="0" w:after="0" w:line="192" w:lineRule="exact"/>
                    <w:ind w:right="0" w:left="0"/>
                    <w:jc w:val="left"/>
                    <w:textAlignment w:val="baseline"/>
                  </w:pPr>
                  <w:r>
                    <w:drawing>
                      <wp:inline>
                        <wp:extent cx="1118870" cy="121920"/>
                        <wp:docPr name="Picture" id="14"/>
                        <a:graphic>
                          <a:graphicData uri="http://schemas.openxmlformats.org/drawingml/2006/picture">
                            <pic:pic>
                              <pic:nvPicPr>
                                <pic:cNvPr id="14" name="Picture"/>
                                <pic:cNvPicPr preferRelativeResize="false"/>
                              </pic:nvPicPr>
                              <pic:blipFill>
                                <a:blip r:embed="prId14"/>
                                <a:stretch>
                                  <a:fillRect/>
                                </a:stretch>
                              </pic:blipFill>
                              <pic:spPr>
                                <a:xfrm>
                                  <a:off x="0" y="0"/>
                                  <a:ext cx="1118870" cy="121920"/>
                                </a:xfrm>
                                <a:prstGeom prst="rect"/>
                              </pic:spPr>
                            </pic:pic>
                          </a:graphicData>
                        </a:graphic>
                      </wp:inline>
                    </w:drawing>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13.4pt;height:14.65pt;z-index:-1;margin-left:528.75pt;margin-top:792.3pt;mso-wrap-distance-left:0pt;mso-wrap-distance-right:0pt;mso-position-horizontal-relative:page;mso-position-vertical-relative:page">
            <w10:wrap type="square" side="both"/>
            <v:fill opacity="1" o:opacity2="1" recolor="f" rotate="f" type="solid"/>
            <v:textbox inset="0pt, 0pt, 0pt, 0pt">
              <w:txbxContent>
                <w:p>
                  <w:pPr>
                    <w:spacing w:before="27" w:after="0" w:line="255" w:lineRule="exact"/>
                    <w:ind w:right="0"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8</w:t>
                  </w:r>
                </w:p>
              </w:txbxContent>
            </v:textbox>
          </v:shape>
        </w:pict>
      </w:r>
      <w:r>
        <w:rPr>
          <w:rFonts w:ascii="Calibri" w:hAnsi="Calibri" w:eastAsia="Calibri"/>
          <w:color w:val="000000"/>
          <w:spacing w:val="0"/>
          <w:w w:val="100"/>
          <w:sz w:val="22"/>
          <w:vertAlign w:val="baseline"/>
          <w:lang w:val="en-US"/>
        </w:rPr>
        <w:t xml:space="preserve">ITE faculties within university-school partnerships can and already do play an important role in this vision of professional learning that is school-embedded, makes frequent use of peer observation and coaching, and develops professional conversations to identify problems and improve practice. The hub network is an effective structure for networking and sharing professional learning, but there are many other ways in which ITE providers already partner with schools to support professional learning. In Ontario for example, school improvement has centred on capacity building through increasing the use of research across Ontario schools (Darling-Hammond, 2017). The Federally funded Ontario Focused Intervention Programme (OFIP) (2018) focusses on professional learning through collaborative inquiry and sharing of current research knowledge within schools as well as networking across groups of schools.</w:t>
      </w:r>
    </w:p>
    <w:p>
      <w:pPr>
        <w:sectPr>
          <w:type w:val="nextPage"/>
          <w:pgSz w:w="11909" w:h="16838" w:orient="portrait"/>
          <w:pgMar w:bottom="3554" w:top="1420" w:right="1121" w:left="1068" w:header="720" w:footer="720"/>
          <w:titlePg w:val="false"/>
          <w:textDirection w:val="lrTb"/>
        </w:sectPr>
      </w:pPr>
    </w:p>
    <w:p>
      <w:pPr>
        <w:spacing w:before="33" w:after="0" w:line="242" w:lineRule="exact"/>
        <w:ind w:right="72" w:left="0" w:firstLine="0"/>
        <w:jc w:val="center"/>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References</w:t>
      </w:r>
    </w:p>
    <w:p>
      <w:pPr>
        <w:spacing w:before="0" w:after="0" w:line="237" w:lineRule="exact"/>
        <w:ind w:right="936" w:left="288" w:hanging="288"/>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Aarto-Pesonen, L. &amp; Tynjala, P. (2017). The Core of Professional Growth in Work-Related Teacher Education </w:t>
      </w:r>
      <w:r>
        <w:rPr>
          <w:rFonts w:ascii="Calibri" w:hAnsi="Calibri" w:eastAsia="Calibri"/>
          <w:i w:val="true"/>
          <w:color w:val="0563C1"/>
          <w:spacing w:val="0"/>
          <w:w w:val="100"/>
          <w:sz w:val="20"/>
          <w:u w:val="single"/>
          <w:vertAlign w:val="baseline"/>
          <w:lang w:val="en-US"/>
        </w:rPr>
        <w:t xml:space="preserve">Qualitative Report</w:t>
      </w:r>
      <w:r>
        <w:rPr>
          <w:rFonts w:ascii="Calibri" w:hAnsi="Calibri" w:eastAsia="Calibri"/>
          <w:i w:val="true"/>
          <w:color w:val="000000"/>
          <w:spacing w:val="0"/>
          <w:w w:val="100"/>
          <w:sz w:val="20"/>
          <w:vertAlign w:val="baseline"/>
          <w:lang w:val="en-US"/>
        </w:rPr>
        <w:t xml:space="preserve"> 22</w:t>
      </w:r>
      <w:r>
        <w:rPr>
          <w:rFonts w:ascii="Calibri" w:hAnsi="Calibri" w:eastAsia="Calibri"/>
          <w:color w:val="000000"/>
          <w:spacing w:val="0"/>
          <w:w w:val="100"/>
          <w:sz w:val="20"/>
          <w:vertAlign w:val="baseline"/>
          <w:lang w:val="en-US"/>
        </w:rPr>
        <w:t xml:space="preserve">(12):3334-3354,</w:t>
      </w:r>
      <w:r>
        <w:rPr>
          <w:rFonts w:ascii="Calibri" w:hAnsi="Calibri" w:eastAsia="Calibri"/>
          <w:color w:val="0563C1"/>
          <w:spacing w:val="0"/>
          <w:w w:val="100"/>
          <w:sz w:val="20"/>
          <w:vertAlign w:val="baseline"/>
          <w:lang w:val="en-US"/>
        </w:rPr>
        <w:t xml:space="preserve"> DOI:</w:t>
      </w:r>
      <w:r>
        <w:rPr>
          <w:rFonts w:ascii="Calibri" w:hAnsi="Calibri" w:eastAsia="Calibri"/>
          <w:color w:val="0563C1"/>
          <w:spacing w:val="0"/>
          <w:w w:val="100"/>
          <w:sz w:val="21"/>
          <w:u w:val="single"/>
          <w:vertAlign w:val="baseline"/>
          <w:lang w:val="en-US"/>
        </w:rPr>
        <w:t xml:space="preserve">10.46743/2160-3715/2017.3088</w:t>
      </w:r>
      <w:r>
        <w:rPr>
          <w:rFonts w:ascii="Calibri" w:hAnsi="Calibri" w:eastAsia="Calibri"/>
          <w:color w:val="000000"/>
          <w:spacing w:val="0"/>
          <w:w w:val="100"/>
          <w:sz w:val="20"/>
          <w:vertAlign w:val="baseline"/>
          <w:lang w:val="en-US"/>
        </w:rPr>
        <w:t xml:space="preserve"> </w:t>
      </w:r>
    </w:p>
    <w:p>
      <w:pPr>
        <w:spacing w:before="0" w:after="0" w:line="241" w:lineRule="exact"/>
        <w:ind w:right="72" w:left="288" w:hanging="288"/>
        <w:jc w:val="left"/>
        <w:textAlignment w:val="baseline"/>
        <w:rPr>
          <w:rFonts w:ascii="Calibri" w:hAnsi="Calibri" w:eastAsia="Calibri"/>
          <w:color w:val="000000"/>
          <w:spacing w:val="-5"/>
          <w:w w:val="100"/>
          <w:sz w:val="20"/>
          <w:vertAlign w:val="baseline"/>
          <w:lang w:val="en-US"/>
        </w:rPr>
      </w:pPr>
      <w:r>
        <w:rPr>
          <w:rFonts w:ascii="Calibri" w:hAnsi="Calibri" w:eastAsia="Calibri"/>
          <w:color w:val="000000"/>
          <w:spacing w:val="-5"/>
          <w:w w:val="100"/>
          <w:sz w:val="20"/>
          <w:vertAlign w:val="baseline"/>
          <w:lang w:val="en-US"/>
        </w:rPr>
        <w:t xml:space="preserve">Australian Institute for Teaching and School Leadership (AITSL) (2019): Initial Teacher Education: Data Report 2019. </w:t>
      </w:r>
      <w:r>
        <w:rPr>
          <w:rFonts w:ascii="Calibri" w:hAnsi="Calibri" w:eastAsia="Calibri"/>
          <w:color w:val="0563C1"/>
          <w:spacing w:val="-5"/>
          <w:w w:val="100"/>
          <w:sz w:val="21"/>
          <w:u w:val="single"/>
          <w:vertAlign w:val="baseline"/>
          <w:lang w:val="en-US"/>
        </w:rPr>
        <w:t xml:space="preserve">file:///D:/ITE%20submission%20research/Reports%20incl%20AITSL/AITSL%20ITE%20Data%20Report%202019.htm </w:t>
      </w:r>
      <w:r>
        <w:rPr>
          <w:rFonts w:ascii="Calibri" w:hAnsi="Calibri" w:eastAsia="Calibri"/>
          <w:color w:val="0563C1"/>
          <w:spacing w:val="-5"/>
          <w:w w:val="100"/>
          <w:sz w:val="20"/>
          <w:vertAlign w:val="baseline"/>
          <w:lang w:val="en-US"/>
        </w:rPr>
        <w:t xml:space="preserve"> l</w:t>
      </w:r>
    </w:p>
    <w:p>
      <w:pPr>
        <w:spacing w:before="6" w:after="0" w:line="244" w:lineRule="exact"/>
        <w:ind w:right="576" w:left="0"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Allen, J., Rowan, L. &amp; Singh, P. (2019). Status of the teaching profession – attracting and retaining teachers, </w:t>
      </w:r>
      <w:r>
        <w:rPr>
          <w:rFonts w:ascii="Calibri" w:hAnsi="Calibri" w:eastAsia="Calibri"/>
          <w:i w:val="true"/>
          <w:color w:val="000000"/>
          <w:spacing w:val="0"/>
          <w:w w:val="100"/>
          <w:sz w:val="20"/>
          <w:vertAlign w:val="baseline"/>
          <w:lang w:val="en-US"/>
        </w:rPr>
        <w:t xml:space="preserve">Asia-Pacific Journal of Teacher Education, 47</w:t>
      </w:r>
      <w:r>
        <w:rPr>
          <w:rFonts w:ascii="Calibri" w:hAnsi="Calibri" w:eastAsia="Calibri"/>
          <w:color w:val="000000"/>
          <w:spacing w:val="0"/>
          <w:w w:val="100"/>
          <w:sz w:val="20"/>
          <w:vertAlign w:val="baseline"/>
          <w:lang w:val="en-US"/>
        </w:rPr>
        <w:t xml:space="preserve">(2), 99-102, DOI: 10.1080/1359866X.2019.1581422</w:t>
      </w:r>
    </w:p>
    <w:p>
      <w:pPr>
        <w:spacing w:before="2" w:after="0" w:line="244" w:lineRule="exact"/>
        <w:ind w:right="504" w:left="288" w:hanging="288"/>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Billett, S. Workplace participatory practices Conceptualising workplaces as learning environments, </w:t>
      </w:r>
      <w:r>
        <w:rPr>
          <w:rFonts w:ascii="Calibri" w:hAnsi="Calibri" w:eastAsia="Calibri"/>
          <w:i w:val="true"/>
          <w:color w:val="000000"/>
          <w:spacing w:val="0"/>
          <w:w w:val="100"/>
          <w:sz w:val="20"/>
          <w:vertAlign w:val="baseline"/>
          <w:lang w:val="en-US"/>
        </w:rPr>
        <w:t xml:space="preserve">The Journal of Workplace Learning</w:t>
      </w:r>
      <w:r>
        <w:rPr>
          <w:rFonts w:ascii="Calibri" w:hAnsi="Calibri" w:eastAsia="Calibri"/>
          <w:color w:val="000000"/>
          <w:spacing w:val="0"/>
          <w:w w:val="100"/>
          <w:sz w:val="20"/>
          <w:vertAlign w:val="baseline"/>
          <w:lang w:val="en-US"/>
        </w:rPr>
        <w:t xml:space="preserve">, </w:t>
      </w:r>
      <w:r>
        <w:rPr>
          <w:rFonts w:ascii="Calibri" w:hAnsi="Calibri" w:eastAsia="Calibri"/>
          <w:i w:val="true"/>
          <w:color w:val="000000"/>
          <w:spacing w:val="0"/>
          <w:w w:val="100"/>
          <w:sz w:val="20"/>
          <w:vertAlign w:val="baseline"/>
          <w:lang w:val="en-US"/>
        </w:rPr>
        <w:t xml:space="preserve">16</w:t>
      </w:r>
      <w:r>
        <w:rPr>
          <w:rFonts w:ascii="Calibri" w:hAnsi="Calibri" w:eastAsia="Calibri"/>
          <w:color w:val="000000"/>
          <w:spacing w:val="0"/>
          <w:w w:val="100"/>
          <w:sz w:val="20"/>
          <w:vertAlign w:val="baseline"/>
          <w:lang w:val="en-US"/>
        </w:rPr>
        <w:t xml:space="preserve">(6), 312-324</w:t>
      </w:r>
    </w:p>
    <w:p>
      <w:pPr>
        <w:spacing w:before="0" w:after="0" w:line="242" w:lineRule="exact"/>
        <w:ind w:right="72" w:left="288" w:hanging="288"/>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Billett, S. &amp; Choy, S (2013). Learning through Work: Emerging Perspectives and New Challenges, </w:t>
      </w:r>
      <w:r>
        <w:rPr>
          <w:rFonts w:ascii="Calibri" w:hAnsi="Calibri" w:eastAsia="Calibri"/>
          <w:i w:val="true"/>
          <w:color w:val="000000"/>
          <w:spacing w:val="0"/>
          <w:w w:val="100"/>
          <w:sz w:val="20"/>
          <w:vertAlign w:val="baseline"/>
          <w:lang w:val="en-US"/>
        </w:rPr>
        <w:t xml:space="preserve">Journal of Workplace Learning</w:t>
      </w:r>
      <w:r>
        <w:rPr>
          <w:rFonts w:ascii="Calibri" w:hAnsi="Calibri" w:eastAsia="Calibri"/>
          <w:color w:val="000000"/>
          <w:spacing w:val="0"/>
          <w:w w:val="100"/>
          <w:sz w:val="20"/>
          <w:vertAlign w:val="baseline"/>
          <w:lang w:val="en-US"/>
        </w:rPr>
        <w:t xml:space="preserve">, </w:t>
      </w:r>
      <w:r>
        <w:rPr>
          <w:rFonts w:ascii="Calibri" w:hAnsi="Calibri" w:eastAsia="Calibri"/>
          <w:i w:val="true"/>
          <w:color w:val="000000"/>
          <w:spacing w:val="0"/>
          <w:w w:val="100"/>
          <w:sz w:val="20"/>
          <w:vertAlign w:val="baseline"/>
          <w:lang w:val="en-US"/>
        </w:rPr>
        <w:t xml:space="preserve">25</w:t>
      </w:r>
      <w:r>
        <w:rPr>
          <w:rFonts w:ascii="Calibri" w:hAnsi="Calibri" w:eastAsia="Calibri"/>
          <w:color w:val="000000"/>
          <w:spacing w:val="0"/>
          <w:w w:val="100"/>
          <w:sz w:val="20"/>
          <w:vertAlign w:val="baseline"/>
          <w:lang w:val="en-US"/>
        </w:rPr>
        <w:t xml:space="preserve">(4), 264-276</w:t>
      </w:r>
    </w:p>
    <w:p>
      <w:pPr>
        <w:spacing w:before="0" w:after="0" w:line="243" w:lineRule="exact"/>
        <w:ind w:right="504" w:left="288" w:hanging="288"/>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Bowles, T. &amp; Brindle, K. (2017). Identifying facilitating factors and barriers to improving student retention rates in tertiary teaching courses: a systematic review, </w:t>
      </w:r>
      <w:r>
        <w:rPr>
          <w:rFonts w:ascii="Calibri" w:hAnsi="Calibri" w:eastAsia="Calibri"/>
          <w:i w:val="true"/>
          <w:color w:val="000000"/>
          <w:spacing w:val="0"/>
          <w:w w:val="100"/>
          <w:sz w:val="20"/>
          <w:vertAlign w:val="baseline"/>
          <w:lang w:val="en-US"/>
        </w:rPr>
        <w:t xml:space="preserve">Higher Education Research and Development, 36</w:t>
      </w:r>
      <w:r>
        <w:rPr>
          <w:rFonts w:ascii="Calibri" w:hAnsi="Calibri" w:eastAsia="Calibri"/>
          <w:color w:val="000000"/>
          <w:spacing w:val="0"/>
          <w:w w:val="100"/>
          <w:sz w:val="20"/>
          <w:vertAlign w:val="baseline"/>
          <w:lang w:val="en-US"/>
        </w:rPr>
        <w:t xml:space="preserve">(5):1-17, DOI:10.1080/07294360.2016.1264927</w:t>
      </w:r>
    </w:p>
    <w:p>
      <w:pPr>
        <w:spacing w:before="4" w:after="0" w:line="245" w:lineRule="exact"/>
        <w:ind w:right="288" w:left="288" w:hanging="288"/>
        <w:jc w:val="left"/>
        <w:textAlignment w:val="baseline"/>
        <w:rPr>
          <w:rFonts w:ascii="Calibri" w:hAnsi="Calibri" w:eastAsia="Calibri"/>
          <w:color w:val="000000"/>
          <w:spacing w:val="-4"/>
          <w:w w:val="100"/>
          <w:sz w:val="20"/>
          <w:vertAlign w:val="baseline"/>
          <w:lang w:val="en-US"/>
        </w:rPr>
      </w:pPr>
      <w:r>
        <w:rPr>
          <w:rFonts w:ascii="Calibri" w:hAnsi="Calibri" w:eastAsia="Calibri"/>
          <w:color w:val="000000"/>
          <w:spacing w:val="-4"/>
          <w:w w:val="100"/>
          <w:sz w:val="20"/>
          <w:vertAlign w:val="baseline"/>
          <w:lang w:val="en-US"/>
        </w:rPr>
        <w:t xml:space="preserve">Brown Centre on Education Policy (2018) </w:t>
      </w:r>
      <w:r>
        <w:rPr>
          <w:rFonts w:ascii="Calibri" w:hAnsi="Calibri" w:eastAsia="Calibri"/>
          <w:i w:val="true"/>
          <w:color w:val="000000"/>
          <w:spacing w:val="-4"/>
          <w:w w:val="100"/>
          <w:sz w:val="20"/>
          <w:vertAlign w:val="baseline"/>
          <w:lang w:val="en-US"/>
        </w:rPr>
        <w:t xml:space="preserve">Teacher diversity in America</w:t>
      </w:r>
      <w:r>
        <w:rPr>
          <w:rFonts w:ascii="Calibri" w:hAnsi="Calibri" w:eastAsia="Calibri"/>
          <w:color w:val="000000"/>
          <w:spacing w:val="-4"/>
          <w:w w:val="100"/>
          <w:sz w:val="20"/>
          <w:vertAlign w:val="baseline"/>
          <w:lang w:val="en-US"/>
        </w:rPr>
        <w:t xml:space="preserve">,</w:t>
      </w:r>
      <w:r>
        <w:rPr>
          <w:rFonts w:ascii="Calibri" w:hAnsi="Calibri" w:eastAsia="Calibri"/>
          <w:color w:val="0563C1"/>
          <w:spacing w:val="-4"/>
          <w:w w:val="100"/>
          <w:sz w:val="21"/>
          <w:u w:val="single"/>
          <w:vertAlign w:val="baseline"/>
          <w:lang w:val="en-US"/>
        </w:rPr>
        <w:t xml:space="preserve"> </w:t>
      </w:r>
      <w:hyperlink r:id="dhId2">
        <w:r>
          <w:rPr>
            <w:rFonts w:ascii="Calibri" w:hAnsi="Calibri" w:eastAsia="Calibri"/>
            <w:color w:val="0000FF"/>
            <w:spacing w:val="-4"/>
            <w:w w:val="100"/>
            <w:sz w:val="21"/>
            <w:u w:val="single"/>
            <w:vertAlign w:val="baseline"/>
            <w:lang w:val="en-US"/>
          </w:rPr>
          <w:t xml:space="preserve">https://www.brookings.edu/research/2018</w:t>
        </w:r>
      </w:hyperlink>
      <w:r>
        <w:rPr>
          <w:rFonts w:ascii="Calibri" w:hAnsi="Calibri" w:eastAsia="Calibri"/>
          <w:color w:val="0563C1"/>
          <w:spacing w:val="-4"/>
          <w:w w:val="100"/>
          <w:sz w:val="21"/>
          <w:u w:val="single"/>
          <w:vertAlign w:val="baseline"/>
          <w:lang w:val="en-US"/>
        </w:rPr>
        <w:t xml:space="preserve">-brown-center-report-on-american-education-understanding-the-social-studies-teacher-workforce/</w:t>
      </w:r>
      <w:r>
        <w:rPr>
          <w:rFonts w:ascii="Calibri" w:hAnsi="Calibri" w:eastAsia="Calibri"/>
          <w:color w:val="000000"/>
          <w:spacing w:val="-4"/>
          <w:w w:val="100"/>
          <w:sz w:val="21"/>
          <w:u w:val="single"/>
          <w:vertAlign w:val="baseline"/>
          <w:lang w:val="en-US"/>
        </w:rPr>
        <w:t xml:space="preserve"> </w:t>
      </w:r>
    </w:p>
    <w:p>
      <w:pPr>
        <w:spacing w:before="0" w:after="0" w:line="243" w:lineRule="exact"/>
        <w:ind w:right="288" w:left="288" w:hanging="288"/>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Cosner, S., Leslie, D. &amp; Shyjka, A. (2019): Supporting Instructional Transformation Tied to Standards-Based Reforms: Examining a Learning-Focused Approach to Supporting School-Wide Implementation, </w:t>
      </w:r>
      <w:r>
        <w:rPr>
          <w:rFonts w:ascii="Calibri" w:hAnsi="Calibri" w:eastAsia="Calibri"/>
          <w:i w:val="true"/>
          <w:color w:val="000000"/>
          <w:spacing w:val="0"/>
          <w:w w:val="100"/>
          <w:sz w:val="20"/>
          <w:vertAlign w:val="baseline"/>
          <w:lang w:val="en-US"/>
        </w:rPr>
        <w:t xml:space="preserve">Leadership and Policy in Schools</w:t>
      </w:r>
      <w:r>
        <w:rPr>
          <w:rFonts w:ascii="Calibri" w:hAnsi="Calibri" w:eastAsia="Calibri"/>
          <w:color w:val="000000"/>
          <w:spacing w:val="0"/>
          <w:w w:val="100"/>
          <w:sz w:val="20"/>
          <w:vertAlign w:val="baseline"/>
          <w:lang w:val="en-US"/>
        </w:rPr>
        <w:t xml:space="preserve">, DOI:10.1080/15700763.2018.1551550</w:t>
      </w:r>
    </w:p>
    <w:p>
      <w:pPr>
        <w:spacing w:before="3" w:after="0" w:line="244" w:lineRule="exact"/>
        <w:ind w:right="288" w:left="288" w:hanging="288"/>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Darling-Hammond, L. (2017). Teacher education around the world: What can we learn from international practice?, </w:t>
      </w:r>
      <w:r>
        <w:rPr>
          <w:rFonts w:ascii="Calibri" w:hAnsi="Calibri" w:eastAsia="Calibri"/>
          <w:i w:val="true"/>
          <w:color w:val="000000"/>
          <w:spacing w:val="0"/>
          <w:w w:val="100"/>
          <w:sz w:val="20"/>
          <w:vertAlign w:val="baseline"/>
          <w:lang w:val="en-US"/>
        </w:rPr>
        <w:t xml:space="preserve">European Journal of Teacher Education</w:t>
      </w:r>
      <w:r>
        <w:rPr>
          <w:rFonts w:ascii="Calibri" w:hAnsi="Calibri" w:eastAsia="Calibri"/>
          <w:color w:val="000000"/>
          <w:spacing w:val="0"/>
          <w:w w:val="100"/>
          <w:sz w:val="20"/>
          <w:vertAlign w:val="baseline"/>
          <w:lang w:val="en-US"/>
        </w:rPr>
        <w:t xml:space="preserve">, </w:t>
      </w:r>
      <w:r>
        <w:rPr>
          <w:rFonts w:ascii="Calibri" w:hAnsi="Calibri" w:eastAsia="Calibri"/>
          <w:i w:val="true"/>
          <w:color w:val="000000"/>
          <w:spacing w:val="0"/>
          <w:w w:val="100"/>
          <w:sz w:val="20"/>
          <w:vertAlign w:val="baseline"/>
          <w:lang w:val="en-US"/>
        </w:rPr>
        <w:t xml:space="preserve">40</w:t>
      </w:r>
      <w:r>
        <w:rPr>
          <w:rFonts w:ascii="Calibri" w:hAnsi="Calibri" w:eastAsia="Calibri"/>
          <w:color w:val="000000"/>
          <w:spacing w:val="0"/>
          <w:w w:val="100"/>
          <w:sz w:val="20"/>
          <w:vertAlign w:val="baseline"/>
          <w:lang w:val="en-US"/>
        </w:rPr>
        <w:t xml:space="preserve">(3), 291-309, DOI: 10.1080/02619768.2017.1315399</w:t>
      </w:r>
    </w:p>
    <w:p>
      <w:pPr>
        <w:spacing w:before="1" w:after="0" w:line="244" w:lineRule="exact"/>
        <w:ind w:right="360" w:left="288" w:hanging="288"/>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Darling-Hammond, L. &amp; Bransford, J. (Eds). (2005). </w:t>
      </w:r>
      <w:r>
        <w:rPr>
          <w:rFonts w:ascii="Calibri" w:hAnsi="Calibri" w:eastAsia="Calibri"/>
          <w:i w:val="true"/>
          <w:color w:val="000000"/>
          <w:spacing w:val="0"/>
          <w:w w:val="100"/>
          <w:sz w:val="20"/>
          <w:vertAlign w:val="baseline"/>
          <w:lang w:val="en-US"/>
        </w:rPr>
        <w:t xml:space="preserve">Preparing teachers for a changing world: What teachers should learn and be able to do. </w:t>
      </w:r>
      <w:r>
        <w:rPr>
          <w:rFonts w:ascii="Calibri" w:hAnsi="Calibri" w:eastAsia="Calibri"/>
          <w:color w:val="000000"/>
          <w:spacing w:val="0"/>
          <w:w w:val="100"/>
          <w:sz w:val="20"/>
          <w:vertAlign w:val="baseline"/>
          <w:lang w:val="en-US"/>
        </w:rPr>
        <w:t xml:space="preserve">Jossey-Bass.</w:t>
      </w:r>
    </w:p>
    <w:p>
      <w:pPr>
        <w:spacing w:before="0" w:after="0" w:line="243" w:lineRule="exact"/>
        <w:ind w:right="360" w:left="288" w:hanging="288"/>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Darling-Hammond L., Burns, D., Campbell, C., Goodwin, A.L., Hammerness, K. Ling Low, E., McIntyre, A., Sato, M. &amp; Zeichner, K. (2017) </w:t>
      </w:r>
      <w:r>
        <w:rPr>
          <w:rFonts w:ascii="Calibri" w:hAnsi="Calibri" w:eastAsia="Calibri"/>
          <w:i w:val="true"/>
          <w:color w:val="000000"/>
          <w:spacing w:val="0"/>
          <w:w w:val="100"/>
          <w:sz w:val="20"/>
          <w:vertAlign w:val="baseline"/>
          <w:lang w:val="en-US"/>
        </w:rPr>
        <w:t xml:space="preserve">Empowered Educators: How High-Performing Systems Shape Teaching Quality Around the World</w:t>
      </w:r>
      <w:r>
        <w:rPr>
          <w:rFonts w:ascii="Calibri" w:hAnsi="Calibri" w:eastAsia="Calibri"/>
          <w:color w:val="000000"/>
          <w:spacing w:val="0"/>
          <w:w w:val="100"/>
          <w:sz w:val="20"/>
          <w:vertAlign w:val="baseline"/>
          <w:lang w:val="en-US"/>
        </w:rPr>
        <w:t xml:space="preserve">, Jossey-Bass.</w:t>
      </w:r>
    </w:p>
    <w:p>
      <w:pPr>
        <w:spacing w:before="37" w:after="0" w:line="208" w:lineRule="exact"/>
        <w:ind w:right="72" w:left="0"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Department for Education (DfE) (2019). Teacher Recruitment and Retention Strategy,</w:t>
      </w:r>
    </w:p>
    <w:p>
      <w:pPr>
        <w:spacing w:before="0" w:after="0" w:line="244" w:lineRule="exact"/>
        <w:ind w:right="72" w:left="288" w:hanging="288"/>
        <w:jc w:val="left"/>
        <w:textAlignment w:val="baseline"/>
        <w:rPr>
          <w:rFonts w:ascii="Calibri" w:hAnsi="Calibri" w:eastAsia="Calibri"/>
          <w:color w:val="0563C1"/>
          <w:spacing w:val="-5"/>
          <w:w w:val="100"/>
          <w:sz w:val="21"/>
          <w:u w:val="single"/>
          <w:vertAlign w:val="baseline"/>
          <w:lang w:val="en-US"/>
        </w:rPr>
      </w:pPr>
      <w:hyperlink r:id="dhId3">
        <w:r>
          <w:rPr>
            <w:rFonts w:ascii="Calibri" w:hAnsi="Calibri" w:eastAsia="Calibri"/>
            <w:color w:val="0000FF"/>
            <w:spacing w:val="-5"/>
            <w:w w:val="100"/>
            <w:sz w:val="21"/>
            <w:u w:val="single"/>
            <w:vertAlign w:val="baseline"/>
            <w:lang w:val="en-US"/>
          </w:rPr>
          <w:t xml:space="preserve">https://assets.publishing.service.gov.uk/government/uploads/system/uploads/attachment_data/file/786856/DFE_Te</w:t>
        </w:r>
      </w:hyperlink>
      <w:r>
        <w:rPr>
          <w:rFonts w:ascii="Calibri" w:hAnsi="Calibri" w:eastAsia="Calibri"/>
          <w:color w:val="0563C1"/>
          <w:spacing w:val="-5"/>
          <w:w w:val="100"/>
          <w:sz w:val="21"/>
          <w:u w:val="single"/>
          <w:vertAlign w:val="baseline"/>
          <w:lang w:val="en-US"/>
        </w:rPr>
        <w:t xml:space="preserve">  acher_Retention_Strategy_Report.pdf</w:t>
      </w:r>
    </w:p>
    <w:p>
      <w:pPr>
        <w:spacing w:before="0" w:after="0" w:line="245" w:lineRule="exact"/>
        <w:ind w:right="72" w:left="288" w:hanging="288"/>
        <w:jc w:val="left"/>
        <w:textAlignment w:val="baseline"/>
        <w:rPr>
          <w:rFonts w:ascii="Calibri" w:hAnsi="Calibri" w:eastAsia="Calibri"/>
          <w:color w:val="000000"/>
          <w:spacing w:val="-4"/>
          <w:w w:val="100"/>
          <w:sz w:val="20"/>
          <w:vertAlign w:val="baseline"/>
          <w:lang w:val="en-US"/>
        </w:rPr>
      </w:pPr>
      <w:r>
        <w:rPr>
          <w:rFonts w:ascii="Calibri" w:hAnsi="Calibri" w:eastAsia="Calibri"/>
          <w:color w:val="000000"/>
          <w:spacing w:val="-4"/>
          <w:w w:val="100"/>
          <w:sz w:val="20"/>
          <w:vertAlign w:val="baseline"/>
          <w:lang w:val="en-US"/>
        </w:rPr>
        <w:t xml:space="preserve">Department for Education (DfE) (2020) Early Career Framework,</w:t>
      </w:r>
      <w:r>
        <w:rPr>
          <w:rFonts w:ascii="Calibri" w:hAnsi="Calibri" w:eastAsia="Calibri"/>
          <w:color w:val="0563C1"/>
          <w:spacing w:val="-4"/>
          <w:w w:val="100"/>
          <w:sz w:val="21"/>
          <w:u w:val="single"/>
          <w:vertAlign w:val="baseline"/>
          <w:lang w:val="en-US"/>
        </w:rPr>
        <w:t xml:space="preserve"> </w:t>
      </w:r>
      <w:hyperlink r:id="dhId4">
        <w:r>
          <w:rPr>
            <w:rFonts w:ascii="Calibri" w:hAnsi="Calibri" w:eastAsia="Calibri"/>
            <w:color w:val="0000FF"/>
            <w:spacing w:val="-4"/>
            <w:w w:val="100"/>
            <w:sz w:val="21"/>
            <w:u w:val="single"/>
            <w:vertAlign w:val="baseline"/>
            <w:lang w:val="en-US"/>
          </w:rPr>
          <w:t xml:space="preserve">https://www.gov.uk/government/publications/early</w:t>
        </w:r>
      </w:hyperlink>
      <w:r>
        <w:rPr>
          <w:rFonts w:ascii="Calibri" w:hAnsi="Calibri" w:eastAsia="Calibri"/>
          <w:color w:val="0563C1"/>
          <w:spacing w:val="-4"/>
          <w:w w:val="100"/>
          <w:sz w:val="21"/>
          <w:u w:val="single"/>
          <w:vertAlign w:val="baseline"/>
          <w:lang w:val="en-US"/>
        </w:rPr>
        <w:t xml:space="preserve">-career-framework-reforms-overview/early-career-framework-reforms-overview</w:t>
      </w:r>
      <w:r>
        <w:rPr>
          <w:rFonts w:ascii="Calibri" w:hAnsi="Calibri" w:eastAsia="Calibri"/>
          <w:color w:val="000000"/>
          <w:spacing w:val="-4"/>
          <w:w w:val="100"/>
          <w:sz w:val="21"/>
          <w:u w:val="single"/>
          <w:vertAlign w:val="baseline"/>
          <w:lang w:val="en-US"/>
        </w:rPr>
        <w:t xml:space="preserve"> </w:t>
      </w:r>
    </w:p>
    <w:p>
      <w:pPr>
        <w:spacing w:before="0" w:after="0" w:line="242" w:lineRule="exact"/>
        <w:ind w:right="1152" w:left="288" w:hanging="288"/>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Desimone, L. M. (2009). Improving impact studies of teachers’ professional development: Toward better conceptualizations and measures. </w:t>
      </w:r>
      <w:r>
        <w:rPr>
          <w:rFonts w:ascii="Calibri" w:hAnsi="Calibri" w:eastAsia="Calibri"/>
          <w:i w:val="true"/>
          <w:color w:val="000000"/>
          <w:spacing w:val="0"/>
          <w:w w:val="100"/>
          <w:sz w:val="20"/>
          <w:vertAlign w:val="baseline"/>
          <w:lang w:val="en-US"/>
        </w:rPr>
        <w:t xml:space="preserve">Educational Researcher, 38</w:t>
      </w:r>
      <w:r>
        <w:rPr>
          <w:rFonts w:ascii="Calibri" w:hAnsi="Calibri" w:eastAsia="Calibri"/>
          <w:color w:val="000000"/>
          <w:spacing w:val="0"/>
          <w:w w:val="100"/>
          <w:sz w:val="20"/>
          <w:vertAlign w:val="baseline"/>
          <w:lang w:val="en-US"/>
        </w:rPr>
        <w:t xml:space="preserve">(3), 181-199.</w:t>
      </w:r>
    </w:p>
    <w:p>
      <w:pPr>
        <w:spacing w:before="1" w:after="0" w:line="244" w:lineRule="exact"/>
        <w:ind w:right="288" w:left="288" w:hanging="288"/>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Fitzgerald, S., McGrath-Champ, S., Stacey, R., Wilson, R. &amp; Gavin, M. (2019). Intensification of teachers’ work under devolution: A ‘tsunami’ of paperwork. </w:t>
      </w:r>
      <w:r>
        <w:rPr>
          <w:rFonts w:ascii="Calibri" w:hAnsi="Calibri" w:eastAsia="Calibri"/>
          <w:i w:val="true"/>
          <w:color w:val="000000"/>
          <w:spacing w:val="0"/>
          <w:w w:val="100"/>
          <w:sz w:val="20"/>
          <w:vertAlign w:val="baseline"/>
          <w:lang w:val="en-US"/>
        </w:rPr>
        <w:t xml:space="preserve">Journal of Industrial Relations</w:t>
      </w:r>
      <w:r>
        <w:rPr>
          <w:rFonts w:ascii="Calibri" w:hAnsi="Calibri" w:eastAsia="Calibri"/>
          <w:color w:val="000000"/>
          <w:spacing w:val="0"/>
          <w:w w:val="100"/>
          <w:sz w:val="20"/>
          <w:vertAlign w:val="baseline"/>
          <w:lang w:val="en-US"/>
        </w:rPr>
        <w:t xml:space="preserve">, </w:t>
      </w:r>
      <w:r>
        <w:rPr>
          <w:rFonts w:ascii="Calibri" w:hAnsi="Calibri" w:eastAsia="Calibri"/>
          <w:i w:val="true"/>
          <w:color w:val="000000"/>
          <w:spacing w:val="0"/>
          <w:w w:val="100"/>
          <w:sz w:val="20"/>
          <w:vertAlign w:val="baseline"/>
          <w:lang w:val="en-US"/>
        </w:rPr>
        <w:t xml:space="preserve">61</w:t>
      </w:r>
      <w:r>
        <w:rPr>
          <w:rFonts w:ascii="Calibri" w:hAnsi="Calibri" w:eastAsia="Calibri"/>
          <w:color w:val="000000"/>
          <w:spacing w:val="0"/>
          <w:w w:val="100"/>
          <w:sz w:val="20"/>
          <w:vertAlign w:val="baseline"/>
          <w:lang w:val="en-US"/>
        </w:rPr>
        <w:t xml:space="preserve">(5), 613–636</w:t>
      </w:r>
    </w:p>
    <w:p>
      <w:pPr>
        <w:spacing w:before="2" w:after="0" w:line="244" w:lineRule="exact"/>
        <w:ind w:right="864" w:left="288" w:hanging="288"/>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Gallant, A. &amp; Riley, P. (2017) Early career teacher attrition in Australia: inconvenient truths about new public management, </w:t>
      </w:r>
      <w:r>
        <w:rPr>
          <w:rFonts w:ascii="Calibri" w:hAnsi="Calibri" w:eastAsia="Calibri"/>
          <w:i w:val="true"/>
          <w:color w:val="000000"/>
          <w:spacing w:val="0"/>
          <w:w w:val="100"/>
          <w:sz w:val="20"/>
          <w:vertAlign w:val="baseline"/>
          <w:lang w:val="en-US"/>
        </w:rPr>
        <w:t xml:space="preserve">Teachers and Teaching</w:t>
      </w:r>
      <w:r>
        <w:rPr>
          <w:rFonts w:ascii="Calibri" w:hAnsi="Calibri" w:eastAsia="Calibri"/>
          <w:color w:val="000000"/>
          <w:spacing w:val="0"/>
          <w:w w:val="100"/>
          <w:sz w:val="20"/>
          <w:vertAlign w:val="baseline"/>
          <w:lang w:val="en-US"/>
        </w:rPr>
        <w:t xml:space="preserve">, </w:t>
      </w:r>
      <w:r>
        <w:rPr>
          <w:rFonts w:ascii="Calibri" w:hAnsi="Calibri" w:eastAsia="Calibri"/>
          <w:i w:val="true"/>
          <w:color w:val="000000"/>
          <w:spacing w:val="0"/>
          <w:w w:val="100"/>
          <w:sz w:val="20"/>
          <w:vertAlign w:val="baseline"/>
          <w:lang w:val="en-US"/>
        </w:rPr>
        <w:t xml:space="preserve">23</w:t>
      </w:r>
      <w:r>
        <w:rPr>
          <w:rFonts w:ascii="Calibri" w:hAnsi="Calibri" w:eastAsia="Calibri"/>
          <w:color w:val="000000"/>
          <w:spacing w:val="0"/>
          <w:w w:val="100"/>
          <w:sz w:val="20"/>
          <w:vertAlign w:val="baseline"/>
          <w:lang w:val="en-US"/>
        </w:rPr>
        <w:t xml:space="preserve">(8), 896-913, DOI: 10.1080/13540602.2017.1358707</w:t>
      </w:r>
    </w:p>
    <w:p>
      <w:pPr>
        <w:spacing w:before="1" w:after="0" w:line="244" w:lineRule="exact"/>
        <w:ind w:right="360" w:left="288" w:hanging="288"/>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Gegenfurtner, A. (2011). Motivation and transfer in professional training: a meta-analysis of moderating effects of knowledge type, instruction, and assessment conditions. </w:t>
      </w:r>
      <w:r>
        <w:rPr>
          <w:rFonts w:ascii="Calibri" w:hAnsi="Calibri" w:eastAsia="Calibri"/>
          <w:i w:val="true"/>
          <w:color w:val="000000"/>
          <w:spacing w:val="0"/>
          <w:w w:val="100"/>
          <w:sz w:val="20"/>
          <w:vertAlign w:val="baseline"/>
          <w:lang w:val="en-US"/>
        </w:rPr>
        <w:t xml:space="preserve">Educational Research Review, 6, </w:t>
      </w:r>
      <w:r>
        <w:rPr>
          <w:rFonts w:ascii="Calibri" w:hAnsi="Calibri" w:eastAsia="Calibri"/>
          <w:color w:val="000000"/>
          <w:spacing w:val="0"/>
          <w:w w:val="100"/>
          <w:sz w:val="20"/>
          <w:vertAlign w:val="baseline"/>
          <w:lang w:val="en-US"/>
        </w:rPr>
        <w:t xml:space="preserve">153– 168.</w:t>
      </w:r>
    </w:p>
    <w:p>
      <w:pPr>
        <w:spacing w:before="0" w:after="0" w:line="242" w:lineRule="exact"/>
        <w:ind w:right="72" w:left="288" w:hanging="288"/>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Goe, L. &amp; Roth, A. (2018). </w:t>
      </w:r>
      <w:r>
        <w:rPr>
          <w:rFonts w:ascii="Calibri" w:hAnsi="Calibri" w:eastAsia="Calibri"/>
          <w:i w:val="true"/>
          <w:color w:val="000000"/>
          <w:spacing w:val="0"/>
          <w:w w:val="100"/>
          <w:sz w:val="20"/>
          <w:vertAlign w:val="baseline"/>
          <w:lang w:val="en-US"/>
        </w:rPr>
        <w:t xml:space="preserve">Diversifying the Teacher Workforce: Evidence from Surveys, Phone Interviews, and Site Visits With Educator Preparation Programs, ETS Report Series, 2019</w:t>
      </w:r>
      <w:r>
        <w:rPr>
          <w:rFonts w:ascii="Calibri" w:hAnsi="Calibri" w:eastAsia="Calibri"/>
          <w:color w:val="000000"/>
          <w:spacing w:val="0"/>
          <w:w w:val="100"/>
          <w:sz w:val="20"/>
          <w:vertAlign w:val="baseline"/>
          <w:lang w:val="en-US"/>
        </w:rPr>
        <w:t xml:space="preserve">(1), 1-51</w:t>
      </w:r>
    </w:p>
    <w:p>
      <w:pPr>
        <w:spacing w:before="3" w:after="0" w:line="244" w:lineRule="exact"/>
        <w:ind w:right="72" w:left="288" w:hanging="288"/>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Gore, J., Holmes, K., Smith, M &amp; Fray, L. (2015). Investigating the factors that influence the choice of teaching as a first career, A Report commissioned by the Queensland College of Teachers. </w:t>
      </w:r>
      <w:hyperlink r:id="dhId5">
        <w:r>
          <w:rPr>
            <w:rFonts w:ascii="Calibri" w:hAnsi="Calibri" w:eastAsia="Calibri"/>
            <w:color w:val="0000FF"/>
            <w:spacing w:val="0"/>
            <w:w w:val="100"/>
            <w:sz w:val="21"/>
            <w:u w:val="single"/>
            <w:vertAlign w:val="baseline"/>
            <w:lang w:val="en-US"/>
          </w:rPr>
          <w:t xml:space="preserve">https://cdn.qct.edu.au/pdf/Research/WhyPeopleChooseTeachingLiteratureReview.pdf</w:t>
        </w:r>
      </w:hyperlink>
      <w:r>
        <w:rPr>
          <w:rFonts w:ascii="Calibri" w:hAnsi="Calibri" w:eastAsia="Calibri"/>
          <w:color w:val="0563C1"/>
          <w:spacing w:val="0"/>
          <w:w w:val="100"/>
          <w:sz w:val="20"/>
          <w:vertAlign w:val="baseline"/>
          <w:lang w:val="en-US"/>
        </w:rPr>
        <w:t xml:space="preserve">
</w:t>
      </w:r>
    </w:p>
    <w:p>
      <w:pPr>
        <w:spacing w:before="0" w:after="0" w:line="242" w:lineRule="exact"/>
        <w:ind w:right="360" w:left="288" w:hanging="288"/>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Goss, P. &amp; Sonnemann, J. (2019). Attracting High Achievers to Teaching, Grattan Institute Report No. 2019-08, July 2019.</w:t>
      </w:r>
    </w:p>
    <w:p>
      <w:pPr>
        <w:spacing w:before="0" w:after="0" w:line="243" w:lineRule="exact"/>
        <w:ind w:right="72" w:left="288" w:hanging="288"/>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Gray, C., Wright, P. &amp; Pascoe, R. (2019). “They made me feel like a teacher rather than a praccie”: sinking or swimming in pre-service drama education, </w:t>
      </w:r>
      <w:r>
        <w:rPr>
          <w:rFonts w:ascii="Calibri" w:hAnsi="Calibri" w:eastAsia="Calibri"/>
          <w:i w:val="true"/>
          <w:color w:val="000000"/>
          <w:spacing w:val="0"/>
          <w:w w:val="100"/>
          <w:sz w:val="20"/>
          <w:vertAlign w:val="baseline"/>
          <w:lang w:val="en-US"/>
        </w:rPr>
        <w:t xml:space="preserve">Asia-Pacific Journal of Teacher Education</w:t>
      </w:r>
      <w:r>
        <w:rPr>
          <w:rFonts w:ascii="Calibri" w:hAnsi="Calibri" w:eastAsia="Calibri"/>
          <w:color w:val="000000"/>
          <w:spacing w:val="0"/>
          <w:w w:val="100"/>
          <w:sz w:val="20"/>
          <w:vertAlign w:val="baseline"/>
          <w:lang w:val="en-US"/>
        </w:rPr>
        <w:t xml:space="preserve">, </w:t>
      </w:r>
      <w:r>
        <w:rPr>
          <w:rFonts w:ascii="Calibri" w:hAnsi="Calibri" w:eastAsia="Calibri"/>
          <w:i w:val="true"/>
          <w:color w:val="000000"/>
          <w:spacing w:val="0"/>
          <w:w w:val="100"/>
          <w:sz w:val="20"/>
          <w:vertAlign w:val="baseline"/>
          <w:lang w:val="en-US"/>
        </w:rPr>
        <w:t xml:space="preserve">47</w:t>
      </w:r>
      <w:r>
        <w:rPr>
          <w:rFonts w:ascii="Calibri" w:hAnsi="Calibri" w:eastAsia="Calibri"/>
          <w:color w:val="000000"/>
          <w:spacing w:val="0"/>
          <w:w w:val="100"/>
          <w:sz w:val="20"/>
          <w:vertAlign w:val="baseline"/>
          <w:lang w:val="en-US"/>
        </w:rPr>
        <w:t xml:space="preserve">(2), 193-207, DOI: 10.1080/1359866X.2018.1504279</w:t>
      </w:r>
    </w:p>
    <w:p>
      <w:pPr>
        <w:spacing w:before="6" w:after="0" w:line="244" w:lineRule="exact"/>
        <w:ind w:right="288" w:left="288" w:hanging="288"/>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Green, C.A., Tindall-Ford, S.K. &amp; Eady, M. (2020). School-university partnerships in Australia: a systematic literature review, </w:t>
      </w:r>
      <w:r>
        <w:rPr>
          <w:rFonts w:ascii="Calibri" w:hAnsi="Calibri" w:eastAsia="Calibri"/>
          <w:i w:val="true"/>
          <w:color w:val="000000"/>
          <w:spacing w:val="0"/>
          <w:w w:val="100"/>
          <w:sz w:val="20"/>
          <w:vertAlign w:val="baseline"/>
          <w:lang w:val="en-US"/>
        </w:rPr>
        <w:t xml:space="preserve">Asia-Pacific Journal of Teacher Education, 48</w:t>
      </w:r>
      <w:r>
        <w:rPr>
          <w:rFonts w:ascii="Calibri" w:hAnsi="Calibri" w:eastAsia="Calibri"/>
          <w:color w:val="000000"/>
          <w:spacing w:val="0"/>
          <w:w w:val="100"/>
          <w:sz w:val="20"/>
          <w:vertAlign w:val="baseline"/>
          <w:lang w:val="en-US"/>
        </w:rPr>
        <w:t xml:space="preserve">(4), 403-435</w:t>
      </w:r>
    </w:p>
    <w:p>
      <w:pPr>
        <w:spacing w:before="3" w:after="0" w:line="244" w:lineRule="exact"/>
        <w:ind w:right="504" w:left="288" w:hanging="288"/>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Laming, A. (2018). Inquiry to examine the Status of the Teaching Profession, Independent Education Union of Australia,</w:t>
      </w:r>
      <w:r>
        <w:rPr>
          <w:rFonts w:ascii="Calibri" w:hAnsi="Calibri" w:eastAsia="Calibri"/>
          <w:color w:val="0563C1"/>
          <w:spacing w:val="0"/>
          <w:w w:val="100"/>
          <w:sz w:val="21"/>
          <w:u w:val="single"/>
          <w:vertAlign w:val="baseline"/>
          <w:lang w:val="en-US"/>
        </w:rPr>
        <w:t xml:space="preserve"> </w:t>
      </w:r>
      <w:hyperlink r:id="dhId6">
        <w:r>
          <w:rPr>
            <w:rFonts w:ascii="Calibri" w:hAnsi="Calibri" w:eastAsia="Calibri"/>
            <w:color w:val="0000FF"/>
            <w:spacing w:val="0"/>
            <w:w w:val="100"/>
            <w:sz w:val="21"/>
            <w:u w:val="single"/>
            <w:vertAlign w:val="baseline"/>
            <w:lang w:val="en-US"/>
          </w:rPr>
          <w:t xml:space="preserve">https://ieuwa.org.au/wp-content/uploads/2019/02/Status-of-the-Teaching-Profession-Submission-final.pdf</w:t>
        </w:r>
      </w:hyperlink>
      <w:r>
        <w:rPr>
          <w:rFonts w:ascii="Calibri" w:hAnsi="Calibri" w:eastAsia="Calibri"/>
          <w:color w:val="0563C1"/>
          <w:spacing w:val="0"/>
          <w:w w:val="100"/>
          <w:sz w:val="21"/>
          <w:u w:val="single"/>
          <w:vertAlign w:val="baseline"/>
          <w:lang w:val="en-US"/>
        </w:rPr>
        <w:t xml:space="preserve">
</w:t>
      </w:r>
    </w:p>
    <w:p>
      <w:pPr>
        <w:spacing w:before="0" w:after="470" w:line="242" w:lineRule="exact"/>
        <w:ind w:right="72" w:left="288" w:hanging="288"/>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Le Cornu, R. (2016). </w:t>
      </w:r>
      <w:r>
        <w:rPr>
          <w:rFonts w:ascii="Calibri" w:hAnsi="Calibri" w:eastAsia="Calibri"/>
          <w:i w:val="true"/>
          <w:color w:val="000000"/>
          <w:spacing w:val="0"/>
          <w:w w:val="100"/>
          <w:sz w:val="20"/>
          <w:vertAlign w:val="baseline"/>
          <w:lang w:val="en-US"/>
        </w:rPr>
        <w:t xml:space="preserve">Professional experience: learning from the past to build the future</w:t>
      </w:r>
      <w:r>
        <w:rPr>
          <w:rFonts w:ascii="Calibri" w:hAnsi="Calibri" w:eastAsia="Calibri"/>
          <w:color w:val="000000"/>
          <w:spacing w:val="0"/>
          <w:w w:val="100"/>
          <w:sz w:val="20"/>
          <w:vertAlign w:val="baseline"/>
          <w:lang w:val="en-US"/>
        </w:rPr>
        <w:t xml:space="preserve">, Asia-Pacific </w:t>
      </w:r>
      <w:r>
        <w:rPr>
          <w:rFonts w:ascii="Calibri" w:hAnsi="Calibri" w:eastAsia="Calibri"/>
          <w:i w:val="true"/>
          <w:color w:val="000000"/>
          <w:spacing w:val="0"/>
          <w:w w:val="100"/>
          <w:sz w:val="20"/>
          <w:vertAlign w:val="baseline"/>
          <w:lang w:val="en-US"/>
        </w:rPr>
        <w:t xml:space="preserve">Journal of Teacher Education</w:t>
      </w:r>
      <w:r>
        <w:rPr>
          <w:rFonts w:ascii="Calibri" w:hAnsi="Calibri" w:eastAsia="Calibri"/>
          <w:color w:val="000000"/>
          <w:spacing w:val="0"/>
          <w:w w:val="100"/>
          <w:sz w:val="20"/>
          <w:vertAlign w:val="baseline"/>
          <w:lang w:val="en-US"/>
        </w:rPr>
        <w:t xml:space="preserve">, </w:t>
      </w:r>
      <w:r>
        <w:rPr>
          <w:rFonts w:ascii="Calibri" w:hAnsi="Calibri" w:eastAsia="Calibri"/>
          <w:i w:val="true"/>
          <w:color w:val="000000"/>
          <w:spacing w:val="0"/>
          <w:w w:val="100"/>
          <w:sz w:val="20"/>
          <w:vertAlign w:val="baseline"/>
          <w:lang w:val="en-US"/>
        </w:rPr>
        <w:t xml:space="preserve">44</w:t>
      </w:r>
      <w:r>
        <w:rPr>
          <w:rFonts w:ascii="Calibri" w:hAnsi="Calibri" w:eastAsia="Calibri"/>
          <w:color w:val="000000"/>
          <w:spacing w:val="0"/>
          <w:w w:val="100"/>
          <w:sz w:val="20"/>
          <w:vertAlign w:val="baseline"/>
          <w:lang w:val="en-US"/>
        </w:rPr>
        <w:t xml:space="preserve">(1), 80-101.</w:t>
      </w:r>
    </w:p>
    <w:p>
      <w:pPr>
        <w:spacing w:before="0" w:after="470" w:line="242" w:lineRule="exact"/>
        <w:sectPr>
          <w:type w:val="nextPage"/>
          <w:pgSz w:w="11909" w:h="16838" w:orient="portrait"/>
          <w:pgMar w:bottom="302" w:top="1440" w:right="1101" w:left="1088" w:header="720" w:footer="720"/>
          <w:titlePg w:val="false"/>
          <w:textDirection w:val="lrTb"/>
        </w:sectPr>
      </w:pPr>
    </w:p>
    <w:p>
      <w:pPr>
        <w:spacing w:before="0" w:after="0" w:line="255" w:lineRule="exact"/>
        <w:ind w:right="0"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9</w:t>
      </w:r>
    </w:p>
    <w:p>
      <w:pPr>
        <w:sectPr>
          <w:type w:val="continuous"/>
          <w:pgSz w:w="11909" w:h="16838" w:orient="portrait"/>
          <w:pgMar w:bottom="302" w:top="1440" w:right="1071" w:left="10578" w:header="720" w:footer="720"/>
          <w:titlePg w:val="false"/>
          <w:textDirection w:val="lrTb"/>
        </w:sectPr>
      </w:pPr>
    </w:p>
    <w:p>
      <w:pPr>
        <w:spacing w:before="10" w:after="0" w:line="245" w:lineRule="exact"/>
        <w:ind w:right="720" w:left="288" w:hanging="216"/>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Lemon, N., Wilson, A., Oxworth, C., Zavros-Orr, A., &amp; Wood, B. (2018). </w:t>
      </w:r>
      <w:r>
        <w:rPr>
          <w:rFonts w:ascii="Calibri" w:hAnsi="Calibri" w:eastAsia="Calibri"/>
          <w:b w:val="true"/>
          <w:i w:val="true"/>
          <w:color w:val="000000"/>
          <w:spacing w:val="0"/>
          <w:w w:val="100"/>
          <w:sz w:val="20"/>
          <w:vertAlign w:val="baseline"/>
          <w:lang w:val="en-US"/>
        </w:rPr>
        <w:t xml:space="preserve">Lines of School-University Partnership: Perception, Sensation and Meshwork Reshaping Of Pre-Service Teachers’ Experiences</w:t>
      </w:r>
      <w:r>
        <w:rPr>
          <w:rFonts w:ascii="Calibri" w:hAnsi="Calibri" w:eastAsia="Calibri"/>
          <w:color w:val="000000"/>
          <w:spacing w:val="0"/>
          <w:w w:val="100"/>
          <w:sz w:val="20"/>
          <w:vertAlign w:val="baseline"/>
          <w:lang w:val="en-US"/>
        </w:rPr>
        <w:t xml:space="preserve">. Australian Journal of Teacher Education, </w:t>
      </w:r>
      <w:r>
        <w:rPr>
          <w:rFonts w:ascii="Calibri" w:hAnsi="Calibri" w:eastAsia="Calibri"/>
          <w:b w:val="true"/>
          <w:i w:val="true"/>
          <w:color w:val="000000"/>
          <w:spacing w:val="0"/>
          <w:w w:val="100"/>
          <w:sz w:val="20"/>
          <w:vertAlign w:val="baseline"/>
          <w:lang w:val="en-US"/>
        </w:rPr>
        <w:t xml:space="preserve">43</w:t>
      </w:r>
      <w:r>
        <w:rPr>
          <w:rFonts w:ascii="Calibri" w:hAnsi="Calibri" w:eastAsia="Calibri"/>
          <w:color w:val="000000"/>
          <w:spacing w:val="0"/>
          <w:w w:val="100"/>
          <w:sz w:val="20"/>
          <w:vertAlign w:val="baseline"/>
          <w:lang w:val="en-US"/>
        </w:rPr>
        <w:t xml:space="preserve">(10).</w:t>
      </w:r>
    </w:p>
    <w:p>
      <w:pPr>
        <w:spacing w:before="0" w:after="0" w:line="242" w:lineRule="exact"/>
        <w:ind w:right="432" w:left="288" w:hanging="216"/>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Kennedy, M. M. (2016). How Does Professional Development Improve Teaching? </w:t>
      </w:r>
      <w:r>
        <w:rPr>
          <w:rFonts w:ascii="Calibri" w:hAnsi="Calibri" w:eastAsia="Calibri"/>
          <w:b w:val="true"/>
          <w:i w:val="true"/>
          <w:color w:val="000000"/>
          <w:spacing w:val="0"/>
          <w:w w:val="100"/>
          <w:sz w:val="20"/>
          <w:vertAlign w:val="baseline"/>
          <w:lang w:val="en-US"/>
        </w:rPr>
        <w:t xml:space="preserve">Review of Educational Research, 86</w:t>
      </w:r>
      <w:r>
        <w:rPr>
          <w:rFonts w:ascii="Calibri" w:hAnsi="Calibri" w:eastAsia="Calibri"/>
          <w:color w:val="000000"/>
          <w:spacing w:val="0"/>
          <w:w w:val="100"/>
          <w:sz w:val="20"/>
          <w:vertAlign w:val="baseline"/>
          <w:lang w:val="en-US"/>
        </w:rPr>
        <w:t xml:space="preserve">(4), 945-980. doi:10.3102/0034654315626800.</w:t>
      </w:r>
    </w:p>
    <w:p>
      <w:pPr>
        <w:spacing w:before="20" w:after="0" w:line="244" w:lineRule="exact"/>
        <w:ind w:right="72" w:left="288" w:hanging="216"/>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OECD (2012). Preparing Teachers and Developing School Leaders for the 21st Century: Lessons from around the world. Preparing Teachers from all over the world,</w:t>
      </w:r>
      <w:r>
        <w:rPr>
          <w:rFonts w:ascii="Calibri" w:hAnsi="Calibri" w:eastAsia="Calibri"/>
          <w:color w:val="0563C1"/>
          <w:spacing w:val="0"/>
          <w:w w:val="100"/>
          <w:sz w:val="21"/>
          <w:u w:val="single"/>
          <w:vertAlign w:val="baseline"/>
          <w:lang w:val="en-US"/>
        </w:rPr>
        <w:t xml:space="preserve"> </w:t>
      </w:r>
      <w:hyperlink r:id="dhId7">
        <w:r>
          <w:rPr>
            <w:rFonts w:ascii="Calibri" w:hAnsi="Calibri" w:eastAsia="Calibri"/>
            <w:color w:val="0000FF"/>
            <w:spacing w:val="0"/>
            <w:w w:val="100"/>
            <w:sz w:val="21"/>
            <w:u w:val="single"/>
            <w:vertAlign w:val="baseline"/>
            <w:lang w:val="en-US"/>
          </w:rPr>
          <w:t xml:space="preserve">https://www.oecd-ilibrary.org/education/preparing-teachers-and-developing-school-leaders-for-the-21st-century_9789264174559-en</w:t>
        </w:r>
      </w:hyperlink>
      <w:r>
        <w:rPr>
          <w:rFonts w:ascii="Calibri" w:hAnsi="Calibri" w:eastAsia="Calibri"/>
          <w:color w:val="000000"/>
          <w:spacing w:val="0"/>
          <w:w w:val="100"/>
          <w:sz w:val="20"/>
          <w:vertAlign w:val="baseline"/>
          <w:lang w:val="en-US"/>
        </w:rPr>
        <w:t xml:space="preserve"> </w:t>
      </w:r>
    </w:p>
    <w:p>
      <w:pPr>
        <w:spacing w:before="19" w:after="0" w:line="208" w:lineRule="exact"/>
        <w:ind w:right="0" w:left="72" w:firstLine="0"/>
        <w:jc w:val="left"/>
        <w:textAlignment w:val="baseline"/>
        <w:rPr>
          <w:rFonts w:ascii="Calibri" w:hAnsi="Calibri" w:eastAsia="Calibri"/>
          <w:color w:val="000000"/>
          <w:spacing w:val="-1"/>
          <w:w w:val="100"/>
          <w:sz w:val="20"/>
          <w:vertAlign w:val="baseline"/>
          <w:lang w:val="en-US"/>
        </w:rPr>
      </w:pPr>
      <w:r>
        <w:rPr>
          <w:rFonts w:ascii="Calibri" w:hAnsi="Calibri" w:eastAsia="Calibri"/>
          <w:color w:val="000000"/>
          <w:spacing w:val="-1"/>
          <w:w w:val="100"/>
          <w:sz w:val="20"/>
          <w:vertAlign w:val="baseline"/>
          <w:lang w:val="en-US"/>
        </w:rPr>
        <w:t xml:space="preserve">OECD (2020). </w:t>
      </w:r>
      <w:r>
        <w:rPr>
          <w:rFonts w:ascii="Calibri" w:hAnsi="Calibri" w:eastAsia="Calibri"/>
          <w:b w:val="true"/>
          <w:i w:val="true"/>
          <w:color w:val="000000"/>
          <w:spacing w:val="-1"/>
          <w:w w:val="100"/>
          <w:sz w:val="20"/>
          <w:vertAlign w:val="baseline"/>
          <w:lang w:val="en-US"/>
        </w:rPr>
        <w:t xml:space="preserve">TALIS 2019 Results (Volume II): Teachers and school leaders as valued</w:t>
      </w:r>
    </w:p>
    <w:p>
      <w:pPr>
        <w:spacing w:before="17" w:after="0" w:line="245" w:lineRule="exact"/>
        <w:ind w:right="0" w:left="288" w:firstLine="0"/>
        <w:jc w:val="left"/>
        <w:textAlignment w:val="baseline"/>
        <w:rPr>
          <w:rFonts w:ascii="Calibri" w:hAnsi="Calibri" w:eastAsia="Calibri"/>
          <w:b w:val="true"/>
          <w:i w:val="true"/>
          <w:color w:val="000000"/>
          <w:spacing w:val="-3"/>
          <w:w w:val="100"/>
          <w:sz w:val="20"/>
          <w:vertAlign w:val="baseline"/>
          <w:lang w:val="en-US"/>
        </w:rPr>
      </w:pPr>
      <w:r>
        <w:rPr>
          <w:rFonts w:ascii="Calibri" w:hAnsi="Calibri" w:eastAsia="Calibri"/>
          <w:b w:val="true"/>
          <w:i w:val="true"/>
          <w:color w:val="000000"/>
          <w:spacing w:val="-3"/>
          <w:w w:val="100"/>
          <w:sz w:val="20"/>
          <w:vertAlign w:val="baseline"/>
          <w:lang w:val="en-US"/>
        </w:rPr>
        <w:t xml:space="preserve">professionals.</w:t>
      </w:r>
      <w:r>
        <w:rPr>
          <w:rFonts w:ascii="Calibri" w:hAnsi="Calibri" w:eastAsia="Calibri"/>
          <w:color w:val="0563C1"/>
          <w:spacing w:val="-3"/>
          <w:w w:val="100"/>
          <w:sz w:val="21"/>
          <w:u w:val="single"/>
          <w:vertAlign w:val="baseline"/>
          <w:lang w:val="en-US"/>
        </w:rPr>
        <w:t xml:space="preserve"> </w:t>
      </w:r>
      <w:hyperlink r:id="dhId8">
        <w:r>
          <w:rPr>
            <w:rFonts w:ascii="Calibri" w:hAnsi="Calibri" w:eastAsia="Calibri"/>
            <w:color w:val="0000FF"/>
            <w:spacing w:val="-3"/>
            <w:w w:val="100"/>
            <w:sz w:val="21"/>
            <w:u w:val="single"/>
            <w:vertAlign w:val="baseline"/>
            <w:lang w:val="en-US"/>
          </w:rPr>
          <w:t xml:space="preserve">https://doi.org/10.1787/19cf08df-en</w:t>
        </w:r>
      </w:hyperlink>
      <w:r>
        <w:rPr>
          <w:rFonts w:ascii="Calibri" w:hAnsi="Calibri" w:eastAsia="Calibri"/>
          <w:color w:val="000000"/>
          <w:spacing w:val="-3"/>
          <w:w w:val="100"/>
          <w:sz w:val="20"/>
          <w:vertAlign w:val="baseline"/>
          <w:lang w:val="en-US"/>
        </w:rPr>
        <w:t xml:space="preserve"> </w:t>
      </w:r>
    </w:p>
    <w:p>
      <w:pPr>
        <w:spacing w:before="0" w:after="0" w:line="242" w:lineRule="exact"/>
        <w:ind w:right="72" w:left="288" w:hanging="216"/>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OECD (2020) Education at a Glance,</w:t>
      </w:r>
      <w:r>
        <w:rPr>
          <w:rFonts w:ascii="Calibri" w:hAnsi="Calibri" w:eastAsia="Calibri"/>
          <w:color w:val="0563C1"/>
          <w:spacing w:val="0"/>
          <w:w w:val="100"/>
          <w:sz w:val="21"/>
          <w:u w:val="single"/>
          <w:vertAlign w:val="baseline"/>
          <w:lang w:val="en-US"/>
        </w:rPr>
        <w:t xml:space="preserve"> </w:t>
      </w:r>
      <w:hyperlink r:id="dhId9">
        <w:r>
          <w:rPr>
            <w:rFonts w:ascii="Calibri" w:hAnsi="Calibri" w:eastAsia="Calibri"/>
            <w:color w:val="0000FF"/>
            <w:spacing w:val="0"/>
            <w:w w:val="100"/>
            <w:sz w:val="21"/>
            <w:u w:val="single"/>
            <w:vertAlign w:val="baseline"/>
            <w:lang w:val="en-US"/>
          </w:rPr>
          <w:t xml:space="preserve">https://www.oecd-ilibrary.org/education/education-at-a-glance-2020_69096873</w:t>
        </w:r>
      </w:hyperlink>
      <w:r>
        <w:rPr>
          <w:rFonts w:ascii="Calibri" w:hAnsi="Calibri" w:eastAsia="Calibri"/>
          <w:color w:val="0563C1"/>
          <w:spacing w:val="0"/>
          <w:w w:val="100"/>
          <w:sz w:val="21"/>
          <w:u w:val="single"/>
          <w:vertAlign w:val="baseline"/>
          <w:lang w:val="en-US"/>
        </w:rPr>
        <w:t xml:space="preserve">-en</w:t>
      </w:r>
      <w:r>
        <w:rPr>
          <w:rFonts w:ascii="Calibri" w:hAnsi="Calibri" w:eastAsia="Calibri"/>
          <w:color w:val="000000"/>
          <w:spacing w:val="0"/>
          <w:w w:val="100"/>
          <w:sz w:val="20"/>
          <w:vertAlign w:val="baseline"/>
          <w:lang w:val="en-US"/>
        </w:rPr>
        <w:t xml:space="preserve"> </w:t>
      </w:r>
    </w:p>
    <w:p>
      <w:pPr>
        <w:spacing w:before="0" w:after="0" w:line="236" w:lineRule="exact"/>
        <w:ind w:right="288" w:left="288" w:hanging="216"/>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Ojala, K., Isopahkala-Bouret, U. &amp; Varhelahti, M. (2021). Adult graduates’ employability and mid-career trajectories after graduation with Finnish UAS Master’s degree, </w:t>
      </w:r>
      <w:r>
        <w:rPr>
          <w:rFonts w:ascii="Calibri" w:hAnsi="Calibri" w:eastAsia="Calibri"/>
          <w:b w:val="true"/>
          <w:i w:val="true"/>
          <w:color w:val="000000"/>
          <w:spacing w:val="0"/>
          <w:w w:val="100"/>
          <w:sz w:val="20"/>
          <w:vertAlign w:val="baseline"/>
          <w:lang w:val="en-US"/>
        </w:rPr>
        <w:t xml:space="preserve">Journal of Education and Work</w:t>
      </w:r>
      <w:r>
        <w:rPr>
          <w:rFonts w:ascii="Calibri" w:hAnsi="Calibri" w:eastAsia="Calibri"/>
          <w:color w:val="000000"/>
          <w:spacing w:val="0"/>
          <w:w w:val="100"/>
          <w:sz w:val="20"/>
          <w:vertAlign w:val="baseline"/>
          <w:lang w:val="en-US"/>
        </w:rPr>
        <w:t xml:space="preserve">, </w:t>
      </w:r>
      <w:r>
        <w:rPr>
          <w:rFonts w:ascii="Calibri" w:hAnsi="Calibri" w:eastAsia="Calibri"/>
          <w:b w:val="true"/>
          <w:i w:val="true"/>
          <w:color w:val="000000"/>
          <w:spacing w:val="0"/>
          <w:w w:val="100"/>
          <w:sz w:val="20"/>
          <w:vertAlign w:val="baseline"/>
          <w:lang w:val="en-US"/>
        </w:rPr>
        <w:t xml:space="preserve">34</w:t>
      </w:r>
      <w:r>
        <w:rPr>
          <w:rFonts w:ascii="Calibri" w:hAnsi="Calibri" w:eastAsia="Calibri"/>
          <w:color w:val="000000"/>
          <w:spacing w:val="0"/>
          <w:w w:val="100"/>
          <w:sz w:val="20"/>
          <w:vertAlign w:val="baseline"/>
          <w:lang w:val="en-US"/>
        </w:rPr>
        <w:t xml:space="preserve">(1)</w:t>
      </w:r>
    </w:p>
    <w:p>
      <w:pPr>
        <w:spacing w:before="2" w:after="0" w:line="244" w:lineRule="exact"/>
        <w:ind w:right="144" w:left="288" w:hanging="216"/>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O'Meara, J. G., Whiting, S. &amp; Steele-Maley, T. (2015). The contribution of teacher effectiveness maps and the TACTICS framework to teacher leader professional learning, </w:t>
      </w:r>
      <w:r>
        <w:rPr>
          <w:rFonts w:ascii="Calibri" w:hAnsi="Calibri" w:eastAsia="Calibri"/>
          <w:b w:val="true"/>
          <w:i w:val="true"/>
          <w:color w:val="000000"/>
          <w:spacing w:val="0"/>
          <w:w w:val="100"/>
          <w:sz w:val="20"/>
          <w:vertAlign w:val="baseline"/>
          <w:lang w:val="en-US"/>
        </w:rPr>
        <w:t xml:space="preserve">Journal of Education for Teaching: International Research and Pedagogy, 41</w:t>
      </w:r>
      <w:r>
        <w:rPr>
          <w:rFonts w:ascii="Calibri" w:hAnsi="Calibri" w:eastAsia="Calibri"/>
          <w:color w:val="000000"/>
          <w:spacing w:val="0"/>
          <w:w w:val="100"/>
          <w:sz w:val="20"/>
          <w:vertAlign w:val="baseline"/>
          <w:lang w:val="en-US"/>
        </w:rPr>
        <w:t xml:space="preserve">(5), 529-540</w:t>
      </w:r>
    </w:p>
    <w:p>
      <w:pPr>
        <w:spacing w:before="11" w:after="0" w:line="244" w:lineRule="exact"/>
        <w:ind w:right="288" w:left="72"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Ontario Focused Intervention Programme (OFIP) (2018).</w:t>
      </w:r>
      <w:r>
        <w:rPr>
          <w:rFonts w:ascii="Calibri" w:hAnsi="Calibri" w:eastAsia="Calibri"/>
          <w:color w:val="0563C1"/>
          <w:spacing w:val="0"/>
          <w:w w:val="100"/>
          <w:sz w:val="21"/>
          <w:u w:val="single"/>
          <w:vertAlign w:val="baseline"/>
          <w:lang w:val="en-US"/>
        </w:rPr>
        <w:t xml:space="preserve"> </w:t>
      </w:r>
      <w:hyperlink r:id="dhId10">
        <w:r>
          <w:rPr>
            <w:rFonts w:ascii="Calibri" w:hAnsi="Calibri" w:eastAsia="Calibri"/>
            <w:color w:val="0000FF"/>
            <w:spacing w:val="0"/>
            <w:w w:val="100"/>
            <w:sz w:val="21"/>
            <w:u w:val="single"/>
            <w:vertAlign w:val="baseline"/>
            <w:lang w:val="en-US"/>
          </w:rPr>
          <w:t xml:space="preserve">http://www.edu.gov.on.ca</w:t>
        </w:r>
      </w:hyperlink>
      <w:r>
        <w:rPr>
          <w:rFonts w:ascii="Calibri" w:hAnsi="Calibri" w:eastAsia="Calibri"/>
          <w:color w:val="0563C1"/>
          <w:spacing w:val="0"/>
          <w:w w:val="100"/>
          <w:sz w:val="21"/>
          <w:u w:val="single"/>
          <w:vertAlign w:val="baseline"/>
          <w:lang w:val="en-US"/>
        </w:rPr>
        <w:t xml:space="preserve"> </w:t>
      </w:r>
      <w:r>
        <w:rPr>
          <w:rFonts w:ascii="Arial" w:hAnsi="Arial" w:eastAsia="Arial"/>
          <w:color w:val="0563C1"/>
          <w:spacing w:val="0"/>
          <w:w w:val="100"/>
          <w:sz w:val="21"/>
          <w:u w:val="single"/>
          <w:vertAlign w:val="baseline"/>
          <w:lang w:val="en-US"/>
        </w:rPr>
        <w:t xml:space="preserve">) </w:t>
      </w:r>
      <w:r>
        <w:rPr>
          <w:rFonts w:ascii="Calibri" w:hAnsi="Calibri" w:eastAsia="Calibri"/>
          <w:color w:val="0563C1"/>
          <w:spacing w:val="0"/>
          <w:w w:val="100"/>
          <w:sz w:val="21"/>
          <w:u w:val="single"/>
          <w:vertAlign w:val="baseline"/>
          <w:lang w:val="en-US"/>
        </w:rPr>
        <w:t xml:space="preserve">research </w:t>
      </w:r>
      <w:r>
        <w:rPr>
          <w:rFonts w:ascii="Arial" w:hAnsi="Arial" w:eastAsia="Arial"/>
          <w:color w:val="0563C1"/>
          <w:spacing w:val="0"/>
          <w:w w:val="100"/>
          <w:sz w:val="21"/>
          <w:u w:val="single"/>
          <w:vertAlign w:val="baseline"/>
          <w:lang w:val="en-US"/>
        </w:rPr>
        <w:t xml:space="preserve">) </w:t>
      </w:r>
      <w:r>
        <w:rPr>
          <w:rFonts w:ascii="Calibri" w:hAnsi="Calibri" w:eastAsia="Calibri"/>
          <w:color w:val="0563C1"/>
          <w:spacing w:val="0"/>
          <w:w w:val="100"/>
          <w:sz w:val="21"/>
          <w:u w:val="single"/>
          <w:vertAlign w:val="baseline"/>
          <w:lang w:val="en-US"/>
        </w:rPr>
        <w:t xml:space="preserve">cbs_every_student</w:t>
      </w:r>
      <w:r>
        <w:rPr>
          <w:rFonts w:ascii="Calibri" w:hAnsi="Calibri" w:eastAsia="Calibri"/>
          <w:color w:val="000000"/>
          <w:spacing w:val="0"/>
          <w:w w:val="100"/>
          <w:sz w:val="21"/>
          <w:u w:val="single"/>
          <w:vertAlign w:val="baseline"/>
          <w:lang w:val="en-US"/>
        </w:rPr>
        <w:t xml:space="preserve">  </w:t>
      </w:r>
      <w:r>
        <w:rPr>
          <w:rFonts w:ascii="Calibri" w:hAnsi="Calibri" w:eastAsia="Calibri"/>
          <w:color w:val="000000"/>
          <w:spacing w:val="0"/>
          <w:w w:val="100"/>
          <w:sz w:val="20"/>
          <w:vertAlign w:val="baseline"/>
          <w:lang w:val="en-US"/>
        </w:rPr>
        <w:t xml:space="preserve">Podolsky, A., Kini, T., Bishop, J. &amp; Darling-Hammond, L. (2016).</w:t>
      </w:r>
      <w:r>
        <w:rPr>
          <w:rFonts w:ascii="Calibri" w:hAnsi="Calibri" w:eastAsia="Calibri"/>
          <w:b w:val="true"/>
          <w:i w:val="true"/>
          <w:color w:val="0563C1"/>
          <w:spacing w:val="0"/>
          <w:w w:val="100"/>
          <w:sz w:val="19"/>
          <w:u w:val="single"/>
          <w:vertAlign w:val="baseline"/>
          <w:lang w:val="en-US"/>
        </w:rPr>
        <w:t xml:space="preserve"> Solving the Teacher Shortage: How to Attract and Retain Excellent Educators</w:t>
      </w:r>
      <w:r>
        <w:rPr>
          <w:rFonts w:ascii="Calibri" w:hAnsi="Calibri" w:eastAsia="Calibri"/>
          <w:color w:val="0563C1"/>
          <w:spacing w:val="0"/>
          <w:w w:val="100"/>
          <w:sz w:val="20"/>
          <w:vertAlign w:val="baseline"/>
          <w:lang w:val="en-US"/>
        </w:rPr>
        <w:t xml:space="preserve">.</w:t>
      </w:r>
      <w:r>
        <w:rPr>
          <w:rFonts w:ascii="Calibri" w:hAnsi="Calibri" w:eastAsia="Calibri"/>
          <w:color w:val="000000"/>
          <w:spacing w:val="0"/>
          <w:w w:val="100"/>
          <w:sz w:val="20"/>
          <w:vertAlign w:val="baseline"/>
          <w:lang w:val="en-US"/>
        </w:rPr>
        <w:t xml:space="preserve"> Learning Policy Institute, September 2016.</w:t>
      </w:r>
    </w:p>
    <w:p>
      <w:pPr>
        <w:spacing w:before="0" w:after="0" w:line="240" w:lineRule="exact"/>
        <w:ind w:right="432" w:left="288" w:hanging="216"/>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Reynolds, R., Howley, P., Southgate, E. &amp; Brown, J. (2016). Just add hours? An assessment of pre-service teachers’ perception of the value of professional experience in attaining teacher competencies, </w:t>
      </w:r>
      <w:r>
        <w:rPr>
          <w:rFonts w:ascii="Calibri" w:hAnsi="Calibri" w:eastAsia="Calibri"/>
          <w:b w:val="true"/>
          <w:i w:val="true"/>
          <w:color w:val="000000"/>
          <w:spacing w:val="0"/>
          <w:w w:val="100"/>
          <w:sz w:val="20"/>
          <w:vertAlign w:val="baseline"/>
          <w:lang w:val="en-US"/>
        </w:rPr>
        <w:t xml:space="preserve">Asia-Pacific Journal of Teacher Education</w:t>
      </w:r>
      <w:r>
        <w:rPr>
          <w:rFonts w:ascii="Calibri" w:hAnsi="Calibri" w:eastAsia="Calibri"/>
          <w:color w:val="000000"/>
          <w:spacing w:val="0"/>
          <w:w w:val="100"/>
          <w:sz w:val="20"/>
          <w:vertAlign w:val="baseline"/>
          <w:lang w:val="en-US"/>
        </w:rPr>
        <w:t xml:space="preserve">, </w:t>
      </w:r>
      <w:r>
        <w:rPr>
          <w:rFonts w:ascii="Calibri" w:hAnsi="Calibri" w:eastAsia="Calibri"/>
          <w:b w:val="true"/>
          <w:i w:val="true"/>
          <w:color w:val="000000"/>
          <w:spacing w:val="0"/>
          <w:w w:val="100"/>
          <w:sz w:val="20"/>
          <w:vertAlign w:val="baseline"/>
          <w:lang w:val="en-US"/>
        </w:rPr>
        <w:t xml:space="preserve">44</w:t>
      </w:r>
      <w:r>
        <w:rPr>
          <w:rFonts w:ascii="Calibri" w:hAnsi="Calibri" w:eastAsia="Calibri"/>
          <w:color w:val="000000"/>
          <w:spacing w:val="0"/>
          <w:w w:val="100"/>
          <w:sz w:val="20"/>
          <w:vertAlign w:val="baseline"/>
          <w:lang w:val="en-US"/>
        </w:rPr>
        <w:t xml:space="preserve">(5), 455-469, DOI: 10.1080/1359866X.2015.1086971</w:t>
      </w:r>
    </w:p>
    <w:p>
      <w:pPr>
        <w:spacing w:before="0" w:after="0" w:line="245" w:lineRule="exact"/>
        <w:ind w:right="1080" w:left="288" w:hanging="216"/>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Schmidt, C., &amp; Schneider, J. (Eds). (2016). </w:t>
      </w:r>
      <w:r>
        <w:rPr>
          <w:rFonts w:ascii="Calibri" w:hAnsi="Calibri" w:eastAsia="Calibri"/>
          <w:b w:val="true"/>
          <w:i w:val="true"/>
          <w:color w:val="000000"/>
          <w:spacing w:val="0"/>
          <w:w w:val="100"/>
          <w:sz w:val="20"/>
          <w:vertAlign w:val="baseline"/>
          <w:lang w:val="en-US"/>
        </w:rPr>
        <w:t xml:space="preserve">Diversifying the teaching force in transnational contexts. Critical perspectives</w:t>
      </w:r>
      <w:r>
        <w:rPr>
          <w:rFonts w:ascii="Calibri" w:hAnsi="Calibri" w:eastAsia="Calibri"/>
          <w:color w:val="000000"/>
          <w:spacing w:val="0"/>
          <w:w w:val="100"/>
          <w:sz w:val="20"/>
          <w:vertAlign w:val="baseline"/>
          <w:lang w:val="en-US"/>
        </w:rPr>
        <w:t xml:space="preserve">. Rotterdam: Sense Publishers.</w:t>
      </w:r>
    </w:p>
    <w:p>
      <w:pPr>
        <w:spacing w:before="33" w:after="0" w:line="207" w:lineRule="exact"/>
        <w:ind w:right="0" w:left="72"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Teacher Education Ministerial Advisory Group (TEMAG) (2014). </w:t>
      </w:r>
      <w:r>
        <w:rPr>
          <w:rFonts w:ascii="Calibri" w:hAnsi="Calibri" w:eastAsia="Calibri"/>
          <w:b w:val="true"/>
          <w:i w:val="true"/>
          <w:color w:val="000000"/>
          <w:spacing w:val="0"/>
          <w:w w:val="100"/>
          <w:sz w:val="20"/>
          <w:vertAlign w:val="baseline"/>
          <w:lang w:val="en-US"/>
        </w:rPr>
        <w:t xml:space="preserve">Action Now: Classroom Ready Teachers,</w:t>
      </w:r>
    </w:p>
    <w:p>
      <w:pPr>
        <w:spacing w:before="0" w:after="0" w:line="244" w:lineRule="exact"/>
        <w:ind w:right="72" w:left="288" w:firstLine="0"/>
        <w:jc w:val="left"/>
        <w:textAlignment w:val="baseline"/>
        <w:rPr>
          <w:rFonts w:ascii="Calibri" w:hAnsi="Calibri" w:eastAsia="Calibri"/>
          <w:b w:val="true"/>
          <w:i w:val="true"/>
          <w:color w:val="0563C1"/>
          <w:spacing w:val="3"/>
          <w:w w:val="100"/>
          <w:sz w:val="19"/>
          <w:u w:val="single"/>
          <w:vertAlign w:val="baseline"/>
          <w:lang w:val="en-US"/>
        </w:rPr>
      </w:pPr>
      <w:hyperlink r:id="dhId11">
        <w:r>
          <w:rPr>
            <w:rFonts w:ascii="Calibri" w:hAnsi="Calibri" w:eastAsia="Calibri"/>
            <w:b w:val="true"/>
            <w:i w:val="true"/>
            <w:color w:val="0000FF"/>
            <w:spacing w:val="3"/>
            <w:w w:val="100"/>
            <w:sz w:val="19"/>
            <w:u w:val="single"/>
            <w:vertAlign w:val="baseline"/>
            <w:lang w:val="en-US"/>
          </w:rPr>
          <w:t xml:space="preserve">https://www.dese.gov.au/teaching-and-school-leadership/resources/action-now-classroom-ready-teachers-report-</w:t>
        </w:r>
      </w:hyperlink>
      <w:hyperlink r:id="dhId11">
        <w:r>
          <w:rPr>
            <w:rFonts w:ascii="Calibri" w:hAnsi="Calibri" w:eastAsia="Calibri"/>
            <w:b w:val="true"/>
            <w:i w:val="true"/>
            <w:color w:val="0000FF"/>
            <w:spacing w:val="3"/>
            <w:w w:val="100"/>
            <w:sz w:val="20"/>
            <w:u w:val="single"/>
            <w:vertAlign w:val="baseline"/>
            <w:lang w:val="en-US"/>
          </w:rPr>
          <w:t xml:space="preserve">0</w:t>
        </w:r>
      </w:hyperlink>
      <w:r>
        <w:rPr>
          <w:rFonts w:ascii="Calibri" w:hAnsi="Calibri" w:eastAsia="Calibri"/>
          <w:b w:val="true"/>
          <w:i w:val="true"/>
          <w:color w:val="0563C1"/>
          <w:spacing w:val="3"/>
          <w:w w:val="100"/>
          <w:sz w:val="20"/>
          <w:vertAlign w:val="baseline"/>
          <w:lang w:val="en-US"/>
        </w:rPr>
        <w:t xml:space="preserve">
</w:t>
      </w:r>
    </w:p>
    <w:p>
      <w:pPr>
        <w:spacing w:before="21" w:after="0" w:line="244" w:lineRule="exact"/>
        <w:ind w:right="1512" w:left="288" w:hanging="216"/>
        <w:jc w:val="left"/>
        <w:textAlignment w:val="baseline"/>
        <w:rPr>
          <w:rFonts w:ascii="Calibri" w:hAnsi="Calibri" w:eastAsia="Calibri"/>
          <w:color w:val="000000"/>
          <w:spacing w:val="-5"/>
          <w:w w:val="100"/>
          <w:sz w:val="20"/>
          <w:vertAlign w:val="baseline"/>
          <w:lang w:val="en-US"/>
        </w:rPr>
      </w:pPr>
      <w:r>
        <w:rPr>
          <w:rFonts w:ascii="Calibri" w:hAnsi="Calibri" w:eastAsia="Calibri"/>
          <w:color w:val="000000"/>
          <w:spacing w:val="-5"/>
          <w:w w:val="100"/>
          <w:sz w:val="20"/>
          <w:vertAlign w:val="baseline"/>
          <w:lang w:val="en-US"/>
        </w:rPr>
        <w:t xml:space="preserve">Thomson, S. (2020). TALIS: Stress levels among Australian teachers, Teacher Magazine, August 2020, </w:t>
      </w:r>
      <w:hyperlink r:id="dhId12">
        <w:r>
          <w:rPr>
            <w:rFonts w:ascii="Calibri" w:hAnsi="Calibri" w:eastAsia="Calibri"/>
            <w:color w:val="0000FF"/>
            <w:spacing w:val="-5"/>
            <w:w w:val="100"/>
            <w:sz w:val="21"/>
            <w:u w:val="single"/>
            <w:vertAlign w:val="baseline"/>
            <w:lang w:val="en-US"/>
          </w:rPr>
          <w:t xml:space="preserve">https://www.teachermagazine.com/au_en/articles/talis-stress-levels-among-australian-teachers</w:t>
        </w:r>
      </w:hyperlink>
      <w:r>
        <w:rPr>
          <w:rFonts w:ascii="Calibri" w:hAnsi="Calibri" w:eastAsia="Calibri"/>
          <w:color w:val="000000"/>
          <w:spacing w:val="-5"/>
          <w:w w:val="100"/>
          <w:sz w:val="20"/>
          <w:vertAlign w:val="baseline"/>
          <w:lang w:val="en-US"/>
        </w:rPr>
        <w:t xml:space="preserve"> </w:t>
      </w:r>
    </w:p>
    <w:p>
      <w:pPr>
        <w:spacing w:before="0" w:after="0" w:line="236" w:lineRule="exact"/>
        <w:ind w:right="144" w:left="288" w:hanging="216"/>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Toe, D. M., Ure, C., &amp; Blake, D. (2020). Final Year Preservice Teachers' Views of Professional Experience in Partnership Schools. </w:t>
      </w:r>
      <w:r>
        <w:rPr>
          <w:rFonts w:ascii="Calibri" w:hAnsi="Calibri" w:eastAsia="Calibri"/>
          <w:b w:val="true"/>
          <w:i w:val="true"/>
          <w:color w:val="000000"/>
          <w:spacing w:val="0"/>
          <w:w w:val="100"/>
          <w:sz w:val="20"/>
          <w:vertAlign w:val="baseline"/>
          <w:lang w:val="en-US"/>
        </w:rPr>
        <w:t xml:space="preserve">Australian Journal of Teacher Education, 45</w:t>
      </w:r>
      <w:r>
        <w:rPr>
          <w:rFonts w:ascii="Calibri" w:hAnsi="Calibri" w:eastAsia="Calibri"/>
          <w:color w:val="000000"/>
          <w:spacing w:val="0"/>
          <w:w w:val="100"/>
          <w:sz w:val="20"/>
          <w:vertAlign w:val="baseline"/>
          <w:lang w:val="en-US"/>
        </w:rPr>
        <w:t xml:space="preserve">(2).</w:t>
      </w:r>
    </w:p>
    <w:p>
      <w:pPr>
        <w:spacing w:before="12" w:after="0" w:line="245" w:lineRule="exact"/>
        <w:ind w:right="0" w:left="288" w:firstLine="0"/>
        <w:jc w:val="left"/>
        <w:textAlignment w:val="baseline"/>
        <w:rPr>
          <w:rFonts w:ascii="Calibri" w:hAnsi="Calibri" w:eastAsia="Calibri"/>
          <w:color w:val="0563C1"/>
          <w:spacing w:val="-3"/>
          <w:w w:val="100"/>
          <w:sz w:val="21"/>
          <w:u w:val="single"/>
          <w:vertAlign w:val="baseline"/>
          <w:lang w:val="en-US"/>
        </w:rPr>
      </w:pPr>
      <w:hyperlink r:id="dhId13">
        <w:r>
          <w:rPr>
            <w:rFonts w:ascii="Calibri" w:hAnsi="Calibri" w:eastAsia="Calibri"/>
            <w:color w:val="0000FF"/>
            <w:spacing w:val="-3"/>
            <w:w w:val="100"/>
            <w:sz w:val="21"/>
            <w:u w:val="single"/>
            <w:vertAlign w:val="baseline"/>
            <w:lang w:val="en-US"/>
          </w:rPr>
          <w:t xml:space="preserve">http://dx.doi.org/10.14221/ajte.2020v45n2.6</w:t>
        </w:r>
      </w:hyperlink>
      <w:r>
        <w:rPr>
          <w:rFonts w:ascii="Calibri" w:hAnsi="Calibri" w:eastAsia="Calibri"/>
          <w:color w:val="000000"/>
          <w:spacing w:val="-3"/>
          <w:w w:val="100"/>
          <w:sz w:val="20"/>
          <w:vertAlign w:val="baseline"/>
          <w:lang w:val="en-US"/>
        </w:rPr>
        <w:t xml:space="preserve"> </w:t>
      </w:r>
    </w:p>
    <w:p>
      <w:pPr>
        <w:spacing w:before="0" w:after="0" w:line="239" w:lineRule="exact"/>
        <w:ind w:right="432" w:left="288" w:hanging="216"/>
        <w:jc w:val="left"/>
        <w:textAlignment w:val="baseline"/>
        <w:rPr>
          <w:rFonts w:ascii="Calibri" w:hAnsi="Calibri" w:eastAsia="Calibri"/>
          <w:color w:val="000000"/>
          <w:spacing w:val="-2"/>
          <w:w w:val="100"/>
          <w:sz w:val="20"/>
          <w:vertAlign w:val="baseline"/>
          <w:lang w:val="en-US"/>
        </w:rPr>
      </w:pPr>
      <w:r>
        <w:rPr>
          <w:rFonts w:ascii="Calibri" w:hAnsi="Calibri" w:eastAsia="Calibri"/>
          <w:color w:val="000000"/>
          <w:spacing w:val="-2"/>
          <w:w w:val="100"/>
          <w:sz w:val="20"/>
          <w:vertAlign w:val="baseline"/>
          <w:lang w:val="en-US"/>
        </w:rPr>
        <w:t xml:space="preserve">Tynjala, P., Virolainen, M.H., Heikkinen, H.L., Virtanen, A. (2020). Workplaces: Models of Integrative Pedagogy and Connectivity Revisited. In C. Aprea; V. Sappa; &amp; R. Tenberg (Eds.) </w:t>
      </w:r>
      <w:r>
        <w:rPr>
          <w:rFonts w:ascii="Calibri" w:hAnsi="Calibri" w:eastAsia="Calibri"/>
          <w:b w:val="true"/>
          <w:i w:val="true"/>
          <w:color w:val="000000"/>
          <w:spacing w:val="-2"/>
          <w:w w:val="100"/>
          <w:sz w:val="20"/>
          <w:vertAlign w:val="baseline"/>
          <w:lang w:val="en-US"/>
        </w:rPr>
        <w:t xml:space="preserve">Connectivity and Integrative Competence Development in Vocational and Professional Education and Training (VET/PET)</w:t>
      </w:r>
      <w:r>
        <w:rPr>
          <w:rFonts w:ascii="Calibri" w:hAnsi="Calibri" w:eastAsia="Calibri"/>
          <w:color w:val="000000"/>
          <w:spacing w:val="-2"/>
          <w:w w:val="100"/>
          <w:sz w:val="20"/>
          <w:vertAlign w:val="baseline"/>
          <w:lang w:val="en-US"/>
        </w:rPr>
        <w:t xml:space="preserve">, Franz Steiner, 19-40.</w:t>
      </w:r>
    </w:p>
    <w:p>
      <w:pPr>
        <w:spacing w:before="2" w:after="0" w:line="244" w:lineRule="exact"/>
        <w:ind w:right="288" w:left="288" w:hanging="216"/>
        <w:jc w:val="left"/>
        <w:textAlignment w:val="baseline"/>
        <w:rPr>
          <w:rFonts w:ascii="Calibri" w:hAnsi="Calibri" w:eastAsia="Calibri"/>
          <w:color w:val="000000"/>
          <w:spacing w:val="-1"/>
          <w:w w:val="100"/>
          <w:sz w:val="20"/>
          <w:vertAlign w:val="baseline"/>
          <w:lang w:val="en-US"/>
        </w:rPr>
      </w:pPr>
      <w:r>
        <w:rPr>
          <w:rFonts w:ascii="Calibri" w:hAnsi="Calibri" w:eastAsia="Calibri"/>
          <w:color w:val="000000"/>
          <w:spacing w:val="-1"/>
          <w:w w:val="100"/>
          <w:sz w:val="20"/>
          <w:vertAlign w:val="baseline"/>
          <w:lang w:val="en-US"/>
        </w:rPr>
        <w:t xml:space="preserve">Willegems, V., Consuegra, E., Struyven, K. &amp; Engels, N. (2017). Teachers and pre-service teachers as partners in collaborative teacher research: A systematic literature review. </w:t>
      </w:r>
      <w:r>
        <w:rPr>
          <w:rFonts w:ascii="Calibri" w:hAnsi="Calibri" w:eastAsia="Calibri"/>
          <w:b w:val="true"/>
          <w:i w:val="true"/>
          <w:color w:val="000000"/>
          <w:spacing w:val="-1"/>
          <w:w w:val="100"/>
          <w:sz w:val="20"/>
          <w:vertAlign w:val="baseline"/>
          <w:lang w:val="en-US"/>
        </w:rPr>
        <w:t xml:space="preserve">Teaching and Teacher Education</w:t>
      </w:r>
      <w:r>
        <w:rPr>
          <w:rFonts w:ascii="Calibri" w:hAnsi="Calibri" w:eastAsia="Calibri"/>
          <w:color w:val="000000"/>
          <w:spacing w:val="-1"/>
          <w:w w:val="100"/>
          <w:sz w:val="20"/>
          <w:vertAlign w:val="baseline"/>
          <w:lang w:val="en-US"/>
        </w:rPr>
        <w:t xml:space="preserve">. </w:t>
      </w:r>
      <w:r>
        <w:rPr>
          <w:rFonts w:ascii="Calibri" w:hAnsi="Calibri" w:eastAsia="Calibri"/>
          <w:b w:val="true"/>
          <w:i w:val="true"/>
          <w:color w:val="000000"/>
          <w:spacing w:val="-1"/>
          <w:w w:val="100"/>
          <w:sz w:val="20"/>
          <w:vertAlign w:val="baseline"/>
          <w:lang w:val="en-US"/>
        </w:rPr>
        <w:t xml:space="preserve">64</w:t>
      </w:r>
      <w:r>
        <w:rPr>
          <w:rFonts w:ascii="Calibri" w:hAnsi="Calibri" w:eastAsia="Calibri"/>
          <w:color w:val="000000"/>
          <w:spacing w:val="-1"/>
          <w:w w:val="100"/>
          <w:sz w:val="20"/>
          <w:vertAlign w:val="baseline"/>
          <w:lang w:val="en-US"/>
        </w:rPr>
        <w:t xml:space="preserve">(3), 230-245.</w:t>
      </w:r>
    </w:p>
    <w:p>
      <w:pPr>
        <w:spacing w:before="0" w:after="0" w:line="244" w:lineRule="exact"/>
        <w:ind w:right="576" w:left="288" w:hanging="216"/>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Worth, J., Lynch, S. Hillary, J., Rennie, C. &amp; Andrade, J. (2018). Teacher Workforce Dynamics in England, </w:t>
      </w:r>
      <w:r>
        <w:rPr>
          <w:rFonts w:ascii="Calibri" w:hAnsi="Calibri" w:eastAsia="Calibri"/>
          <w:b w:val="true"/>
          <w:i w:val="true"/>
          <w:color w:val="000000"/>
          <w:spacing w:val="0"/>
          <w:w w:val="100"/>
          <w:sz w:val="20"/>
          <w:vertAlign w:val="baseline"/>
          <w:lang w:val="en-US"/>
        </w:rPr>
        <w:t xml:space="preserve">National Foundation for Educational Research</w:t>
      </w:r>
      <w:r>
        <w:rPr>
          <w:rFonts w:ascii="Calibri" w:hAnsi="Calibri" w:eastAsia="Calibri"/>
          <w:color w:val="000000"/>
          <w:spacing w:val="0"/>
          <w:w w:val="100"/>
          <w:sz w:val="20"/>
          <w:vertAlign w:val="baseline"/>
          <w:lang w:val="en-US"/>
        </w:rPr>
        <w:t xml:space="preserve">,</w:t>
      </w:r>
    </w:p>
    <w:p>
      <w:pPr>
        <w:spacing w:before="15" w:after="0" w:line="245" w:lineRule="exact"/>
        <w:ind w:right="0" w:left="288" w:firstLine="0"/>
        <w:jc w:val="left"/>
        <w:textAlignment w:val="baseline"/>
        <w:rPr>
          <w:rFonts w:ascii="Calibri" w:hAnsi="Calibri" w:eastAsia="Calibri"/>
          <w:color w:val="0563C1"/>
          <w:spacing w:val="-4"/>
          <w:w w:val="100"/>
          <w:sz w:val="21"/>
          <w:u w:val="single"/>
          <w:vertAlign w:val="baseline"/>
          <w:lang w:val="en-US"/>
        </w:rPr>
      </w:pPr>
      <w:hyperlink r:id="dhId14">
        <w:r>
          <w:rPr>
            <w:rFonts w:ascii="Calibri" w:hAnsi="Calibri" w:eastAsia="Calibri"/>
            <w:color w:val="0000FF"/>
            <w:spacing w:val="-4"/>
            <w:w w:val="100"/>
            <w:sz w:val="21"/>
            <w:u w:val="single"/>
            <w:vertAlign w:val="baseline"/>
            <w:lang w:val="en-US"/>
          </w:rPr>
          <w:t xml:space="preserve">https://www.nfer.ac.uk/media/3111/teacher_workforce_dynamics_in_england_final_report.pdf</w:t>
        </w:r>
      </w:hyperlink>
      <w:r>
        <w:rPr>
          <w:rFonts w:ascii="Calibri" w:hAnsi="Calibri" w:eastAsia="Calibri"/>
          <w:color w:val="0563C1"/>
          <w:spacing w:val="-4"/>
          <w:w w:val="100"/>
          <w:sz w:val="20"/>
          <w:vertAlign w:val="baseline"/>
          <w:lang w:val="en-US"/>
        </w:rPr>
        <w:t xml:space="preserve">
</w:t>
      </w:r>
    </w:p>
    <w:p>
      <w:pPr>
        <w:spacing w:before="0" w:after="0" w:line="244" w:lineRule="exact"/>
        <w:ind w:right="216" w:left="288" w:hanging="216"/>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Yeigh, T. &amp; Lynch, D. (2017). Reforming Initial Teacher Education: A Call for Innovation. </w:t>
      </w:r>
      <w:r>
        <w:rPr>
          <w:rFonts w:ascii="Calibri" w:hAnsi="Calibri" w:eastAsia="Calibri"/>
          <w:b w:val="true"/>
          <w:i w:val="true"/>
          <w:color w:val="000000"/>
          <w:spacing w:val="0"/>
          <w:w w:val="100"/>
          <w:sz w:val="20"/>
          <w:vertAlign w:val="baseline"/>
          <w:lang w:val="en-US"/>
        </w:rPr>
        <w:t xml:space="preserve">Australian Journal of Teacher Education, 42</w:t>
      </w:r>
      <w:r>
        <w:rPr>
          <w:rFonts w:ascii="Calibri" w:hAnsi="Calibri" w:eastAsia="Calibri"/>
          <w:color w:val="000000"/>
          <w:spacing w:val="0"/>
          <w:w w:val="100"/>
          <w:sz w:val="20"/>
          <w:vertAlign w:val="baseline"/>
          <w:lang w:val="en-US"/>
        </w:rPr>
        <w:t xml:space="preserve">(12).</w:t>
      </w:r>
      <w:r>
        <w:rPr>
          <w:rFonts w:ascii="Calibri" w:hAnsi="Calibri" w:eastAsia="Calibri"/>
          <w:color w:val="0563C1"/>
          <w:spacing w:val="0"/>
          <w:w w:val="100"/>
          <w:sz w:val="21"/>
          <w:u w:val="single"/>
          <w:vertAlign w:val="baseline"/>
          <w:lang w:val="en-US"/>
        </w:rPr>
        <w:t xml:space="preserve"> </w:t>
      </w:r>
      <w:hyperlink r:id="dhId15">
        <w:r>
          <w:rPr>
            <w:rFonts w:ascii="Calibri" w:hAnsi="Calibri" w:eastAsia="Calibri"/>
            <w:color w:val="0000FF"/>
            <w:spacing w:val="0"/>
            <w:w w:val="100"/>
            <w:sz w:val="21"/>
            <w:u w:val="single"/>
            <w:vertAlign w:val="baseline"/>
            <w:lang w:val="en-US"/>
          </w:rPr>
          <w:t xml:space="preserve">http://dx.doi.org/10.14221/ajte.2017v42n12.7</w:t>
        </w:r>
      </w:hyperlink>
      <w:r>
        <w:rPr>
          <w:rFonts w:ascii="Calibri" w:hAnsi="Calibri" w:eastAsia="Calibri"/>
          <w:color w:val="000000"/>
          <w:spacing w:val="0"/>
          <w:w w:val="100"/>
          <w:sz w:val="20"/>
          <w:vertAlign w:val="baseline"/>
          <w:lang w:val="en-US"/>
        </w:rPr>
        <w:t xml:space="preserve"> </w:t>
      </w:r>
    </w:p>
    <w:p>
      <w:pPr>
        <w:spacing w:before="0" w:after="0" w:line="236" w:lineRule="exact"/>
        <w:ind w:right="288" w:left="288" w:hanging="216"/>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Zeichner, K.M. (2010). Rethinking the Connections Between Campus Courses and Field Experiences in College- and University-Based Teacher Education, </w:t>
      </w:r>
      <w:r>
        <w:rPr>
          <w:rFonts w:ascii="Calibri" w:hAnsi="Calibri" w:eastAsia="Calibri"/>
          <w:b w:val="true"/>
          <w:i w:val="true"/>
          <w:color w:val="000000"/>
          <w:spacing w:val="0"/>
          <w:w w:val="100"/>
          <w:sz w:val="20"/>
          <w:vertAlign w:val="baseline"/>
          <w:lang w:val="en-US"/>
        </w:rPr>
        <w:t xml:space="preserve">Journal of Teacher Education 61</w:t>
      </w:r>
      <w:r>
        <w:rPr>
          <w:rFonts w:ascii="Calibri" w:hAnsi="Calibri" w:eastAsia="Calibri"/>
          <w:color w:val="000000"/>
          <w:spacing w:val="0"/>
          <w:w w:val="100"/>
          <w:sz w:val="20"/>
          <w:vertAlign w:val="baseline"/>
          <w:lang w:val="en-US"/>
        </w:rPr>
        <w:t xml:space="preserve">(1-2), 89-99</w:t>
      </w:r>
    </w:p>
    <w:p>
      <w:pPr>
        <w:spacing w:before="37" w:after="0" w:line="203" w:lineRule="exact"/>
        <w:ind w:right="0" w:left="288"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DOI:10.1177/0022487109347671</w:t>
      </w:r>
    </w:p>
    <w:p>
      <w:pPr>
        <w:spacing w:before="2" w:after="2448" w:line="244" w:lineRule="exact"/>
        <w:ind w:right="432" w:left="288" w:hanging="216"/>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Zeichner, K.M. &amp; Bier, M. (20 Opportunities and Pitfalls in the Turn Toward Clinical Experience in US Teacher Education 1. In E. R. Hollins (Ed.), </w:t>
      </w:r>
      <w:r>
        <w:rPr>
          <w:rFonts w:ascii="Calibri" w:hAnsi="Calibri" w:eastAsia="Calibri"/>
          <w:b w:val="true"/>
          <w:i w:val="true"/>
          <w:color w:val="000000"/>
          <w:spacing w:val="0"/>
          <w:w w:val="100"/>
          <w:sz w:val="20"/>
          <w:vertAlign w:val="baseline"/>
          <w:lang w:val="en-US"/>
        </w:rPr>
        <w:t xml:space="preserve">Rethinking Field Experiences in Preservice Teacher Preparation: Meeting New Challenges for Accountability </w:t>
      </w:r>
      <w:r>
        <w:rPr>
          <w:rFonts w:ascii="Calibri" w:hAnsi="Calibri" w:eastAsia="Calibri"/>
          <w:color w:val="000000"/>
          <w:spacing w:val="0"/>
          <w:w w:val="100"/>
          <w:sz w:val="20"/>
          <w:vertAlign w:val="baseline"/>
          <w:lang w:val="en-US"/>
        </w:rPr>
        <w:t xml:space="preserve">(pp. 20-46). New York: Routledge.</w:t>
      </w:r>
    </w:p>
    <w:p>
      <w:pPr>
        <w:spacing w:before="2" w:after="2448" w:line="244" w:lineRule="exact"/>
        <w:sectPr>
          <w:type w:val="nextPage"/>
          <w:pgSz w:w="11909" w:h="16838" w:orient="portrait"/>
          <w:pgMar w:bottom="302" w:top="1420" w:right="1101" w:left="1088" w:header="720" w:footer="720"/>
          <w:titlePg w:val="false"/>
          <w:textDirection w:val="lrTb"/>
        </w:sectPr>
      </w:pPr>
    </w:p>
    <w:p>
      <w:pPr>
        <w:spacing w:before="27" w:after="0" w:line="255" w:lineRule="exact"/>
        <w:ind w:right="0" w:left="0" w:firstLine="0"/>
        <w:jc w:val="left"/>
        <w:textAlignment w:val="baseline"/>
        <w:rPr>
          <w:rFonts w:ascii="Calibri" w:hAnsi="Calibri" w:eastAsia="Calibri"/>
          <w:color w:val="000000"/>
          <w:spacing w:val="-11"/>
          <w:w w:val="100"/>
          <w:sz w:val="24"/>
          <w:vertAlign w:val="baseline"/>
          <w:lang w:val="en-US"/>
        </w:rPr>
      </w:pPr>
      <w:r>
        <w:rPr>
          <w:rFonts w:ascii="Calibri" w:hAnsi="Calibri" w:eastAsia="Calibri"/>
          <w:color w:val="000000"/>
          <w:spacing w:val="-11"/>
          <w:w w:val="100"/>
          <w:sz w:val="24"/>
          <w:vertAlign w:val="baseline"/>
          <w:lang w:val="en-US"/>
        </w:rPr>
        <w:t xml:space="preserve">10</w:t>
      </w:r>
    </w:p>
    <w:sectPr>
      <w:type w:val="continuous"/>
      <w:pgSz w:w="11909" w:h="16838" w:orient="portrait"/>
      <w:pgMar w:bottom="302" w:top="1420" w:right="1123" w:left="10526"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swiss"/>
    <w:panose1 w:val="02020603050405020304"/>
  </w:font>
  <w:font w:name="Verdana">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360"/>
        </w:tabs>
      </w:pPr>
      <w:rPr>
        <w:rFonts w:ascii="Calibri" w:hAnsi="Calibri" w:eastAsia="Calibri"/>
        <w:color w:val="000000"/>
        <w:spacing w:val="0"/>
        <w:w w:val="100"/>
        <w:sz w:val="22"/>
        <w:vertAlign w:val="baseline"/>
        <w:lang w:val="en-US"/>
      </w:rPr>
    </w:lvl>
  </w:abstractNum>
  <w:abstractNum w:abstractNumId="2">
    <w:lvl w:ilvl="0">
      <w:start w:val="1"/>
      <w:numFmt w:val="decimal"/>
      <w:lvlText w:val="%1."/>
      <w:pPr>
        <w:tabs>
          <w:tab w:val="left" w:pos="360"/>
        </w:tabs>
      </w:pPr>
      <w:rPr>
        <w:rFonts w:ascii="Calibri" w:hAnsi="Calibri" w:eastAsia="Calibri"/>
        <w:color w:val="000000"/>
        <w:spacing w:val="-3"/>
        <w:w w:val="100"/>
        <w:sz w:val="23"/>
        <w:vertAlign w:val="baseline"/>
        <w:lang w:val="en-US"/>
      </w:rPr>
    </w:lvl>
  </w:abstractNum>
  <w:abstractNum w:abstractNumId="3">
    <w:lvl w:ilvl="0">
      <w:start w:val="0"/>
      <w:numFmt w:val="bullet"/>
      <w:lvlText w:val="·"/>
      <w:pPr>
        <w:tabs>
          <w:tab w:val="left" w:pos="360"/>
        </w:tabs>
      </w:pPr>
      <w:rPr>
        <w:rFonts w:ascii="Symbol" w:hAnsi="Symbol" w:eastAsia="Symbol"/>
        <w:color w:val="000000"/>
        <w:spacing w:val="-5"/>
        <w:w w:val="100"/>
        <w:sz w:val="23"/>
        <w:vertAlign w:val="baseline"/>
        <w:lang w:val="en-US"/>
      </w:rPr>
    </w:lvl>
  </w:abstractNum>
  <w:abstractNum w:abstractNumId="4">
    <w:lvl w:ilvl="0">
      <w:start w:val="0"/>
      <w:numFmt w:val="decimal"/>
      <w:lvlText w:val="%1."/>
      <w:pPr>
        <w:tabs>
          <w:tab w:val="left" w:pos="504"/>
        </w:tabs>
      </w:pPr>
      <w:rPr>
        <w:rFonts w:ascii="Calibri" w:hAnsi="Calibri" w:eastAsia="Calibri"/>
        <w:b w:val="true"/>
        <w:color w:val="000000"/>
        <w:spacing w:val="-4"/>
        <w:w w:val="100"/>
        <w:sz w:val="23"/>
        <w:vertAlign w:val="baseline"/>
        <w:lang w:val="en-US"/>
      </w:rPr>
    </w:lvl>
  </w:abstractNum>
  <w:abstractNum w:abstractNumId="5">
    <w:lvl w:ilvl="0">
      <w:start w:val="0"/>
      <w:numFmt w:val="decimal"/>
      <w:lvlText w:val="%1."/>
      <w:pPr>
        <w:tabs>
          <w:tab w:val="left" w:pos="288"/>
        </w:tabs>
      </w:pPr>
      <w:rPr>
        <w:rFonts w:ascii="Calibri" w:hAnsi="Calibri" w:eastAsia="Calibri"/>
        <w:b w:val="true"/>
        <w:color w:val="000000"/>
        <w:spacing w:val="-3"/>
        <w:w w:val="100"/>
        <w:sz w:val="23"/>
        <w:vertAlign w:val="baseline"/>
        <w:lang w:val="en-U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www.aitsl.edu.au/deliver-ite-programs/understand-ite-program-accreditation)"/><Relationship Id="dhId2" Type="http://schemas.openxmlformats.org/officeDocument/2006/relationships/hyperlink" TargetMode="External" Target="https://www.brookings.edu/research/2018"/><Relationship Id="dhId3" Type="http://schemas.openxmlformats.org/officeDocument/2006/relationships/hyperlink" TargetMode="External" Target="https://assets.publishing.service.gov.uk/government/uploads/system/uploads/attachment_data/file/786856/DFE_Te"/><Relationship Id="dhId4" Type="http://schemas.openxmlformats.org/officeDocument/2006/relationships/hyperlink" TargetMode="External" Target="https://www.gov.uk/government/publications/early"/><Relationship Id="dhId5" Type="http://schemas.openxmlformats.org/officeDocument/2006/relationships/hyperlink" TargetMode="External" Target="https://cdn.qct.edu.au/pdf/Research/WhyPeopleChooseTeachingLiteratureReview.pdf"/><Relationship Id="dhId6" Type="http://schemas.openxmlformats.org/officeDocument/2006/relationships/hyperlink" TargetMode="External" Target="https://ieuwa.org.au/wp-content/uploads/2019/02/Status-of-the-Teaching-Profession-Submission-final.pdf"/><Relationship Id="dhId7" Type="http://schemas.openxmlformats.org/officeDocument/2006/relationships/hyperlink" TargetMode="External" Target="https://www.oecd-ilibrary.org/education/preparing-teachers-and-developing-school-leaders-for-the-21st-century_9789264174559-en"/><Relationship Id="dhId8" Type="http://schemas.openxmlformats.org/officeDocument/2006/relationships/hyperlink" TargetMode="External" Target="https://doi.org/10.1787/19cf08df-en"/><Relationship Id="dhId9" Type="http://schemas.openxmlformats.org/officeDocument/2006/relationships/hyperlink" TargetMode="External" Target="https://www.oecd-ilibrary.org/education/education-at-a-glance-2020_69096873"/><Relationship Id="dhId10" Type="http://schemas.openxmlformats.org/officeDocument/2006/relationships/hyperlink" TargetMode="External" Target="http://www.edu.gov.on.ca"/><Relationship Id="dhId11" Type="http://schemas.openxmlformats.org/officeDocument/2006/relationships/hyperlink" TargetMode="External" Target="https://www.dese.gov.au/teaching-and-school-leadership/resources/action-now-classroom-ready-teachers-report-0"/><Relationship Id="dhId12" Type="http://schemas.openxmlformats.org/officeDocument/2006/relationships/hyperlink" TargetMode="External" Target="https://www.teachermagazine.com/au_en/articles/talis-stress-levels-among-australian-teachers"/><Relationship Id="dhId13" Type="http://schemas.openxmlformats.org/officeDocument/2006/relationships/hyperlink" TargetMode="External" Target="http://dx.doi.org/10.14221/ajte.2020v45n2.6"/><Relationship Id="dhId14" Type="http://schemas.openxmlformats.org/officeDocument/2006/relationships/hyperlink" TargetMode="External" Target="https://www.nfer.ac.uk/media/3111/teacher_workforce_dynamics_in_england_final_report.pdf"/><Relationship Id="dhId15" Type="http://schemas.openxmlformats.org/officeDocument/2006/relationships/hyperlink" TargetMode="External" Target="http://dx.doi.org/10.14221/ajte.2017v42n12.7"/><Relationship Id="prId1" Type="http://schemas.openxmlformats.org/officeDocument/2006/relationships/image" Target="media/image1.png"/><Relationship Id="prId2" Type="http://schemas.openxmlformats.org/officeDocument/2006/relationships/image" Target="media/image2.png"/><Relationship Id="prId3" Type="http://schemas.openxmlformats.org/officeDocument/2006/relationships/image" Target="media/image3.png"/><Relationship Id="prId4" Type="http://schemas.openxmlformats.org/officeDocument/2006/relationships/image" Target="media/image4.png"/><Relationship Id="prId5" Type="http://schemas.openxmlformats.org/officeDocument/2006/relationships/image" Target="media/image5.png"/><Relationship Id="prId6" Type="http://schemas.openxmlformats.org/officeDocument/2006/relationships/image" Target="media/image6.png"/><Relationship Id="prId7" Type="http://schemas.openxmlformats.org/officeDocument/2006/relationships/image" Target="media/image7.png"/><Relationship Id="prId8" Type="http://schemas.openxmlformats.org/officeDocument/2006/relationships/image" Target="media/image8.png"/><Relationship Id="prId9" Type="http://schemas.openxmlformats.org/officeDocument/2006/relationships/image" Target="media/image9.png"/><Relationship Id="prId10" Type="http://schemas.openxmlformats.org/officeDocument/2006/relationships/image" Target="media/image10.png"/><Relationship Id="prId11" Type="http://schemas.openxmlformats.org/officeDocument/2006/relationships/image" Target="media/image11.png"/><Relationship Id="prId12" Type="http://schemas.openxmlformats.org/officeDocument/2006/relationships/image" Target="media/image12.png"/><Relationship Id="prId13" Type="http://schemas.openxmlformats.org/officeDocument/2006/relationships/image" Target="media/image13.png"/><Relationship Id="prId14" Type="http://schemas.openxmlformats.org/officeDocument/2006/relationships/image" Target="media/image14.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Microsoft Word - NSW Council of Deans of Education_QITER_Response_final.docx</dc:title>
  <dcterms:created xsi:type="dcterms:W3CDTF">2021-10-05T04:54:10Z</dcterms:created>
  <dcterms:modified xsi:type="dcterms:W3CDTF">2021-10-05T04:54:10Z</dcterms:modified>
</cp:coreProperties>
</file>