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3FF359" w14:textId="02B5E3AE" w:rsidR="00D71953" w:rsidRPr="00F52CA3" w:rsidRDefault="00D71953" w:rsidP="00D71953">
      <w:r w:rsidRPr="00F52CA3">
        <w:rPr>
          <w:color w:val="002D3F"/>
          <w:sz w:val="36"/>
          <w:szCs w:val="36"/>
          <w:shd w:val="clear" w:color="auto" w:fill="FFFFFF"/>
        </w:rPr>
        <w:t>Quality</w:t>
      </w:r>
      <w:r w:rsidR="00E21712" w:rsidRPr="00F52CA3">
        <w:rPr>
          <w:color w:val="002D3F"/>
          <w:sz w:val="36"/>
          <w:szCs w:val="36"/>
          <w:shd w:val="clear" w:color="auto" w:fill="FFFFFF"/>
        </w:rPr>
        <w:t xml:space="preserve"> </w:t>
      </w:r>
      <w:r w:rsidRPr="00F52CA3">
        <w:rPr>
          <w:color w:val="002D3F"/>
          <w:sz w:val="36"/>
          <w:szCs w:val="36"/>
          <w:shd w:val="clear" w:color="auto" w:fill="FFFFFF"/>
        </w:rPr>
        <w:t>Initial</w:t>
      </w:r>
      <w:r w:rsidR="00E21712" w:rsidRPr="00F52CA3">
        <w:rPr>
          <w:color w:val="002D3F"/>
          <w:sz w:val="36"/>
          <w:szCs w:val="36"/>
          <w:shd w:val="clear" w:color="auto" w:fill="FFFFFF"/>
        </w:rPr>
        <w:t xml:space="preserve"> </w:t>
      </w:r>
      <w:r w:rsidRPr="00F52CA3">
        <w:rPr>
          <w:color w:val="002D3F"/>
          <w:sz w:val="36"/>
          <w:szCs w:val="36"/>
          <w:shd w:val="clear" w:color="auto" w:fill="FFFFFF"/>
        </w:rPr>
        <w:t>Teacher</w:t>
      </w:r>
      <w:r w:rsidR="00E21712" w:rsidRPr="00F52CA3">
        <w:rPr>
          <w:color w:val="002D3F"/>
          <w:sz w:val="36"/>
          <w:szCs w:val="36"/>
          <w:shd w:val="clear" w:color="auto" w:fill="FFFFFF"/>
        </w:rPr>
        <w:t xml:space="preserve"> </w:t>
      </w:r>
      <w:r w:rsidRPr="00F52CA3">
        <w:rPr>
          <w:color w:val="002D3F"/>
          <w:sz w:val="36"/>
          <w:szCs w:val="36"/>
          <w:shd w:val="clear" w:color="auto" w:fill="FFFFFF"/>
        </w:rPr>
        <w:t>Education</w:t>
      </w:r>
      <w:r w:rsidR="00E21712" w:rsidRPr="00F52CA3">
        <w:rPr>
          <w:color w:val="002D3F"/>
          <w:sz w:val="36"/>
          <w:szCs w:val="36"/>
          <w:shd w:val="clear" w:color="auto" w:fill="FFFFFF"/>
        </w:rPr>
        <w:t xml:space="preserve"> </w:t>
      </w:r>
      <w:r w:rsidRPr="00F52CA3">
        <w:rPr>
          <w:color w:val="002D3F"/>
          <w:sz w:val="36"/>
          <w:szCs w:val="36"/>
          <w:shd w:val="clear" w:color="auto" w:fill="FFFFFF"/>
        </w:rPr>
        <w:t>Review</w:t>
      </w:r>
    </w:p>
    <w:p w14:paraId="2EEE7E1D" w14:textId="77777777" w:rsidR="00D71953" w:rsidRPr="00F52CA3" w:rsidRDefault="00D71953" w:rsidP="00D71953">
      <w:pPr>
        <w:pStyle w:val="NormalWeb"/>
        <w:spacing w:before="0" w:beforeAutospacing="0" w:after="0" w:afterAutospacing="0"/>
        <w:rPr>
          <w:b/>
          <w:bCs/>
          <w:color w:val="000000"/>
        </w:rPr>
      </w:pPr>
    </w:p>
    <w:p w14:paraId="39E1934F" w14:textId="11D4D30B" w:rsidR="00D71953" w:rsidRPr="008873A2" w:rsidRDefault="00D71953" w:rsidP="00B054ED">
      <w:pPr>
        <w:pStyle w:val="NormalWeb"/>
        <w:spacing w:before="0" w:beforeAutospacing="0" w:after="0" w:afterAutospacing="0"/>
        <w:rPr>
          <w:b/>
          <w:bCs/>
          <w:color w:val="000000"/>
          <w:sz w:val="28"/>
          <w:szCs w:val="28"/>
        </w:rPr>
      </w:pPr>
      <w:r w:rsidRPr="008873A2">
        <w:rPr>
          <w:b/>
          <w:bCs/>
          <w:color w:val="000000"/>
          <w:sz w:val="28"/>
          <w:szCs w:val="28"/>
        </w:rPr>
        <w:t>Response</w:t>
      </w:r>
      <w:r w:rsidR="00E21712" w:rsidRPr="008873A2">
        <w:rPr>
          <w:b/>
          <w:bCs/>
          <w:color w:val="000000"/>
          <w:sz w:val="28"/>
          <w:szCs w:val="28"/>
        </w:rPr>
        <w:t xml:space="preserve"> </w:t>
      </w:r>
      <w:r w:rsidRPr="008873A2">
        <w:rPr>
          <w:b/>
          <w:bCs/>
          <w:color w:val="000000"/>
          <w:sz w:val="28"/>
          <w:szCs w:val="28"/>
        </w:rPr>
        <w:t>to</w:t>
      </w:r>
      <w:r w:rsidR="00E21712" w:rsidRPr="008873A2">
        <w:rPr>
          <w:b/>
          <w:bCs/>
          <w:color w:val="000000"/>
          <w:sz w:val="28"/>
          <w:szCs w:val="28"/>
        </w:rPr>
        <w:t xml:space="preserve"> </w:t>
      </w:r>
      <w:r w:rsidRPr="008873A2">
        <w:rPr>
          <w:b/>
          <w:bCs/>
          <w:color w:val="000000"/>
          <w:sz w:val="28"/>
          <w:szCs w:val="28"/>
        </w:rPr>
        <w:t>the</w:t>
      </w:r>
      <w:r w:rsidR="00E21712" w:rsidRPr="008873A2">
        <w:rPr>
          <w:b/>
          <w:bCs/>
          <w:color w:val="000000"/>
          <w:sz w:val="28"/>
          <w:szCs w:val="28"/>
        </w:rPr>
        <w:t xml:space="preserve"> </w:t>
      </w:r>
      <w:r w:rsidRPr="008873A2">
        <w:rPr>
          <w:b/>
          <w:bCs/>
          <w:color w:val="000000"/>
          <w:sz w:val="28"/>
          <w:szCs w:val="28"/>
        </w:rPr>
        <w:t>Discussion</w:t>
      </w:r>
      <w:r w:rsidR="00E21712" w:rsidRPr="008873A2">
        <w:rPr>
          <w:b/>
          <w:bCs/>
          <w:color w:val="000000"/>
          <w:sz w:val="28"/>
          <w:szCs w:val="28"/>
        </w:rPr>
        <w:t xml:space="preserve"> </w:t>
      </w:r>
      <w:r w:rsidRPr="008873A2">
        <w:rPr>
          <w:b/>
          <w:bCs/>
          <w:color w:val="000000"/>
          <w:sz w:val="28"/>
          <w:szCs w:val="28"/>
        </w:rPr>
        <w:t>Paper</w:t>
      </w:r>
      <w:r w:rsidR="00E21712" w:rsidRPr="008873A2">
        <w:rPr>
          <w:b/>
          <w:bCs/>
          <w:color w:val="000000"/>
          <w:sz w:val="28"/>
          <w:szCs w:val="28"/>
        </w:rPr>
        <w:t xml:space="preserve"> </w:t>
      </w:r>
      <w:r w:rsidRPr="008873A2">
        <w:rPr>
          <w:b/>
          <w:bCs/>
          <w:color w:val="000000"/>
          <w:sz w:val="28"/>
          <w:szCs w:val="28"/>
        </w:rPr>
        <w:t>and</w:t>
      </w:r>
      <w:r w:rsidR="00E21712" w:rsidRPr="008873A2">
        <w:rPr>
          <w:b/>
          <w:bCs/>
          <w:color w:val="000000"/>
          <w:sz w:val="28"/>
          <w:szCs w:val="28"/>
        </w:rPr>
        <w:t xml:space="preserve"> </w:t>
      </w:r>
      <w:r w:rsidRPr="008873A2">
        <w:rPr>
          <w:b/>
          <w:bCs/>
          <w:color w:val="000000"/>
          <w:sz w:val="28"/>
          <w:szCs w:val="28"/>
        </w:rPr>
        <w:t>Terms</w:t>
      </w:r>
      <w:r w:rsidR="00E21712" w:rsidRPr="008873A2">
        <w:rPr>
          <w:b/>
          <w:bCs/>
          <w:color w:val="000000"/>
          <w:sz w:val="28"/>
          <w:szCs w:val="28"/>
        </w:rPr>
        <w:t xml:space="preserve"> </w:t>
      </w:r>
      <w:r w:rsidRPr="008873A2">
        <w:rPr>
          <w:b/>
          <w:bCs/>
          <w:color w:val="000000"/>
          <w:sz w:val="28"/>
          <w:szCs w:val="28"/>
        </w:rPr>
        <w:t>of</w:t>
      </w:r>
      <w:r w:rsidR="00E21712" w:rsidRPr="008873A2">
        <w:rPr>
          <w:b/>
          <w:bCs/>
          <w:color w:val="000000"/>
          <w:sz w:val="28"/>
          <w:szCs w:val="28"/>
        </w:rPr>
        <w:t xml:space="preserve"> </w:t>
      </w:r>
      <w:r w:rsidRPr="008873A2">
        <w:rPr>
          <w:b/>
          <w:bCs/>
          <w:color w:val="000000"/>
          <w:sz w:val="28"/>
          <w:szCs w:val="28"/>
        </w:rPr>
        <w:t>Reference</w:t>
      </w:r>
      <w:r w:rsidR="00E21712" w:rsidRPr="008873A2">
        <w:rPr>
          <w:b/>
          <w:bCs/>
          <w:color w:val="000000"/>
          <w:sz w:val="28"/>
          <w:szCs w:val="28"/>
        </w:rPr>
        <w:t xml:space="preserve"> </w:t>
      </w:r>
    </w:p>
    <w:p w14:paraId="2E6A8A35" w14:textId="1E59D09D" w:rsidR="00D71953" w:rsidRPr="008873A2" w:rsidRDefault="00D71953" w:rsidP="00B054ED">
      <w:pPr>
        <w:pStyle w:val="NormalWeb"/>
        <w:spacing w:before="0" w:beforeAutospacing="0" w:after="0" w:afterAutospacing="0"/>
        <w:rPr>
          <w:b/>
          <w:bCs/>
          <w:color w:val="000000"/>
          <w:sz w:val="28"/>
          <w:szCs w:val="28"/>
        </w:rPr>
      </w:pPr>
      <w:r w:rsidRPr="008873A2">
        <w:rPr>
          <w:b/>
          <w:bCs/>
          <w:color w:val="000000"/>
          <w:sz w:val="28"/>
          <w:szCs w:val="28"/>
        </w:rPr>
        <w:t>Australian</w:t>
      </w:r>
      <w:r w:rsidR="00E21712" w:rsidRPr="008873A2">
        <w:rPr>
          <w:b/>
          <w:bCs/>
          <w:color w:val="000000"/>
          <w:sz w:val="28"/>
          <w:szCs w:val="28"/>
        </w:rPr>
        <w:t xml:space="preserve"> </w:t>
      </w:r>
      <w:r w:rsidRPr="008873A2">
        <w:rPr>
          <w:b/>
          <w:bCs/>
          <w:color w:val="000000"/>
          <w:sz w:val="28"/>
          <w:szCs w:val="28"/>
        </w:rPr>
        <w:t>Teacher</w:t>
      </w:r>
      <w:r w:rsidR="00E21712" w:rsidRPr="008873A2">
        <w:rPr>
          <w:b/>
          <w:bCs/>
          <w:color w:val="000000"/>
          <w:sz w:val="28"/>
          <w:szCs w:val="28"/>
        </w:rPr>
        <w:t xml:space="preserve"> </w:t>
      </w:r>
      <w:r w:rsidRPr="008873A2">
        <w:rPr>
          <w:b/>
          <w:bCs/>
          <w:color w:val="000000"/>
          <w:sz w:val="28"/>
          <w:szCs w:val="28"/>
        </w:rPr>
        <w:t>Education</w:t>
      </w:r>
      <w:r w:rsidR="00E21712" w:rsidRPr="008873A2">
        <w:rPr>
          <w:b/>
          <w:bCs/>
          <w:color w:val="000000"/>
          <w:sz w:val="28"/>
          <w:szCs w:val="28"/>
        </w:rPr>
        <w:t xml:space="preserve"> </w:t>
      </w:r>
      <w:r w:rsidRPr="008873A2">
        <w:rPr>
          <w:b/>
          <w:bCs/>
          <w:color w:val="000000"/>
          <w:sz w:val="28"/>
          <w:szCs w:val="28"/>
        </w:rPr>
        <w:t>Association</w:t>
      </w:r>
      <w:r w:rsidR="00E21712" w:rsidRPr="008873A2">
        <w:rPr>
          <w:b/>
          <w:bCs/>
          <w:color w:val="000000"/>
          <w:sz w:val="28"/>
          <w:szCs w:val="28"/>
        </w:rPr>
        <w:t xml:space="preserve"> </w:t>
      </w:r>
      <w:r w:rsidRPr="008873A2">
        <w:rPr>
          <w:b/>
          <w:bCs/>
          <w:color w:val="000000"/>
          <w:sz w:val="28"/>
          <w:szCs w:val="28"/>
        </w:rPr>
        <w:t>(ATEA)</w:t>
      </w:r>
    </w:p>
    <w:p w14:paraId="425EE306" w14:textId="77777777" w:rsidR="00D71953" w:rsidRPr="00F52CA3" w:rsidRDefault="00D71953" w:rsidP="00EA1114">
      <w:pPr>
        <w:pStyle w:val="NormalWeb"/>
        <w:rPr>
          <w:b/>
          <w:bCs/>
          <w:color w:val="000000"/>
        </w:rPr>
      </w:pPr>
    </w:p>
    <w:p w14:paraId="7739575E" w14:textId="1DDD003D" w:rsidR="00274669" w:rsidRPr="00F52CA3" w:rsidRDefault="00274669" w:rsidP="00EA1114">
      <w:pPr>
        <w:pStyle w:val="NormalWeb"/>
        <w:rPr>
          <w:b/>
          <w:bCs/>
          <w:color w:val="000000"/>
          <w:sz w:val="28"/>
          <w:szCs w:val="28"/>
          <w:u w:val="single"/>
        </w:rPr>
      </w:pPr>
      <w:r w:rsidRPr="00F52CA3">
        <w:rPr>
          <w:b/>
          <w:bCs/>
          <w:color w:val="000000"/>
          <w:sz w:val="28"/>
          <w:szCs w:val="28"/>
          <w:u w:val="single"/>
        </w:rPr>
        <w:t>Introduction</w:t>
      </w:r>
    </w:p>
    <w:p w14:paraId="02F6D266" w14:textId="362CCBF9" w:rsidR="00EA1114" w:rsidRPr="00F52CA3" w:rsidRDefault="00AC335C" w:rsidP="00B054ED">
      <w:pPr>
        <w:pStyle w:val="NormalWeb"/>
        <w:spacing w:before="0" w:beforeAutospacing="0" w:after="0" w:afterAutospacing="0"/>
        <w:rPr>
          <w:color w:val="000000"/>
        </w:rPr>
      </w:pPr>
      <w:r w:rsidRPr="00F52CA3">
        <w:rPr>
          <w:color w:val="000000"/>
        </w:rPr>
        <w:t>The</w:t>
      </w:r>
      <w:r w:rsidR="00E21712" w:rsidRPr="00F52CA3">
        <w:rPr>
          <w:color w:val="000000"/>
        </w:rPr>
        <w:t xml:space="preserve"> </w:t>
      </w:r>
      <w:r w:rsidRPr="00F52CA3">
        <w:rPr>
          <w:color w:val="000000"/>
        </w:rPr>
        <w:t>A</w:t>
      </w:r>
      <w:r w:rsidR="00274669" w:rsidRPr="00F52CA3">
        <w:rPr>
          <w:color w:val="000000"/>
        </w:rPr>
        <w:t>TEA</w:t>
      </w:r>
      <w:r w:rsidR="00E21712" w:rsidRPr="00F52CA3">
        <w:rPr>
          <w:color w:val="000000"/>
        </w:rPr>
        <w:t xml:space="preserve"> </w:t>
      </w:r>
      <w:r w:rsidRPr="00F52CA3">
        <w:rPr>
          <w:color w:val="000000"/>
        </w:rPr>
        <w:t>re</w:t>
      </w:r>
      <w:r w:rsidR="00D71953" w:rsidRPr="00F52CA3">
        <w:rPr>
          <w:color w:val="000000"/>
        </w:rPr>
        <w:t>s</w:t>
      </w:r>
      <w:r w:rsidRPr="00F52CA3">
        <w:rPr>
          <w:color w:val="000000"/>
        </w:rPr>
        <w:t>ponse</w:t>
      </w:r>
      <w:r w:rsidR="00E21712" w:rsidRPr="00F52CA3">
        <w:rPr>
          <w:color w:val="000000"/>
        </w:rPr>
        <w:t xml:space="preserve"> </w:t>
      </w:r>
      <w:r w:rsidRPr="00F52CA3">
        <w:rPr>
          <w:color w:val="000000"/>
        </w:rPr>
        <w:t>consist</w:t>
      </w:r>
      <w:r w:rsidR="001B5574" w:rsidRPr="00F52CA3">
        <w:rPr>
          <w:color w:val="000000"/>
        </w:rPr>
        <w:t>s</w:t>
      </w:r>
      <w:r w:rsidR="00E21712" w:rsidRPr="00F52CA3">
        <w:rPr>
          <w:color w:val="000000"/>
        </w:rPr>
        <w:t xml:space="preserve"> </w:t>
      </w:r>
      <w:r w:rsidRPr="00F52CA3">
        <w:rPr>
          <w:color w:val="000000"/>
        </w:rPr>
        <w:t>of</w:t>
      </w:r>
      <w:r w:rsidR="00E21712" w:rsidRPr="00F52CA3">
        <w:rPr>
          <w:color w:val="000000"/>
        </w:rPr>
        <w:t xml:space="preserve"> </w:t>
      </w:r>
      <w:r w:rsidR="00351BE2" w:rsidRPr="00F52CA3">
        <w:rPr>
          <w:color w:val="000000"/>
        </w:rPr>
        <w:t xml:space="preserve">three </w:t>
      </w:r>
      <w:r w:rsidRPr="00F52CA3">
        <w:rPr>
          <w:color w:val="000000"/>
        </w:rPr>
        <w:t>parts</w:t>
      </w:r>
      <w:r w:rsidR="00E21712" w:rsidRPr="00F52CA3">
        <w:rPr>
          <w:color w:val="000000"/>
        </w:rPr>
        <w:t xml:space="preserve"> </w:t>
      </w:r>
      <w:proofErr w:type="gramStart"/>
      <w:r w:rsidRPr="00F52CA3">
        <w:rPr>
          <w:color w:val="000000"/>
        </w:rPr>
        <w:t>in</w:t>
      </w:r>
      <w:r w:rsidR="00E21712" w:rsidRPr="00F52CA3">
        <w:rPr>
          <w:color w:val="000000"/>
        </w:rPr>
        <w:t xml:space="preserve"> </w:t>
      </w:r>
      <w:r w:rsidRPr="00F52CA3">
        <w:rPr>
          <w:color w:val="000000"/>
        </w:rPr>
        <w:t>order</w:t>
      </w:r>
      <w:r w:rsidR="00E21712" w:rsidRPr="00F52CA3">
        <w:rPr>
          <w:color w:val="000000"/>
        </w:rPr>
        <w:t xml:space="preserve"> </w:t>
      </w:r>
      <w:r w:rsidRPr="00F52CA3">
        <w:rPr>
          <w:color w:val="000000"/>
        </w:rPr>
        <w:t>to</w:t>
      </w:r>
      <w:proofErr w:type="gramEnd"/>
      <w:r w:rsidR="00E21712" w:rsidRPr="00F52CA3">
        <w:rPr>
          <w:color w:val="000000"/>
        </w:rPr>
        <w:t xml:space="preserve"> </w:t>
      </w:r>
      <w:r w:rsidRPr="00F52CA3">
        <w:rPr>
          <w:color w:val="000000"/>
        </w:rPr>
        <w:t>address</w:t>
      </w:r>
      <w:r w:rsidR="00E21712" w:rsidRPr="00F52CA3">
        <w:rPr>
          <w:color w:val="000000"/>
        </w:rPr>
        <w:t xml:space="preserve"> </w:t>
      </w:r>
      <w:r w:rsidRPr="00F52CA3">
        <w:rPr>
          <w:color w:val="000000"/>
        </w:rPr>
        <w:t>the</w:t>
      </w:r>
      <w:r w:rsidR="00E21712" w:rsidRPr="00F52CA3">
        <w:rPr>
          <w:color w:val="000000"/>
        </w:rPr>
        <w:t xml:space="preserve"> </w:t>
      </w:r>
      <w:r w:rsidRPr="00F52CA3">
        <w:rPr>
          <w:color w:val="000000"/>
        </w:rPr>
        <w:t>key</w:t>
      </w:r>
      <w:r w:rsidR="00E21712" w:rsidRPr="00F52CA3">
        <w:rPr>
          <w:color w:val="000000"/>
        </w:rPr>
        <w:t xml:space="preserve"> </w:t>
      </w:r>
      <w:r w:rsidRPr="00F52CA3">
        <w:rPr>
          <w:color w:val="000000"/>
        </w:rPr>
        <w:t>questions</w:t>
      </w:r>
      <w:r w:rsidR="00E21712" w:rsidRPr="00F52CA3">
        <w:rPr>
          <w:color w:val="000000"/>
        </w:rPr>
        <w:t xml:space="preserve"> </w:t>
      </w:r>
      <w:r w:rsidRPr="00F52CA3">
        <w:rPr>
          <w:color w:val="000000"/>
        </w:rPr>
        <w:t>outlined</w:t>
      </w:r>
      <w:r w:rsidR="00E21712" w:rsidRPr="00F52CA3">
        <w:rPr>
          <w:color w:val="000000"/>
        </w:rPr>
        <w:t xml:space="preserve"> </w:t>
      </w:r>
      <w:r w:rsidR="00D71953" w:rsidRPr="00F52CA3">
        <w:rPr>
          <w:color w:val="000000"/>
        </w:rPr>
        <w:t>in</w:t>
      </w:r>
      <w:r w:rsidR="00E21712" w:rsidRPr="00F52CA3">
        <w:rPr>
          <w:color w:val="000000"/>
        </w:rPr>
        <w:t xml:space="preserve"> </w:t>
      </w:r>
      <w:r w:rsidR="00D71953" w:rsidRPr="00F52CA3">
        <w:rPr>
          <w:color w:val="000000"/>
        </w:rPr>
        <w:t>the</w:t>
      </w:r>
      <w:r w:rsidR="00E21712" w:rsidRPr="00F52CA3">
        <w:rPr>
          <w:color w:val="000000"/>
        </w:rPr>
        <w:t xml:space="preserve"> </w:t>
      </w:r>
      <w:r w:rsidR="00D71953" w:rsidRPr="00F52CA3">
        <w:rPr>
          <w:color w:val="000000"/>
        </w:rPr>
        <w:t>Review’s</w:t>
      </w:r>
      <w:r w:rsidR="00E21712" w:rsidRPr="00F52CA3">
        <w:rPr>
          <w:color w:val="000000"/>
        </w:rPr>
        <w:t xml:space="preserve"> </w:t>
      </w:r>
      <w:r w:rsidR="00D71953" w:rsidRPr="00F52CA3">
        <w:rPr>
          <w:color w:val="000000"/>
        </w:rPr>
        <w:t>Terms</w:t>
      </w:r>
      <w:r w:rsidR="00E21712" w:rsidRPr="00F52CA3">
        <w:rPr>
          <w:color w:val="000000"/>
        </w:rPr>
        <w:t xml:space="preserve"> </w:t>
      </w:r>
      <w:r w:rsidR="00D71953" w:rsidRPr="00F52CA3">
        <w:rPr>
          <w:color w:val="000000"/>
        </w:rPr>
        <w:t>of</w:t>
      </w:r>
      <w:r w:rsidR="00E21712" w:rsidRPr="00F52CA3">
        <w:rPr>
          <w:color w:val="000000"/>
        </w:rPr>
        <w:t xml:space="preserve"> </w:t>
      </w:r>
      <w:r w:rsidR="00D71953" w:rsidRPr="00F52CA3">
        <w:rPr>
          <w:color w:val="000000"/>
        </w:rPr>
        <w:t>Reference</w:t>
      </w:r>
      <w:r w:rsidRPr="00F52CA3">
        <w:rPr>
          <w:color w:val="000000"/>
        </w:rPr>
        <w:t>,</w:t>
      </w:r>
      <w:r w:rsidR="00E21712" w:rsidRPr="00F52CA3">
        <w:rPr>
          <w:color w:val="000000"/>
        </w:rPr>
        <w:t xml:space="preserve"> </w:t>
      </w:r>
      <w:r w:rsidRPr="00F52CA3">
        <w:rPr>
          <w:color w:val="000000"/>
        </w:rPr>
        <w:t>namely:</w:t>
      </w:r>
    </w:p>
    <w:p w14:paraId="1ECBFAA0" w14:textId="45F4D495" w:rsidR="00AC335C" w:rsidRPr="00F52CA3" w:rsidRDefault="00AC335C" w:rsidP="00B054ED">
      <w:pPr>
        <w:pStyle w:val="NormalWeb"/>
        <w:spacing w:before="60" w:beforeAutospacing="0" w:after="0" w:afterAutospacing="0"/>
        <w:ind w:left="284"/>
        <w:rPr>
          <w:color w:val="000000"/>
        </w:rPr>
      </w:pPr>
      <w:r w:rsidRPr="00F52CA3">
        <w:rPr>
          <w:color w:val="000000"/>
        </w:rPr>
        <w:t>Part</w:t>
      </w:r>
      <w:r w:rsidR="00E21712" w:rsidRPr="00F52CA3">
        <w:rPr>
          <w:color w:val="000000"/>
        </w:rPr>
        <w:t xml:space="preserve"> </w:t>
      </w:r>
      <w:r w:rsidRPr="00F52CA3">
        <w:rPr>
          <w:color w:val="000000"/>
        </w:rPr>
        <w:t>A:</w:t>
      </w:r>
      <w:r w:rsidR="00E21712" w:rsidRPr="00F52CA3">
        <w:rPr>
          <w:color w:val="000000"/>
        </w:rPr>
        <w:t xml:space="preserve"> </w:t>
      </w:r>
      <w:r w:rsidRPr="00F52CA3">
        <w:rPr>
          <w:color w:val="000000"/>
        </w:rPr>
        <w:t>Focus</w:t>
      </w:r>
      <w:r w:rsidR="00E21712" w:rsidRPr="00F52CA3">
        <w:rPr>
          <w:color w:val="000000"/>
        </w:rPr>
        <w:t xml:space="preserve"> </w:t>
      </w:r>
      <w:r w:rsidRPr="00F52CA3">
        <w:rPr>
          <w:color w:val="000000"/>
        </w:rPr>
        <w:t>on</w:t>
      </w:r>
      <w:r w:rsidR="00E21712" w:rsidRPr="00F52CA3">
        <w:rPr>
          <w:color w:val="000000"/>
        </w:rPr>
        <w:t xml:space="preserve"> </w:t>
      </w:r>
      <w:r w:rsidRPr="00F52CA3">
        <w:rPr>
          <w:color w:val="000000"/>
        </w:rPr>
        <w:t>Initial</w:t>
      </w:r>
      <w:r w:rsidR="00E21712" w:rsidRPr="00F52CA3">
        <w:rPr>
          <w:color w:val="000000"/>
        </w:rPr>
        <w:t xml:space="preserve"> </w:t>
      </w:r>
      <w:r w:rsidRPr="00F52CA3">
        <w:rPr>
          <w:color w:val="000000"/>
        </w:rPr>
        <w:t>Teacher</w:t>
      </w:r>
      <w:r w:rsidR="00E21712" w:rsidRPr="00F52CA3">
        <w:rPr>
          <w:color w:val="000000"/>
        </w:rPr>
        <w:t xml:space="preserve"> </w:t>
      </w:r>
      <w:r w:rsidRPr="00F52CA3">
        <w:rPr>
          <w:color w:val="000000"/>
        </w:rPr>
        <w:t>Education</w:t>
      </w:r>
    </w:p>
    <w:p w14:paraId="63A48834" w14:textId="678547FF" w:rsidR="00AC335C" w:rsidRPr="00F52CA3" w:rsidRDefault="00AC335C" w:rsidP="00B054ED">
      <w:pPr>
        <w:pStyle w:val="NormalWeb"/>
        <w:spacing w:before="60" w:beforeAutospacing="0" w:after="0" w:afterAutospacing="0"/>
        <w:ind w:left="284"/>
        <w:rPr>
          <w:color w:val="000000"/>
        </w:rPr>
      </w:pPr>
      <w:r w:rsidRPr="00F52CA3">
        <w:rPr>
          <w:color w:val="000000"/>
        </w:rPr>
        <w:t>Part</w:t>
      </w:r>
      <w:r w:rsidR="00E21712" w:rsidRPr="00F52CA3">
        <w:rPr>
          <w:color w:val="000000"/>
        </w:rPr>
        <w:t xml:space="preserve"> </w:t>
      </w:r>
      <w:r w:rsidRPr="00F52CA3">
        <w:rPr>
          <w:color w:val="000000"/>
        </w:rPr>
        <w:t>B:</w:t>
      </w:r>
      <w:r w:rsidR="00E21712" w:rsidRPr="00F52CA3">
        <w:rPr>
          <w:color w:val="000000"/>
        </w:rPr>
        <w:t xml:space="preserve"> </w:t>
      </w:r>
      <w:r w:rsidR="00E1032B" w:rsidRPr="00F52CA3">
        <w:rPr>
          <w:color w:val="000000"/>
        </w:rPr>
        <w:t>Focus on Becoming a Teacher and</w:t>
      </w:r>
      <w:r w:rsidR="00E21712" w:rsidRPr="00F52CA3">
        <w:rPr>
          <w:color w:val="000000"/>
        </w:rPr>
        <w:t xml:space="preserve"> </w:t>
      </w:r>
      <w:r w:rsidRPr="00F52CA3">
        <w:rPr>
          <w:color w:val="000000"/>
        </w:rPr>
        <w:t>the</w:t>
      </w:r>
      <w:r w:rsidR="00E21712" w:rsidRPr="00F52CA3">
        <w:rPr>
          <w:color w:val="000000"/>
        </w:rPr>
        <w:t xml:space="preserve"> </w:t>
      </w:r>
      <w:r w:rsidRPr="00F52CA3">
        <w:rPr>
          <w:color w:val="000000"/>
        </w:rPr>
        <w:t>Profession</w:t>
      </w:r>
      <w:r w:rsidR="00E21712" w:rsidRPr="00F52CA3">
        <w:rPr>
          <w:color w:val="000000"/>
        </w:rPr>
        <w:t xml:space="preserve"> </w:t>
      </w:r>
      <w:r w:rsidRPr="00F52CA3">
        <w:rPr>
          <w:color w:val="000000"/>
        </w:rPr>
        <w:t>of</w:t>
      </w:r>
      <w:r w:rsidR="00E21712" w:rsidRPr="00F52CA3">
        <w:rPr>
          <w:color w:val="000000"/>
        </w:rPr>
        <w:t xml:space="preserve"> </w:t>
      </w:r>
      <w:r w:rsidRPr="00F52CA3">
        <w:rPr>
          <w:color w:val="000000"/>
        </w:rPr>
        <w:t>Teaching</w:t>
      </w:r>
    </w:p>
    <w:p w14:paraId="3A0F00A0" w14:textId="38569E9A" w:rsidR="00351BE2" w:rsidRPr="00F52CA3" w:rsidRDefault="00351BE2" w:rsidP="00B054ED">
      <w:pPr>
        <w:pStyle w:val="NormalWeb"/>
        <w:spacing w:before="60" w:beforeAutospacing="0" w:after="0" w:afterAutospacing="0"/>
        <w:ind w:left="284"/>
        <w:rPr>
          <w:color w:val="000000"/>
        </w:rPr>
      </w:pPr>
      <w:r w:rsidRPr="00F52CA3">
        <w:rPr>
          <w:color w:val="000000"/>
        </w:rPr>
        <w:t>Part C: Conclusion and Recommendations</w:t>
      </w:r>
    </w:p>
    <w:p w14:paraId="5BB9AF96" w14:textId="0A6BBD75" w:rsidR="00D71953" w:rsidRPr="00F52CA3" w:rsidRDefault="00AC335C" w:rsidP="00B054ED">
      <w:pPr>
        <w:pStyle w:val="NormalWeb"/>
        <w:spacing w:before="120" w:beforeAutospacing="0" w:after="0" w:afterAutospacing="0"/>
        <w:rPr>
          <w:color w:val="000000"/>
        </w:rPr>
      </w:pPr>
      <w:r w:rsidRPr="00F52CA3">
        <w:rPr>
          <w:color w:val="000000"/>
        </w:rPr>
        <w:t>In</w:t>
      </w:r>
      <w:r w:rsidR="00E21712" w:rsidRPr="00F52CA3">
        <w:rPr>
          <w:color w:val="000000"/>
        </w:rPr>
        <w:t xml:space="preserve"> </w:t>
      </w:r>
      <w:r w:rsidR="00351BE2" w:rsidRPr="00F52CA3">
        <w:rPr>
          <w:color w:val="000000"/>
        </w:rPr>
        <w:t>the first</w:t>
      </w:r>
      <w:r w:rsidR="00E21712" w:rsidRPr="00F52CA3">
        <w:rPr>
          <w:color w:val="000000"/>
        </w:rPr>
        <w:t xml:space="preserve"> </w:t>
      </w:r>
      <w:r w:rsidRPr="00F52CA3">
        <w:rPr>
          <w:color w:val="000000"/>
        </w:rPr>
        <w:t>two</w:t>
      </w:r>
      <w:r w:rsidR="00E21712" w:rsidRPr="00F52CA3">
        <w:rPr>
          <w:color w:val="000000"/>
        </w:rPr>
        <w:t xml:space="preserve"> </w:t>
      </w:r>
      <w:r w:rsidRPr="00F52CA3">
        <w:rPr>
          <w:color w:val="000000"/>
        </w:rPr>
        <w:t>parts,</w:t>
      </w:r>
      <w:r w:rsidR="00E21712" w:rsidRPr="00F52CA3">
        <w:rPr>
          <w:color w:val="000000"/>
        </w:rPr>
        <w:t xml:space="preserve"> </w:t>
      </w:r>
      <w:r w:rsidRPr="00F52CA3">
        <w:rPr>
          <w:color w:val="000000"/>
        </w:rPr>
        <w:t>we</w:t>
      </w:r>
      <w:r w:rsidR="00E21712" w:rsidRPr="00F52CA3">
        <w:rPr>
          <w:color w:val="000000"/>
        </w:rPr>
        <w:t xml:space="preserve"> </w:t>
      </w:r>
      <w:r w:rsidR="00D71953" w:rsidRPr="00F52CA3">
        <w:rPr>
          <w:color w:val="000000"/>
        </w:rPr>
        <w:t>construct</w:t>
      </w:r>
      <w:r w:rsidR="00E21712" w:rsidRPr="00F52CA3">
        <w:rPr>
          <w:color w:val="000000"/>
        </w:rPr>
        <w:t xml:space="preserve"> </w:t>
      </w:r>
      <w:r w:rsidR="00351BE2" w:rsidRPr="00F52CA3">
        <w:rPr>
          <w:color w:val="000000"/>
        </w:rPr>
        <w:t>an overview of the ideas and evidence that under</w:t>
      </w:r>
      <w:r w:rsidR="00A2051A" w:rsidRPr="00F52CA3">
        <w:rPr>
          <w:color w:val="000000"/>
        </w:rPr>
        <w:t>p</w:t>
      </w:r>
      <w:r w:rsidR="00351BE2" w:rsidRPr="00F52CA3">
        <w:rPr>
          <w:color w:val="000000"/>
        </w:rPr>
        <w:t>ins our</w:t>
      </w:r>
      <w:r w:rsidR="00E21712" w:rsidRPr="00F52CA3">
        <w:rPr>
          <w:color w:val="000000"/>
        </w:rPr>
        <w:t xml:space="preserve"> </w:t>
      </w:r>
      <w:r w:rsidR="00D71953" w:rsidRPr="00F52CA3">
        <w:rPr>
          <w:color w:val="000000"/>
        </w:rPr>
        <w:t>response</w:t>
      </w:r>
      <w:r w:rsidR="00E21712" w:rsidRPr="00F52CA3">
        <w:rPr>
          <w:color w:val="000000"/>
        </w:rPr>
        <w:t xml:space="preserve"> </w:t>
      </w:r>
      <w:r w:rsidR="00A2051A" w:rsidRPr="00F52CA3">
        <w:rPr>
          <w:color w:val="000000"/>
        </w:rPr>
        <w:t>organised in sections dealing with</w:t>
      </w:r>
      <w:r w:rsidR="00D71953" w:rsidRPr="00F52CA3">
        <w:rPr>
          <w:color w:val="000000"/>
        </w:rPr>
        <w:t>:</w:t>
      </w:r>
      <w:r w:rsidR="00E21712" w:rsidRPr="00F52CA3">
        <w:rPr>
          <w:color w:val="000000"/>
        </w:rPr>
        <w:t xml:space="preserve"> </w:t>
      </w:r>
    </w:p>
    <w:p w14:paraId="252BC0C1" w14:textId="4267C2CC" w:rsidR="00E21712" w:rsidRPr="00F52CA3" w:rsidRDefault="00AC335C" w:rsidP="00636207">
      <w:pPr>
        <w:pStyle w:val="NormalWeb"/>
        <w:numPr>
          <w:ilvl w:val="0"/>
          <w:numId w:val="42"/>
        </w:numPr>
        <w:spacing w:before="120" w:beforeAutospacing="0" w:after="0" w:afterAutospacing="0"/>
        <w:rPr>
          <w:color w:val="000000"/>
        </w:rPr>
      </w:pPr>
      <w:r w:rsidRPr="00F52CA3">
        <w:rPr>
          <w:color w:val="000000"/>
        </w:rPr>
        <w:t>affirmations</w:t>
      </w:r>
      <w:r w:rsidR="00E21712" w:rsidRPr="00F52CA3">
        <w:rPr>
          <w:color w:val="000000"/>
        </w:rPr>
        <w:t xml:space="preserve"> regarding </w:t>
      </w:r>
      <w:r w:rsidRPr="00F52CA3">
        <w:rPr>
          <w:color w:val="000000"/>
        </w:rPr>
        <w:t>current</w:t>
      </w:r>
      <w:r w:rsidR="00E21712" w:rsidRPr="00F52CA3">
        <w:rPr>
          <w:color w:val="000000"/>
        </w:rPr>
        <w:t xml:space="preserve"> </w:t>
      </w:r>
      <w:r w:rsidRPr="00F52CA3">
        <w:rPr>
          <w:color w:val="000000"/>
        </w:rPr>
        <w:t>successful</w:t>
      </w:r>
      <w:r w:rsidR="00E21712" w:rsidRPr="00F52CA3">
        <w:rPr>
          <w:color w:val="000000"/>
        </w:rPr>
        <w:t xml:space="preserve"> </w:t>
      </w:r>
      <w:r w:rsidRPr="00F52CA3">
        <w:rPr>
          <w:color w:val="000000"/>
        </w:rPr>
        <w:t>practices</w:t>
      </w:r>
      <w:r w:rsidR="00E21712" w:rsidRPr="00F52CA3">
        <w:rPr>
          <w:color w:val="000000"/>
        </w:rPr>
        <w:t xml:space="preserve"> </w:t>
      </w:r>
      <w:r w:rsidRPr="00F52CA3">
        <w:rPr>
          <w:color w:val="000000"/>
        </w:rPr>
        <w:t>related</w:t>
      </w:r>
      <w:r w:rsidR="00E21712" w:rsidRPr="00F52CA3">
        <w:rPr>
          <w:color w:val="000000"/>
        </w:rPr>
        <w:t xml:space="preserve"> </w:t>
      </w:r>
      <w:r w:rsidRPr="00F52CA3">
        <w:rPr>
          <w:color w:val="000000"/>
        </w:rPr>
        <w:t>to</w:t>
      </w:r>
      <w:r w:rsidR="00E21712" w:rsidRPr="00F52CA3">
        <w:rPr>
          <w:color w:val="000000"/>
        </w:rPr>
        <w:t xml:space="preserve"> </w:t>
      </w:r>
      <w:r w:rsidRPr="00F52CA3">
        <w:rPr>
          <w:color w:val="000000"/>
        </w:rPr>
        <w:t>teacher</w:t>
      </w:r>
      <w:r w:rsidR="00E21712" w:rsidRPr="00F52CA3">
        <w:rPr>
          <w:color w:val="000000"/>
        </w:rPr>
        <w:t xml:space="preserve"> </w:t>
      </w:r>
      <w:r w:rsidRPr="00F52CA3">
        <w:rPr>
          <w:color w:val="000000"/>
        </w:rPr>
        <w:t>preparation</w:t>
      </w:r>
      <w:r w:rsidR="00E21712" w:rsidRPr="00F52CA3">
        <w:rPr>
          <w:color w:val="000000"/>
        </w:rPr>
        <w:t xml:space="preserve"> </w:t>
      </w:r>
      <w:r w:rsidRPr="00F52CA3">
        <w:rPr>
          <w:color w:val="000000"/>
        </w:rPr>
        <w:t>and</w:t>
      </w:r>
      <w:r w:rsidR="00E21712" w:rsidRPr="00F52CA3">
        <w:rPr>
          <w:color w:val="000000"/>
        </w:rPr>
        <w:t xml:space="preserve"> </w:t>
      </w:r>
      <w:r w:rsidRPr="00F52CA3">
        <w:rPr>
          <w:color w:val="000000"/>
        </w:rPr>
        <w:t>development.</w:t>
      </w:r>
      <w:r w:rsidR="00E21712" w:rsidRPr="00F52CA3">
        <w:rPr>
          <w:color w:val="000000"/>
        </w:rPr>
        <w:t xml:space="preserve"> </w:t>
      </w:r>
    </w:p>
    <w:p w14:paraId="234A70E1" w14:textId="22C930D5" w:rsidR="00E21712" w:rsidRPr="00F52CA3" w:rsidRDefault="00AC335C" w:rsidP="00636207">
      <w:pPr>
        <w:pStyle w:val="NormalWeb"/>
        <w:numPr>
          <w:ilvl w:val="0"/>
          <w:numId w:val="42"/>
        </w:numPr>
        <w:rPr>
          <w:color w:val="000000"/>
        </w:rPr>
      </w:pPr>
      <w:r w:rsidRPr="00F52CA3">
        <w:rPr>
          <w:color w:val="000000"/>
        </w:rPr>
        <w:t>key</w:t>
      </w:r>
      <w:r w:rsidR="00E21712" w:rsidRPr="00F52CA3">
        <w:rPr>
          <w:color w:val="000000"/>
        </w:rPr>
        <w:t xml:space="preserve"> </w:t>
      </w:r>
      <w:r w:rsidRPr="00F52CA3">
        <w:rPr>
          <w:color w:val="000000"/>
        </w:rPr>
        <w:t>concerns</w:t>
      </w:r>
      <w:r w:rsidR="00295661" w:rsidRPr="00F52CA3">
        <w:rPr>
          <w:color w:val="000000"/>
        </w:rPr>
        <w:t xml:space="preserve"> </w:t>
      </w:r>
      <w:r w:rsidRPr="00F52CA3">
        <w:rPr>
          <w:color w:val="000000"/>
        </w:rPr>
        <w:t>that</w:t>
      </w:r>
      <w:r w:rsidR="00E21712" w:rsidRPr="00F52CA3">
        <w:rPr>
          <w:color w:val="000000"/>
        </w:rPr>
        <w:t xml:space="preserve"> </w:t>
      </w:r>
      <w:r w:rsidRPr="00F52CA3">
        <w:rPr>
          <w:color w:val="000000"/>
        </w:rPr>
        <w:t>have</w:t>
      </w:r>
      <w:r w:rsidR="00E21712" w:rsidRPr="00F52CA3">
        <w:rPr>
          <w:color w:val="000000"/>
        </w:rPr>
        <w:t xml:space="preserve"> </w:t>
      </w:r>
      <w:r w:rsidRPr="00F52CA3">
        <w:rPr>
          <w:color w:val="000000"/>
        </w:rPr>
        <w:t>been</w:t>
      </w:r>
      <w:r w:rsidR="00E21712" w:rsidRPr="00F52CA3">
        <w:rPr>
          <w:color w:val="000000"/>
        </w:rPr>
        <w:t xml:space="preserve"> </w:t>
      </w:r>
      <w:r w:rsidRPr="00F52CA3">
        <w:rPr>
          <w:color w:val="000000"/>
        </w:rPr>
        <w:t>expressed</w:t>
      </w:r>
      <w:r w:rsidR="00E21712" w:rsidRPr="00F52CA3">
        <w:rPr>
          <w:color w:val="000000"/>
        </w:rPr>
        <w:t xml:space="preserve"> </w:t>
      </w:r>
      <w:r w:rsidRPr="00F52CA3">
        <w:rPr>
          <w:color w:val="000000"/>
        </w:rPr>
        <w:t>by</w:t>
      </w:r>
      <w:r w:rsidR="00E21712" w:rsidRPr="00F52CA3">
        <w:rPr>
          <w:color w:val="000000"/>
        </w:rPr>
        <w:t xml:space="preserve"> </w:t>
      </w:r>
      <w:r w:rsidR="00D71953" w:rsidRPr="00F52CA3">
        <w:rPr>
          <w:color w:val="000000"/>
        </w:rPr>
        <w:t>ATEA</w:t>
      </w:r>
      <w:r w:rsidR="00E21712" w:rsidRPr="00F52CA3">
        <w:rPr>
          <w:color w:val="000000"/>
        </w:rPr>
        <w:t xml:space="preserve"> </w:t>
      </w:r>
      <w:r w:rsidRPr="00F52CA3">
        <w:rPr>
          <w:color w:val="000000"/>
        </w:rPr>
        <w:t>members</w:t>
      </w:r>
      <w:r w:rsidR="00295661" w:rsidRPr="00F52CA3">
        <w:rPr>
          <w:color w:val="000000"/>
        </w:rPr>
        <w:t xml:space="preserve"> and are evident in the literature</w:t>
      </w:r>
      <w:r w:rsidR="00E21712" w:rsidRPr="00F52CA3">
        <w:rPr>
          <w:color w:val="000000"/>
        </w:rPr>
        <w:t xml:space="preserve"> </w:t>
      </w:r>
      <w:r w:rsidR="00274669" w:rsidRPr="00F52CA3">
        <w:rPr>
          <w:color w:val="000000"/>
        </w:rPr>
        <w:t>in</w:t>
      </w:r>
      <w:r w:rsidR="00E21712" w:rsidRPr="00F52CA3">
        <w:rPr>
          <w:color w:val="000000"/>
        </w:rPr>
        <w:t xml:space="preserve"> </w:t>
      </w:r>
      <w:r w:rsidR="00274669" w:rsidRPr="00F52CA3">
        <w:rPr>
          <w:color w:val="000000"/>
        </w:rPr>
        <w:t>relation</w:t>
      </w:r>
      <w:r w:rsidR="00E21712" w:rsidRPr="00F52CA3">
        <w:rPr>
          <w:color w:val="000000"/>
        </w:rPr>
        <w:t xml:space="preserve"> </w:t>
      </w:r>
      <w:r w:rsidR="00D71953" w:rsidRPr="00F52CA3">
        <w:rPr>
          <w:color w:val="000000"/>
        </w:rPr>
        <w:t>to</w:t>
      </w:r>
      <w:r w:rsidR="00E21712" w:rsidRPr="00F52CA3">
        <w:rPr>
          <w:color w:val="000000"/>
        </w:rPr>
        <w:t xml:space="preserve"> </w:t>
      </w:r>
      <w:r w:rsidR="00274669" w:rsidRPr="00F52CA3">
        <w:rPr>
          <w:color w:val="000000"/>
        </w:rPr>
        <w:t>the</w:t>
      </w:r>
      <w:r w:rsidR="00E21712" w:rsidRPr="00F52CA3">
        <w:rPr>
          <w:color w:val="000000"/>
        </w:rPr>
        <w:t xml:space="preserve"> </w:t>
      </w:r>
      <w:r w:rsidR="00274669" w:rsidRPr="00F52CA3">
        <w:rPr>
          <w:color w:val="000000"/>
        </w:rPr>
        <w:t>terms</w:t>
      </w:r>
      <w:r w:rsidR="00E21712" w:rsidRPr="00F52CA3">
        <w:rPr>
          <w:color w:val="000000"/>
        </w:rPr>
        <w:t xml:space="preserve"> </w:t>
      </w:r>
      <w:r w:rsidR="00274669" w:rsidRPr="00F52CA3">
        <w:rPr>
          <w:color w:val="000000"/>
        </w:rPr>
        <w:t>of</w:t>
      </w:r>
      <w:r w:rsidR="00E21712" w:rsidRPr="00F52CA3">
        <w:rPr>
          <w:color w:val="000000"/>
        </w:rPr>
        <w:t xml:space="preserve"> </w:t>
      </w:r>
      <w:r w:rsidR="00274669" w:rsidRPr="00F52CA3">
        <w:rPr>
          <w:color w:val="000000"/>
        </w:rPr>
        <w:t>reference</w:t>
      </w:r>
      <w:r w:rsidR="00E21712" w:rsidRPr="00F52CA3">
        <w:rPr>
          <w:color w:val="000000"/>
        </w:rPr>
        <w:t xml:space="preserve"> </w:t>
      </w:r>
      <w:r w:rsidR="00274669" w:rsidRPr="00F52CA3">
        <w:rPr>
          <w:color w:val="000000"/>
        </w:rPr>
        <w:t>of</w:t>
      </w:r>
      <w:r w:rsidR="00E21712" w:rsidRPr="00F52CA3">
        <w:rPr>
          <w:color w:val="000000"/>
        </w:rPr>
        <w:t xml:space="preserve"> </w:t>
      </w:r>
      <w:r w:rsidR="00274669" w:rsidRPr="00F52CA3">
        <w:rPr>
          <w:color w:val="000000"/>
        </w:rPr>
        <w:t>this</w:t>
      </w:r>
      <w:r w:rsidR="00E21712" w:rsidRPr="00F52CA3">
        <w:rPr>
          <w:color w:val="000000"/>
        </w:rPr>
        <w:t xml:space="preserve"> </w:t>
      </w:r>
      <w:r w:rsidR="00274669" w:rsidRPr="00F52CA3">
        <w:rPr>
          <w:color w:val="000000"/>
        </w:rPr>
        <w:t>review.</w:t>
      </w:r>
      <w:r w:rsidR="00E21712" w:rsidRPr="00F52CA3">
        <w:rPr>
          <w:color w:val="000000"/>
        </w:rPr>
        <w:t xml:space="preserve"> </w:t>
      </w:r>
    </w:p>
    <w:p w14:paraId="303967C6" w14:textId="36BE676A" w:rsidR="00AC335C" w:rsidRPr="00F52CA3" w:rsidRDefault="007B4840" w:rsidP="00E21712">
      <w:pPr>
        <w:pStyle w:val="NormalWeb"/>
        <w:rPr>
          <w:color w:val="000000"/>
        </w:rPr>
      </w:pPr>
      <w:r w:rsidRPr="00F52CA3">
        <w:rPr>
          <w:color w:val="000000"/>
        </w:rPr>
        <w:t xml:space="preserve">Following this review of affirmations and concerns, </w:t>
      </w:r>
      <w:r w:rsidR="00A2051A" w:rsidRPr="00F52CA3">
        <w:rPr>
          <w:color w:val="000000"/>
        </w:rPr>
        <w:t xml:space="preserve">we provide in Part C, </w:t>
      </w:r>
      <w:r w:rsidRPr="00F52CA3">
        <w:rPr>
          <w:color w:val="000000"/>
        </w:rPr>
        <w:t xml:space="preserve">a set of </w:t>
      </w:r>
      <w:r w:rsidR="00274669" w:rsidRPr="00F52CA3">
        <w:rPr>
          <w:color w:val="000000"/>
        </w:rPr>
        <w:t>recommendations</w:t>
      </w:r>
      <w:r w:rsidR="00A2051A" w:rsidRPr="00F52CA3">
        <w:rPr>
          <w:color w:val="000000"/>
        </w:rPr>
        <w:t xml:space="preserve"> around the key themes identified in Parts A and B</w:t>
      </w:r>
      <w:r w:rsidRPr="00F52CA3">
        <w:rPr>
          <w:color w:val="000000"/>
        </w:rPr>
        <w:t xml:space="preserve">. These provide avenues </w:t>
      </w:r>
      <w:r w:rsidR="00274669" w:rsidRPr="00F52CA3">
        <w:rPr>
          <w:color w:val="000000"/>
        </w:rPr>
        <w:t>that</w:t>
      </w:r>
      <w:r w:rsidR="00E21712" w:rsidRPr="00F52CA3">
        <w:rPr>
          <w:color w:val="000000"/>
        </w:rPr>
        <w:t xml:space="preserve"> </w:t>
      </w:r>
      <w:r w:rsidR="00274669" w:rsidRPr="00F52CA3">
        <w:rPr>
          <w:color w:val="000000"/>
        </w:rPr>
        <w:t>could</w:t>
      </w:r>
      <w:r w:rsidR="00E21712" w:rsidRPr="00F52CA3">
        <w:rPr>
          <w:color w:val="000000"/>
        </w:rPr>
        <w:t xml:space="preserve"> </w:t>
      </w:r>
      <w:r w:rsidR="00274669" w:rsidRPr="00F52CA3">
        <w:rPr>
          <w:color w:val="000000"/>
        </w:rPr>
        <w:t>be</w:t>
      </w:r>
      <w:r w:rsidR="00E21712" w:rsidRPr="00F52CA3">
        <w:rPr>
          <w:color w:val="000000"/>
        </w:rPr>
        <w:t xml:space="preserve"> </w:t>
      </w:r>
      <w:r w:rsidR="00274669" w:rsidRPr="00F52CA3">
        <w:rPr>
          <w:color w:val="000000"/>
        </w:rPr>
        <w:t>considered</w:t>
      </w:r>
      <w:r w:rsidR="00E21712" w:rsidRPr="00F52CA3">
        <w:rPr>
          <w:color w:val="000000"/>
        </w:rPr>
        <w:t xml:space="preserve"> </w:t>
      </w:r>
      <w:r w:rsidR="00274669" w:rsidRPr="00F52CA3">
        <w:rPr>
          <w:color w:val="000000"/>
        </w:rPr>
        <w:t>by</w:t>
      </w:r>
      <w:r w:rsidR="00E21712" w:rsidRPr="00F52CA3">
        <w:rPr>
          <w:color w:val="000000"/>
        </w:rPr>
        <w:t xml:space="preserve"> </w:t>
      </w:r>
      <w:r w:rsidR="00274669" w:rsidRPr="00F52CA3">
        <w:rPr>
          <w:color w:val="000000"/>
        </w:rPr>
        <w:t>the</w:t>
      </w:r>
      <w:r w:rsidR="00E21712" w:rsidRPr="00F52CA3">
        <w:rPr>
          <w:color w:val="000000"/>
        </w:rPr>
        <w:t xml:space="preserve"> </w:t>
      </w:r>
      <w:r w:rsidR="00274669" w:rsidRPr="00F52CA3">
        <w:rPr>
          <w:color w:val="000000"/>
        </w:rPr>
        <w:t>government</w:t>
      </w:r>
      <w:r w:rsidR="00E21712" w:rsidRPr="00F52CA3">
        <w:rPr>
          <w:color w:val="000000"/>
        </w:rPr>
        <w:t xml:space="preserve"> </w:t>
      </w:r>
      <w:r w:rsidR="00274669" w:rsidRPr="00F52CA3">
        <w:rPr>
          <w:color w:val="000000"/>
        </w:rPr>
        <w:t>in</w:t>
      </w:r>
      <w:r w:rsidR="00E21712" w:rsidRPr="00F52CA3">
        <w:rPr>
          <w:color w:val="000000"/>
        </w:rPr>
        <w:t xml:space="preserve"> </w:t>
      </w:r>
      <w:r w:rsidR="00274669" w:rsidRPr="00F52CA3">
        <w:rPr>
          <w:color w:val="000000"/>
        </w:rPr>
        <w:t>moving</w:t>
      </w:r>
      <w:r w:rsidR="00E21712" w:rsidRPr="00F52CA3">
        <w:rPr>
          <w:color w:val="000000"/>
        </w:rPr>
        <w:t xml:space="preserve"> </w:t>
      </w:r>
      <w:r w:rsidR="00274669" w:rsidRPr="00F52CA3">
        <w:rPr>
          <w:color w:val="000000"/>
        </w:rPr>
        <w:t>forward</w:t>
      </w:r>
      <w:r w:rsidR="00A2051A" w:rsidRPr="00F52CA3">
        <w:rPr>
          <w:color w:val="000000"/>
        </w:rPr>
        <w:t xml:space="preserve"> and are linked to the Terms of Reference</w:t>
      </w:r>
      <w:r w:rsidR="00274669" w:rsidRPr="00F52CA3">
        <w:rPr>
          <w:color w:val="000000"/>
        </w:rPr>
        <w:t>.</w:t>
      </w:r>
      <w:r w:rsidRPr="00F52CA3">
        <w:rPr>
          <w:color w:val="000000"/>
        </w:rPr>
        <w:t xml:space="preserve"> </w:t>
      </w:r>
      <w:r w:rsidR="00274669" w:rsidRPr="00F52CA3">
        <w:rPr>
          <w:color w:val="000000"/>
        </w:rPr>
        <w:t>In</w:t>
      </w:r>
      <w:r w:rsidR="00E21712" w:rsidRPr="00F52CA3">
        <w:rPr>
          <w:color w:val="000000"/>
        </w:rPr>
        <w:t xml:space="preserve"> </w:t>
      </w:r>
      <w:r w:rsidR="00274669" w:rsidRPr="00F52CA3">
        <w:rPr>
          <w:color w:val="000000"/>
        </w:rPr>
        <w:t>conclusion,</w:t>
      </w:r>
      <w:r w:rsidR="00E21712" w:rsidRPr="00F52CA3">
        <w:rPr>
          <w:color w:val="000000"/>
        </w:rPr>
        <w:t xml:space="preserve"> </w:t>
      </w:r>
      <w:r w:rsidR="00274669" w:rsidRPr="00F52CA3">
        <w:rPr>
          <w:color w:val="000000"/>
        </w:rPr>
        <w:t>we</w:t>
      </w:r>
      <w:r w:rsidR="00E21712" w:rsidRPr="00F52CA3">
        <w:rPr>
          <w:color w:val="000000"/>
        </w:rPr>
        <w:t xml:space="preserve"> </w:t>
      </w:r>
      <w:r w:rsidRPr="00F52CA3">
        <w:rPr>
          <w:color w:val="000000"/>
        </w:rPr>
        <w:t xml:space="preserve">then </w:t>
      </w:r>
      <w:r w:rsidR="00274669" w:rsidRPr="00F52CA3">
        <w:rPr>
          <w:color w:val="000000"/>
        </w:rPr>
        <w:t>outline</w:t>
      </w:r>
      <w:r w:rsidR="00E21712" w:rsidRPr="00F52CA3">
        <w:rPr>
          <w:color w:val="000000"/>
        </w:rPr>
        <w:t xml:space="preserve"> </w:t>
      </w:r>
      <w:proofErr w:type="gramStart"/>
      <w:r w:rsidR="00274669" w:rsidRPr="00F52CA3">
        <w:rPr>
          <w:color w:val="000000"/>
        </w:rPr>
        <w:t>a</w:t>
      </w:r>
      <w:r w:rsidR="00E21712" w:rsidRPr="00F52CA3">
        <w:rPr>
          <w:color w:val="000000"/>
        </w:rPr>
        <w:t xml:space="preserve"> </w:t>
      </w:r>
      <w:r w:rsidR="00274669" w:rsidRPr="00F52CA3">
        <w:rPr>
          <w:color w:val="000000"/>
        </w:rPr>
        <w:t>number</w:t>
      </w:r>
      <w:r w:rsidR="00E21712" w:rsidRPr="00F52CA3">
        <w:rPr>
          <w:color w:val="000000"/>
        </w:rPr>
        <w:t xml:space="preserve"> </w:t>
      </w:r>
      <w:r w:rsidR="00274669" w:rsidRPr="00F52CA3">
        <w:rPr>
          <w:color w:val="000000"/>
        </w:rPr>
        <w:t>of</w:t>
      </w:r>
      <w:proofErr w:type="gramEnd"/>
      <w:r w:rsidR="00E21712" w:rsidRPr="00F52CA3">
        <w:rPr>
          <w:color w:val="000000"/>
        </w:rPr>
        <w:t xml:space="preserve"> </w:t>
      </w:r>
      <w:r w:rsidR="00274669" w:rsidRPr="00F52CA3">
        <w:rPr>
          <w:color w:val="000000"/>
        </w:rPr>
        <w:t>ways</w:t>
      </w:r>
      <w:r w:rsidR="00E21712" w:rsidRPr="00F52CA3">
        <w:rPr>
          <w:color w:val="000000"/>
        </w:rPr>
        <w:t xml:space="preserve"> </w:t>
      </w:r>
      <w:r w:rsidR="00274669" w:rsidRPr="00F52CA3">
        <w:rPr>
          <w:color w:val="000000"/>
        </w:rPr>
        <w:t>that</w:t>
      </w:r>
      <w:r w:rsidR="00E21712" w:rsidRPr="00F52CA3">
        <w:rPr>
          <w:color w:val="000000"/>
        </w:rPr>
        <w:t xml:space="preserve"> </w:t>
      </w:r>
      <w:r w:rsidR="00274669" w:rsidRPr="00F52CA3">
        <w:rPr>
          <w:color w:val="000000"/>
        </w:rPr>
        <w:t>ATEA</w:t>
      </w:r>
      <w:r w:rsidR="00E21712" w:rsidRPr="00F52CA3">
        <w:rPr>
          <w:color w:val="000000"/>
        </w:rPr>
        <w:t xml:space="preserve"> </w:t>
      </w:r>
      <w:r w:rsidR="00274669" w:rsidRPr="00F52CA3">
        <w:rPr>
          <w:color w:val="000000"/>
        </w:rPr>
        <w:t>could</w:t>
      </w:r>
      <w:r w:rsidR="00E21712" w:rsidRPr="00F52CA3">
        <w:rPr>
          <w:color w:val="000000"/>
        </w:rPr>
        <w:t xml:space="preserve"> </w:t>
      </w:r>
      <w:r w:rsidR="00274669" w:rsidRPr="00F52CA3">
        <w:rPr>
          <w:color w:val="000000"/>
        </w:rPr>
        <w:t>assist</w:t>
      </w:r>
      <w:r w:rsidR="00E21712" w:rsidRPr="00F52CA3">
        <w:rPr>
          <w:color w:val="000000"/>
        </w:rPr>
        <w:t xml:space="preserve"> </w:t>
      </w:r>
      <w:r w:rsidR="00274669" w:rsidRPr="00F52CA3">
        <w:rPr>
          <w:color w:val="000000"/>
        </w:rPr>
        <w:t>the</w:t>
      </w:r>
      <w:r w:rsidR="00E21712" w:rsidRPr="00F52CA3">
        <w:rPr>
          <w:color w:val="000000"/>
        </w:rPr>
        <w:t xml:space="preserve"> </w:t>
      </w:r>
      <w:r w:rsidR="00274669" w:rsidRPr="00F52CA3">
        <w:rPr>
          <w:color w:val="000000"/>
        </w:rPr>
        <w:t>Minister</w:t>
      </w:r>
      <w:r w:rsidR="00E21712" w:rsidRPr="00F52CA3">
        <w:rPr>
          <w:color w:val="000000"/>
        </w:rPr>
        <w:t xml:space="preserve"> </w:t>
      </w:r>
      <w:r w:rsidR="00274669" w:rsidRPr="00F52CA3">
        <w:rPr>
          <w:color w:val="000000"/>
        </w:rPr>
        <w:t>in</w:t>
      </w:r>
      <w:r w:rsidR="00E21712" w:rsidRPr="00F52CA3">
        <w:rPr>
          <w:color w:val="000000"/>
        </w:rPr>
        <w:t xml:space="preserve"> </w:t>
      </w:r>
      <w:r w:rsidR="00274669" w:rsidRPr="00F52CA3">
        <w:rPr>
          <w:color w:val="000000"/>
        </w:rPr>
        <w:t>achieving</w:t>
      </w:r>
      <w:r w:rsidR="00E21712" w:rsidRPr="00F52CA3">
        <w:rPr>
          <w:color w:val="000000"/>
        </w:rPr>
        <w:t xml:space="preserve"> </w:t>
      </w:r>
      <w:r w:rsidR="00274669" w:rsidRPr="00F52CA3">
        <w:rPr>
          <w:color w:val="000000"/>
        </w:rPr>
        <w:t>his</w:t>
      </w:r>
      <w:r w:rsidR="00E21712" w:rsidRPr="00F52CA3">
        <w:rPr>
          <w:color w:val="000000"/>
        </w:rPr>
        <w:t xml:space="preserve"> </w:t>
      </w:r>
      <w:r w:rsidR="00274669" w:rsidRPr="00F52CA3">
        <w:rPr>
          <w:color w:val="000000"/>
        </w:rPr>
        <w:t>aspirations</w:t>
      </w:r>
      <w:r w:rsidR="00E21712" w:rsidRPr="00F52CA3">
        <w:rPr>
          <w:color w:val="000000"/>
        </w:rPr>
        <w:t xml:space="preserve"> </w:t>
      </w:r>
      <w:r w:rsidR="00274669" w:rsidRPr="00F52CA3">
        <w:rPr>
          <w:color w:val="000000"/>
        </w:rPr>
        <w:t>to</w:t>
      </w:r>
      <w:r w:rsidR="00E21712" w:rsidRPr="00F52CA3">
        <w:rPr>
          <w:color w:val="000000"/>
        </w:rPr>
        <w:t xml:space="preserve"> </w:t>
      </w:r>
      <w:r w:rsidR="00274669" w:rsidRPr="00F52CA3">
        <w:rPr>
          <w:color w:val="000000"/>
        </w:rPr>
        <w:t>build</w:t>
      </w:r>
      <w:r w:rsidR="00E21712" w:rsidRPr="00F52CA3">
        <w:rPr>
          <w:color w:val="000000"/>
        </w:rPr>
        <w:t xml:space="preserve"> </w:t>
      </w:r>
      <w:r w:rsidR="00274669" w:rsidRPr="00F52CA3">
        <w:rPr>
          <w:color w:val="000000"/>
        </w:rPr>
        <w:t>a</w:t>
      </w:r>
      <w:r w:rsidR="00E21712" w:rsidRPr="00F52CA3">
        <w:rPr>
          <w:color w:val="000000"/>
        </w:rPr>
        <w:t xml:space="preserve"> </w:t>
      </w:r>
      <w:r w:rsidR="00274669" w:rsidRPr="00F52CA3">
        <w:rPr>
          <w:color w:val="000000"/>
        </w:rPr>
        <w:t>quality</w:t>
      </w:r>
      <w:r w:rsidR="00E21712" w:rsidRPr="00F52CA3">
        <w:rPr>
          <w:color w:val="000000"/>
        </w:rPr>
        <w:t xml:space="preserve"> </w:t>
      </w:r>
      <w:r w:rsidR="00274669" w:rsidRPr="00F52CA3">
        <w:rPr>
          <w:color w:val="000000"/>
        </w:rPr>
        <w:t>teaching</w:t>
      </w:r>
      <w:r w:rsidR="00E21712" w:rsidRPr="00F52CA3">
        <w:rPr>
          <w:color w:val="000000"/>
        </w:rPr>
        <w:t xml:space="preserve"> </w:t>
      </w:r>
      <w:r w:rsidR="00274669" w:rsidRPr="00F52CA3">
        <w:rPr>
          <w:color w:val="000000"/>
        </w:rPr>
        <w:t>force</w:t>
      </w:r>
      <w:r w:rsidR="00E21712" w:rsidRPr="00F52CA3">
        <w:rPr>
          <w:color w:val="000000"/>
        </w:rPr>
        <w:t xml:space="preserve"> </w:t>
      </w:r>
      <w:r w:rsidR="00274669" w:rsidRPr="00F52CA3">
        <w:rPr>
          <w:color w:val="000000"/>
        </w:rPr>
        <w:t>in</w:t>
      </w:r>
      <w:r w:rsidR="00E21712" w:rsidRPr="00F52CA3">
        <w:rPr>
          <w:color w:val="000000"/>
        </w:rPr>
        <w:t xml:space="preserve"> </w:t>
      </w:r>
      <w:r w:rsidR="00274669" w:rsidRPr="00F52CA3">
        <w:rPr>
          <w:color w:val="000000"/>
        </w:rPr>
        <w:t>Australia.</w:t>
      </w:r>
      <w:r w:rsidR="00E21712" w:rsidRPr="00F52CA3">
        <w:rPr>
          <w:color w:val="000000"/>
        </w:rPr>
        <w:t xml:space="preserve"> </w:t>
      </w:r>
    </w:p>
    <w:p w14:paraId="09061C6A" w14:textId="77777777" w:rsidR="0080066A" w:rsidRDefault="0080066A">
      <w:pPr>
        <w:rPr>
          <w:b/>
          <w:bCs/>
          <w:sz w:val="28"/>
          <w:szCs w:val="28"/>
          <w:u w:val="single"/>
        </w:rPr>
      </w:pPr>
      <w:r>
        <w:rPr>
          <w:b/>
          <w:bCs/>
          <w:sz w:val="28"/>
          <w:szCs w:val="28"/>
          <w:u w:val="single"/>
        </w:rPr>
        <w:br w:type="page"/>
      </w:r>
    </w:p>
    <w:p w14:paraId="07E103FA" w14:textId="21D1CF30" w:rsidR="001E7A44" w:rsidRPr="00F52CA3" w:rsidRDefault="006C3B0A">
      <w:pPr>
        <w:rPr>
          <w:b/>
          <w:bCs/>
          <w:sz w:val="28"/>
          <w:szCs w:val="28"/>
          <w:u w:val="single"/>
        </w:rPr>
      </w:pPr>
      <w:r w:rsidRPr="00F52CA3">
        <w:rPr>
          <w:b/>
          <w:bCs/>
          <w:sz w:val="28"/>
          <w:szCs w:val="28"/>
          <w:u w:val="single"/>
        </w:rPr>
        <w:lastRenderedPageBreak/>
        <w:t>PART</w:t>
      </w:r>
      <w:r w:rsidR="00E21712" w:rsidRPr="00F52CA3">
        <w:rPr>
          <w:b/>
          <w:bCs/>
          <w:sz w:val="28"/>
          <w:szCs w:val="28"/>
          <w:u w:val="single"/>
        </w:rPr>
        <w:t xml:space="preserve"> </w:t>
      </w:r>
      <w:r w:rsidRPr="00F52CA3">
        <w:rPr>
          <w:b/>
          <w:bCs/>
          <w:sz w:val="28"/>
          <w:szCs w:val="28"/>
          <w:u w:val="single"/>
        </w:rPr>
        <w:t>A:</w:t>
      </w:r>
      <w:r w:rsidR="00E21712" w:rsidRPr="00F52CA3">
        <w:rPr>
          <w:b/>
          <w:bCs/>
          <w:sz w:val="28"/>
          <w:szCs w:val="28"/>
          <w:u w:val="single"/>
        </w:rPr>
        <w:t xml:space="preserve"> </w:t>
      </w:r>
      <w:r w:rsidR="00A2051A" w:rsidRPr="00F52CA3">
        <w:rPr>
          <w:b/>
          <w:bCs/>
          <w:sz w:val="28"/>
          <w:szCs w:val="28"/>
          <w:u w:val="single"/>
        </w:rPr>
        <w:t xml:space="preserve">Focus on </w:t>
      </w:r>
      <w:r w:rsidR="00EA1114" w:rsidRPr="00F52CA3">
        <w:rPr>
          <w:b/>
          <w:bCs/>
          <w:sz w:val="28"/>
          <w:szCs w:val="28"/>
          <w:u w:val="single"/>
        </w:rPr>
        <w:t>Initial</w:t>
      </w:r>
      <w:r w:rsidR="00E21712" w:rsidRPr="00F52CA3">
        <w:rPr>
          <w:b/>
          <w:bCs/>
          <w:sz w:val="28"/>
          <w:szCs w:val="28"/>
          <w:u w:val="single"/>
        </w:rPr>
        <w:t xml:space="preserve"> </w:t>
      </w:r>
      <w:r w:rsidR="00EA1114" w:rsidRPr="00F52CA3">
        <w:rPr>
          <w:b/>
          <w:bCs/>
          <w:sz w:val="28"/>
          <w:szCs w:val="28"/>
          <w:u w:val="single"/>
        </w:rPr>
        <w:t>Teacher</w:t>
      </w:r>
      <w:r w:rsidR="00E21712" w:rsidRPr="00F52CA3">
        <w:rPr>
          <w:b/>
          <w:bCs/>
          <w:sz w:val="28"/>
          <w:szCs w:val="28"/>
          <w:u w:val="single"/>
        </w:rPr>
        <w:t xml:space="preserve"> </w:t>
      </w:r>
      <w:r w:rsidR="00EA1114" w:rsidRPr="00F52CA3">
        <w:rPr>
          <w:b/>
          <w:bCs/>
          <w:sz w:val="28"/>
          <w:szCs w:val="28"/>
          <w:u w:val="single"/>
        </w:rPr>
        <w:t>Education</w:t>
      </w:r>
    </w:p>
    <w:p w14:paraId="6CE4D27E" w14:textId="216C1A4B" w:rsidR="00EA1114" w:rsidRPr="00F52CA3" w:rsidRDefault="00EA1114">
      <w:pPr>
        <w:rPr>
          <w:b/>
          <w:bCs/>
        </w:rPr>
      </w:pPr>
    </w:p>
    <w:p w14:paraId="4B398616" w14:textId="24C513F4" w:rsidR="00EA1114" w:rsidRPr="00F52CA3" w:rsidRDefault="00EA1114">
      <w:pPr>
        <w:rPr>
          <w:b/>
          <w:bCs/>
          <w:u w:val="single"/>
        </w:rPr>
      </w:pPr>
      <w:r w:rsidRPr="00F52CA3">
        <w:rPr>
          <w:b/>
          <w:bCs/>
          <w:u w:val="single"/>
        </w:rPr>
        <w:t>Affirmations</w:t>
      </w:r>
    </w:p>
    <w:p w14:paraId="4DA0378D" w14:textId="3C652A19" w:rsidR="00EA1114" w:rsidRPr="00F52CA3" w:rsidRDefault="00EA1114" w:rsidP="00B054ED">
      <w:pPr>
        <w:pStyle w:val="ListParagraph"/>
        <w:numPr>
          <w:ilvl w:val="0"/>
          <w:numId w:val="1"/>
        </w:numPr>
      </w:pPr>
      <w:r w:rsidRPr="00F52CA3">
        <w:t>Multiple</w:t>
      </w:r>
      <w:r w:rsidR="00E21712" w:rsidRPr="00F52CA3">
        <w:t xml:space="preserve"> </w:t>
      </w:r>
      <w:r w:rsidRPr="00F52CA3">
        <w:t>models</w:t>
      </w:r>
      <w:r w:rsidR="00E21712" w:rsidRPr="00F52CA3">
        <w:t xml:space="preserve"> </w:t>
      </w:r>
      <w:r w:rsidRPr="00F52CA3">
        <w:t>of</w:t>
      </w:r>
      <w:r w:rsidR="00E21712" w:rsidRPr="00F52CA3">
        <w:t xml:space="preserve"> </w:t>
      </w:r>
      <w:r w:rsidRPr="00F52CA3">
        <w:t>ITE</w:t>
      </w:r>
      <w:r w:rsidR="00E21712" w:rsidRPr="00F52CA3">
        <w:t xml:space="preserve"> </w:t>
      </w:r>
      <w:r w:rsidRPr="00F52CA3">
        <w:t>programs</w:t>
      </w:r>
      <w:r w:rsidR="00E21712" w:rsidRPr="00F52CA3">
        <w:t xml:space="preserve"> </w:t>
      </w:r>
      <w:r w:rsidRPr="00F52CA3">
        <w:t>are</w:t>
      </w:r>
      <w:r w:rsidR="00E21712" w:rsidRPr="00F52CA3">
        <w:t xml:space="preserve"> </w:t>
      </w:r>
      <w:r w:rsidRPr="00F52CA3">
        <w:t>currently</w:t>
      </w:r>
      <w:r w:rsidR="00E21712" w:rsidRPr="00F52CA3">
        <w:t xml:space="preserve"> </w:t>
      </w:r>
      <w:r w:rsidRPr="00F52CA3">
        <w:t>accredited</w:t>
      </w:r>
      <w:r w:rsidR="00E21712" w:rsidRPr="00F52CA3">
        <w:t xml:space="preserve"> </w:t>
      </w:r>
      <w:r w:rsidRPr="00F52CA3">
        <w:t>and</w:t>
      </w:r>
      <w:r w:rsidR="00E21712" w:rsidRPr="00F52CA3">
        <w:t xml:space="preserve"> </w:t>
      </w:r>
      <w:r w:rsidRPr="00F52CA3">
        <w:t>celebrated</w:t>
      </w:r>
      <w:r w:rsidR="00E21712" w:rsidRPr="00F52CA3">
        <w:t xml:space="preserve"> </w:t>
      </w:r>
      <w:r w:rsidRPr="00F52CA3">
        <w:t>across</w:t>
      </w:r>
      <w:r w:rsidR="00E21712" w:rsidRPr="00F52CA3">
        <w:t xml:space="preserve"> </w:t>
      </w:r>
      <w:r w:rsidRPr="00F52CA3">
        <w:t>Australia,</w:t>
      </w:r>
      <w:r w:rsidR="00E21712" w:rsidRPr="00F52CA3">
        <w:t xml:space="preserve"> </w:t>
      </w:r>
      <w:r w:rsidRPr="00F52CA3">
        <w:t>many</w:t>
      </w:r>
      <w:r w:rsidR="00E21712" w:rsidRPr="00F52CA3">
        <w:t xml:space="preserve"> </w:t>
      </w:r>
      <w:r w:rsidRPr="00F52CA3">
        <w:t>of</w:t>
      </w:r>
      <w:r w:rsidR="00E21712" w:rsidRPr="00F52CA3">
        <w:t xml:space="preserve"> </w:t>
      </w:r>
      <w:r w:rsidRPr="00F52CA3">
        <w:t>which</w:t>
      </w:r>
      <w:r w:rsidR="00E21712" w:rsidRPr="00F52CA3">
        <w:t xml:space="preserve"> </w:t>
      </w:r>
      <w:r w:rsidRPr="00F52CA3">
        <w:t>are</w:t>
      </w:r>
      <w:r w:rsidR="00E21712" w:rsidRPr="00F52CA3">
        <w:t xml:space="preserve"> </w:t>
      </w:r>
      <w:r w:rsidRPr="00F52CA3">
        <w:t>evidence</w:t>
      </w:r>
      <w:r w:rsidR="00E21712" w:rsidRPr="00F52CA3">
        <w:t xml:space="preserve"> </w:t>
      </w:r>
      <w:r w:rsidRPr="00F52CA3">
        <w:t>based</w:t>
      </w:r>
      <w:r w:rsidR="00E21712" w:rsidRPr="00F52CA3">
        <w:t xml:space="preserve">; </w:t>
      </w:r>
      <w:r w:rsidRPr="00F52CA3">
        <w:t>context</w:t>
      </w:r>
      <w:r w:rsidR="00E21712" w:rsidRPr="00F52CA3">
        <w:t xml:space="preserve"> </w:t>
      </w:r>
      <w:r w:rsidRPr="00F52CA3">
        <w:t>responsive</w:t>
      </w:r>
      <w:r w:rsidR="00E21712" w:rsidRPr="00F52CA3">
        <w:t xml:space="preserve">; </w:t>
      </w:r>
      <w:r w:rsidRPr="00F52CA3">
        <w:t>and</w:t>
      </w:r>
      <w:r w:rsidR="00E21712" w:rsidRPr="00F52CA3">
        <w:t xml:space="preserve"> </w:t>
      </w:r>
      <w:r w:rsidRPr="00F52CA3">
        <w:t>facilitate</w:t>
      </w:r>
      <w:r w:rsidR="00E21712" w:rsidRPr="00F52CA3">
        <w:t xml:space="preserve"> </w:t>
      </w:r>
      <w:r w:rsidRPr="00F52CA3">
        <w:t>diverse</w:t>
      </w:r>
      <w:r w:rsidR="00E21712" w:rsidRPr="00F52CA3">
        <w:t xml:space="preserve"> </w:t>
      </w:r>
      <w:r w:rsidRPr="00F52CA3">
        <w:t>entry</w:t>
      </w:r>
      <w:r w:rsidR="00E21712" w:rsidRPr="00F52CA3">
        <w:t xml:space="preserve"> </w:t>
      </w:r>
      <w:r w:rsidRPr="00F52CA3">
        <w:t>points,</w:t>
      </w:r>
      <w:r w:rsidR="00E21712" w:rsidRPr="00F52CA3">
        <w:t xml:space="preserve"> </w:t>
      </w:r>
      <w:r w:rsidRPr="00F52CA3">
        <w:t>differentiated</w:t>
      </w:r>
      <w:r w:rsidR="00E21712" w:rsidRPr="00F52CA3">
        <w:t xml:space="preserve"> </w:t>
      </w:r>
      <w:r w:rsidRPr="00F52CA3">
        <w:t>pathways</w:t>
      </w:r>
      <w:r w:rsidR="00E21712" w:rsidRPr="00F52CA3">
        <w:t xml:space="preserve">, </w:t>
      </w:r>
      <w:r w:rsidRPr="00F52CA3">
        <w:t>and</w:t>
      </w:r>
      <w:r w:rsidR="00E21712" w:rsidRPr="00F52CA3">
        <w:t xml:space="preserve"> </w:t>
      </w:r>
      <w:r w:rsidR="00002B6F" w:rsidRPr="00F52CA3">
        <w:t>produce</w:t>
      </w:r>
      <w:r w:rsidR="00E21712" w:rsidRPr="00F52CA3">
        <w:t xml:space="preserve"> </w:t>
      </w:r>
      <w:r w:rsidRPr="00F52CA3">
        <w:t>a</w:t>
      </w:r>
      <w:r w:rsidR="00E21712" w:rsidRPr="00F52CA3">
        <w:t xml:space="preserve"> </w:t>
      </w:r>
      <w:r w:rsidRPr="00F52CA3">
        <w:t>range</w:t>
      </w:r>
      <w:r w:rsidR="00E21712" w:rsidRPr="00F52CA3">
        <w:t xml:space="preserve"> </w:t>
      </w:r>
      <w:r w:rsidRPr="00F52CA3">
        <w:t>of</w:t>
      </w:r>
      <w:r w:rsidR="00E21712" w:rsidRPr="00F52CA3">
        <w:t xml:space="preserve"> </w:t>
      </w:r>
      <w:r w:rsidRPr="00F52CA3">
        <w:t>graduates</w:t>
      </w:r>
      <w:r w:rsidR="00E21712" w:rsidRPr="00F52CA3">
        <w:t xml:space="preserve"> </w:t>
      </w:r>
      <w:r w:rsidRPr="00F52CA3">
        <w:t>who</w:t>
      </w:r>
      <w:r w:rsidR="00E21712" w:rsidRPr="00F52CA3">
        <w:t xml:space="preserve"> </w:t>
      </w:r>
      <w:r w:rsidRPr="00F52CA3">
        <w:t>cater</w:t>
      </w:r>
      <w:r w:rsidR="00E21712" w:rsidRPr="00F52CA3">
        <w:t xml:space="preserve"> </w:t>
      </w:r>
      <w:r w:rsidRPr="00F52CA3">
        <w:t>for</w:t>
      </w:r>
      <w:r w:rsidR="00E21712" w:rsidRPr="00F52CA3">
        <w:t xml:space="preserve"> </w:t>
      </w:r>
      <w:r w:rsidRPr="00F52CA3">
        <w:t>the</w:t>
      </w:r>
      <w:r w:rsidR="00E21712" w:rsidRPr="00F52CA3">
        <w:t xml:space="preserve"> </w:t>
      </w:r>
      <w:r w:rsidRPr="00F52CA3">
        <w:t>diversity</w:t>
      </w:r>
      <w:r w:rsidR="00E21712" w:rsidRPr="00F52CA3">
        <w:t xml:space="preserve"> </w:t>
      </w:r>
      <w:r w:rsidRPr="00F52CA3">
        <w:t>of</w:t>
      </w:r>
      <w:r w:rsidR="00E21712" w:rsidRPr="00F52CA3">
        <w:t xml:space="preserve"> </w:t>
      </w:r>
      <w:r w:rsidRPr="00F52CA3">
        <w:t>schools</w:t>
      </w:r>
      <w:r w:rsidR="00E21712" w:rsidRPr="00F52CA3">
        <w:t xml:space="preserve"> </w:t>
      </w:r>
      <w:r w:rsidRPr="00F52CA3">
        <w:t>and</w:t>
      </w:r>
      <w:r w:rsidR="00E21712" w:rsidRPr="00F52CA3">
        <w:t xml:space="preserve"> </w:t>
      </w:r>
      <w:r w:rsidRPr="00F52CA3">
        <w:t>students</w:t>
      </w:r>
      <w:r w:rsidR="00E21712" w:rsidRPr="00F52CA3">
        <w:t xml:space="preserve"> </w:t>
      </w:r>
      <w:r w:rsidRPr="00F52CA3">
        <w:t>across</w:t>
      </w:r>
      <w:r w:rsidR="00E21712" w:rsidRPr="00F52CA3">
        <w:t xml:space="preserve"> </w:t>
      </w:r>
      <w:r w:rsidRPr="00F52CA3">
        <w:t>the</w:t>
      </w:r>
      <w:r w:rsidR="00E21712" w:rsidRPr="00F52CA3">
        <w:t xml:space="preserve"> </w:t>
      </w:r>
      <w:r w:rsidRPr="00F52CA3">
        <w:t>nation.</w:t>
      </w:r>
      <w:r w:rsidR="00E21712" w:rsidRPr="00F52CA3">
        <w:t xml:space="preserve"> See for example</w:t>
      </w:r>
      <w:r w:rsidR="00CD1B73" w:rsidRPr="00F52CA3">
        <w:t xml:space="preserve"> a range of case studies of contemporary models in the set of case studies based on practices from around Australia in Jones and Ryan (2014).</w:t>
      </w:r>
    </w:p>
    <w:p w14:paraId="0562280F" w14:textId="77777777" w:rsidR="00CD1B73" w:rsidRPr="00F52CA3" w:rsidRDefault="00CD1B73" w:rsidP="00B054ED">
      <w:pPr>
        <w:autoSpaceDE w:val="0"/>
        <w:autoSpaceDN w:val="0"/>
        <w:adjustRightInd w:val="0"/>
        <w:rPr>
          <w:sz w:val="20"/>
          <w:szCs w:val="20"/>
          <w:lang w:val="en-GB"/>
        </w:rPr>
      </w:pPr>
    </w:p>
    <w:p w14:paraId="331D0CE8" w14:textId="0D4B8927" w:rsidR="00E21712" w:rsidRPr="00F52CA3" w:rsidRDefault="00EA1114" w:rsidP="00EA1114">
      <w:pPr>
        <w:pStyle w:val="ListParagraph"/>
        <w:numPr>
          <w:ilvl w:val="0"/>
          <w:numId w:val="1"/>
        </w:numPr>
      </w:pPr>
      <w:r w:rsidRPr="00F52CA3">
        <w:t>There</w:t>
      </w:r>
      <w:r w:rsidR="00E21712" w:rsidRPr="00F52CA3">
        <w:t xml:space="preserve"> </w:t>
      </w:r>
      <w:r w:rsidR="00002B6F" w:rsidRPr="00F52CA3">
        <w:t>is</w:t>
      </w:r>
      <w:r w:rsidR="00E21712" w:rsidRPr="00F52CA3">
        <w:t xml:space="preserve"> </w:t>
      </w:r>
      <w:r w:rsidRPr="00F52CA3">
        <w:t>an</w:t>
      </w:r>
      <w:r w:rsidR="00E21712" w:rsidRPr="00F52CA3">
        <w:t xml:space="preserve"> </w:t>
      </w:r>
      <w:r w:rsidRPr="00F52CA3">
        <w:t>array</w:t>
      </w:r>
      <w:r w:rsidR="00E21712" w:rsidRPr="00F52CA3">
        <w:t xml:space="preserve"> </w:t>
      </w:r>
      <w:r w:rsidRPr="00F52CA3">
        <w:t>of</w:t>
      </w:r>
      <w:r w:rsidR="00E21712" w:rsidRPr="00F52CA3">
        <w:t xml:space="preserve"> </w:t>
      </w:r>
      <w:r w:rsidRPr="00F52CA3">
        <w:t>successful</w:t>
      </w:r>
      <w:r w:rsidR="00E21712" w:rsidRPr="00F52CA3">
        <w:t xml:space="preserve"> </w:t>
      </w:r>
      <w:r w:rsidRPr="00F52CA3">
        <w:t>school/university</w:t>
      </w:r>
      <w:r w:rsidR="00E21712" w:rsidRPr="00F52CA3">
        <w:t xml:space="preserve"> </w:t>
      </w:r>
      <w:r w:rsidRPr="00F52CA3">
        <w:t>partnerships</w:t>
      </w:r>
      <w:r w:rsidR="00E21712" w:rsidRPr="00F52CA3">
        <w:t xml:space="preserve"> </w:t>
      </w:r>
      <w:r w:rsidRPr="00F52CA3">
        <w:t>across</w:t>
      </w:r>
      <w:r w:rsidR="00E21712" w:rsidRPr="00F52CA3">
        <w:t xml:space="preserve"> </w:t>
      </w:r>
      <w:r w:rsidR="00002B6F" w:rsidRPr="00F52CA3">
        <w:t>jurisdictions</w:t>
      </w:r>
      <w:r w:rsidR="00E21712" w:rsidRPr="00F52CA3">
        <w:t xml:space="preserve"> </w:t>
      </w:r>
      <w:r w:rsidRPr="00F52CA3">
        <w:t>that</w:t>
      </w:r>
      <w:r w:rsidR="00E21712" w:rsidRPr="00F52CA3">
        <w:t xml:space="preserve"> </w:t>
      </w:r>
      <w:r w:rsidRPr="00F52CA3">
        <w:t>celebrate</w:t>
      </w:r>
      <w:r w:rsidR="00E21712" w:rsidRPr="00F52CA3">
        <w:t xml:space="preserve"> </w:t>
      </w:r>
      <w:r w:rsidRPr="00F52CA3">
        <w:t>shared</w:t>
      </w:r>
      <w:r w:rsidR="00E21712" w:rsidRPr="00F52CA3">
        <w:t xml:space="preserve"> </w:t>
      </w:r>
      <w:r w:rsidRPr="00F52CA3">
        <w:t>visions</w:t>
      </w:r>
      <w:r w:rsidR="00E21712" w:rsidRPr="00F52CA3">
        <w:t xml:space="preserve"> </w:t>
      </w:r>
      <w:r w:rsidRPr="00F52CA3">
        <w:t>that</w:t>
      </w:r>
      <w:r w:rsidR="00E21712" w:rsidRPr="00F52CA3">
        <w:t xml:space="preserve"> </w:t>
      </w:r>
      <w:r w:rsidRPr="00F52CA3">
        <w:t>are</w:t>
      </w:r>
      <w:r w:rsidR="00E21712" w:rsidRPr="00F52CA3">
        <w:t xml:space="preserve"> </w:t>
      </w:r>
      <w:r w:rsidRPr="00F52CA3">
        <w:t>professionally</w:t>
      </w:r>
      <w:r w:rsidR="00E21712" w:rsidRPr="00F52CA3">
        <w:t xml:space="preserve"> </w:t>
      </w:r>
      <w:r w:rsidRPr="00F52CA3">
        <w:t>rigorous,</w:t>
      </w:r>
      <w:r w:rsidR="00E21712" w:rsidRPr="00F52CA3">
        <w:t xml:space="preserve"> </w:t>
      </w:r>
      <w:r w:rsidRPr="00F52CA3">
        <w:t>evidence</w:t>
      </w:r>
      <w:r w:rsidR="00E21712" w:rsidRPr="00F52CA3">
        <w:t xml:space="preserve"> </w:t>
      </w:r>
      <w:r w:rsidRPr="00F52CA3">
        <w:t>based</w:t>
      </w:r>
      <w:r w:rsidR="00E21712" w:rsidRPr="00F52CA3">
        <w:t xml:space="preserve">, </w:t>
      </w:r>
      <w:r w:rsidRPr="00F52CA3">
        <w:t>and</w:t>
      </w:r>
      <w:r w:rsidR="00E21712" w:rsidRPr="00F52CA3">
        <w:t xml:space="preserve"> </w:t>
      </w:r>
      <w:r w:rsidRPr="00F52CA3">
        <w:t>challenge</w:t>
      </w:r>
      <w:r w:rsidR="00E21712" w:rsidRPr="00F52CA3">
        <w:t xml:space="preserve"> </w:t>
      </w:r>
      <w:r w:rsidRPr="00F52CA3">
        <w:t>the</w:t>
      </w:r>
      <w:r w:rsidR="00E21712" w:rsidRPr="00F52CA3">
        <w:t xml:space="preserve"> </w:t>
      </w:r>
      <w:r w:rsidR="005C52FE" w:rsidRPr="00F52CA3">
        <w:t>traditional</w:t>
      </w:r>
      <w:r w:rsidR="00E21712" w:rsidRPr="00F52CA3">
        <w:t xml:space="preserve"> </w:t>
      </w:r>
      <w:r w:rsidRPr="00F52CA3">
        <w:t>binaries</w:t>
      </w:r>
      <w:r w:rsidR="00E21712" w:rsidRPr="00F52CA3">
        <w:t xml:space="preserve"> </w:t>
      </w:r>
      <w:r w:rsidRPr="00F52CA3">
        <w:t>of</w:t>
      </w:r>
      <w:r w:rsidR="00E21712" w:rsidRPr="00F52CA3">
        <w:t xml:space="preserve"> </w:t>
      </w:r>
      <w:r w:rsidRPr="00F52CA3">
        <w:t>theory</w:t>
      </w:r>
      <w:r w:rsidR="00E21712" w:rsidRPr="00F52CA3">
        <w:t xml:space="preserve"> </w:t>
      </w:r>
      <w:r w:rsidRPr="00F52CA3">
        <w:t>practice</w:t>
      </w:r>
      <w:r w:rsidR="00E21712" w:rsidRPr="00F52CA3">
        <w:t xml:space="preserve"> </w:t>
      </w:r>
      <w:r w:rsidR="005C52FE" w:rsidRPr="00F52CA3">
        <w:t>through</w:t>
      </w:r>
      <w:r w:rsidR="00E21712" w:rsidRPr="00F52CA3">
        <w:t xml:space="preserve"> </w:t>
      </w:r>
      <w:r w:rsidR="005C52FE" w:rsidRPr="00F52CA3">
        <w:t>holistic</w:t>
      </w:r>
      <w:r w:rsidR="00E21712" w:rsidRPr="00F52CA3">
        <w:t xml:space="preserve"> </w:t>
      </w:r>
      <w:r w:rsidR="005C52FE" w:rsidRPr="00F52CA3">
        <w:t>professional</w:t>
      </w:r>
      <w:r w:rsidR="00E21712" w:rsidRPr="00F52CA3">
        <w:t xml:space="preserve"> </w:t>
      </w:r>
      <w:r w:rsidR="005C52FE" w:rsidRPr="00F52CA3">
        <w:t>preparation</w:t>
      </w:r>
      <w:r w:rsidR="00E21712" w:rsidRPr="00F52CA3">
        <w:t xml:space="preserve"> </w:t>
      </w:r>
      <w:r w:rsidR="005C52FE" w:rsidRPr="00F52CA3">
        <w:t>programs</w:t>
      </w:r>
      <w:r w:rsidR="00E21712" w:rsidRPr="00F52CA3">
        <w:t xml:space="preserve"> </w:t>
      </w:r>
      <w:r w:rsidR="005C52FE" w:rsidRPr="00F52CA3">
        <w:t>for</w:t>
      </w:r>
      <w:r w:rsidR="00E21712" w:rsidRPr="00F52CA3">
        <w:t xml:space="preserve"> </w:t>
      </w:r>
      <w:r w:rsidR="005C52FE" w:rsidRPr="00F52CA3">
        <w:t>preservice</w:t>
      </w:r>
      <w:r w:rsidR="00E21712" w:rsidRPr="00F52CA3">
        <w:t xml:space="preserve"> </w:t>
      </w:r>
      <w:r w:rsidR="005C52FE" w:rsidRPr="00F52CA3">
        <w:t>teachers</w:t>
      </w:r>
      <w:r w:rsidR="00E21712" w:rsidRPr="00F52CA3">
        <w:t xml:space="preserve"> </w:t>
      </w:r>
      <w:r w:rsidR="005C52FE" w:rsidRPr="00F52CA3">
        <w:t>and</w:t>
      </w:r>
      <w:r w:rsidR="00E21712" w:rsidRPr="00F52CA3">
        <w:t xml:space="preserve"> </w:t>
      </w:r>
      <w:r w:rsidR="005C52FE" w:rsidRPr="00F52CA3">
        <w:t>practising</w:t>
      </w:r>
      <w:r w:rsidR="00E21712" w:rsidRPr="00F52CA3">
        <w:t xml:space="preserve"> </w:t>
      </w:r>
      <w:r w:rsidR="005C52FE" w:rsidRPr="00F52CA3">
        <w:t>professionals</w:t>
      </w:r>
      <w:r w:rsidR="005316D7" w:rsidRPr="00F52CA3">
        <w:t>.</w:t>
      </w:r>
      <w:r w:rsidR="00E21712" w:rsidRPr="00F52CA3">
        <w:t xml:space="preserve"> See for example</w:t>
      </w:r>
      <w:r w:rsidR="00BB1A7D" w:rsidRPr="00F52CA3">
        <w:t>,</w:t>
      </w:r>
      <w:r w:rsidR="00CD1B73" w:rsidRPr="00F52CA3">
        <w:t xml:space="preserve"> Hobbs, Campbell &amp; Jones</w:t>
      </w:r>
      <w:r w:rsidR="00981A1F" w:rsidRPr="00F52CA3">
        <w:t xml:space="preserve"> (</w:t>
      </w:r>
      <w:r w:rsidR="00CD1B73" w:rsidRPr="00F52CA3">
        <w:t>2018</w:t>
      </w:r>
      <w:r w:rsidR="00981A1F" w:rsidRPr="00F52CA3">
        <w:t>)</w:t>
      </w:r>
      <w:r w:rsidR="00CD1B73" w:rsidRPr="00F52CA3">
        <w:t xml:space="preserve">; </w:t>
      </w:r>
      <w:r w:rsidR="00981A1F" w:rsidRPr="00F52CA3">
        <w:rPr>
          <w:lang w:val="en-US"/>
        </w:rPr>
        <w:t>Hudson &amp; Hudson (2011)</w:t>
      </w:r>
    </w:p>
    <w:p w14:paraId="7C84DCE5" w14:textId="77777777" w:rsidR="00E21712" w:rsidRPr="00F52CA3" w:rsidRDefault="00E21712" w:rsidP="00B054ED">
      <w:pPr>
        <w:pStyle w:val="ListParagraph"/>
      </w:pPr>
    </w:p>
    <w:p w14:paraId="0B83333E" w14:textId="69770577" w:rsidR="00EA1114" w:rsidRPr="00F52CA3" w:rsidRDefault="00E21712" w:rsidP="00E21712">
      <w:pPr>
        <w:pStyle w:val="ListParagraph"/>
        <w:ind w:left="420"/>
      </w:pPr>
      <w:r w:rsidRPr="00F52CA3">
        <w:t xml:space="preserve">This is an aspect of practice we believe can be further strengthened, </w:t>
      </w:r>
      <w:r w:rsidR="005316D7" w:rsidRPr="00F52CA3">
        <w:t>by</w:t>
      </w:r>
      <w:r w:rsidRPr="00F52CA3">
        <w:t xml:space="preserve"> </w:t>
      </w:r>
      <w:r w:rsidR="005316D7" w:rsidRPr="00F52CA3">
        <w:t>adopting</w:t>
      </w:r>
      <w:r w:rsidRPr="00F52CA3">
        <w:t xml:space="preserve"> </w:t>
      </w:r>
      <w:r w:rsidR="005316D7" w:rsidRPr="00F52CA3">
        <w:t>some</w:t>
      </w:r>
      <w:r w:rsidRPr="00F52CA3">
        <w:t xml:space="preserve"> </w:t>
      </w:r>
      <w:r w:rsidR="005316D7" w:rsidRPr="00F52CA3">
        <w:t>of</w:t>
      </w:r>
      <w:r w:rsidRPr="00F52CA3">
        <w:t xml:space="preserve"> </w:t>
      </w:r>
      <w:r w:rsidR="005316D7" w:rsidRPr="00F52CA3">
        <w:t>the</w:t>
      </w:r>
      <w:r w:rsidRPr="00F52CA3">
        <w:t xml:space="preserve"> </w:t>
      </w:r>
      <w:r w:rsidR="005316D7" w:rsidRPr="00F52CA3">
        <w:t>recommendations</w:t>
      </w:r>
      <w:r w:rsidRPr="00F52CA3">
        <w:t xml:space="preserve"> </w:t>
      </w:r>
      <w:r w:rsidR="00CD1B73" w:rsidRPr="00F52CA3">
        <w:t>we present below</w:t>
      </w:r>
      <w:r w:rsidR="005316D7" w:rsidRPr="00F52CA3">
        <w:t>.</w:t>
      </w:r>
      <w:r w:rsidRPr="00F52CA3">
        <w:t xml:space="preserve"> </w:t>
      </w:r>
    </w:p>
    <w:p w14:paraId="4106D017" w14:textId="7382BAFE" w:rsidR="005C52FE" w:rsidRPr="00F52CA3" w:rsidRDefault="005C52FE" w:rsidP="00EA1114">
      <w:pPr>
        <w:pStyle w:val="ListParagraph"/>
        <w:numPr>
          <w:ilvl w:val="0"/>
          <w:numId w:val="1"/>
        </w:numPr>
      </w:pPr>
      <w:r w:rsidRPr="00F52CA3">
        <w:t>Plentiful</w:t>
      </w:r>
      <w:r w:rsidR="00E21712" w:rsidRPr="00F52CA3">
        <w:t xml:space="preserve"> </w:t>
      </w:r>
      <w:r w:rsidRPr="00F52CA3">
        <w:t>evidence</w:t>
      </w:r>
      <w:r w:rsidR="00E21712" w:rsidRPr="00F52CA3">
        <w:t xml:space="preserve"> </w:t>
      </w:r>
      <w:r w:rsidRPr="00F52CA3">
        <w:t>is</w:t>
      </w:r>
      <w:r w:rsidR="00E21712" w:rsidRPr="00F52CA3">
        <w:t xml:space="preserve"> </w:t>
      </w:r>
      <w:r w:rsidRPr="00F52CA3">
        <w:t>readily</w:t>
      </w:r>
      <w:r w:rsidR="00E21712" w:rsidRPr="00F52CA3">
        <w:t xml:space="preserve"> </w:t>
      </w:r>
      <w:r w:rsidRPr="00F52CA3">
        <w:t>available</w:t>
      </w:r>
      <w:r w:rsidR="00E21712" w:rsidRPr="00F52CA3">
        <w:t xml:space="preserve"> </w:t>
      </w:r>
      <w:r w:rsidRPr="00F52CA3">
        <w:t>through</w:t>
      </w:r>
      <w:r w:rsidR="00E21712" w:rsidRPr="00F52CA3">
        <w:t xml:space="preserve"> </w:t>
      </w:r>
      <w:r w:rsidRPr="00F52CA3">
        <w:t>consortiums</w:t>
      </w:r>
      <w:r w:rsidR="00E21712" w:rsidRPr="00F52CA3">
        <w:t xml:space="preserve"> </w:t>
      </w:r>
      <w:r w:rsidRPr="00F52CA3">
        <w:t>that</w:t>
      </w:r>
      <w:r w:rsidR="00E21712" w:rsidRPr="00F52CA3">
        <w:t xml:space="preserve"> </w:t>
      </w:r>
      <w:r w:rsidRPr="00F52CA3">
        <w:t>the</w:t>
      </w:r>
      <w:r w:rsidR="00E21712" w:rsidRPr="00F52CA3">
        <w:t xml:space="preserve"> </w:t>
      </w:r>
      <w:r w:rsidRPr="00F52CA3">
        <w:t>introduction</w:t>
      </w:r>
      <w:r w:rsidR="00E21712" w:rsidRPr="00F52CA3">
        <w:t xml:space="preserve"> </w:t>
      </w:r>
      <w:r w:rsidRPr="00F52CA3">
        <w:t>of</w:t>
      </w:r>
      <w:r w:rsidR="00E21712" w:rsidRPr="00F52CA3">
        <w:t xml:space="preserve"> </w:t>
      </w:r>
      <w:r w:rsidRPr="00F52CA3">
        <w:t>the</w:t>
      </w:r>
      <w:r w:rsidR="00E21712" w:rsidRPr="00F52CA3">
        <w:t xml:space="preserve"> </w:t>
      </w:r>
      <w:r w:rsidRPr="00F52CA3">
        <w:t>T</w:t>
      </w:r>
      <w:r w:rsidR="001B5574" w:rsidRPr="00F52CA3">
        <w:t xml:space="preserve">eaching </w:t>
      </w:r>
      <w:r w:rsidRPr="00F52CA3">
        <w:t>P</w:t>
      </w:r>
      <w:r w:rsidR="001B5574" w:rsidRPr="00F52CA3">
        <w:t xml:space="preserve">erformance </w:t>
      </w:r>
      <w:r w:rsidRPr="00F52CA3">
        <w:t>A</w:t>
      </w:r>
      <w:r w:rsidR="001B5574" w:rsidRPr="00F52CA3">
        <w:t>ssessment (TPA)</w:t>
      </w:r>
      <w:r w:rsidR="00E21712" w:rsidRPr="00F52CA3">
        <w:t xml:space="preserve"> </w:t>
      </w:r>
      <w:r w:rsidRPr="00F52CA3">
        <w:t>has</w:t>
      </w:r>
      <w:r w:rsidR="00E21712" w:rsidRPr="00F52CA3">
        <w:t xml:space="preserve"> </w:t>
      </w:r>
      <w:r w:rsidRPr="00F52CA3">
        <w:t>addressed</w:t>
      </w:r>
      <w:r w:rsidR="00E21712" w:rsidRPr="00F52CA3">
        <w:t xml:space="preserve"> </w:t>
      </w:r>
      <w:r w:rsidRPr="00F52CA3">
        <w:t>issues</w:t>
      </w:r>
      <w:r w:rsidR="00E21712" w:rsidRPr="00F52CA3">
        <w:t xml:space="preserve"> </w:t>
      </w:r>
      <w:r w:rsidRPr="00F52CA3">
        <w:t>of</w:t>
      </w:r>
      <w:r w:rsidR="00E21712" w:rsidRPr="00F52CA3">
        <w:t xml:space="preserve"> </w:t>
      </w:r>
      <w:r w:rsidRPr="00F52CA3">
        <w:t>public</w:t>
      </w:r>
      <w:r w:rsidR="00E21712" w:rsidRPr="00F52CA3">
        <w:t xml:space="preserve"> </w:t>
      </w:r>
      <w:r w:rsidRPr="00F52CA3">
        <w:t>confidence</w:t>
      </w:r>
      <w:r w:rsidR="00E21712" w:rsidRPr="00F52CA3">
        <w:t xml:space="preserve"> </w:t>
      </w:r>
      <w:r w:rsidRPr="00F52CA3">
        <w:t>and</w:t>
      </w:r>
      <w:r w:rsidR="00E21712" w:rsidRPr="00F52CA3">
        <w:t xml:space="preserve"> </w:t>
      </w:r>
      <w:r w:rsidRPr="00F52CA3">
        <w:t>accountability</w:t>
      </w:r>
      <w:r w:rsidR="00E21712" w:rsidRPr="00F52CA3">
        <w:t xml:space="preserve"> </w:t>
      </w:r>
      <w:r w:rsidRPr="00F52CA3">
        <w:t>through</w:t>
      </w:r>
      <w:r w:rsidR="00E21712" w:rsidRPr="00F52CA3">
        <w:t xml:space="preserve"> </w:t>
      </w:r>
      <w:r w:rsidRPr="00F52CA3">
        <w:t>a</w:t>
      </w:r>
      <w:r w:rsidR="00E21712" w:rsidRPr="00F52CA3">
        <w:t xml:space="preserve"> </w:t>
      </w:r>
      <w:r w:rsidRPr="00F52CA3">
        <w:t>final</w:t>
      </w:r>
      <w:r w:rsidR="00E21712" w:rsidRPr="00F52CA3">
        <w:t xml:space="preserve"> </w:t>
      </w:r>
      <w:r w:rsidRPr="00F52CA3">
        <w:t>capstone</w:t>
      </w:r>
      <w:r w:rsidR="00E21712" w:rsidRPr="00F52CA3">
        <w:t xml:space="preserve"> </w:t>
      </w:r>
      <w:r w:rsidRPr="00F52CA3">
        <w:t>assessment</w:t>
      </w:r>
      <w:r w:rsidR="00E21712" w:rsidRPr="00F52CA3">
        <w:t xml:space="preserve"> </w:t>
      </w:r>
      <w:r w:rsidRPr="00F52CA3">
        <w:t>task</w:t>
      </w:r>
      <w:r w:rsidR="00E21712" w:rsidRPr="00F52CA3">
        <w:t xml:space="preserve"> </w:t>
      </w:r>
      <w:r w:rsidRPr="00F52CA3">
        <w:t>that</w:t>
      </w:r>
      <w:r w:rsidR="00E21712" w:rsidRPr="00F52CA3">
        <w:t xml:space="preserve"> </w:t>
      </w:r>
      <w:r w:rsidRPr="00F52CA3">
        <w:t>is</w:t>
      </w:r>
      <w:r w:rsidR="00E21712" w:rsidRPr="00F52CA3">
        <w:t xml:space="preserve"> </w:t>
      </w:r>
      <w:r w:rsidRPr="00F52CA3">
        <w:t>designed,</w:t>
      </w:r>
      <w:r w:rsidR="00E21712" w:rsidRPr="00F52CA3">
        <w:t xml:space="preserve"> </w:t>
      </w:r>
      <w:r w:rsidRPr="00F52CA3">
        <w:t>implemented,</w:t>
      </w:r>
      <w:r w:rsidR="00E21712" w:rsidRPr="00F52CA3">
        <w:t xml:space="preserve"> </w:t>
      </w:r>
      <w:r w:rsidRPr="00F52CA3">
        <w:t>moderated</w:t>
      </w:r>
      <w:r w:rsidR="00E21712" w:rsidRPr="00F52CA3">
        <w:t xml:space="preserve">, </w:t>
      </w:r>
      <w:r w:rsidRPr="00F52CA3">
        <w:t>and</w:t>
      </w:r>
      <w:r w:rsidR="00E21712" w:rsidRPr="00F52CA3">
        <w:t xml:space="preserve"> </w:t>
      </w:r>
      <w:r w:rsidRPr="00F52CA3">
        <w:t>reviewed</w:t>
      </w:r>
      <w:r w:rsidR="00E21712" w:rsidRPr="00F52CA3">
        <w:t xml:space="preserve"> </w:t>
      </w:r>
      <w:r w:rsidRPr="00F52CA3">
        <w:t>across</w:t>
      </w:r>
      <w:r w:rsidR="00E21712" w:rsidRPr="00F52CA3">
        <w:t xml:space="preserve"> </w:t>
      </w:r>
      <w:r w:rsidRPr="00F52CA3">
        <w:t>multiple</w:t>
      </w:r>
      <w:r w:rsidR="00E21712" w:rsidRPr="00F52CA3">
        <w:t xml:space="preserve"> </w:t>
      </w:r>
      <w:r w:rsidRPr="00F52CA3">
        <w:t>university</w:t>
      </w:r>
      <w:r w:rsidR="00E21712" w:rsidRPr="00F52CA3">
        <w:t xml:space="preserve"> </w:t>
      </w:r>
      <w:r w:rsidRPr="00F52CA3">
        <w:t>sites.</w:t>
      </w:r>
      <w:r w:rsidR="00CD1B73" w:rsidRPr="00F52CA3">
        <w:t xml:space="preserve"> (See for e.g., </w:t>
      </w:r>
      <w:proofErr w:type="spellStart"/>
      <w:r w:rsidR="00CD1B73" w:rsidRPr="00F52CA3">
        <w:t>Keamy</w:t>
      </w:r>
      <w:proofErr w:type="spellEnd"/>
      <w:r w:rsidR="00CD1B73" w:rsidRPr="00F52CA3">
        <w:t>, Clinton, &amp; Tan, 202</w:t>
      </w:r>
      <w:r w:rsidR="00636207" w:rsidRPr="00F52CA3">
        <w:t>1</w:t>
      </w:r>
      <w:r w:rsidR="00CD1B73" w:rsidRPr="00F52CA3">
        <w:t>).</w:t>
      </w:r>
    </w:p>
    <w:p w14:paraId="2EA352ED" w14:textId="315E6620" w:rsidR="005C52FE" w:rsidRPr="00F52CA3" w:rsidRDefault="005C52FE" w:rsidP="00EA1114">
      <w:pPr>
        <w:pStyle w:val="ListParagraph"/>
        <w:numPr>
          <w:ilvl w:val="0"/>
          <w:numId w:val="1"/>
        </w:numPr>
      </w:pPr>
      <w:r w:rsidRPr="00F52CA3">
        <w:t>The</w:t>
      </w:r>
      <w:r w:rsidR="00E21712" w:rsidRPr="00F52CA3">
        <w:t xml:space="preserve"> </w:t>
      </w:r>
      <w:r w:rsidRPr="00F52CA3">
        <w:t>National</w:t>
      </w:r>
      <w:r w:rsidR="00E21712" w:rsidRPr="00F52CA3">
        <w:t xml:space="preserve"> </w:t>
      </w:r>
      <w:r w:rsidRPr="00F52CA3">
        <w:t>Workforce</w:t>
      </w:r>
      <w:r w:rsidR="00E21712" w:rsidRPr="00F52CA3">
        <w:t xml:space="preserve"> </w:t>
      </w:r>
      <w:r w:rsidRPr="00F52CA3">
        <w:t>Data</w:t>
      </w:r>
      <w:r w:rsidR="00E21712" w:rsidRPr="00F52CA3">
        <w:t xml:space="preserve"> </w:t>
      </w:r>
      <w:r w:rsidRPr="00F52CA3">
        <w:t>Project</w:t>
      </w:r>
      <w:r w:rsidR="00E21712" w:rsidRPr="00F52CA3">
        <w:t xml:space="preserve"> </w:t>
      </w:r>
      <w:r w:rsidRPr="00F52CA3">
        <w:t>is</w:t>
      </w:r>
      <w:r w:rsidR="00E21712" w:rsidRPr="00F52CA3">
        <w:t xml:space="preserve"> </w:t>
      </w:r>
      <w:r w:rsidRPr="00F52CA3">
        <w:t>currently</w:t>
      </w:r>
      <w:r w:rsidR="00E21712" w:rsidRPr="00F52CA3">
        <w:t xml:space="preserve"> </w:t>
      </w:r>
      <w:r w:rsidRPr="00F52CA3">
        <w:t>monitoring</w:t>
      </w:r>
      <w:r w:rsidR="00E21712" w:rsidRPr="00F52CA3">
        <w:t xml:space="preserve"> </w:t>
      </w:r>
      <w:r w:rsidRPr="00F52CA3">
        <w:t>work</w:t>
      </w:r>
      <w:r w:rsidR="00E21712" w:rsidRPr="00F52CA3">
        <w:t xml:space="preserve"> </w:t>
      </w:r>
      <w:r w:rsidRPr="00F52CA3">
        <w:t>force</w:t>
      </w:r>
      <w:r w:rsidR="00E21712" w:rsidRPr="00F52CA3">
        <w:t xml:space="preserve"> </w:t>
      </w:r>
      <w:r w:rsidRPr="00F52CA3">
        <w:t>needs</w:t>
      </w:r>
      <w:r w:rsidR="00E21712" w:rsidRPr="00F52CA3">
        <w:t xml:space="preserve"> </w:t>
      </w:r>
      <w:r w:rsidRPr="00F52CA3">
        <w:t>nationally</w:t>
      </w:r>
      <w:r w:rsidR="00E21712" w:rsidRPr="00F52CA3">
        <w:t xml:space="preserve"> </w:t>
      </w:r>
      <w:r w:rsidRPr="00F52CA3">
        <w:t>and</w:t>
      </w:r>
      <w:r w:rsidR="00E21712" w:rsidRPr="00F52CA3">
        <w:t xml:space="preserve"> </w:t>
      </w:r>
      <w:r w:rsidRPr="00F52CA3">
        <w:t>across</w:t>
      </w:r>
      <w:r w:rsidR="00E21712" w:rsidRPr="00F52CA3">
        <w:t xml:space="preserve"> </w:t>
      </w:r>
      <w:r w:rsidRPr="00F52CA3">
        <w:t>system</w:t>
      </w:r>
      <w:r w:rsidR="00351BE2" w:rsidRPr="00F52CA3">
        <w:t>s and should provide recommendations for addressing these needs on its conclusion.</w:t>
      </w:r>
    </w:p>
    <w:p w14:paraId="7DF3A3D0" w14:textId="0D80A2AF" w:rsidR="005C52FE" w:rsidRPr="00F52CA3" w:rsidRDefault="005C52FE" w:rsidP="00EA1114">
      <w:pPr>
        <w:pStyle w:val="ListParagraph"/>
        <w:numPr>
          <w:ilvl w:val="0"/>
          <w:numId w:val="1"/>
        </w:numPr>
      </w:pPr>
      <w:r w:rsidRPr="00F52CA3">
        <w:t>There</w:t>
      </w:r>
      <w:r w:rsidR="00E21712" w:rsidRPr="00F52CA3">
        <w:t xml:space="preserve"> </w:t>
      </w:r>
      <w:r w:rsidRPr="00F52CA3">
        <w:t>is</w:t>
      </w:r>
      <w:r w:rsidR="00E21712" w:rsidRPr="00F52CA3">
        <w:t xml:space="preserve"> </w:t>
      </w:r>
      <w:r w:rsidRPr="00F52CA3">
        <w:t>a</w:t>
      </w:r>
      <w:r w:rsidR="00E21712" w:rsidRPr="00F52CA3">
        <w:t xml:space="preserve"> </w:t>
      </w:r>
      <w:r w:rsidRPr="00F52CA3">
        <w:t>rich</w:t>
      </w:r>
      <w:r w:rsidR="00E21712" w:rsidRPr="00F52CA3">
        <w:t xml:space="preserve"> </w:t>
      </w:r>
      <w:r w:rsidRPr="00F52CA3">
        <w:t>research</w:t>
      </w:r>
      <w:r w:rsidR="00E21712" w:rsidRPr="00F52CA3">
        <w:t xml:space="preserve"> </w:t>
      </w:r>
      <w:r w:rsidRPr="00F52CA3">
        <w:t>data</w:t>
      </w:r>
      <w:r w:rsidR="00E21712" w:rsidRPr="00F52CA3">
        <w:t xml:space="preserve"> </w:t>
      </w:r>
      <w:r w:rsidRPr="00F52CA3">
        <w:t>base</w:t>
      </w:r>
      <w:r w:rsidR="00E21712" w:rsidRPr="00F52CA3">
        <w:t xml:space="preserve"> </w:t>
      </w:r>
      <w:r w:rsidRPr="00F52CA3">
        <w:t>that</w:t>
      </w:r>
      <w:r w:rsidR="00E21712" w:rsidRPr="00F52CA3">
        <w:t xml:space="preserve"> </w:t>
      </w:r>
      <w:r w:rsidRPr="00F52CA3">
        <w:t>demonstrates</w:t>
      </w:r>
      <w:r w:rsidR="00E21712" w:rsidRPr="00F52CA3">
        <w:t xml:space="preserve"> </w:t>
      </w:r>
      <w:r w:rsidRPr="00F52CA3">
        <w:t>that</w:t>
      </w:r>
      <w:r w:rsidR="00E21712" w:rsidRPr="00F52CA3">
        <w:t xml:space="preserve"> </w:t>
      </w:r>
      <w:r w:rsidRPr="00F52CA3">
        <w:t>ITE</w:t>
      </w:r>
      <w:r w:rsidR="00E21712" w:rsidRPr="00F52CA3">
        <w:t xml:space="preserve"> </w:t>
      </w:r>
      <w:r w:rsidRPr="00F52CA3">
        <w:t>programs</w:t>
      </w:r>
      <w:r w:rsidR="00E21712" w:rsidRPr="00F52CA3">
        <w:t xml:space="preserve"> </w:t>
      </w:r>
      <w:r w:rsidRPr="00F52CA3">
        <w:t>are</w:t>
      </w:r>
      <w:r w:rsidR="00E21712" w:rsidRPr="00F52CA3">
        <w:t xml:space="preserve"> </w:t>
      </w:r>
      <w:r w:rsidRPr="00F52CA3">
        <w:t>very</w:t>
      </w:r>
      <w:r w:rsidR="00E21712" w:rsidRPr="00F52CA3">
        <w:t xml:space="preserve"> </w:t>
      </w:r>
      <w:r w:rsidRPr="00F52CA3">
        <w:t>strongly</w:t>
      </w:r>
      <w:r w:rsidR="00E21712" w:rsidRPr="00F52CA3">
        <w:t xml:space="preserve"> </w:t>
      </w:r>
      <w:r w:rsidRPr="00F52CA3">
        <w:t>embedded</w:t>
      </w:r>
      <w:r w:rsidR="00E21712" w:rsidRPr="00F52CA3">
        <w:t xml:space="preserve"> </w:t>
      </w:r>
      <w:r w:rsidRPr="00F52CA3">
        <w:t>in</w:t>
      </w:r>
      <w:r w:rsidR="00E21712" w:rsidRPr="00F52CA3">
        <w:t xml:space="preserve"> </w:t>
      </w:r>
      <w:r w:rsidRPr="00F52CA3">
        <w:t>evidence.</w:t>
      </w:r>
      <w:r w:rsidR="00E21712" w:rsidRPr="00F52CA3">
        <w:t xml:space="preserve"> </w:t>
      </w:r>
      <w:r w:rsidR="005316D7" w:rsidRPr="00F52CA3">
        <w:t>This</w:t>
      </w:r>
      <w:r w:rsidR="00E21712" w:rsidRPr="00F52CA3">
        <w:t xml:space="preserve"> </w:t>
      </w:r>
      <w:r w:rsidR="005316D7" w:rsidRPr="00F52CA3">
        <w:t>should</w:t>
      </w:r>
      <w:r w:rsidR="00E21712" w:rsidRPr="00F52CA3">
        <w:t xml:space="preserve"> </w:t>
      </w:r>
      <w:r w:rsidR="005316D7" w:rsidRPr="00F52CA3">
        <w:t>and</w:t>
      </w:r>
      <w:r w:rsidR="00E21712" w:rsidRPr="00F52CA3">
        <w:t xml:space="preserve"> </w:t>
      </w:r>
      <w:r w:rsidR="005316D7" w:rsidRPr="00F52CA3">
        <w:t>will</w:t>
      </w:r>
      <w:r w:rsidR="00E21712" w:rsidRPr="00F52CA3">
        <w:t xml:space="preserve"> </w:t>
      </w:r>
      <w:proofErr w:type="gramStart"/>
      <w:r w:rsidR="005316D7" w:rsidRPr="00F52CA3">
        <w:t>continue</w:t>
      </w:r>
      <w:r w:rsidR="00A2051A" w:rsidRPr="00F52CA3">
        <w:t>,</w:t>
      </w:r>
      <w:r w:rsidR="00E21712" w:rsidRPr="00F52CA3">
        <w:t xml:space="preserve"> </w:t>
      </w:r>
      <w:r w:rsidR="005316D7" w:rsidRPr="00F52CA3">
        <w:t>and</w:t>
      </w:r>
      <w:proofErr w:type="gramEnd"/>
      <w:r w:rsidR="00E21712" w:rsidRPr="00F52CA3">
        <w:t xml:space="preserve"> </w:t>
      </w:r>
      <w:r w:rsidR="005316D7" w:rsidRPr="00F52CA3">
        <w:t>will</w:t>
      </w:r>
      <w:r w:rsidR="00E21712" w:rsidRPr="00F52CA3">
        <w:t xml:space="preserve"> </w:t>
      </w:r>
      <w:r w:rsidR="005316D7" w:rsidRPr="00F52CA3">
        <w:t>be</w:t>
      </w:r>
      <w:r w:rsidR="00E21712" w:rsidRPr="00F52CA3">
        <w:t xml:space="preserve"> </w:t>
      </w:r>
      <w:r w:rsidR="005316D7" w:rsidRPr="00F52CA3">
        <w:t>ratified</w:t>
      </w:r>
      <w:r w:rsidR="00E21712" w:rsidRPr="00F52CA3">
        <w:t xml:space="preserve"> </w:t>
      </w:r>
      <w:r w:rsidR="005316D7" w:rsidRPr="00F52CA3">
        <w:t>at</w:t>
      </w:r>
      <w:r w:rsidR="00E21712" w:rsidRPr="00F52CA3">
        <w:t xml:space="preserve"> </w:t>
      </w:r>
      <w:r w:rsidR="005316D7" w:rsidRPr="00F52CA3">
        <w:t>the</w:t>
      </w:r>
      <w:r w:rsidR="00E21712" w:rsidRPr="00F52CA3">
        <w:t xml:space="preserve"> </w:t>
      </w:r>
      <w:r w:rsidR="005316D7" w:rsidRPr="00F52CA3">
        <w:t>point</w:t>
      </w:r>
      <w:r w:rsidR="00E21712" w:rsidRPr="00F52CA3">
        <w:t xml:space="preserve"> </w:t>
      </w:r>
      <w:r w:rsidR="005316D7" w:rsidRPr="00F52CA3">
        <w:t>of</w:t>
      </w:r>
      <w:r w:rsidR="00E21712" w:rsidRPr="00F52CA3">
        <w:t xml:space="preserve"> </w:t>
      </w:r>
      <w:r w:rsidR="005316D7" w:rsidRPr="00F52CA3">
        <w:t>accreditation</w:t>
      </w:r>
      <w:r w:rsidR="00E21712" w:rsidRPr="00F52CA3">
        <w:t xml:space="preserve"> </w:t>
      </w:r>
      <w:r w:rsidR="005316D7" w:rsidRPr="00F52CA3">
        <w:t>and</w:t>
      </w:r>
      <w:r w:rsidR="00E21712" w:rsidRPr="00F52CA3">
        <w:t xml:space="preserve"> </w:t>
      </w:r>
      <w:r w:rsidR="005316D7" w:rsidRPr="00F52CA3">
        <w:t>reaccreditation</w:t>
      </w:r>
      <w:r w:rsidR="00E21712" w:rsidRPr="00F52CA3">
        <w:t xml:space="preserve"> </w:t>
      </w:r>
      <w:r w:rsidR="005316D7" w:rsidRPr="00F52CA3">
        <w:t>through</w:t>
      </w:r>
      <w:r w:rsidR="00E21712" w:rsidRPr="00F52CA3">
        <w:t xml:space="preserve"> </w:t>
      </w:r>
      <w:r w:rsidR="005316D7" w:rsidRPr="00F52CA3">
        <w:t>local</w:t>
      </w:r>
      <w:r w:rsidR="00E21712" w:rsidRPr="00F52CA3">
        <w:t xml:space="preserve"> </w:t>
      </w:r>
      <w:r w:rsidR="005316D7" w:rsidRPr="00F52CA3">
        <w:t>jurisdictions</w:t>
      </w:r>
      <w:r w:rsidR="00351BE2" w:rsidRPr="00F52CA3">
        <w:t>.</w:t>
      </w:r>
    </w:p>
    <w:p w14:paraId="773A3313" w14:textId="76841E67" w:rsidR="00A34A66" w:rsidRPr="00F52CA3" w:rsidRDefault="00A34A66" w:rsidP="00EA1114">
      <w:pPr>
        <w:pStyle w:val="ListParagraph"/>
        <w:numPr>
          <w:ilvl w:val="0"/>
          <w:numId w:val="1"/>
        </w:numPr>
      </w:pPr>
      <w:r w:rsidRPr="00F52CA3">
        <w:t>ITE</w:t>
      </w:r>
      <w:r w:rsidR="00E21712" w:rsidRPr="00F52CA3">
        <w:t xml:space="preserve"> </w:t>
      </w:r>
      <w:r w:rsidRPr="00F52CA3">
        <w:t>completion</w:t>
      </w:r>
      <w:r w:rsidR="00E21712" w:rsidRPr="00F52CA3">
        <w:t xml:space="preserve"> </w:t>
      </w:r>
      <w:r w:rsidRPr="00F52CA3">
        <w:t>rates</w:t>
      </w:r>
      <w:r w:rsidR="00E21712" w:rsidRPr="00F52CA3">
        <w:t xml:space="preserve"> </w:t>
      </w:r>
      <w:r w:rsidRPr="00F52CA3">
        <w:t>in</w:t>
      </w:r>
      <w:r w:rsidR="00E21712" w:rsidRPr="00F52CA3">
        <w:t xml:space="preserve"> </w:t>
      </w:r>
      <w:r w:rsidRPr="00F52CA3">
        <w:t>most</w:t>
      </w:r>
      <w:r w:rsidR="00E21712" w:rsidRPr="00F52CA3">
        <w:t xml:space="preserve"> </w:t>
      </w:r>
      <w:r w:rsidRPr="00F52CA3">
        <w:t>institutions</w:t>
      </w:r>
      <w:r w:rsidR="00E21712" w:rsidRPr="00F52CA3">
        <w:t xml:space="preserve"> </w:t>
      </w:r>
      <w:r w:rsidR="00482A9E">
        <w:t xml:space="preserve">range between 64% for </w:t>
      </w:r>
      <w:proofErr w:type="spellStart"/>
      <w:r w:rsidR="00482A9E">
        <w:t>undergaduate</w:t>
      </w:r>
      <w:proofErr w:type="spellEnd"/>
      <w:r w:rsidR="00482A9E">
        <w:t xml:space="preserve"> programs and 36% for postgraduate programs (AITSL 2019 ITE Report), however</w:t>
      </w:r>
      <w:r w:rsidR="008873A2">
        <w:t>,</w:t>
      </w:r>
      <w:r w:rsidR="00482A9E">
        <w:t xml:space="preserve"> the accuracy of this data is contestable as the attrition rate does not take into account students who move flexibly across university programs, and in and out of higher education over a number of years. </w:t>
      </w:r>
      <w:r w:rsidRPr="00F52CA3">
        <w:t>The</w:t>
      </w:r>
      <w:r w:rsidR="00E21712" w:rsidRPr="00F52CA3">
        <w:t xml:space="preserve"> </w:t>
      </w:r>
      <w:r w:rsidRPr="00F52CA3">
        <w:t>attrition</w:t>
      </w:r>
      <w:r w:rsidR="00E21712" w:rsidRPr="00F52CA3">
        <w:t xml:space="preserve"> </w:t>
      </w:r>
      <w:r w:rsidRPr="00F52CA3">
        <w:t>rates</w:t>
      </w:r>
      <w:r w:rsidR="00E21712" w:rsidRPr="00F52CA3">
        <w:t xml:space="preserve"> </w:t>
      </w:r>
      <w:r w:rsidRPr="00F52CA3">
        <w:t>of</w:t>
      </w:r>
      <w:r w:rsidR="00E21712" w:rsidRPr="00F52CA3">
        <w:t xml:space="preserve"> </w:t>
      </w:r>
      <w:r w:rsidRPr="00F52CA3">
        <w:t>ITE</w:t>
      </w:r>
      <w:r w:rsidR="00E21712" w:rsidRPr="00F52CA3">
        <w:t xml:space="preserve"> </w:t>
      </w:r>
      <w:r w:rsidRPr="00F52CA3">
        <w:t>students</w:t>
      </w:r>
      <w:r w:rsidR="00E21712" w:rsidRPr="00F52CA3">
        <w:t xml:space="preserve"> </w:t>
      </w:r>
      <w:r w:rsidRPr="00F52CA3">
        <w:t>is</w:t>
      </w:r>
      <w:r w:rsidR="00E21712" w:rsidRPr="00F52CA3">
        <w:t xml:space="preserve"> </w:t>
      </w:r>
      <w:r w:rsidRPr="00F52CA3">
        <w:t>highest</w:t>
      </w:r>
      <w:r w:rsidR="00E21712" w:rsidRPr="00F52CA3">
        <w:t xml:space="preserve"> </w:t>
      </w:r>
      <w:r w:rsidRPr="00F52CA3">
        <w:t>and</w:t>
      </w:r>
      <w:r w:rsidR="00E21712" w:rsidRPr="00F52CA3">
        <w:t xml:space="preserve"> </w:t>
      </w:r>
      <w:r w:rsidRPr="00F52CA3">
        <w:t>healthiest</w:t>
      </w:r>
      <w:r w:rsidR="00E21712" w:rsidRPr="00F52CA3">
        <w:t xml:space="preserve"> </w:t>
      </w:r>
      <w:r w:rsidRPr="00F52CA3">
        <w:t>in</w:t>
      </w:r>
      <w:r w:rsidR="00E21712" w:rsidRPr="00F52CA3">
        <w:t xml:space="preserve"> </w:t>
      </w:r>
      <w:r w:rsidRPr="00F52CA3">
        <w:t>the</w:t>
      </w:r>
      <w:r w:rsidR="00E21712" w:rsidRPr="00F52CA3">
        <w:t xml:space="preserve"> </w:t>
      </w:r>
      <w:r w:rsidRPr="00F52CA3">
        <w:t>beginning</w:t>
      </w:r>
      <w:r w:rsidR="00E21712" w:rsidRPr="00F52CA3">
        <w:t xml:space="preserve"> </w:t>
      </w:r>
      <w:r w:rsidRPr="00F52CA3">
        <w:t>phases</w:t>
      </w:r>
      <w:r w:rsidR="00E21712" w:rsidRPr="00F52CA3">
        <w:t xml:space="preserve"> </w:t>
      </w:r>
      <w:r w:rsidRPr="00F52CA3">
        <w:t>of</w:t>
      </w:r>
      <w:r w:rsidR="00E21712" w:rsidRPr="00F52CA3">
        <w:t xml:space="preserve"> </w:t>
      </w:r>
      <w:r w:rsidRPr="00F52CA3">
        <w:t>programs</w:t>
      </w:r>
      <w:r w:rsidR="00E21712" w:rsidRPr="00F52CA3">
        <w:t xml:space="preserve"> </w:t>
      </w:r>
      <w:r w:rsidRPr="00F52CA3">
        <w:t>where</w:t>
      </w:r>
      <w:r w:rsidR="00E21712" w:rsidRPr="00F52CA3">
        <w:t xml:space="preserve"> </w:t>
      </w:r>
      <w:r w:rsidRPr="00F52CA3">
        <w:t>students</w:t>
      </w:r>
      <w:r w:rsidR="00E21712" w:rsidRPr="00F52CA3">
        <w:t xml:space="preserve"> </w:t>
      </w:r>
      <w:proofErr w:type="gramStart"/>
      <w:r w:rsidRPr="00F52CA3">
        <w:t>realise</w:t>
      </w:r>
      <w:proofErr w:type="gramEnd"/>
      <w:r w:rsidR="00E21712" w:rsidRPr="00F52CA3">
        <w:t xml:space="preserve"> </w:t>
      </w:r>
      <w:r w:rsidRPr="00F52CA3">
        <w:t>they</w:t>
      </w:r>
      <w:r w:rsidR="00E21712" w:rsidRPr="00F52CA3">
        <w:t xml:space="preserve"> </w:t>
      </w:r>
      <w:r w:rsidRPr="00F52CA3">
        <w:t>prefer</w:t>
      </w:r>
      <w:r w:rsidR="00E21712" w:rsidRPr="00F52CA3">
        <w:t xml:space="preserve"> </w:t>
      </w:r>
      <w:r w:rsidRPr="00F52CA3">
        <w:t>a</w:t>
      </w:r>
      <w:r w:rsidR="00E21712" w:rsidRPr="00F52CA3">
        <w:t xml:space="preserve"> </w:t>
      </w:r>
      <w:r w:rsidRPr="00F52CA3">
        <w:t>different</w:t>
      </w:r>
      <w:r w:rsidR="00E21712" w:rsidRPr="00F52CA3">
        <w:t xml:space="preserve"> </w:t>
      </w:r>
      <w:r w:rsidRPr="00F52CA3">
        <w:t>career</w:t>
      </w:r>
      <w:r w:rsidR="00E21712" w:rsidRPr="00F52CA3">
        <w:t xml:space="preserve"> </w:t>
      </w:r>
      <w:r w:rsidRPr="00F52CA3">
        <w:t>pathway</w:t>
      </w:r>
      <w:r w:rsidR="00E21712" w:rsidRPr="00F52CA3">
        <w:t xml:space="preserve"> </w:t>
      </w:r>
      <w:r w:rsidRPr="00F52CA3">
        <w:t>or</w:t>
      </w:r>
      <w:r w:rsidR="00E21712" w:rsidRPr="00F52CA3">
        <w:t xml:space="preserve"> </w:t>
      </w:r>
      <w:r w:rsidRPr="00F52CA3">
        <w:t>university</w:t>
      </w:r>
      <w:r w:rsidR="00E21712" w:rsidRPr="00F52CA3">
        <w:t xml:space="preserve"> </w:t>
      </w:r>
      <w:r w:rsidRPr="00F52CA3">
        <w:t>staff</w:t>
      </w:r>
      <w:r w:rsidR="00E21712" w:rsidRPr="00F52CA3">
        <w:t xml:space="preserve"> </w:t>
      </w:r>
      <w:r w:rsidRPr="00F52CA3">
        <w:t>identify</w:t>
      </w:r>
      <w:r w:rsidR="00E21712" w:rsidRPr="00F52CA3">
        <w:t xml:space="preserve"> </w:t>
      </w:r>
      <w:r w:rsidRPr="00F52CA3">
        <w:t>students</w:t>
      </w:r>
      <w:r w:rsidR="00E21712" w:rsidRPr="00F52CA3">
        <w:t xml:space="preserve"> </w:t>
      </w:r>
      <w:r w:rsidRPr="00F52CA3">
        <w:t>who</w:t>
      </w:r>
      <w:r w:rsidR="00E21712" w:rsidRPr="00F52CA3">
        <w:t xml:space="preserve"> </w:t>
      </w:r>
      <w:r w:rsidRPr="00F52CA3">
        <w:t>may</w:t>
      </w:r>
      <w:r w:rsidR="00E21712" w:rsidRPr="00F52CA3">
        <w:t xml:space="preserve"> </w:t>
      </w:r>
      <w:r w:rsidRPr="00F52CA3">
        <w:t>not</w:t>
      </w:r>
      <w:r w:rsidR="00E21712" w:rsidRPr="00F52CA3">
        <w:t xml:space="preserve"> </w:t>
      </w:r>
      <w:r w:rsidRPr="00F52CA3">
        <w:t>be</w:t>
      </w:r>
      <w:r w:rsidR="00E21712" w:rsidRPr="00F52CA3">
        <w:t xml:space="preserve"> </w:t>
      </w:r>
      <w:r w:rsidRPr="00F52CA3">
        <w:t>suitable</w:t>
      </w:r>
      <w:r w:rsidR="00E21712" w:rsidRPr="00F52CA3">
        <w:t xml:space="preserve"> </w:t>
      </w:r>
      <w:r w:rsidRPr="00F52CA3">
        <w:t>for</w:t>
      </w:r>
      <w:r w:rsidR="00E21712" w:rsidRPr="00F52CA3">
        <w:t xml:space="preserve"> </w:t>
      </w:r>
      <w:r w:rsidRPr="00F52CA3">
        <w:t>progression</w:t>
      </w:r>
      <w:r w:rsidR="00E21712" w:rsidRPr="00F52CA3">
        <w:t xml:space="preserve"> </w:t>
      </w:r>
      <w:r w:rsidR="001B5574" w:rsidRPr="00F52CA3">
        <w:t>i</w:t>
      </w:r>
      <w:r w:rsidRPr="00F52CA3">
        <w:t>nto</w:t>
      </w:r>
      <w:r w:rsidR="00E21712" w:rsidRPr="00F52CA3">
        <w:t xml:space="preserve"> </w:t>
      </w:r>
      <w:r w:rsidRPr="00F52CA3">
        <w:t>the</w:t>
      </w:r>
      <w:r w:rsidR="00E21712" w:rsidRPr="00F52CA3">
        <w:t xml:space="preserve"> </w:t>
      </w:r>
      <w:r w:rsidRPr="00F52CA3">
        <w:t>profession</w:t>
      </w:r>
      <w:r w:rsidR="00BB1A7D" w:rsidRPr="00F52CA3">
        <w:t>.</w:t>
      </w:r>
    </w:p>
    <w:p w14:paraId="31D1E9F6" w14:textId="35D07932" w:rsidR="00370ABB" w:rsidRPr="00F52CA3" w:rsidRDefault="00370ABB" w:rsidP="00EA1114">
      <w:pPr>
        <w:pStyle w:val="ListParagraph"/>
        <w:numPr>
          <w:ilvl w:val="0"/>
          <w:numId w:val="1"/>
        </w:numPr>
      </w:pPr>
      <w:r w:rsidRPr="00F52CA3">
        <w:t>We acknowledge that the recommendations of the TEMAG report</w:t>
      </w:r>
      <w:r w:rsidR="00351BE2" w:rsidRPr="00F52CA3">
        <w:t xml:space="preserve"> (Craven et al., 2014) </w:t>
      </w:r>
      <w:r w:rsidRPr="00F52CA3">
        <w:t xml:space="preserve">are well underway and, in the main, have enhanced the quality of teacher preparation in </w:t>
      </w:r>
      <w:proofErr w:type="gramStart"/>
      <w:r w:rsidRPr="00F52CA3">
        <w:t>a number of</w:t>
      </w:r>
      <w:proofErr w:type="gramEnd"/>
      <w:r w:rsidRPr="00F52CA3">
        <w:t xml:space="preserve"> ways, including </w:t>
      </w:r>
      <w:r w:rsidR="00F04351" w:rsidRPr="00F52CA3">
        <w:t>those</w:t>
      </w:r>
      <w:r w:rsidRPr="00F52CA3">
        <w:t xml:space="preserve"> outlined in this section.</w:t>
      </w:r>
    </w:p>
    <w:p w14:paraId="0EB953B9" w14:textId="77777777" w:rsidR="008F0A8B" w:rsidRPr="00F52CA3" w:rsidRDefault="008F0A8B"/>
    <w:p w14:paraId="7D4E5496" w14:textId="743F4131" w:rsidR="00480E69" w:rsidRPr="00F52CA3" w:rsidRDefault="00EA1114" w:rsidP="00B054ED">
      <w:pPr>
        <w:pStyle w:val="ListParagraph"/>
        <w:ind w:left="0"/>
        <w:rPr>
          <w:b/>
          <w:bCs/>
        </w:rPr>
      </w:pPr>
      <w:r w:rsidRPr="00F52CA3">
        <w:rPr>
          <w:b/>
          <w:bCs/>
          <w:u w:val="single"/>
        </w:rPr>
        <w:t>Concerns</w:t>
      </w:r>
    </w:p>
    <w:p w14:paraId="5C69AACE" w14:textId="77777777" w:rsidR="00F04351" w:rsidRPr="00F52CA3" w:rsidRDefault="00F04351" w:rsidP="00480E69">
      <w:pPr>
        <w:pStyle w:val="ListParagraph"/>
        <w:ind w:left="0"/>
      </w:pPr>
    </w:p>
    <w:p w14:paraId="4A1B1F96" w14:textId="770AB5D4" w:rsidR="00480E69" w:rsidRPr="00F52CA3" w:rsidRDefault="00E1176A" w:rsidP="00B054ED">
      <w:pPr>
        <w:pStyle w:val="ListParagraph"/>
        <w:numPr>
          <w:ilvl w:val="0"/>
          <w:numId w:val="19"/>
        </w:numPr>
        <w:ind w:left="426"/>
      </w:pPr>
      <w:r w:rsidRPr="00F52CA3">
        <w:t>Firstly, as a short but important note, d</w:t>
      </w:r>
      <w:r w:rsidR="00370ABB" w:rsidRPr="00F52CA3">
        <w:t xml:space="preserve">espite the significance of the TEMAG report in contributing to recent improvements in ITE, </w:t>
      </w:r>
      <w:r w:rsidR="00E344EF" w:rsidRPr="00F52CA3">
        <w:t>there</w:t>
      </w:r>
      <w:r w:rsidR="00E21712" w:rsidRPr="00F52CA3">
        <w:t xml:space="preserve"> </w:t>
      </w:r>
      <w:r w:rsidR="00E344EF" w:rsidRPr="00F52CA3">
        <w:t>is</w:t>
      </w:r>
      <w:r w:rsidR="00E21712" w:rsidRPr="00F52CA3">
        <w:t xml:space="preserve"> </w:t>
      </w:r>
      <w:r w:rsidR="00E344EF" w:rsidRPr="00F52CA3">
        <w:t>insufficient</w:t>
      </w:r>
      <w:r w:rsidR="00E21712" w:rsidRPr="00F52CA3">
        <w:t xml:space="preserve"> </w:t>
      </w:r>
      <w:r w:rsidR="00370ABB" w:rsidRPr="00F52CA3">
        <w:t xml:space="preserve">availability and </w:t>
      </w:r>
      <w:r w:rsidR="005976B0" w:rsidRPr="00F52CA3">
        <w:t>analysis</w:t>
      </w:r>
      <w:r w:rsidR="00E21712" w:rsidRPr="00F52CA3">
        <w:t xml:space="preserve"> </w:t>
      </w:r>
      <w:r w:rsidR="005976B0" w:rsidRPr="00F52CA3">
        <w:t>of</w:t>
      </w:r>
      <w:r w:rsidR="00E21712" w:rsidRPr="00F52CA3">
        <w:t xml:space="preserve"> </w:t>
      </w:r>
      <w:r w:rsidR="00480E69" w:rsidRPr="00F52CA3">
        <w:t xml:space="preserve">long-term </w:t>
      </w:r>
      <w:r w:rsidR="00E344EF" w:rsidRPr="00F52CA3">
        <w:t>data</w:t>
      </w:r>
      <w:r w:rsidR="00480E69" w:rsidRPr="00F52CA3">
        <w:t>,</w:t>
      </w:r>
      <w:r w:rsidR="00E21712" w:rsidRPr="00F52CA3">
        <w:t xml:space="preserve"> </w:t>
      </w:r>
      <w:r w:rsidR="005976B0" w:rsidRPr="00F52CA3">
        <w:t>collected</w:t>
      </w:r>
      <w:r w:rsidR="00E21712" w:rsidRPr="00F52CA3">
        <w:t xml:space="preserve"> </w:t>
      </w:r>
      <w:r w:rsidR="00E344EF" w:rsidRPr="00F52CA3">
        <w:t>across</w:t>
      </w:r>
      <w:r w:rsidR="00E21712" w:rsidRPr="00F52CA3">
        <w:t xml:space="preserve"> </w:t>
      </w:r>
      <w:r w:rsidR="00E344EF" w:rsidRPr="00F52CA3">
        <w:t>providers</w:t>
      </w:r>
      <w:r w:rsidR="00480E69" w:rsidRPr="00F52CA3">
        <w:t>,</w:t>
      </w:r>
      <w:r w:rsidR="00E21712" w:rsidRPr="00F52CA3">
        <w:t xml:space="preserve"> </w:t>
      </w:r>
      <w:r w:rsidR="00E344EF" w:rsidRPr="00F52CA3">
        <w:t>to</w:t>
      </w:r>
      <w:r w:rsidR="00E21712" w:rsidRPr="00F52CA3">
        <w:t xml:space="preserve"> </w:t>
      </w:r>
      <w:r w:rsidR="005976B0" w:rsidRPr="00F52CA3">
        <w:t>be</w:t>
      </w:r>
      <w:r w:rsidR="00E21712" w:rsidRPr="00F52CA3">
        <w:t xml:space="preserve"> </w:t>
      </w:r>
      <w:r w:rsidR="005976B0" w:rsidRPr="00F52CA3">
        <w:t>able</w:t>
      </w:r>
      <w:r w:rsidR="00E21712" w:rsidRPr="00F52CA3">
        <w:t xml:space="preserve"> </w:t>
      </w:r>
      <w:r w:rsidR="005976B0" w:rsidRPr="00F52CA3">
        <w:t>to</w:t>
      </w:r>
      <w:r w:rsidR="00E21712" w:rsidRPr="00F52CA3">
        <w:t xml:space="preserve"> </w:t>
      </w:r>
      <w:r w:rsidR="005976B0" w:rsidRPr="00F52CA3">
        <w:t>make</w:t>
      </w:r>
      <w:r w:rsidR="00E21712" w:rsidRPr="00F52CA3">
        <w:t xml:space="preserve"> </w:t>
      </w:r>
      <w:r w:rsidR="005976B0" w:rsidRPr="00F52CA3">
        <w:t>concluding</w:t>
      </w:r>
      <w:r w:rsidR="00E21712" w:rsidRPr="00F52CA3">
        <w:t xml:space="preserve"> </w:t>
      </w:r>
      <w:r w:rsidR="005976B0" w:rsidRPr="00F52CA3">
        <w:t>generalisations</w:t>
      </w:r>
      <w:r w:rsidR="00E344EF" w:rsidRPr="00F52CA3">
        <w:t>.</w:t>
      </w:r>
      <w:r w:rsidR="00370ABB" w:rsidRPr="00F52CA3">
        <w:t xml:space="preserve"> </w:t>
      </w:r>
      <w:r w:rsidR="00480E69" w:rsidRPr="00F52CA3">
        <w:t>Indeed, there has been insufficient time to achieve a full rollout of recommendations from TEMAG, and i</w:t>
      </w:r>
      <w:r w:rsidR="00E344EF" w:rsidRPr="00F52CA3">
        <w:t>t</w:t>
      </w:r>
      <w:r w:rsidR="00E21712" w:rsidRPr="00F52CA3">
        <w:t xml:space="preserve"> </w:t>
      </w:r>
      <w:r w:rsidR="00E344EF" w:rsidRPr="00F52CA3">
        <w:t>is</w:t>
      </w:r>
      <w:r w:rsidR="00E21712" w:rsidRPr="00F52CA3">
        <w:t xml:space="preserve"> </w:t>
      </w:r>
      <w:r w:rsidR="00E344EF" w:rsidRPr="00F52CA3">
        <w:t>disappointing</w:t>
      </w:r>
      <w:r w:rsidR="00E21712" w:rsidRPr="00F52CA3">
        <w:t xml:space="preserve"> </w:t>
      </w:r>
      <w:r w:rsidR="00E344EF" w:rsidRPr="00F52CA3">
        <w:t>that</w:t>
      </w:r>
      <w:r w:rsidR="00E21712" w:rsidRPr="00F52CA3">
        <w:t xml:space="preserve"> </w:t>
      </w:r>
      <w:r w:rsidR="00E344EF" w:rsidRPr="00F52CA3">
        <w:t>this</w:t>
      </w:r>
      <w:r w:rsidR="00E21712" w:rsidRPr="00F52CA3">
        <w:t xml:space="preserve"> </w:t>
      </w:r>
      <w:r w:rsidR="00E344EF" w:rsidRPr="00F52CA3">
        <w:t>was</w:t>
      </w:r>
      <w:r w:rsidR="00E21712" w:rsidRPr="00F52CA3">
        <w:t xml:space="preserve"> </w:t>
      </w:r>
      <w:r w:rsidR="00E344EF" w:rsidRPr="00F52CA3">
        <w:t>not</w:t>
      </w:r>
      <w:r w:rsidR="00E21712" w:rsidRPr="00F52CA3">
        <w:t xml:space="preserve"> </w:t>
      </w:r>
      <w:r w:rsidR="00E344EF" w:rsidRPr="00F52CA3">
        <w:t>forthcoming</w:t>
      </w:r>
      <w:r w:rsidR="00E21712" w:rsidRPr="00F52CA3">
        <w:t xml:space="preserve"> </w:t>
      </w:r>
      <w:r w:rsidR="00E344EF" w:rsidRPr="00F52CA3">
        <w:t>prior</w:t>
      </w:r>
      <w:r w:rsidR="00E21712" w:rsidRPr="00F52CA3">
        <w:t xml:space="preserve"> </w:t>
      </w:r>
      <w:r w:rsidR="00E344EF" w:rsidRPr="00F52CA3">
        <w:t>to</w:t>
      </w:r>
      <w:r w:rsidR="00E21712" w:rsidRPr="00F52CA3">
        <w:t xml:space="preserve"> </w:t>
      </w:r>
      <w:r w:rsidR="00E344EF" w:rsidRPr="00F52CA3">
        <w:t>a</w:t>
      </w:r>
      <w:r w:rsidR="00E21712" w:rsidRPr="00F52CA3">
        <w:t xml:space="preserve"> </w:t>
      </w:r>
      <w:r w:rsidR="00E344EF" w:rsidRPr="00F52CA3">
        <w:t>further</w:t>
      </w:r>
      <w:r w:rsidR="00E21712" w:rsidRPr="00F52CA3">
        <w:t xml:space="preserve"> </w:t>
      </w:r>
      <w:r w:rsidR="00E344EF" w:rsidRPr="00F52CA3">
        <w:t>review.</w:t>
      </w:r>
      <w:r w:rsidR="00480E69" w:rsidRPr="00F52CA3">
        <w:t xml:space="preserve"> </w:t>
      </w:r>
    </w:p>
    <w:p w14:paraId="3A8BA798" w14:textId="77777777" w:rsidR="00F04351" w:rsidRPr="00F52CA3" w:rsidRDefault="00F04351" w:rsidP="00B054ED">
      <w:pPr>
        <w:pStyle w:val="ListParagraph"/>
        <w:ind w:left="426"/>
      </w:pPr>
    </w:p>
    <w:p w14:paraId="0ECB4ACC" w14:textId="73A602EE" w:rsidR="00370ED0" w:rsidRPr="00F52CA3" w:rsidRDefault="00A2051A" w:rsidP="00636207">
      <w:pPr>
        <w:pStyle w:val="ListParagraph"/>
        <w:numPr>
          <w:ilvl w:val="0"/>
          <w:numId w:val="19"/>
        </w:numPr>
        <w:ind w:left="426"/>
      </w:pPr>
      <w:r w:rsidRPr="00F52CA3">
        <w:t>Despite rich and varied evidence of a range of successful partnership models in ITE, t</w:t>
      </w:r>
      <w:r w:rsidR="00E344EF" w:rsidRPr="00F52CA3">
        <w:t>he</w:t>
      </w:r>
      <w:r w:rsidR="00F04351" w:rsidRPr="00F52CA3">
        <w:t>re is a</w:t>
      </w:r>
      <w:r w:rsidR="00E21712" w:rsidRPr="00F52CA3">
        <w:t xml:space="preserve"> </w:t>
      </w:r>
      <w:r w:rsidR="00831ACF" w:rsidRPr="00F52CA3">
        <w:t>seeming</w:t>
      </w:r>
      <w:r w:rsidR="00E21712" w:rsidRPr="00F52CA3">
        <w:t xml:space="preserve"> </w:t>
      </w:r>
      <w:r w:rsidR="00831ACF" w:rsidRPr="00F52CA3">
        <w:t>lack</w:t>
      </w:r>
      <w:r w:rsidR="00E21712" w:rsidRPr="00F52CA3">
        <w:t xml:space="preserve"> </w:t>
      </w:r>
      <w:r w:rsidR="00831ACF" w:rsidRPr="00F52CA3">
        <w:t>of</w:t>
      </w:r>
      <w:r w:rsidR="00E21712" w:rsidRPr="00F52CA3">
        <w:t xml:space="preserve"> </w:t>
      </w:r>
      <w:r w:rsidR="00831ACF" w:rsidRPr="00F52CA3">
        <w:t>support</w:t>
      </w:r>
      <w:r w:rsidR="00E21712" w:rsidRPr="00F52CA3">
        <w:t xml:space="preserve"> </w:t>
      </w:r>
      <w:r w:rsidR="00831ACF" w:rsidRPr="00F52CA3">
        <w:t>for</w:t>
      </w:r>
      <w:r w:rsidR="00E21712" w:rsidRPr="00F52CA3">
        <w:t xml:space="preserve"> </w:t>
      </w:r>
      <w:r w:rsidR="00E344EF" w:rsidRPr="00F52CA3">
        <w:t>workplace</w:t>
      </w:r>
      <w:r w:rsidR="00E21712" w:rsidRPr="00F52CA3">
        <w:t xml:space="preserve"> </w:t>
      </w:r>
      <w:r w:rsidR="00E344EF" w:rsidRPr="00F52CA3">
        <w:t>learning,</w:t>
      </w:r>
      <w:r w:rsidR="00E21712" w:rsidRPr="00F52CA3">
        <w:t xml:space="preserve"> </w:t>
      </w:r>
      <w:r w:rsidR="00E344EF" w:rsidRPr="00F52CA3">
        <w:t>professional</w:t>
      </w:r>
      <w:r w:rsidR="00E21712" w:rsidRPr="00F52CA3">
        <w:t xml:space="preserve"> </w:t>
      </w:r>
      <w:r w:rsidR="00E344EF" w:rsidRPr="00F52CA3">
        <w:t>experience</w:t>
      </w:r>
      <w:r w:rsidR="00480E69" w:rsidRPr="00F52CA3">
        <w:t>,</w:t>
      </w:r>
      <w:r w:rsidR="00E21712" w:rsidRPr="00F52CA3">
        <w:t xml:space="preserve"> </w:t>
      </w:r>
      <w:r w:rsidR="00E344EF" w:rsidRPr="00F52CA3">
        <w:t>or</w:t>
      </w:r>
      <w:r w:rsidR="00E21712" w:rsidRPr="00F52CA3">
        <w:t xml:space="preserve"> </w:t>
      </w:r>
      <w:r w:rsidR="00831ACF" w:rsidRPr="00F52CA3">
        <w:t>“</w:t>
      </w:r>
      <w:r w:rsidR="00E344EF" w:rsidRPr="00F52CA3">
        <w:t>the</w:t>
      </w:r>
      <w:r w:rsidR="00E21712" w:rsidRPr="00F52CA3">
        <w:t xml:space="preserve"> </w:t>
      </w:r>
      <w:proofErr w:type="spellStart"/>
      <w:r w:rsidR="00E344EF" w:rsidRPr="00F52CA3">
        <w:t>prac</w:t>
      </w:r>
      <w:proofErr w:type="spellEnd"/>
      <w:r w:rsidR="00831ACF" w:rsidRPr="00F52CA3">
        <w:t>”</w:t>
      </w:r>
      <w:r w:rsidR="00E21712" w:rsidRPr="00F52CA3">
        <w:t xml:space="preserve"> </w:t>
      </w:r>
      <w:r w:rsidR="00831ACF" w:rsidRPr="00F52CA3">
        <w:t>by</w:t>
      </w:r>
      <w:r w:rsidR="00E21712" w:rsidRPr="00F52CA3">
        <w:t xml:space="preserve"> </w:t>
      </w:r>
      <w:r w:rsidR="00831ACF" w:rsidRPr="00F52CA3">
        <w:t>way</w:t>
      </w:r>
      <w:r w:rsidR="00E21712" w:rsidRPr="00F52CA3">
        <w:t xml:space="preserve"> </w:t>
      </w:r>
      <w:r w:rsidR="00831ACF" w:rsidRPr="00F52CA3">
        <w:t>of</w:t>
      </w:r>
      <w:r w:rsidR="00E21712" w:rsidRPr="00F52CA3">
        <w:t xml:space="preserve"> </w:t>
      </w:r>
      <w:r w:rsidR="00831ACF" w:rsidRPr="00F52CA3">
        <w:t>funding</w:t>
      </w:r>
      <w:r w:rsidR="00E21712" w:rsidRPr="00F52CA3">
        <w:t xml:space="preserve"> </w:t>
      </w:r>
      <w:r w:rsidR="00831ACF" w:rsidRPr="00F52CA3">
        <w:t>and</w:t>
      </w:r>
      <w:r w:rsidR="00E21712" w:rsidRPr="00F52CA3">
        <w:t xml:space="preserve"> </w:t>
      </w:r>
      <w:r w:rsidR="00831ACF" w:rsidRPr="00F52CA3">
        <w:t>support</w:t>
      </w:r>
      <w:r w:rsidR="00E21712" w:rsidRPr="00F52CA3">
        <w:t xml:space="preserve"> </w:t>
      </w:r>
      <w:r w:rsidR="00831ACF" w:rsidRPr="00F52CA3">
        <w:t>from</w:t>
      </w:r>
      <w:r w:rsidR="00E21712" w:rsidRPr="00F52CA3">
        <w:t xml:space="preserve"> </w:t>
      </w:r>
      <w:r w:rsidR="00351BE2" w:rsidRPr="00F52CA3">
        <w:t xml:space="preserve">government </w:t>
      </w:r>
      <w:r w:rsidRPr="00F52CA3">
        <w:t>and</w:t>
      </w:r>
      <w:r w:rsidR="00351BE2" w:rsidRPr="00F52CA3">
        <w:t xml:space="preserve"> </w:t>
      </w:r>
      <w:r w:rsidR="00831ACF" w:rsidRPr="00F52CA3">
        <w:t>the</w:t>
      </w:r>
      <w:r w:rsidR="00E21712" w:rsidRPr="00F52CA3">
        <w:t xml:space="preserve"> </w:t>
      </w:r>
      <w:r w:rsidR="00831ACF" w:rsidRPr="00F52CA3">
        <w:t>profession</w:t>
      </w:r>
      <w:r w:rsidRPr="00F52CA3">
        <w:t xml:space="preserve">. </w:t>
      </w:r>
      <w:r w:rsidR="00E1176A" w:rsidRPr="00F52CA3">
        <w:t>There is no doubt that scho</w:t>
      </w:r>
      <w:r w:rsidR="00370ED0" w:rsidRPr="00F52CA3">
        <w:t>o</w:t>
      </w:r>
      <w:r w:rsidR="00E1176A" w:rsidRPr="00F52CA3">
        <w:t>l-university partnership work is at the heart of successful ITE prog</w:t>
      </w:r>
      <w:r w:rsidR="008873A2">
        <w:t>r</w:t>
      </w:r>
      <w:r w:rsidR="00E1176A" w:rsidRPr="00F52CA3">
        <w:t xml:space="preserve">ams. However, current models, </w:t>
      </w:r>
      <w:r w:rsidR="00E1176A" w:rsidRPr="00F52CA3">
        <w:lastRenderedPageBreak/>
        <w:t>on their own, are fraught with issues such as</w:t>
      </w:r>
      <w:r w:rsidR="00636207" w:rsidRPr="00F52CA3">
        <w:t xml:space="preserve"> b</w:t>
      </w:r>
      <w:r w:rsidR="00E1176A" w:rsidRPr="00F52CA3">
        <w:t>inary thinking regarding theoretical and practical aspects of teacher formation</w:t>
      </w:r>
      <w:r w:rsidR="00636207" w:rsidRPr="00F52CA3">
        <w:t>,</w:t>
      </w:r>
      <w:r w:rsidR="00E1176A" w:rsidRPr="00F52CA3">
        <w:t xml:space="preserve"> when in fact </w:t>
      </w:r>
      <w:r w:rsidR="00E1176A" w:rsidRPr="00F52CA3">
        <w:rPr>
          <w:lang w:val="en-US"/>
        </w:rPr>
        <w:t>universities and schools are both significant</w:t>
      </w:r>
      <w:r w:rsidR="00636207" w:rsidRPr="00F52CA3">
        <w:rPr>
          <w:lang w:val="en-US"/>
        </w:rPr>
        <w:t xml:space="preserve"> in</w:t>
      </w:r>
      <w:r w:rsidR="00E1176A" w:rsidRPr="00F52CA3">
        <w:rPr>
          <w:lang w:val="en-US"/>
        </w:rPr>
        <w:t xml:space="preserve"> providing different but complementary experiences </w:t>
      </w:r>
      <w:r w:rsidR="00370ED0" w:rsidRPr="00F52CA3">
        <w:rPr>
          <w:lang w:val="en-US"/>
        </w:rPr>
        <w:t>(Loughran &amp; Hamilton, 2016)</w:t>
      </w:r>
      <w:r w:rsidR="00636207" w:rsidRPr="00F52CA3">
        <w:rPr>
          <w:lang w:val="en-US"/>
        </w:rPr>
        <w:t>.</w:t>
      </w:r>
    </w:p>
    <w:p w14:paraId="20106D86" w14:textId="77777777" w:rsidR="00295661" w:rsidRPr="00F52CA3" w:rsidRDefault="00295661" w:rsidP="00B054ED">
      <w:pPr>
        <w:pStyle w:val="ListParagraph"/>
        <w:ind w:left="993"/>
      </w:pPr>
    </w:p>
    <w:p w14:paraId="5B615709" w14:textId="7D67ED61" w:rsidR="00E1176A" w:rsidRPr="00F52CA3" w:rsidRDefault="00370ED0" w:rsidP="00B054ED">
      <w:pPr>
        <w:pStyle w:val="ListParagraph"/>
        <w:numPr>
          <w:ilvl w:val="0"/>
          <w:numId w:val="19"/>
        </w:numPr>
        <w:ind w:left="426"/>
      </w:pPr>
      <w:r w:rsidRPr="00F52CA3">
        <w:t xml:space="preserve">There is an over-reliance on supervised, assessed practicum to provide </w:t>
      </w:r>
      <w:r w:rsidR="00981A1F" w:rsidRPr="00F52CA3">
        <w:t>a</w:t>
      </w:r>
      <w:r w:rsidRPr="00F52CA3">
        <w:t xml:space="preserve"> full practical </w:t>
      </w:r>
      <w:r w:rsidR="00295661" w:rsidRPr="00F52CA3">
        <w:t xml:space="preserve">experience and </w:t>
      </w:r>
      <w:r w:rsidR="00981A1F" w:rsidRPr="00F52CA3">
        <w:t>understa</w:t>
      </w:r>
      <w:r w:rsidR="00295661" w:rsidRPr="00F52CA3">
        <w:t>n</w:t>
      </w:r>
      <w:r w:rsidR="00981A1F" w:rsidRPr="00F52CA3">
        <w:t>ding of the profession</w:t>
      </w:r>
      <w:r w:rsidRPr="00F52CA3">
        <w:t xml:space="preserve"> in ITE</w:t>
      </w:r>
      <w:r w:rsidR="00981A1F" w:rsidRPr="00F52CA3">
        <w:t xml:space="preserve"> structures</w:t>
      </w:r>
      <w:r w:rsidRPr="00F52CA3">
        <w:t>. This is extremely limiting because practicum:</w:t>
      </w:r>
    </w:p>
    <w:p w14:paraId="0CB1E199" w14:textId="3286DD87" w:rsidR="00370ED0" w:rsidRPr="00F52CA3" w:rsidRDefault="00370ED0" w:rsidP="00B054ED">
      <w:pPr>
        <w:numPr>
          <w:ilvl w:val="0"/>
          <w:numId w:val="32"/>
        </w:numPr>
      </w:pPr>
      <w:r w:rsidRPr="00F52CA3">
        <w:rPr>
          <w:lang w:val="en-US"/>
        </w:rPr>
        <w:t xml:space="preserve">is often </w:t>
      </w:r>
      <w:r w:rsidRPr="00137246">
        <w:rPr>
          <w:lang w:val="en-US"/>
        </w:rPr>
        <w:t>completed in isolation from university peers and teacher educators, thus</w:t>
      </w:r>
      <w:r w:rsidR="00432EB1" w:rsidRPr="00137246">
        <w:rPr>
          <w:lang w:val="en-US"/>
        </w:rPr>
        <w:t xml:space="preserve"> pre-service teachers</w:t>
      </w:r>
      <w:r w:rsidRPr="00137246">
        <w:rPr>
          <w:lang w:val="en-US"/>
        </w:rPr>
        <w:t xml:space="preserve"> </w:t>
      </w:r>
      <w:r w:rsidR="00432EB1" w:rsidRPr="00137246">
        <w:rPr>
          <w:lang w:val="en-US"/>
        </w:rPr>
        <w:t>(</w:t>
      </w:r>
      <w:r w:rsidRPr="00137246">
        <w:rPr>
          <w:lang w:val="en-US"/>
        </w:rPr>
        <w:t>PSTs</w:t>
      </w:r>
      <w:r w:rsidR="00432EB1" w:rsidRPr="00137246">
        <w:rPr>
          <w:lang w:val="en-US"/>
        </w:rPr>
        <w:t>)</w:t>
      </w:r>
      <w:r w:rsidRPr="00137246">
        <w:rPr>
          <w:lang w:val="en-US"/>
        </w:rPr>
        <w:t xml:space="preserve"> uncritically adopt the prevailing culture and pedagogies of the school/classroom teacher, </w:t>
      </w:r>
      <w:r w:rsidR="00432EB1" w:rsidRPr="00137246">
        <w:rPr>
          <w:lang w:val="en-US"/>
        </w:rPr>
        <w:t>whether</w:t>
      </w:r>
      <w:r w:rsidRPr="00137246">
        <w:rPr>
          <w:lang w:val="en-US"/>
        </w:rPr>
        <w:t xml:space="preserve"> good</w:t>
      </w:r>
      <w:r w:rsidRPr="00F52CA3">
        <w:rPr>
          <w:lang w:val="en-US"/>
        </w:rPr>
        <w:t xml:space="preserve"> or bad </w:t>
      </w:r>
    </w:p>
    <w:p w14:paraId="3381B23C" w14:textId="077E547F" w:rsidR="00370ED0" w:rsidRPr="00F52CA3" w:rsidRDefault="00370ED0" w:rsidP="00B054ED">
      <w:pPr>
        <w:numPr>
          <w:ilvl w:val="0"/>
          <w:numId w:val="32"/>
        </w:numPr>
      </w:pPr>
      <w:r w:rsidRPr="00F52CA3">
        <w:rPr>
          <w:lang w:val="en-US"/>
        </w:rPr>
        <w:t>often occurs after a block of university course work, without peers/expert facilitators making it difficult for discipline-based activities to be embedded in authentic settings; and theory-linked reflection and discussion within a community of practice</w:t>
      </w:r>
      <w:r w:rsidR="00981A1F" w:rsidRPr="00F52CA3">
        <w:rPr>
          <w:lang w:val="en-US"/>
        </w:rPr>
        <w:t xml:space="preserve"> essential for processing experiences and understanding how, why</w:t>
      </w:r>
      <w:r w:rsidR="000F7B67" w:rsidRPr="00F52CA3">
        <w:rPr>
          <w:lang w:val="en-US"/>
        </w:rPr>
        <w:t>,</w:t>
      </w:r>
      <w:r w:rsidR="00981A1F" w:rsidRPr="00F52CA3">
        <w:rPr>
          <w:lang w:val="en-US"/>
        </w:rPr>
        <w:t xml:space="preserve"> and when to act (Grossman,</w:t>
      </w:r>
      <w:r w:rsidR="00295661" w:rsidRPr="00F52CA3">
        <w:rPr>
          <w:lang w:val="en-US"/>
        </w:rPr>
        <w:t xml:space="preserve"> </w:t>
      </w:r>
      <w:proofErr w:type="spellStart"/>
      <w:r w:rsidR="00295661" w:rsidRPr="00F52CA3">
        <w:rPr>
          <w:lang w:val="en-US"/>
        </w:rPr>
        <w:t>Hammerness</w:t>
      </w:r>
      <w:proofErr w:type="spellEnd"/>
      <w:r w:rsidR="00295661" w:rsidRPr="00F52CA3">
        <w:rPr>
          <w:lang w:val="en-US"/>
        </w:rPr>
        <w:t>, &amp; McDonald, 2009</w:t>
      </w:r>
      <w:r w:rsidR="00981A1F" w:rsidRPr="00F52CA3">
        <w:rPr>
          <w:lang w:val="en-US"/>
        </w:rPr>
        <w:t>; Loughran, 2014)</w:t>
      </w:r>
      <w:r w:rsidRPr="00F52CA3">
        <w:rPr>
          <w:lang w:val="en-US"/>
        </w:rPr>
        <w:t xml:space="preserve">. </w:t>
      </w:r>
    </w:p>
    <w:p w14:paraId="710EB4D3" w14:textId="35E151B3" w:rsidR="00370ED0" w:rsidRPr="00F52CA3" w:rsidRDefault="00370ED0" w:rsidP="00B054ED">
      <w:pPr>
        <w:numPr>
          <w:ilvl w:val="0"/>
          <w:numId w:val="32"/>
        </w:numPr>
        <w:rPr>
          <w:lang w:val="en-US"/>
        </w:rPr>
      </w:pPr>
      <w:r w:rsidRPr="00F52CA3">
        <w:rPr>
          <w:lang w:val="en-US"/>
        </w:rPr>
        <w:t xml:space="preserve">provides limited exposure to the full range of curriculum areas especially in areas such as Science, STEM, and </w:t>
      </w:r>
      <w:r w:rsidR="00432EB1" w:rsidRPr="00F52CA3">
        <w:rPr>
          <w:lang w:val="en-US"/>
        </w:rPr>
        <w:t>P</w:t>
      </w:r>
      <w:r w:rsidRPr="00F52CA3">
        <w:rPr>
          <w:lang w:val="en-US"/>
        </w:rPr>
        <w:t xml:space="preserve">erforming </w:t>
      </w:r>
      <w:r w:rsidR="00432EB1" w:rsidRPr="00F52CA3">
        <w:rPr>
          <w:lang w:val="en-US"/>
        </w:rPr>
        <w:t>A</w:t>
      </w:r>
      <w:r w:rsidRPr="00F52CA3">
        <w:rPr>
          <w:lang w:val="en-US"/>
        </w:rPr>
        <w:t>rts, or where specialist teachers take the class (</w:t>
      </w:r>
      <w:proofErr w:type="spellStart"/>
      <w:r w:rsidR="00432EB1" w:rsidRPr="00F52CA3">
        <w:rPr>
          <w:lang w:val="en-US"/>
        </w:rPr>
        <w:t>e.g</w:t>
      </w:r>
      <w:proofErr w:type="spellEnd"/>
      <w:r w:rsidR="00432EB1" w:rsidRPr="00F52CA3">
        <w:rPr>
          <w:lang w:val="en-US"/>
        </w:rPr>
        <w:t xml:space="preserve"> </w:t>
      </w:r>
      <w:r w:rsidRPr="00F52CA3">
        <w:rPr>
          <w:lang w:val="en-US"/>
        </w:rPr>
        <w:t>PE/Art)</w:t>
      </w:r>
    </w:p>
    <w:p w14:paraId="21A35F64" w14:textId="32F33231" w:rsidR="00370ED0" w:rsidRPr="00F52CA3" w:rsidRDefault="00370ED0" w:rsidP="00370ED0">
      <w:pPr>
        <w:numPr>
          <w:ilvl w:val="0"/>
          <w:numId w:val="32"/>
        </w:numPr>
        <w:tabs>
          <w:tab w:val="num" w:pos="720"/>
        </w:tabs>
        <w:rPr>
          <w:lang w:val="en-US"/>
        </w:rPr>
      </w:pPr>
      <w:r w:rsidRPr="00F52CA3">
        <w:rPr>
          <w:lang w:val="en-US"/>
        </w:rPr>
        <w:t xml:space="preserve">undermines the importance for PSTs to engage in experimentation with their own practice “in situations in which judgement and assessment are </w:t>
      </w:r>
      <w:proofErr w:type="spellStart"/>
      <w:r w:rsidRPr="00F52CA3">
        <w:rPr>
          <w:lang w:val="en-US"/>
        </w:rPr>
        <w:t>minimised</w:t>
      </w:r>
      <w:proofErr w:type="spellEnd"/>
      <w:r w:rsidRPr="00F52CA3">
        <w:rPr>
          <w:lang w:val="en-US"/>
        </w:rPr>
        <w:t xml:space="preserve"> in order to encourage risk taking so that strong personal learning might be experienced” (Loughran, 2016)</w:t>
      </w:r>
    </w:p>
    <w:p w14:paraId="552A625B" w14:textId="7AD2CABA" w:rsidR="00370ED0" w:rsidRPr="00F52CA3" w:rsidRDefault="00370ED0" w:rsidP="00370ED0">
      <w:pPr>
        <w:numPr>
          <w:ilvl w:val="0"/>
          <w:numId w:val="32"/>
        </w:numPr>
        <w:tabs>
          <w:tab w:val="num" w:pos="720"/>
        </w:tabs>
        <w:rPr>
          <w:lang w:val="en-US"/>
        </w:rPr>
      </w:pPr>
      <w:r w:rsidRPr="00F52CA3">
        <w:rPr>
          <w:lang w:val="en-US"/>
        </w:rPr>
        <w:t>focuses on the learning of PSTs rather than students, which is contrary to findings that the most effective forms of partnerships occur when they focus on the learning of children rather than that of PSTs (Kruger et al., 2009).</w:t>
      </w:r>
    </w:p>
    <w:p w14:paraId="353D42CB" w14:textId="77777777" w:rsidR="00636207" w:rsidRPr="00F52CA3" w:rsidRDefault="00636207" w:rsidP="00B054ED">
      <w:pPr>
        <w:ind w:left="360"/>
        <w:rPr>
          <w:lang w:val="en-US"/>
        </w:rPr>
      </w:pPr>
    </w:p>
    <w:p w14:paraId="318E2F18" w14:textId="2748F720" w:rsidR="00F04351" w:rsidRPr="00F52CA3" w:rsidRDefault="00370ED0" w:rsidP="00B054ED">
      <w:pPr>
        <w:ind w:left="360"/>
        <w:rPr>
          <w:lang w:val="en-US"/>
        </w:rPr>
      </w:pPr>
      <w:r w:rsidRPr="00F52CA3">
        <w:rPr>
          <w:lang w:val="en-US"/>
        </w:rPr>
        <w:t>In addition, assessed supervision of practicum requires significant time and effort from classroom teachers. The lack of support for more meaningful, extended experiences in schools</w:t>
      </w:r>
      <w:r w:rsidR="00432EB1" w:rsidRPr="00F52CA3">
        <w:rPr>
          <w:lang w:val="en-US"/>
        </w:rPr>
        <w:t>,</w:t>
      </w:r>
      <w:r w:rsidR="00981A1F" w:rsidRPr="00F52CA3">
        <w:rPr>
          <w:lang w:val="en-US"/>
        </w:rPr>
        <w:t xml:space="preserve"> </w:t>
      </w:r>
      <w:r w:rsidR="00295661" w:rsidRPr="00F52CA3">
        <w:rPr>
          <w:lang w:val="en-US"/>
        </w:rPr>
        <w:t xml:space="preserve">that reduce pressure on classroom teachers </w:t>
      </w:r>
      <w:r w:rsidR="00981A1F" w:rsidRPr="00F52CA3">
        <w:rPr>
          <w:lang w:val="en-US"/>
        </w:rPr>
        <w:t>under current prevailing practicum models</w:t>
      </w:r>
      <w:r w:rsidR="00432EB1" w:rsidRPr="00F52CA3">
        <w:rPr>
          <w:lang w:val="en-US"/>
        </w:rPr>
        <w:t>,</w:t>
      </w:r>
      <w:r w:rsidRPr="00F52CA3">
        <w:rPr>
          <w:lang w:val="en-US"/>
        </w:rPr>
        <w:t xml:space="preserve"> limits the capacity for ITE providers to sustain quality models of learning to teach in the field.</w:t>
      </w:r>
    </w:p>
    <w:p w14:paraId="0CDA0632" w14:textId="77777777" w:rsidR="00370ED0" w:rsidRPr="00F52CA3" w:rsidRDefault="00370ED0" w:rsidP="00370ED0"/>
    <w:p w14:paraId="0771375F" w14:textId="4FC605A1" w:rsidR="004C6CEF" w:rsidRPr="00F52CA3" w:rsidRDefault="004C6CEF" w:rsidP="004C6CEF">
      <w:pPr>
        <w:pStyle w:val="ListParagraph"/>
        <w:numPr>
          <w:ilvl w:val="0"/>
          <w:numId w:val="19"/>
        </w:numPr>
        <w:ind w:left="284"/>
      </w:pPr>
      <w:r w:rsidRPr="00F52CA3">
        <w:t xml:space="preserve">The nature of teaching has always been embedded in a moral purpose with a focus on developing the human potential of all students through professional engagement and community capacity building, knowledge production, and the facilitation of attitudes, dispositions and capabilities that reflect the core values of this diverse nation, citizenship and preparation for an uncertain future. In recent times, regulation and commodification of education has reshaped the teaching community away from its professional status towards a bureaucratised conglomerate, dictated to by powerful non educational experts whose purposes are at odds with the core moral purpose of education. </w:t>
      </w:r>
      <w:r w:rsidR="00432EB1" w:rsidRPr="00F52CA3">
        <w:t>S</w:t>
      </w:r>
      <w:r w:rsidRPr="00F52CA3">
        <w:t xml:space="preserve">uch directives are strongly aligned with schooling outcomes and international competitiveness. </w:t>
      </w:r>
    </w:p>
    <w:p w14:paraId="2C421E0D" w14:textId="77777777" w:rsidR="004C6CEF" w:rsidRPr="00F52CA3" w:rsidRDefault="004C6CEF" w:rsidP="004C6CEF">
      <w:pPr>
        <w:pStyle w:val="ListParagraph"/>
      </w:pPr>
    </w:p>
    <w:p w14:paraId="28DA1CB9" w14:textId="55398B3E" w:rsidR="00C811C2" w:rsidRPr="00F52CA3" w:rsidRDefault="00F04351" w:rsidP="004C6CEF">
      <w:pPr>
        <w:pStyle w:val="ListParagraph"/>
        <w:numPr>
          <w:ilvl w:val="0"/>
          <w:numId w:val="19"/>
        </w:numPr>
        <w:ind w:left="284"/>
      </w:pPr>
      <w:r w:rsidRPr="00F52CA3">
        <w:t xml:space="preserve">The overemphasis on regulation and prolonged and expensive processes of accreditation through multiple authorities leads to the detriment of academic integrity, professional </w:t>
      </w:r>
      <w:proofErr w:type="gramStart"/>
      <w:r w:rsidRPr="00F52CA3">
        <w:t>autonomy</w:t>
      </w:r>
      <w:proofErr w:type="gramEnd"/>
      <w:r w:rsidRPr="00F52CA3">
        <w:t xml:space="preserve"> and an opportunity for teacher education to be authentically shaped by the profession. Whilst accreditation standards are accepted and welcomed as a given, the process of accreditation urgently requires review</w:t>
      </w:r>
      <w:r w:rsidR="00295661" w:rsidRPr="00F52CA3">
        <w:t xml:space="preserve"> (e.g., see Bourke, 2019)</w:t>
      </w:r>
      <w:r w:rsidR="004C6CEF" w:rsidRPr="00F52CA3">
        <w:t>. Moreover, t</w:t>
      </w:r>
      <w:r w:rsidR="005976B0" w:rsidRPr="00F52CA3">
        <w:t>he</w:t>
      </w:r>
      <w:r w:rsidR="00E21712" w:rsidRPr="00F52CA3">
        <w:t xml:space="preserve"> </w:t>
      </w:r>
      <w:r w:rsidR="005976B0" w:rsidRPr="00F52CA3">
        <w:t>necessity</w:t>
      </w:r>
      <w:r w:rsidR="00E21712" w:rsidRPr="00F52CA3">
        <w:t xml:space="preserve"> </w:t>
      </w:r>
      <w:r w:rsidR="005976B0" w:rsidRPr="00F52CA3">
        <w:t>to</w:t>
      </w:r>
      <w:r w:rsidR="00E21712" w:rsidRPr="00F52CA3">
        <w:t xml:space="preserve"> </w:t>
      </w:r>
      <w:r w:rsidR="005976B0" w:rsidRPr="00F52CA3">
        <w:t>regulate</w:t>
      </w:r>
      <w:r w:rsidR="00E21712" w:rsidRPr="00F52CA3">
        <w:t xml:space="preserve"> </w:t>
      </w:r>
      <w:r w:rsidR="005976B0" w:rsidRPr="00F52CA3">
        <w:t>teacher</w:t>
      </w:r>
      <w:r w:rsidR="00E21712" w:rsidRPr="00F52CA3">
        <w:t xml:space="preserve"> </w:t>
      </w:r>
      <w:r w:rsidR="005976B0" w:rsidRPr="00F52CA3">
        <w:t>preparation</w:t>
      </w:r>
      <w:r w:rsidR="00E21712" w:rsidRPr="00F52CA3">
        <w:t xml:space="preserve"> </w:t>
      </w:r>
      <w:r w:rsidR="005976B0" w:rsidRPr="00F52CA3">
        <w:t>in</w:t>
      </w:r>
      <w:r w:rsidR="00E21712" w:rsidRPr="00F52CA3">
        <w:t xml:space="preserve"> </w:t>
      </w:r>
      <w:r w:rsidR="005976B0" w:rsidRPr="00F52CA3">
        <w:t>school</w:t>
      </w:r>
      <w:r w:rsidR="00E21712" w:rsidRPr="00F52CA3">
        <w:t xml:space="preserve"> </w:t>
      </w:r>
      <w:r w:rsidR="005976B0" w:rsidRPr="00F52CA3">
        <w:t>settings</w:t>
      </w:r>
      <w:r w:rsidR="00E21712" w:rsidRPr="00F52CA3">
        <w:t xml:space="preserve"> </w:t>
      </w:r>
      <w:r w:rsidR="005976B0" w:rsidRPr="00F52CA3">
        <w:t>reduces</w:t>
      </w:r>
      <w:r w:rsidR="00E21712" w:rsidRPr="00F52CA3">
        <w:t xml:space="preserve"> </w:t>
      </w:r>
      <w:r w:rsidR="005976B0" w:rsidRPr="00F52CA3">
        <w:t>the</w:t>
      </w:r>
      <w:r w:rsidR="00E21712" w:rsidRPr="00F52CA3">
        <w:t xml:space="preserve"> </w:t>
      </w:r>
      <w:r w:rsidR="005976B0" w:rsidRPr="00F52CA3">
        <w:t>complexity</w:t>
      </w:r>
      <w:r w:rsidR="00E21712" w:rsidRPr="00F52CA3">
        <w:t xml:space="preserve"> </w:t>
      </w:r>
      <w:r w:rsidR="005976B0" w:rsidRPr="00F52CA3">
        <w:t>of</w:t>
      </w:r>
      <w:r w:rsidR="00E21712" w:rsidRPr="00F52CA3">
        <w:t xml:space="preserve"> </w:t>
      </w:r>
      <w:r w:rsidR="005976B0" w:rsidRPr="00F52CA3">
        <w:t>co-generative</w:t>
      </w:r>
      <w:r w:rsidR="00E21712" w:rsidRPr="00F52CA3">
        <w:t xml:space="preserve"> </w:t>
      </w:r>
      <w:r w:rsidR="005976B0" w:rsidRPr="00F52CA3">
        <w:t>models</w:t>
      </w:r>
      <w:r w:rsidR="00E21712" w:rsidRPr="00F52CA3">
        <w:t xml:space="preserve"> </w:t>
      </w:r>
      <w:r w:rsidR="005976B0" w:rsidRPr="00F52CA3">
        <w:t>of</w:t>
      </w:r>
      <w:r w:rsidR="00E21712" w:rsidRPr="00F52CA3">
        <w:t xml:space="preserve"> </w:t>
      </w:r>
      <w:r w:rsidR="005976B0" w:rsidRPr="00F52CA3">
        <w:t>teacher</w:t>
      </w:r>
      <w:r w:rsidR="00E21712" w:rsidRPr="00F52CA3">
        <w:t xml:space="preserve"> </w:t>
      </w:r>
      <w:r w:rsidR="005976B0" w:rsidRPr="00F52CA3">
        <w:t>preparation</w:t>
      </w:r>
      <w:r w:rsidR="00E21712" w:rsidRPr="00F52CA3">
        <w:t xml:space="preserve"> </w:t>
      </w:r>
      <w:r w:rsidR="005976B0" w:rsidRPr="00F52CA3">
        <w:t>throughout</w:t>
      </w:r>
      <w:r w:rsidR="00E21712" w:rsidRPr="00F52CA3">
        <w:t xml:space="preserve"> </w:t>
      </w:r>
      <w:r w:rsidR="005976B0" w:rsidRPr="00F52CA3">
        <w:t>the</w:t>
      </w:r>
      <w:r w:rsidR="00E21712" w:rsidRPr="00F52CA3">
        <w:t xml:space="preserve"> </w:t>
      </w:r>
      <w:r w:rsidR="005976B0" w:rsidRPr="00F52CA3">
        <w:t>phases</w:t>
      </w:r>
      <w:r w:rsidR="00E21712" w:rsidRPr="00F52CA3">
        <w:t xml:space="preserve"> </w:t>
      </w:r>
      <w:r w:rsidR="005976B0" w:rsidRPr="00F52CA3">
        <w:t>of</w:t>
      </w:r>
      <w:r w:rsidR="00E21712" w:rsidRPr="00F52CA3">
        <w:t xml:space="preserve"> </w:t>
      </w:r>
      <w:r w:rsidR="005976B0" w:rsidRPr="00F52CA3">
        <w:t>teacher</w:t>
      </w:r>
      <w:r w:rsidR="00E21712" w:rsidRPr="00F52CA3">
        <w:t xml:space="preserve"> </w:t>
      </w:r>
      <w:r w:rsidR="00002B6F" w:rsidRPr="00F52CA3">
        <w:t>preparation</w:t>
      </w:r>
      <w:r w:rsidR="00E21712" w:rsidRPr="00F52CA3">
        <w:t xml:space="preserve"> </w:t>
      </w:r>
      <w:r w:rsidR="00002B6F" w:rsidRPr="00F52CA3">
        <w:t>(</w:t>
      </w:r>
      <w:r w:rsidR="005976B0" w:rsidRPr="00F52CA3">
        <w:t>including</w:t>
      </w:r>
      <w:r w:rsidR="00E21712" w:rsidRPr="00F52CA3">
        <w:t xml:space="preserve"> </w:t>
      </w:r>
      <w:r w:rsidR="005976B0" w:rsidRPr="00F52CA3">
        <w:t>preservice</w:t>
      </w:r>
      <w:r w:rsidR="00E21712" w:rsidRPr="00F52CA3">
        <w:t xml:space="preserve"> </w:t>
      </w:r>
      <w:r w:rsidR="005976B0" w:rsidRPr="00F52CA3">
        <w:t>teaching,</w:t>
      </w:r>
      <w:r w:rsidR="00E21712" w:rsidRPr="00F52CA3">
        <w:t xml:space="preserve"> </w:t>
      </w:r>
      <w:r w:rsidR="005976B0" w:rsidRPr="00F52CA3">
        <w:t>induction</w:t>
      </w:r>
      <w:r w:rsidR="00480E69" w:rsidRPr="00F52CA3">
        <w:t>,</w:t>
      </w:r>
      <w:r w:rsidR="00E21712" w:rsidRPr="00F52CA3">
        <w:t xml:space="preserve"> </w:t>
      </w:r>
      <w:r w:rsidR="005976B0" w:rsidRPr="00F52CA3">
        <w:t>and</w:t>
      </w:r>
      <w:r w:rsidR="00E21712" w:rsidRPr="00F52CA3">
        <w:t xml:space="preserve"> </w:t>
      </w:r>
      <w:r w:rsidR="005976B0" w:rsidRPr="00F52CA3">
        <w:t>transition</w:t>
      </w:r>
      <w:r w:rsidR="00E21712" w:rsidRPr="00F52CA3">
        <w:t xml:space="preserve"> </w:t>
      </w:r>
      <w:r w:rsidR="005976B0" w:rsidRPr="00F52CA3">
        <w:t>into</w:t>
      </w:r>
      <w:r w:rsidR="00E21712" w:rsidRPr="00F52CA3">
        <w:t xml:space="preserve"> </w:t>
      </w:r>
      <w:r w:rsidR="005976B0" w:rsidRPr="00F52CA3">
        <w:t>professional</w:t>
      </w:r>
      <w:r w:rsidR="00E21712" w:rsidRPr="00F52CA3">
        <w:t xml:space="preserve"> </w:t>
      </w:r>
      <w:r w:rsidR="005976B0" w:rsidRPr="00F52CA3">
        <w:t>teacher</w:t>
      </w:r>
      <w:r w:rsidR="00E21712" w:rsidRPr="00F52CA3">
        <w:t xml:space="preserve"> </w:t>
      </w:r>
      <w:r w:rsidR="005976B0" w:rsidRPr="00F52CA3">
        <w:t>status</w:t>
      </w:r>
      <w:r w:rsidR="00002B6F" w:rsidRPr="00F52CA3">
        <w:t>)</w:t>
      </w:r>
      <w:r w:rsidR="005976B0" w:rsidRPr="00F52CA3">
        <w:t>.</w:t>
      </w:r>
      <w:r w:rsidR="00E21712" w:rsidRPr="00F52CA3">
        <w:t xml:space="preserve"> </w:t>
      </w:r>
      <w:r w:rsidR="005976B0" w:rsidRPr="00F52CA3">
        <w:t>Further</w:t>
      </w:r>
      <w:r w:rsidR="00002B6F" w:rsidRPr="00F52CA3">
        <w:t>,</w:t>
      </w:r>
      <w:r w:rsidR="00E21712" w:rsidRPr="00F52CA3">
        <w:t xml:space="preserve"> </w:t>
      </w:r>
      <w:r w:rsidR="00002B6F" w:rsidRPr="00F52CA3">
        <w:t>the</w:t>
      </w:r>
      <w:r w:rsidR="00E21712" w:rsidRPr="00F52CA3">
        <w:t xml:space="preserve"> </w:t>
      </w:r>
      <w:r w:rsidR="00002B6F" w:rsidRPr="00F52CA3">
        <w:t>abundance</w:t>
      </w:r>
      <w:r w:rsidR="00E21712" w:rsidRPr="00F52CA3">
        <w:t xml:space="preserve"> </w:t>
      </w:r>
      <w:r w:rsidR="00002B6F" w:rsidRPr="00F52CA3">
        <w:t>of</w:t>
      </w:r>
      <w:r w:rsidR="00E21712" w:rsidRPr="00F52CA3">
        <w:t xml:space="preserve"> </w:t>
      </w:r>
      <w:r w:rsidR="00002B6F" w:rsidRPr="00F52CA3">
        <w:t>regulation</w:t>
      </w:r>
      <w:r w:rsidR="00E21712" w:rsidRPr="00F52CA3">
        <w:t xml:space="preserve"> </w:t>
      </w:r>
      <w:r w:rsidR="005976B0" w:rsidRPr="00F52CA3">
        <w:t>stifles</w:t>
      </w:r>
      <w:r w:rsidR="00E21712" w:rsidRPr="00F52CA3">
        <w:t xml:space="preserve"> </w:t>
      </w:r>
      <w:r w:rsidR="005976B0" w:rsidRPr="00F52CA3">
        <w:t>innovative</w:t>
      </w:r>
      <w:r w:rsidR="00E21712" w:rsidRPr="00F52CA3">
        <w:t xml:space="preserve"> </w:t>
      </w:r>
      <w:r w:rsidR="005976B0" w:rsidRPr="00F52CA3">
        <w:t>and</w:t>
      </w:r>
      <w:r w:rsidR="00E21712" w:rsidRPr="00F52CA3">
        <w:t xml:space="preserve"> </w:t>
      </w:r>
      <w:r w:rsidR="005976B0" w:rsidRPr="00F52CA3">
        <w:t>flexible</w:t>
      </w:r>
      <w:r w:rsidR="00E21712" w:rsidRPr="00F52CA3">
        <w:t xml:space="preserve"> </w:t>
      </w:r>
      <w:r w:rsidR="005976B0" w:rsidRPr="00F52CA3">
        <w:t>models</w:t>
      </w:r>
      <w:r w:rsidR="00E21712" w:rsidRPr="00F52CA3">
        <w:t xml:space="preserve"> </w:t>
      </w:r>
      <w:r w:rsidR="005976B0" w:rsidRPr="00F52CA3">
        <w:t>of</w:t>
      </w:r>
      <w:r w:rsidR="00E21712" w:rsidRPr="00F52CA3">
        <w:t xml:space="preserve"> </w:t>
      </w:r>
      <w:r w:rsidR="005976B0" w:rsidRPr="00F52CA3">
        <w:t>co-generative</w:t>
      </w:r>
      <w:r w:rsidR="00E21712" w:rsidRPr="00F52CA3">
        <w:t xml:space="preserve"> </w:t>
      </w:r>
      <w:r w:rsidR="005976B0" w:rsidRPr="00F52CA3">
        <w:t>development</w:t>
      </w:r>
      <w:r w:rsidR="00E21712" w:rsidRPr="00F52CA3">
        <w:t xml:space="preserve"> </w:t>
      </w:r>
      <w:r w:rsidR="005976B0" w:rsidRPr="00F52CA3">
        <w:t>of</w:t>
      </w:r>
      <w:r w:rsidR="00E21712" w:rsidRPr="00F52CA3">
        <w:t xml:space="preserve"> </w:t>
      </w:r>
      <w:r w:rsidR="005976B0" w:rsidRPr="00F52CA3">
        <w:t>early</w:t>
      </w:r>
      <w:r w:rsidR="00E21712" w:rsidRPr="00F52CA3">
        <w:t xml:space="preserve"> </w:t>
      </w:r>
      <w:r w:rsidR="005976B0" w:rsidRPr="00F52CA3">
        <w:t>career</w:t>
      </w:r>
      <w:r w:rsidR="00E21712" w:rsidRPr="00F52CA3">
        <w:t xml:space="preserve"> </w:t>
      </w:r>
      <w:r w:rsidR="005976B0" w:rsidRPr="00F52CA3">
        <w:t>teachers</w:t>
      </w:r>
      <w:r w:rsidR="00C811C2" w:rsidRPr="00F52CA3">
        <w:t>,</w:t>
      </w:r>
      <w:r w:rsidR="00E21712" w:rsidRPr="00F52CA3">
        <w:t xml:space="preserve"> </w:t>
      </w:r>
      <w:r w:rsidR="00C811C2" w:rsidRPr="00F52CA3">
        <w:t>forcing</w:t>
      </w:r>
      <w:r w:rsidR="00E21712" w:rsidRPr="00F52CA3">
        <w:t xml:space="preserve"> </w:t>
      </w:r>
      <w:r w:rsidR="00C811C2" w:rsidRPr="00F52CA3">
        <w:t>a</w:t>
      </w:r>
      <w:r w:rsidR="00E21712" w:rsidRPr="00F52CA3">
        <w:t xml:space="preserve"> </w:t>
      </w:r>
      <w:r w:rsidR="00C811C2" w:rsidRPr="00F52CA3">
        <w:t>fall-back</w:t>
      </w:r>
      <w:r w:rsidR="00E21712" w:rsidRPr="00F52CA3">
        <w:t xml:space="preserve"> </w:t>
      </w:r>
      <w:r w:rsidR="00C811C2" w:rsidRPr="00F52CA3">
        <w:t>position</w:t>
      </w:r>
      <w:r w:rsidR="00E21712" w:rsidRPr="00F52CA3">
        <w:t xml:space="preserve"> </w:t>
      </w:r>
      <w:r w:rsidR="00002B6F" w:rsidRPr="00F52CA3">
        <w:t>that</w:t>
      </w:r>
      <w:r w:rsidR="00E21712" w:rsidRPr="00F52CA3">
        <w:t xml:space="preserve"> </w:t>
      </w:r>
      <w:r w:rsidR="00002B6F" w:rsidRPr="00F52CA3">
        <w:t>perpetuates</w:t>
      </w:r>
      <w:r w:rsidR="00E21712" w:rsidRPr="00F52CA3">
        <w:t xml:space="preserve"> </w:t>
      </w:r>
      <w:r w:rsidR="00C811C2" w:rsidRPr="00F52CA3">
        <w:t>traditional</w:t>
      </w:r>
      <w:r w:rsidR="00E21712" w:rsidRPr="00F52CA3">
        <w:t xml:space="preserve"> </w:t>
      </w:r>
      <w:r w:rsidR="00C811C2" w:rsidRPr="00F52CA3">
        <w:t>reductionist</w:t>
      </w:r>
      <w:r w:rsidR="00E21712" w:rsidRPr="00F52CA3">
        <w:t xml:space="preserve"> </w:t>
      </w:r>
      <w:r w:rsidR="00C811C2" w:rsidRPr="00F52CA3">
        <w:t>models</w:t>
      </w:r>
      <w:r w:rsidR="00E21712" w:rsidRPr="00F52CA3">
        <w:t xml:space="preserve"> </w:t>
      </w:r>
      <w:r w:rsidR="00C811C2" w:rsidRPr="00F52CA3">
        <w:t>of</w:t>
      </w:r>
      <w:r w:rsidR="00E21712" w:rsidRPr="00F52CA3">
        <w:t xml:space="preserve"> </w:t>
      </w:r>
      <w:r w:rsidR="00C811C2" w:rsidRPr="00F52CA3">
        <w:t>“practice</w:t>
      </w:r>
      <w:r w:rsidR="00E21712" w:rsidRPr="00F52CA3">
        <w:t xml:space="preserve"> </w:t>
      </w:r>
      <w:r w:rsidR="00C811C2" w:rsidRPr="00F52CA3">
        <w:t>teaching”</w:t>
      </w:r>
      <w:r w:rsidR="00E21712" w:rsidRPr="00F52CA3">
        <w:t xml:space="preserve"> </w:t>
      </w:r>
      <w:r w:rsidR="00C811C2" w:rsidRPr="00F52CA3">
        <w:t>that</w:t>
      </w:r>
      <w:r w:rsidR="00E21712" w:rsidRPr="00F52CA3">
        <w:t xml:space="preserve"> </w:t>
      </w:r>
      <w:r w:rsidR="00C811C2" w:rsidRPr="00F52CA3">
        <w:t>are</w:t>
      </w:r>
      <w:r w:rsidR="00E21712" w:rsidRPr="00F52CA3">
        <w:t xml:space="preserve"> </w:t>
      </w:r>
      <w:r w:rsidR="00C811C2" w:rsidRPr="00F52CA3">
        <w:t>no</w:t>
      </w:r>
      <w:r w:rsidR="00E21712" w:rsidRPr="00F52CA3">
        <w:t xml:space="preserve"> </w:t>
      </w:r>
      <w:r w:rsidR="00C811C2" w:rsidRPr="00F52CA3">
        <w:t>longer</w:t>
      </w:r>
      <w:r w:rsidR="00E21712" w:rsidRPr="00F52CA3">
        <w:t xml:space="preserve"> </w:t>
      </w:r>
      <w:r w:rsidR="00C811C2" w:rsidRPr="00F52CA3">
        <w:t>fitting</w:t>
      </w:r>
      <w:r w:rsidR="00E21712" w:rsidRPr="00F52CA3">
        <w:t xml:space="preserve"> </w:t>
      </w:r>
      <w:r w:rsidR="00C811C2" w:rsidRPr="00F52CA3">
        <w:t>for</w:t>
      </w:r>
      <w:r w:rsidR="00E21712" w:rsidRPr="00F52CA3">
        <w:t xml:space="preserve"> </w:t>
      </w:r>
      <w:r w:rsidR="00C811C2" w:rsidRPr="00F52CA3">
        <w:t>contemporary</w:t>
      </w:r>
      <w:r w:rsidR="00E21712" w:rsidRPr="00F52CA3">
        <w:t xml:space="preserve"> </w:t>
      </w:r>
      <w:r w:rsidR="00C811C2" w:rsidRPr="00F52CA3">
        <w:t>and</w:t>
      </w:r>
      <w:r w:rsidR="00E21712" w:rsidRPr="00F52CA3">
        <w:t xml:space="preserve"> </w:t>
      </w:r>
      <w:r w:rsidR="00C811C2" w:rsidRPr="00F52CA3">
        <w:t>future</w:t>
      </w:r>
      <w:r w:rsidR="00E21712" w:rsidRPr="00F52CA3">
        <w:t xml:space="preserve"> </w:t>
      </w:r>
      <w:r w:rsidR="00C811C2" w:rsidRPr="00F52CA3">
        <w:t>programs.</w:t>
      </w:r>
      <w:r w:rsidR="00BB1A7D" w:rsidRPr="00F52CA3">
        <w:t xml:space="preserve"> Multiple government funded </w:t>
      </w:r>
      <w:r w:rsidR="00BB1A7D" w:rsidRPr="00F52CA3">
        <w:lastRenderedPageBreak/>
        <w:t>programs speak to the importance of co-gen</w:t>
      </w:r>
      <w:r w:rsidR="000F7B67" w:rsidRPr="00F52CA3">
        <w:t>e</w:t>
      </w:r>
      <w:r w:rsidR="00BB1A7D" w:rsidRPr="00F52CA3">
        <w:t>rative models that should be underpinning approaches to future practi</w:t>
      </w:r>
      <w:r w:rsidR="00295985" w:rsidRPr="00F52CA3">
        <w:t>c</w:t>
      </w:r>
      <w:r w:rsidR="00BB1A7D" w:rsidRPr="00F52CA3">
        <w:t xml:space="preserve">e </w:t>
      </w:r>
      <w:r w:rsidR="00295985" w:rsidRPr="00F52CA3">
        <w:t>(</w:t>
      </w:r>
      <w:r w:rsidR="00CF5DC0" w:rsidRPr="00F52CA3">
        <w:t>s</w:t>
      </w:r>
      <w:r w:rsidR="00BB1A7D" w:rsidRPr="00F52CA3">
        <w:t>ee for e.g.,</w:t>
      </w:r>
      <w:r w:rsidR="000F7B67" w:rsidRPr="00F52CA3">
        <w:t xml:space="preserve"> </w:t>
      </w:r>
      <w:r w:rsidR="00295661" w:rsidRPr="00F52CA3">
        <w:t>Hobbs et al., 2015</w:t>
      </w:r>
      <w:r w:rsidR="00295985" w:rsidRPr="00F52CA3">
        <w:t>)</w:t>
      </w:r>
      <w:r w:rsidR="00CF5DC0" w:rsidRPr="00F52CA3">
        <w:t>.</w:t>
      </w:r>
    </w:p>
    <w:p w14:paraId="297C53C7" w14:textId="77777777" w:rsidR="00F04351" w:rsidRPr="00F52CA3" w:rsidRDefault="00F04351" w:rsidP="00B054ED">
      <w:pPr>
        <w:pStyle w:val="ListParagraph"/>
      </w:pPr>
    </w:p>
    <w:p w14:paraId="3D998046" w14:textId="094C16CE" w:rsidR="003F0C62" w:rsidRPr="00F52CA3" w:rsidRDefault="00CA00BA" w:rsidP="00AC3CAE">
      <w:pPr>
        <w:pStyle w:val="ListParagraph"/>
        <w:numPr>
          <w:ilvl w:val="0"/>
          <w:numId w:val="19"/>
        </w:numPr>
        <w:ind w:left="284"/>
      </w:pPr>
      <w:r w:rsidRPr="00F52CA3">
        <w:t xml:space="preserve">Diversity appears in the discussion paper of the current review in conflicting ways: on one hand calling for means to address the need for diverse teachers and contexts to be </w:t>
      </w:r>
      <w:r w:rsidR="00A2051A" w:rsidRPr="00F52CA3">
        <w:t>recruited into the profession</w:t>
      </w:r>
      <w:r w:rsidRPr="00F52CA3">
        <w:t>; and on the other, undermined by a preoccupation with pre-tertiary entry requirements such as ATAR and LANTITE.</w:t>
      </w:r>
      <w:r w:rsidR="00BB1A7D" w:rsidRPr="00F52CA3">
        <w:t xml:space="preserve"> Moreover, previous recommendations from government reports</w:t>
      </w:r>
      <w:r w:rsidR="007B4840" w:rsidRPr="00F52CA3">
        <w:t xml:space="preserve"> and other research</w:t>
      </w:r>
      <w:r w:rsidR="00BB1A7D" w:rsidRPr="00F52CA3">
        <w:t xml:space="preserve"> addressing diversity appear to have been forgotten or ignored</w:t>
      </w:r>
      <w:r w:rsidR="007B4840" w:rsidRPr="00F52CA3">
        <w:t xml:space="preserve"> (see for example, MATSITI report,</w:t>
      </w:r>
      <w:r w:rsidR="00AC3CAE" w:rsidRPr="00F52CA3">
        <w:t xml:space="preserve"> </w:t>
      </w:r>
      <w:r w:rsidR="00BB1A7D" w:rsidRPr="00F52CA3">
        <w:t xml:space="preserve">Johnson, </w:t>
      </w:r>
      <w:proofErr w:type="spellStart"/>
      <w:r w:rsidR="00BB1A7D" w:rsidRPr="00F52CA3">
        <w:t>Cherednichenko</w:t>
      </w:r>
      <w:proofErr w:type="spellEnd"/>
      <w:r w:rsidR="00BB1A7D" w:rsidRPr="00F52CA3">
        <w:t>, &amp; Rose</w:t>
      </w:r>
      <w:r w:rsidR="000F7B67" w:rsidRPr="00F52CA3">
        <w:t xml:space="preserve">, </w:t>
      </w:r>
      <w:r w:rsidR="00BB1A7D" w:rsidRPr="00F52CA3">
        <w:t>2016</w:t>
      </w:r>
      <w:r w:rsidR="00FF5D74" w:rsidRPr="00F52CA3">
        <w:t>; Rowan et al., 2021</w:t>
      </w:r>
      <w:r w:rsidR="00BB1A7D" w:rsidRPr="00F52CA3">
        <w:t xml:space="preserve">). </w:t>
      </w:r>
    </w:p>
    <w:p w14:paraId="1FC3660E" w14:textId="77777777" w:rsidR="00AC3CAE" w:rsidRPr="00F52CA3" w:rsidRDefault="00AC3CAE" w:rsidP="00B054ED"/>
    <w:p w14:paraId="70C12AF2" w14:textId="71B8A36A" w:rsidR="003F0C62" w:rsidRPr="00F52CA3" w:rsidRDefault="003F0C62" w:rsidP="00F04351">
      <w:pPr>
        <w:pStyle w:val="ListParagraph"/>
        <w:numPr>
          <w:ilvl w:val="0"/>
          <w:numId w:val="19"/>
        </w:numPr>
        <w:ind w:left="284"/>
      </w:pPr>
      <w:r w:rsidRPr="00F52CA3">
        <w:t>The</w:t>
      </w:r>
      <w:r w:rsidR="00BB1A7D" w:rsidRPr="00F52CA3">
        <w:t xml:space="preserve"> </w:t>
      </w:r>
      <w:r w:rsidR="000F7B67" w:rsidRPr="00F52CA3">
        <w:t>QITE</w:t>
      </w:r>
      <w:r w:rsidR="00BB1A7D" w:rsidRPr="00F52CA3">
        <w:t xml:space="preserve"> discussion paper </w:t>
      </w:r>
      <w:proofErr w:type="gramStart"/>
      <w:r w:rsidRPr="00F52CA3">
        <w:t>make</w:t>
      </w:r>
      <w:r w:rsidR="00BB1A7D" w:rsidRPr="00F52CA3">
        <w:t>s</w:t>
      </w:r>
      <w:r w:rsidRPr="00F52CA3">
        <w:t xml:space="preserve"> reference</w:t>
      </w:r>
      <w:proofErr w:type="gramEnd"/>
      <w:r w:rsidRPr="00F52CA3">
        <w:t xml:space="preserve"> to a number of exemplar models of current ITE practice</w:t>
      </w:r>
      <w:r w:rsidR="00944319" w:rsidRPr="00F52CA3">
        <w:t xml:space="preserve">. </w:t>
      </w:r>
      <w:r w:rsidRPr="00F52CA3">
        <w:t>We wish to note that many of these</w:t>
      </w:r>
      <w:r w:rsidR="00944319" w:rsidRPr="00F52CA3">
        <w:t xml:space="preserve"> (e.g., Teach for Australia)</w:t>
      </w:r>
      <w:r w:rsidRPr="00F52CA3">
        <w:t xml:space="preserve"> are based on small, </w:t>
      </w:r>
      <w:r w:rsidR="00944319" w:rsidRPr="00F52CA3">
        <w:t xml:space="preserve">expensive, </w:t>
      </w:r>
      <w:r w:rsidRPr="00F52CA3">
        <w:t>boutique-type programs that are not scalable to the levels required to produce the number of new teachers the profession requires now and into the future.</w:t>
      </w:r>
      <w:r w:rsidR="00944319" w:rsidRPr="00F52CA3">
        <w:t xml:space="preserve"> </w:t>
      </w:r>
    </w:p>
    <w:p w14:paraId="7BE2422A" w14:textId="77777777" w:rsidR="00A2051A" w:rsidRPr="00F52CA3" w:rsidRDefault="00A2051A" w:rsidP="00B054ED">
      <w:pPr>
        <w:pStyle w:val="ListParagraph"/>
      </w:pPr>
    </w:p>
    <w:p w14:paraId="3A30C42A" w14:textId="09437607" w:rsidR="00A2051A" w:rsidRPr="00F52CA3" w:rsidRDefault="00A2051A" w:rsidP="00B054ED">
      <w:pPr>
        <w:pStyle w:val="ListParagraph"/>
        <w:numPr>
          <w:ilvl w:val="0"/>
          <w:numId w:val="19"/>
        </w:numPr>
        <w:ind w:left="284"/>
      </w:pPr>
      <w:r w:rsidRPr="00F52CA3">
        <w:t>There is a</w:t>
      </w:r>
      <w:r w:rsidR="00E1032B" w:rsidRPr="00F52CA3">
        <w:t xml:space="preserve"> crisis in staffing of ITE programs with</w:t>
      </w:r>
      <w:r w:rsidRPr="00F52CA3">
        <w:t xml:space="preserve"> the increasing </w:t>
      </w:r>
      <w:proofErr w:type="spellStart"/>
      <w:r w:rsidRPr="00F52CA3">
        <w:t>sessionalisation</w:t>
      </w:r>
      <w:proofErr w:type="spellEnd"/>
      <w:r w:rsidRPr="00F52CA3">
        <w:t xml:space="preserve"> of the profession</w:t>
      </w:r>
      <w:r w:rsidR="00E1032B" w:rsidRPr="00F52CA3">
        <w:t>.</w:t>
      </w:r>
      <w:r w:rsidRPr="00F52CA3">
        <w:t xml:space="preserve"> </w:t>
      </w:r>
      <w:r w:rsidR="00E1032B" w:rsidRPr="00F52CA3">
        <w:t>This impacts programs and student outcomes as staff are not available outside of teaching times to work on collaborative review and improvements of course design and delivery, and not available to invest in the substantial time and work required to build and maintain relationships that underpin successful partnership work; such as thor</w:t>
      </w:r>
      <w:r w:rsidR="00FD4FAE" w:rsidRPr="00F52CA3">
        <w:t>o</w:t>
      </w:r>
      <w:r w:rsidR="00E1032B" w:rsidRPr="00F52CA3">
        <w:t xml:space="preserve">ugh provision of professional learning or potential supervision of Masters and doctoral candidates for those engaged in action-research activities in schools. Moreover, PhD qualified individuals cost more to employ in a sessional capacity, and hence are often overlooked in sessional recruitment. </w:t>
      </w:r>
    </w:p>
    <w:p w14:paraId="6E76A0E3" w14:textId="38927E48" w:rsidR="00351BE2" w:rsidRPr="00F52CA3" w:rsidRDefault="00351BE2" w:rsidP="00F04351"/>
    <w:p w14:paraId="660BAC80" w14:textId="77777777" w:rsidR="006C3B0A" w:rsidRPr="00F52CA3" w:rsidRDefault="006C3B0A">
      <w:pPr>
        <w:rPr>
          <w:b/>
          <w:bCs/>
        </w:rPr>
      </w:pPr>
      <w:r w:rsidRPr="00F52CA3">
        <w:rPr>
          <w:b/>
          <w:bCs/>
        </w:rPr>
        <w:br w:type="page"/>
      </w:r>
    </w:p>
    <w:p w14:paraId="2E65F5AC" w14:textId="786EFD5F" w:rsidR="00EA1114" w:rsidRPr="00F52CA3" w:rsidRDefault="006C3B0A">
      <w:pPr>
        <w:rPr>
          <w:b/>
          <w:bCs/>
          <w:sz w:val="28"/>
          <w:szCs w:val="28"/>
          <w:u w:val="single"/>
        </w:rPr>
      </w:pPr>
      <w:r w:rsidRPr="00F52CA3">
        <w:rPr>
          <w:b/>
          <w:bCs/>
          <w:sz w:val="28"/>
          <w:szCs w:val="28"/>
          <w:u w:val="single"/>
        </w:rPr>
        <w:lastRenderedPageBreak/>
        <w:t>PART</w:t>
      </w:r>
      <w:r w:rsidR="00E21712" w:rsidRPr="00F52CA3">
        <w:rPr>
          <w:b/>
          <w:bCs/>
          <w:sz w:val="28"/>
          <w:szCs w:val="28"/>
          <w:u w:val="single"/>
        </w:rPr>
        <w:t xml:space="preserve"> </w:t>
      </w:r>
      <w:r w:rsidRPr="00F52CA3">
        <w:rPr>
          <w:b/>
          <w:bCs/>
          <w:sz w:val="28"/>
          <w:szCs w:val="28"/>
          <w:u w:val="single"/>
        </w:rPr>
        <w:t>B</w:t>
      </w:r>
      <w:r w:rsidR="00E21712" w:rsidRPr="00F52CA3">
        <w:rPr>
          <w:b/>
          <w:bCs/>
          <w:sz w:val="28"/>
          <w:szCs w:val="28"/>
          <w:u w:val="single"/>
        </w:rPr>
        <w:t xml:space="preserve"> </w:t>
      </w:r>
      <w:r w:rsidR="00E1032B" w:rsidRPr="00F52CA3">
        <w:rPr>
          <w:b/>
          <w:bCs/>
          <w:sz w:val="28"/>
          <w:szCs w:val="28"/>
          <w:u w:val="single"/>
        </w:rPr>
        <w:t>Focus on b</w:t>
      </w:r>
      <w:r w:rsidR="005106E9" w:rsidRPr="00F52CA3">
        <w:rPr>
          <w:b/>
          <w:bCs/>
          <w:sz w:val="28"/>
          <w:szCs w:val="28"/>
          <w:u w:val="single"/>
        </w:rPr>
        <w:t>ecoming</w:t>
      </w:r>
      <w:r w:rsidR="00E21712" w:rsidRPr="00F52CA3">
        <w:rPr>
          <w:b/>
          <w:bCs/>
          <w:sz w:val="28"/>
          <w:szCs w:val="28"/>
          <w:u w:val="single"/>
        </w:rPr>
        <w:t xml:space="preserve"> </w:t>
      </w:r>
      <w:r w:rsidR="005106E9" w:rsidRPr="00F52CA3">
        <w:rPr>
          <w:b/>
          <w:bCs/>
          <w:sz w:val="28"/>
          <w:szCs w:val="28"/>
          <w:u w:val="single"/>
        </w:rPr>
        <w:t>a</w:t>
      </w:r>
      <w:r w:rsidR="00E21712" w:rsidRPr="00F52CA3">
        <w:rPr>
          <w:b/>
          <w:bCs/>
          <w:sz w:val="28"/>
          <w:szCs w:val="28"/>
          <w:u w:val="single"/>
        </w:rPr>
        <w:t xml:space="preserve"> </w:t>
      </w:r>
      <w:r w:rsidR="005106E9" w:rsidRPr="00F52CA3">
        <w:rPr>
          <w:b/>
          <w:bCs/>
          <w:sz w:val="28"/>
          <w:szCs w:val="28"/>
          <w:u w:val="single"/>
        </w:rPr>
        <w:t>teacher</w:t>
      </w:r>
      <w:r w:rsidR="00E21712" w:rsidRPr="00F52CA3">
        <w:rPr>
          <w:b/>
          <w:bCs/>
          <w:sz w:val="28"/>
          <w:szCs w:val="28"/>
          <w:u w:val="single"/>
        </w:rPr>
        <w:t xml:space="preserve"> </w:t>
      </w:r>
      <w:r w:rsidR="005106E9" w:rsidRPr="00F52CA3">
        <w:rPr>
          <w:b/>
          <w:bCs/>
          <w:sz w:val="28"/>
          <w:szCs w:val="28"/>
          <w:u w:val="single"/>
        </w:rPr>
        <w:t>and</w:t>
      </w:r>
      <w:r w:rsidR="00E21712" w:rsidRPr="00F52CA3">
        <w:rPr>
          <w:b/>
          <w:bCs/>
          <w:sz w:val="28"/>
          <w:szCs w:val="28"/>
          <w:u w:val="single"/>
        </w:rPr>
        <w:t xml:space="preserve"> </w:t>
      </w:r>
      <w:r w:rsidR="005106E9" w:rsidRPr="00F52CA3">
        <w:rPr>
          <w:b/>
          <w:bCs/>
          <w:sz w:val="28"/>
          <w:szCs w:val="28"/>
          <w:u w:val="single"/>
        </w:rPr>
        <w:t>the</w:t>
      </w:r>
      <w:r w:rsidR="00E21712" w:rsidRPr="00F52CA3">
        <w:rPr>
          <w:b/>
          <w:bCs/>
          <w:sz w:val="28"/>
          <w:szCs w:val="28"/>
          <w:u w:val="single"/>
        </w:rPr>
        <w:t xml:space="preserve"> </w:t>
      </w:r>
      <w:r w:rsidR="005106E9" w:rsidRPr="00F52CA3">
        <w:rPr>
          <w:b/>
          <w:bCs/>
          <w:sz w:val="28"/>
          <w:szCs w:val="28"/>
          <w:u w:val="single"/>
        </w:rPr>
        <w:t>profession</w:t>
      </w:r>
      <w:r w:rsidR="00E21712" w:rsidRPr="00F52CA3">
        <w:rPr>
          <w:b/>
          <w:bCs/>
          <w:sz w:val="28"/>
          <w:szCs w:val="28"/>
          <w:u w:val="single"/>
        </w:rPr>
        <w:t xml:space="preserve"> </w:t>
      </w:r>
      <w:r w:rsidR="005106E9" w:rsidRPr="00F52CA3">
        <w:rPr>
          <w:b/>
          <w:bCs/>
          <w:sz w:val="28"/>
          <w:szCs w:val="28"/>
          <w:u w:val="single"/>
        </w:rPr>
        <w:t>of</w:t>
      </w:r>
      <w:r w:rsidR="00E21712" w:rsidRPr="00F52CA3">
        <w:rPr>
          <w:b/>
          <w:bCs/>
          <w:sz w:val="28"/>
          <w:szCs w:val="28"/>
          <w:u w:val="single"/>
        </w:rPr>
        <w:t xml:space="preserve"> </w:t>
      </w:r>
      <w:r w:rsidR="005106E9" w:rsidRPr="00F52CA3">
        <w:rPr>
          <w:b/>
          <w:bCs/>
          <w:sz w:val="28"/>
          <w:szCs w:val="28"/>
          <w:u w:val="single"/>
        </w:rPr>
        <w:t>teaching</w:t>
      </w:r>
      <w:r w:rsidR="00E21712" w:rsidRPr="00F52CA3">
        <w:rPr>
          <w:b/>
          <w:bCs/>
          <w:sz w:val="28"/>
          <w:szCs w:val="28"/>
          <w:u w:val="single"/>
        </w:rPr>
        <w:t xml:space="preserve"> </w:t>
      </w:r>
    </w:p>
    <w:p w14:paraId="01DBAD74" w14:textId="77777777" w:rsidR="009421BC" w:rsidRPr="00F52CA3" w:rsidRDefault="009421BC">
      <w:pPr>
        <w:rPr>
          <w:b/>
          <w:bCs/>
        </w:rPr>
      </w:pPr>
    </w:p>
    <w:p w14:paraId="4599F4A3" w14:textId="305C08DC" w:rsidR="00EA1114" w:rsidRPr="00F52CA3" w:rsidRDefault="00EA1114">
      <w:pPr>
        <w:rPr>
          <w:b/>
          <w:bCs/>
          <w:u w:val="single"/>
        </w:rPr>
      </w:pPr>
      <w:r w:rsidRPr="00F52CA3">
        <w:rPr>
          <w:b/>
          <w:bCs/>
          <w:u w:val="single"/>
        </w:rPr>
        <w:t>Affirmations</w:t>
      </w:r>
    </w:p>
    <w:p w14:paraId="64640A9E" w14:textId="7C13A00A" w:rsidR="005316D7" w:rsidRPr="00F52CA3" w:rsidRDefault="005106E9" w:rsidP="00B054ED">
      <w:pPr>
        <w:pStyle w:val="ListParagraph"/>
        <w:numPr>
          <w:ilvl w:val="0"/>
          <w:numId w:val="3"/>
        </w:numPr>
        <w:ind w:left="426"/>
      </w:pPr>
      <w:r w:rsidRPr="00F52CA3">
        <w:t>In</w:t>
      </w:r>
      <w:r w:rsidR="00E21712" w:rsidRPr="00F52CA3">
        <w:t xml:space="preserve"> </w:t>
      </w:r>
      <w:r w:rsidRPr="00F52CA3">
        <w:t>becoming</w:t>
      </w:r>
      <w:r w:rsidR="00E21712" w:rsidRPr="00F52CA3">
        <w:t xml:space="preserve"> </w:t>
      </w:r>
      <w:r w:rsidRPr="00F52CA3">
        <w:t>a</w:t>
      </w:r>
      <w:r w:rsidR="00E21712" w:rsidRPr="00F52CA3">
        <w:t xml:space="preserve"> </w:t>
      </w:r>
      <w:r w:rsidRPr="00F52CA3">
        <w:t>teacher,</w:t>
      </w:r>
      <w:r w:rsidR="00E21712" w:rsidRPr="00F52CA3">
        <w:t xml:space="preserve"> </w:t>
      </w:r>
      <w:r w:rsidRPr="00F52CA3">
        <w:t>i</w:t>
      </w:r>
      <w:r w:rsidR="001D2C30" w:rsidRPr="00F52CA3">
        <w:t>t</w:t>
      </w:r>
      <w:r w:rsidR="00E21712" w:rsidRPr="00F52CA3">
        <w:t xml:space="preserve"> </w:t>
      </w:r>
      <w:r w:rsidR="001D2C30" w:rsidRPr="00F52CA3">
        <w:t>is</w:t>
      </w:r>
      <w:r w:rsidR="00E21712" w:rsidRPr="00F52CA3">
        <w:t xml:space="preserve"> </w:t>
      </w:r>
      <w:r w:rsidR="001D2C30" w:rsidRPr="00F52CA3">
        <w:t>to</w:t>
      </w:r>
      <w:r w:rsidR="00E21712" w:rsidRPr="00F52CA3">
        <w:t xml:space="preserve"> </w:t>
      </w:r>
      <w:r w:rsidR="001D2C30" w:rsidRPr="00F52CA3">
        <w:t>be</w:t>
      </w:r>
      <w:r w:rsidR="00E21712" w:rsidRPr="00F52CA3">
        <w:t xml:space="preserve"> </w:t>
      </w:r>
      <w:r w:rsidR="001D2C30" w:rsidRPr="00F52CA3">
        <w:t>celebrated</w:t>
      </w:r>
      <w:r w:rsidR="00E21712" w:rsidRPr="00F52CA3">
        <w:t xml:space="preserve"> </w:t>
      </w:r>
      <w:r w:rsidR="001D2C30" w:rsidRPr="00F52CA3">
        <w:t>that</w:t>
      </w:r>
      <w:r w:rsidR="00E21712" w:rsidRPr="00F52CA3">
        <w:t xml:space="preserve"> </w:t>
      </w:r>
      <w:r w:rsidR="00FD4FAE" w:rsidRPr="00F52CA3">
        <w:t>t</w:t>
      </w:r>
      <w:r w:rsidR="005316D7" w:rsidRPr="00F52CA3">
        <w:t>here</w:t>
      </w:r>
      <w:r w:rsidR="00E21712" w:rsidRPr="00F52CA3">
        <w:t xml:space="preserve"> </w:t>
      </w:r>
      <w:r w:rsidR="005316D7" w:rsidRPr="00F52CA3">
        <w:t>are</w:t>
      </w:r>
      <w:r w:rsidR="00E21712" w:rsidRPr="00F52CA3">
        <w:t xml:space="preserve"> </w:t>
      </w:r>
      <w:r w:rsidR="005316D7" w:rsidRPr="00F52CA3">
        <w:t>multiple</w:t>
      </w:r>
      <w:r w:rsidR="00E21712" w:rsidRPr="00F52CA3">
        <w:t xml:space="preserve"> </w:t>
      </w:r>
      <w:r w:rsidR="005316D7" w:rsidRPr="00F52CA3">
        <w:t>entry</w:t>
      </w:r>
      <w:r w:rsidR="00E21712" w:rsidRPr="00F52CA3">
        <w:t xml:space="preserve"> </w:t>
      </w:r>
      <w:r w:rsidR="005316D7" w:rsidRPr="00F52CA3">
        <w:t>points</w:t>
      </w:r>
      <w:r w:rsidR="00E21712" w:rsidRPr="00F52CA3">
        <w:t xml:space="preserve"> </w:t>
      </w:r>
      <w:r w:rsidR="005316D7" w:rsidRPr="00F52CA3">
        <w:t>into</w:t>
      </w:r>
      <w:r w:rsidR="00E21712" w:rsidRPr="00F52CA3">
        <w:t xml:space="preserve"> </w:t>
      </w:r>
      <w:r w:rsidR="005316D7" w:rsidRPr="00F52CA3">
        <w:t>undergraduate</w:t>
      </w:r>
      <w:r w:rsidR="00E21712" w:rsidRPr="00F52CA3">
        <w:t xml:space="preserve"> </w:t>
      </w:r>
      <w:r w:rsidR="005316D7" w:rsidRPr="00F52CA3">
        <w:t>and</w:t>
      </w:r>
      <w:r w:rsidR="00E21712" w:rsidRPr="00F52CA3">
        <w:t xml:space="preserve"> </w:t>
      </w:r>
      <w:r w:rsidR="005316D7" w:rsidRPr="00F52CA3">
        <w:t>postgraduate</w:t>
      </w:r>
      <w:r w:rsidR="00E21712" w:rsidRPr="00F52CA3">
        <w:t xml:space="preserve"> </w:t>
      </w:r>
      <w:r w:rsidRPr="00F52CA3">
        <w:t>preparation</w:t>
      </w:r>
      <w:r w:rsidR="00E21712" w:rsidRPr="00F52CA3">
        <w:t xml:space="preserve"> </w:t>
      </w:r>
      <w:r w:rsidR="005316D7" w:rsidRPr="00F52CA3">
        <w:t>programs.</w:t>
      </w:r>
      <w:r w:rsidR="00E21712" w:rsidRPr="00F52CA3">
        <w:t xml:space="preserve"> </w:t>
      </w:r>
    </w:p>
    <w:p w14:paraId="4DF5E853" w14:textId="68C5E683" w:rsidR="001D2C30" w:rsidRPr="00F52CA3" w:rsidRDefault="005316D7" w:rsidP="005106E9">
      <w:pPr>
        <w:ind w:left="360"/>
      </w:pPr>
      <w:r w:rsidRPr="00F52CA3">
        <w:t>These</w:t>
      </w:r>
      <w:r w:rsidR="00E21712" w:rsidRPr="00F52CA3">
        <w:t xml:space="preserve"> </w:t>
      </w:r>
      <w:r w:rsidRPr="00F52CA3">
        <w:t>include</w:t>
      </w:r>
      <w:r w:rsidR="00E21712" w:rsidRPr="00F52CA3">
        <w:t xml:space="preserve"> </w:t>
      </w:r>
      <w:r w:rsidRPr="00F52CA3">
        <w:t>secondary</w:t>
      </w:r>
      <w:r w:rsidR="00E21712" w:rsidRPr="00F52CA3">
        <w:t xml:space="preserve"> </w:t>
      </w:r>
      <w:r w:rsidRPr="00F52CA3">
        <w:t>school</w:t>
      </w:r>
      <w:r w:rsidR="00E21712" w:rsidRPr="00F52CA3">
        <w:t xml:space="preserve"> </w:t>
      </w:r>
      <w:r w:rsidRPr="00F52CA3">
        <w:t>leaving</w:t>
      </w:r>
      <w:r w:rsidR="00E21712" w:rsidRPr="00F52CA3">
        <w:t xml:space="preserve"> </w:t>
      </w:r>
      <w:r w:rsidRPr="00F52CA3">
        <w:t>rankings</w:t>
      </w:r>
      <w:r w:rsidR="00E21712" w:rsidRPr="00F52CA3">
        <w:t xml:space="preserve"> </w:t>
      </w:r>
      <w:r w:rsidRPr="00F52CA3">
        <w:t>(ATAR,</w:t>
      </w:r>
      <w:r w:rsidR="00E21712" w:rsidRPr="00F52CA3">
        <w:t xml:space="preserve"> </w:t>
      </w:r>
      <w:r w:rsidRPr="00F52CA3">
        <w:t>IB</w:t>
      </w:r>
      <w:r w:rsidR="00E21712" w:rsidRPr="00F52CA3">
        <w:t xml:space="preserve"> </w:t>
      </w:r>
      <w:r w:rsidRPr="00F52CA3">
        <w:t>Scores</w:t>
      </w:r>
      <w:r w:rsidR="00E21712" w:rsidRPr="00F52CA3">
        <w:t xml:space="preserve"> </w:t>
      </w:r>
      <w:r w:rsidRPr="00F52CA3">
        <w:t>or</w:t>
      </w:r>
      <w:r w:rsidR="00E21712" w:rsidRPr="00F52CA3">
        <w:t xml:space="preserve"> </w:t>
      </w:r>
      <w:r w:rsidRPr="00F52CA3">
        <w:t>equivalent</w:t>
      </w:r>
      <w:r w:rsidR="00E21712" w:rsidRPr="00F52CA3">
        <w:t xml:space="preserve"> </w:t>
      </w:r>
      <w:r w:rsidRPr="00F52CA3">
        <w:t>for</w:t>
      </w:r>
      <w:r w:rsidR="00E21712" w:rsidRPr="00F52CA3">
        <w:t xml:space="preserve"> </w:t>
      </w:r>
      <w:r w:rsidRPr="00F52CA3">
        <w:t>mature</w:t>
      </w:r>
      <w:r w:rsidR="00E21712" w:rsidRPr="00F52CA3">
        <w:t xml:space="preserve"> </w:t>
      </w:r>
      <w:r w:rsidRPr="00F52CA3">
        <w:t>age</w:t>
      </w:r>
      <w:r w:rsidR="00E21712" w:rsidRPr="00F52CA3">
        <w:t xml:space="preserve"> </w:t>
      </w:r>
      <w:r w:rsidRPr="00F52CA3">
        <w:t>students/international</w:t>
      </w:r>
      <w:r w:rsidR="00E21712" w:rsidRPr="00F52CA3">
        <w:t xml:space="preserve"> </w:t>
      </w:r>
      <w:r w:rsidRPr="00F52CA3">
        <w:t>students),</w:t>
      </w:r>
      <w:r w:rsidR="00E21712" w:rsidRPr="00F52CA3">
        <w:t xml:space="preserve"> </w:t>
      </w:r>
      <w:r w:rsidRPr="00F52CA3">
        <w:t>sub</w:t>
      </w:r>
      <w:r w:rsidR="00E21712" w:rsidRPr="00F52CA3">
        <w:t xml:space="preserve"> </w:t>
      </w:r>
      <w:r w:rsidRPr="00F52CA3">
        <w:t>bachelor</w:t>
      </w:r>
      <w:r w:rsidR="00E21712" w:rsidRPr="00F52CA3">
        <w:t xml:space="preserve"> </w:t>
      </w:r>
      <w:r w:rsidRPr="00F52CA3">
        <w:t>program</w:t>
      </w:r>
      <w:r w:rsidR="001D2C30" w:rsidRPr="00F52CA3">
        <w:t>/</w:t>
      </w:r>
      <w:r w:rsidRPr="00F52CA3">
        <w:t>s</w:t>
      </w:r>
      <w:r w:rsidR="00E21712" w:rsidRPr="00F52CA3">
        <w:t xml:space="preserve"> </w:t>
      </w:r>
      <w:r w:rsidR="001D2C30" w:rsidRPr="00F52CA3">
        <w:t>or</w:t>
      </w:r>
      <w:r w:rsidR="00E21712" w:rsidRPr="00F52CA3">
        <w:t xml:space="preserve"> </w:t>
      </w:r>
      <w:r w:rsidRPr="00F52CA3">
        <w:t>undergraduate</w:t>
      </w:r>
      <w:r w:rsidR="00E21712" w:rsidRPr="00F52CA3">
        <w:t xml:space="preserve"> </w:t>
      </w:r>
      <w:r w:rsidRPr="00F52CA3">
        <w:t>program</w:t>
      </w:r>
      <w:r w:rsidR="00E21712" w:rsidRPr="00F52CA3">
        <w:t xml:space="preserve"> </w:t>
      </w:r>
      <w:r w:rsidRPr="00F52CA3">
        <w:t>completion</w:t>
      </w:r>
      <w:r w:rsidR="00E21712" w:rsidRPr="00F52CA3">
        <w:t xml:space="preserve"> </w:t>
      </w:r>
      <w:r w:rsidRPr="00F52CA3">
        <w:t>or</w:t>
      </w:r>
      <w:r w:rsidR="00E21712" w:rsidRPr="00F52CA3">
        <w:t xml:space="preserve"> </w:t>
      </w:r>
      <w:r w:rsidRPr="00F52CA3">
        <w:t>partial</w:t>
      </w:r>
      <w:r w:rsidR="00E21712" w:rsidRPr="00F52CA3">
        <w:t xml:space="preserve"> </w:t>
      </w:r>
      <w:r w:rsidRPr="00F52CA3">
        <w:t>completion</w:t>
      </w:r>
      <w:r w:rsidR="00E21712" w:rsidRPr="00F52CA3">
        <w:t xml:space="preserve"> </w:t>
      </w:r>
      <w:r w:rsidR="00002B6F" w:rsidRPr="00F52CA3">
        <w:t>which</w:t>
      </w:r>
      <w:r w:rsidR="00E21712" w:rsidRPr="00F52CA3">
        <w:t xml:space="preserve"> </w:t>
      </w:r>
      <w:r w:rsidR="00002B6F" w:rsidRPr="00F52CA3">
        <w:t>are</w:t>
      </w:r>
      <w:r w:rsidR="00E21712" w:rsidRPr="00F52CA3">
        <w:t xml:space="preserve"> </w:t>
      </w:r>
      <w:r w:rsidRPr="00F52CA3">
        <w:t>often</w:t>
      </w:r>
      <w:r w:rsidR="00E21712" w:rsidRPr="00F52CA3">
        <w:t xml:space="preserve"> </w:t>
      </w:r>
      <w:r w:rsidRPr="00F52CA3">
        <w:t>supplemented</w:t>
      </w:r>
      <w:r w:rsidR="00E21712" w:rsidRPr="00F52CA3">
        <w:t xml:space="preserve"> </w:t>
      </w:r>
      <w:r w:rsidRPr="00F52CA3">
        <w:t>with</w:t>
      </w:r>
      <w:r w:rsidR="00E21712" w:rsidRPr="00F52CA3">
        <w:t xml:space="preserve"> </w:t>
      </w:r>
      <w:r w:rsidR="001D2C30" w:rsidRPr="00F52CA3">
        <w:t>one</w:t>
      </w:r>
      <w:r w:rsidR="00E21712" w:rsidRPr="00F52CA3">
        <w:t xml:space="preserve"> </w:t>
      </w:r>
      <w:r w:rsidR="001D2C30" w:rsidRPr="00F52CA3">
        <w:t>or</w:t>
      </w:r>
      <w:r w:rsidR="00E21712" w:rsidRPr="00F52CA3">
        <w:t xml:space="preserve"> </w:t>
      </w:r>
      <w:r w:rsidR="001D2C30" w:rsidRPr="00F52CA3">
        <w:t>many</w:t>
      </w:r>
      <w:r w:rsidR="00E21712" w:rsidRPr="00F52CA3">
        <w:t xml:space="preserve"> </w:t>
      </w:r>
      <w:r w:rsidR="001D2C30" w:rsidRPr="00F52CA3">
        <w:t>of</w:t>
      </w:r>
      <w:r w:rsidR="00E21712" w:rsidRPr="00F52CA3">
        <w:t xml:space="preserve"> </w:t>
      </w:r>
      <w:r w:rsidR="001D2C30" w:rsidRPr="00F52CA3">
        <w:t>the</w:t>
      </w:r>
      <w:r w:rsidR="00E21712" w:rsidRPr="00F52CA3">
        <w:t xml:space="preserve"> </w:t>
      </w:r>
      <w:r w:rsidR="001D2C30" w:rsidRPr="00F52CA3">
        <w:t>following:</w:t>
      </w:r>
      <w:r w:rsidR="00E21712" w:rsidRPr="00F52CA3">
        <w:t xml:space="preserve"> </w:t>
      </w:r>
    </w:p>
    <w:p w14:paraId="472C82C8" w14:textId="518D0F22" w:rsidR="001D2C30" w:rsidRPr="00F52CA3" w:rsidRDefault="001D2C30" w:rsidP="005106E9">
      <w:pPr>
        <w:ind w:firstLine="720"/>
      </w:pPr>
      <w:r w:rsidRPr="00F52CA3">
        <w:t>(</w:t>
      </w:r>
      <w:proofErr w:type="spellStart"/>
      <w:r w:rsidRPr="00F52CA3">
        <w:t>i</w:t>
      </w:r>
      <w:proofErr w:type="spellEnd"/>
      <w:r w:rsidRPr="00F52CA3">
        <w:t>)</w:t>
      </w:r>
      <w:r w:rsidR="00E21712" w:rsidRPr="00F52CA3">
        <w:t xml:space="preserve"> </w:t>
      </w:r>
      <w:r w:rsidRPr="00F52CA3">
        <w:t>relevant</w:t>
      </w:r>
      <w:r w:rsidR="00E21712" w:rsidRPr="00F52CA3">
        <w:t xml:space="preserve"> </w:t>
      </w:r>
      <w:r w:rsidR="005316D7" w:rsidRPr="00F52CA3">
        <w:t>prior</w:t>
      </w:r>
      <w:r w:rsidR="00E21712" w:rsidRPr="00F52CA3">
        <w:t xml:space="preserve"> </w:t>
      </w:r>
      <w:r w:rsidR="005316D7" w:rsidRPr="00F52CA3">
        <w:t>experience</w:t>
      </w:r>
      <w:r w:rsidR="00E21712" w:rsidRPr="00F52CA3">
        <w:t xml:space="preserve"> </w:t>
      </w:r>
      <w:r w:rsidRPr="00F52CA3">
        <w:t>including</w:t>
      </w:r>
      <w:r w:rsidR="00E21712" w:rsidRPr="00F52CA3">
        <w:t xml:space="preserve"> </w:t>
      </w:r>
      <w:r w:rsidRPr="00F52CA3">
        <w:t>where</w:t>
      </w:r>
      <w:r w:rsidR="00E21712" w:rsidRPr="00F52CA3">
        <w:t xml:space="preserve"> </w:t>
      </w:r>
      <w:r w:rsidRPr="00F52CA3">
        <w:t>possible</w:t>
      </w:r>
      <w:r w:rsidR="00E21712" w:rsidRPr="00F52CA3">
        <w:t xml:space="preserve"> </w:t>
      </w:r>
      <w:r w:rsidRPr="00F52CA3">
        <w:t>an</w:t>
      </w:r>
      <w:r w:rsidR="00E21712" w:rsidRPr="00F52CA3">
        <w:t xml:space="preserve"> </w:t>
      </w:r>
      <w:r w:rsidRPr="00F52CA3">
        <w:t>academic</w:t>
      </w:r>
      <w:r w:rsidR="00E21712" w:rsidRPr="00F52CA3">
        <w:t xml:space="preserve"> </w:t>
      </w:r>
      <w:proofErr w:type="gramStart"/>
      <w:r w:rsidRPr="00F52CA3">
        <w:t>transcript;</w:t>
      </w:r>
      <w:proofErr w:type="gramEnd"/>
    </w:p>
    <w:p w14:paraId="157EF72C" w14:textId="6A136D58" w:rsidR="001D2C30" w:rsidRPr="00F52CA3" w:rsidRDefault="001D2C30" w:rsidP="005106E9">
      <w:pPr>
        <w:ind w:firstLine="720"/>
      </w:pPr>
      <w:r w:rsidRPr="00F52CA3">
        <w:t>(ii)</w:t>
      </w:r>
      <w:r w:rsidR="00E21712" w:rsidRPr="00F52CA3">
        <w:t xml:space="preserve"> </w:t>
      </w:r>
      <w:r w:rsidRPr="00F52CA3">
        <w:t>non-academic</w:t>
      </w:r>
      <w:r w:rsidR="00E21712" w:rsidRPr="00F52CA3">
        <w:t xml:space="preserve"> </w:t>
      </w:r>
      <w:r w:rsidRPr="00F52CA3">
        <w:t>selection</w:t>
      </w:r>
      <w:r w:rsidR="00E21712" w:rsidRPr="00F52CA3">
        <w:t xml:space="preserve"> </w:t>
      </w:r>
      <w:r w:rsidRPr="00F52CA3">
        <w:t>test,</w:t>
      </w:r>
      <w:r w:rsidR="00E21712" w:rsidRPr="00F52CA3">
        <w:t xml:space="preserve"> </w:t>
      </w:r>
      <w:r w:rsidRPr="00F52CA3">
        <w:t>profiling</w:t>
      </w:r>
      <w:r w:rsidR="00E21712" w:rsidRPr="00F52CA3">
        <w:t xml:space="preserve"> </w:t>
      </w:r>
      <w:r w:rsidRPr="00F52CA3">
        <w:t>or</w:t>
      </w:r>
      <w:r w:rsidR="00E21712" w:rsidRPr="00F52CA3">
        <w:t xml:space="preserve"> </w:t>
      </w:r>
      <w:r w:rsidRPr="00F52CA3">
        <w:t>written</w:t>
      </w:r>
      <w:r w:rsidR="00E21712" w:rsidRPr="00F52CA3">
        <w:t xml:space="preserve"> </w:t>
      </w:r>
      <w:proofErr w:type="gramStart"/>
      <w:r w:rsidRPr="00F52CA3">
        <w:t>submission;</w:t>
      </w:r>
      <w:proofErr w:type="gramEnd"/>
      <w:r w:rsidR="00E21712" w:rsidRPr="00F52CA3">
        <w:t xml:space="preserve"> </w:t>
      </w:r>
    </w:p>
    <w:p w14:paraId="303B6912" w14:textId="643DCA67" w:rsidR="001D2C30" w:rsidRPr="00F52CA3" w:rsidRDefault="001D2C30" w:rsidP="005106E9">
      <w:pPr>
        <w:ind w:left="720"/>
      </w:pPr>
      <w:r w:rsidRPr="00F52CA3">
        <w:t>(iii)</w:t>
      </w:r>
      <w:r w:rsidR="00E21712" w:rsidRPr="00F52CA3">
        <w:t xml:space="preserve"> </w:t>
      </w:r>
      <w:r w:rsidRPr="00F52CA3">
        <w:t>an</w:t>
      </w:r>
      <w:r w:rsidR="00E21712" w:rsidRPr="00F52CA3">
        <w:t xml:space="preserve"> </w:t>
      </w:r>
      <w:proofErr w:type="gramStart"/>
      <w:r w:rsidRPr="00F52CA3">
        <w:t>interview;</w:t>
      </w:r>
      <w:proofErr w:type="gramEnd"/>
      <w:r w:rsidR="00E21712" w:rsidRPr="00F52CA3">
        <w:t xml:space="preserve"> </w:t>
      </w:r>
    </w:p>
    <w:p w14:paraId="6B66EA3E" w14:textId="66276074" w:rsidR="001D2C30" w:rsidRPr="00F52CA3" w:rsidRDefault="001D2C30" w:rsidP="005106E9">
      <w:pPr>
        <w:ind w:firstLine="720"/>
      </w:pPr>
      <w:r w:rsidRPr="00F52CA3">
        <w:t>(iv)</w:t>
      </w:r>
      <w:r w:rsidR="00E21712" w:rsidRPr="00F52CA3">
        <w:t xml:space="preserve"> </w:t>
      </w:r>
      <w:r w:rsidRPr="00F52CA3">
        <w:t>a</w:t>
      </w:r>
      <w:r w:rsidR="00E21712" w:rsidRPr="00F52CA3">
        <w:t xml:space="preserve"> </w:t>
      </w:r>
      <w:r w:rsidRPr="00F52CA3">
        <w:t>literacy</w:t>
      </w:r>
      <w:r w:rsidR="00E21712" w:rsidRPr="00F52CA3">
        <w:t xml:space="preserve"> </w:t>
      </w:r>
      <w:r w:rsidRPr="00F52CA3">
        <w:t>and</w:t>
      </w:r>
      <w:r w:rsidR="00E21712" w:rsidRPr="00F52CA3">
        <w:t xml:space="preserve"> </w:t>
      </w:r>
      <w:r w:rsidRPr="00F52CA3">
        <w:t>numeracy</w:t>
      </w:r>
      <w:r w:rsidR="00E21712" w:rsidRPr="00F52CA3">
        <w:t xml:space="preserve"> </w:t>
      </w:r>
      <w:r w:rsidRPr="00F52CA3">
        <w:t>test;</w:t>
      </w:r>
      <w:r w:rsidR="00E21712" w:rsidRPr="00F52CA3">
        <w:t xml:space="preserve"> </w:t>
      </w:r>
      <w:r w:rsidRPr="00F52CA3">
        <w:t>and</w:t>
      </w:r>
      <w:r w:rsidR="00E21712" w:rsidRPr="00F52CA3">
        <w:t xml:space="preserve"> </w:t>
      </w:r>
    </w:p>
    <w:p w14:paraId="3F731B15" w14:textId="481FA6B9" w:rsidR="001D2C30" w:rsidRPr="00F52CA3" w:rsidRDefault="001D2C30" w:rsidP="005106E9">
      <w:pPr>
        <w:ind w:firstLine="720"/>
      </w:pPr>
      <w:r w:rsidRPr="00F52CA3">
        <w:t>(v)</w:t>
      </w:r>
      <w:r w:rsidR="00E21712" w:rsidRPr="00F52CA3">
        <w:t xml:space="preserve"> </w:t>
      </w:r>
      <w:r w:rsidRPr="00F52CA3">
        <w:t>a</w:t>
      </w:r>
      <w:r w:rsidR="00E21712" w:rsidRPr="00F52CA3">
        <w:t xml:space="preserve"> </w:t>
      </w:r>
      <w:r w:rsidRPr="00F52CA3">
        <w:t>language</w:t>
      </w:r>
      <w:r w:rsidR="00E21712" w:rsidRPr="00F52CA3">
        <w:t xml:space="preserve"> </w:t>
      </w:r>
      <w:r w:rsidRPr="00F52CA3">
        <w:t>competency</w:t>
      </w:r>
      <w:r w:rsidR="00E21712" w:rsidRPr="00F52CA3">
        <w:t xml:space="preserve"> </w:t>
      </w:r>
      <w:r w:rsidRPr="00F52CA3">
        <w:t>test.</w:t>
      </w:r>
      <w:r w:rsidR="00E21712" w:rsidRPr="00F52CA3">
        <w:t xml:space="preserve"> </w:t>
      </w:r>
    </w:p>
    <w:p w14:paraId="39F1EB5E" w14:textId="77777777" w:rsidR="001D2C30" w:rsidRPr="00F52CA3" w:rsidRDefault="001D2C30"/>
    <w:p w14:paraId="400F271B" w14:textId="01A6782C" w:rsidR="00EA1114" w:rsidRPr="00F52CA3" w:rsidRDefault="001D2C30" w:rsidP="005106E9">
      <w:pPr>
        <w:ind w:left="360"/>
      </w:pPr>
      <w:r w:rsidRPr="00F52CA3">
        <w:t>While</w:t>
      </w:r>
      <w:r w:rsidR="00E21712" w:rsidRPr="00F52CA3">
        <w:t xml:space="preserve"> </w:t>
      </w:r>
      <w:r w:rsidRPr="00F52CA3">
        <w:t>there</w:t>
      </w:r>
      <w:r w:rsidR="00E21712" w:rsidRPr="00F52CA3">
        <w:t xml:space="preserve"> </w:t>
      </w:r>
      <w:r w:rsidRPr="00F52CA3">
        <w:t>is</w:t>
      </w:r>
      <w:r w:rsidR="00E21712" w:rsidRPr="00F52CA3">
        <w:t xml:space="preserve"> </w:t>
      </w:r>
      <w:r w:rsidRPr="00F52CA3">
        <w:t>great</w:t>
      </w:r>
      <w:r w:rsidR="00E21712" w:rsidRPr="00F52CA3">
        <w:t xml:space="preserve"> </w:t>
      </w:r>
      <w:r w:rsidRPr="00F52CA3">
        <w:t>diversity</w:t>
      </w:r>
      <w:r w:rsidR="00E21712" w:rsidRPr="00F52CA3">
        <w:t xml:space="preserve"> </w:t>
      </w:r>
      <w:r w:rsidRPr="00F52CA3">
        <w:t>across</w:t>
      </w:r>
      <w:r w:rsidR="00E21712" w:rsidRPr="00F52CA3">
        <w:t xml:space="preserve"> </w:t>
      </w:r>
      <w:r w:rsidRPr="00F52CA3">
        <w:t>institutions</w:t>
      </w:r>
      <w:r w:rsidR="00E21712" w:rsidRPr="00F52CA3">
        <w:t xml:space="preserve"> </w:t>
      </w:r>
      <w:r w:rsidRPr="00F52CA3">
        <w:t>this</w:t>
      </w:r>
      <w:r w:rsidR="00E21712" w:rsidRPr="00F52CA3">
        <w:t xml:space="preserve"> </w:t>
      </w:r>
      <w:r w:rsidRPr="00F52CA3">
        <w:t>comprehensive</w:t>
      </w:r>
      <w:r w:rsidR="00E21712" w:rsidRPr="00F52CA3">
        <w:t xml:space="preserve"> </w:t>
      </w:r>
      <w:r w:rsidRPr="00F52CA3">
        <w:t>approach</w:t>
      </w:r>
      <w:r w:rsidR="00E21712" w:rsidRPr="00F52CA3">
        <w:t xml:space="preserve"> </w:t>
      </w:r>
      <w:r w:rsidRPr="00F52CA3">
        <w:t>to</w:t>
      </w:r>
      <w:r w:rsidR="00E21712" w:rsidRPr="00F52CA3">
        <w:t xml:space="preserve"> </w:t>
      </w:r>
      <w:r w:rsidRPr="00F52CA3">
        <w:t>entry</w:t>
      </w:r>
      <w:r w:rsidR="00E21712" w:rsidRPr="00F52CA3">
        <w:t xml:space="preserve"> </w:t>
      </w:r>
      <w:r w:rsidRPr="00F52CA3">
        <w:t>into</w:t>
      </w:r>
      <w:r w:rsidR="00E21712" w:rsidRPr="00F52CA3">
        <w:t xml:space="preserve"> </w:t>
      </w:r>
      <w:r w:rsidRPr="00F52CA3">
        <w:t>ITE</w:t>
      </w:r>
      <w:r w:rsidR="00E21712" w:rsidRPr="00F52CA3">
        <w:t xml:space="preserve"> </w:t>
      </w:r>
      <w:r w:rsidRPr="00F52CA3">
        <w:t>programs</w:t>
      </w:r>
      <w:r w:rsidR="00E21712" w:rsidRPr="00F52CA3">
        <w:t xml:space="preserve"> </w:t>
      </w:r>
      <w:r w:rsidRPr="00F52CA3">
        <w:t>is</w:t>
      </w:r>
      <w:r w:rsidR="00E21712" w:rsidRPr="00F52CA3">
        <w:t xml:space="preserve"> </w:t>
      </w:r>
      <w:r w:rsidRPr="00F52CA3">
        <w:t>highly</w:t>
      </w:r>
      <w:r w:rsidR="00E21712" w:rsidRPr="00F52CA3">
        <w:t xml:space="preserve"> </w:t>
      </w:r>
      <w:r w:rsidRPr="00F52CA3">
        <w:t>valued</w:t>
      </w:r>
      <w:r w:rsidR="00E21712" w:rsidRPr="00F52CA3">
        <w:t xml:space="preserve"> </w:t>
      </w:r>
      <w:r w:rsidRPr="00F52CA3">
        <w:t>by</w:t>
      </w:r>
      <w:r w:rsidR="00E21712" w:rsidRPr="00F52CA3">
        <w:t xml:space="preserve"> </w:t>
      </w:r>
      <w:r w:rsidRPr="00F52CA3">
        <w:t>students</w:t>
      </w:r>
      <w:r w:rsidR="00E21712" w:rsidRPr="00F52CA3">
        <w:t xml:space="preserve"> </w:t>
      </w:r>
      <w:r w:rsidRPr="00F52CA3">
        <w:t>and</w:t>
      </w:r>
      <w:r w:rsidR="00E21712" w:rsidRPr="00F52CA3">
        <w:t xml:space="preserve"> </w:t>
      </w:r>
      <w:r w:rsidRPr="00F52CA3">
        <w:t>potentially</w:t>
      </w:r>
      <w:r w:rsidR="00E21712" w:rsidRPr="00F52CA3">
        <w:t xml:space="preserve"> </w:t>
      </w:r>
      <w:r w:rsidRPr="00F52CA3">
        <w:t>offers</w:t>
      </w:r>
      <w:r w:rsidR="00E21712" w:rsidRPr="00F52CA3">
        <w:t xml:space="preserve"> </w:t>
      </w:r>
      <w:r w:rsidRPr="00F52CA3">
        <w:t>the</w:t>
      </w:r>
      <w:r w:rsidR="00E21712" w:rsidRPr="00F52CA3">
        <w:t xml:space="preserve"> </w:t>
      </w:r>
      <w:r w:rsidRPr="00F52CA3">
        <w:t>work</w:t>
      </w:r>
      <w:r w:rsidR="00E21712" w:rsidRPr="00F52CA3">
        <w:t xml:space="preserve"> </w:t>
      </w:r>
      <w:r w:rsidRPr="00F52CA3">
        <w:t>force</w:t>
      </w:r>
      <w:r w:rsidR="00E21712" w:rsidRPr="00F52CA3">
        <w:t xml:space="preserve"> </w:t>
      </w:r>
      <w:r w:rsidRPr="00F52CA3">
        <w:t>a</w:t>
      </w:r>
      <w:r w:rsidR="00E21712" w:rsidRPr="00F52CA3">
        <w:t xml:space="preserve"> </w:t>
      </w:r>
      <w:r w:rsidRPr="00F52CA3">
        <w:t>diverse</w:t>
      </w:r>
      <w:r w:rsidR="00E21712" w:rsidRPr="00F52CA3">
        <w:t xml:space="preserve"> </w:t>
      </w:r>
      <w:r w:rsidRPr="00F52CA3">
        <w:t>range</w:t>
      </w:r>
      <w:r w:rsidR="00E21712" w:rsidRPr="00F52CA3">
        <w:t xml:space="preserve"> </w:t>
      </w:r>
      <w:r w:rsidRPr="00F52CA3">
        <w:t>of</w:t>
      </w:r>
      <w:r w:rsidR="00E21712" w:rsidRPr="00F52CA3">
        <w:t xml:space="preserve"> </w:t>
      </w:r>
      <w:r w:rsidRPr="00F52CA3">
        <w:t>graduate</w:t>
      </w:r>
      <w:r w:rsidR="00E21712" w:rsidRPr="00F52CA3">
        <w:t xml:space="preserve"> </w:t>
      </w:r>
      <w:r w:rsidRPr="00F52CA3">
        <w:t>teachers</w:t>
      </w:r>
    </w:p>
    <w:p w14:paraId="69A2320E" w14:textId="77777777" w:rsidR="005106E9" w:rsidRPr="00F52CA3" w:rsidRDefault="005106E9" w:rsidP="005106E9"/>
    <w:p w14:paraId="2F9F55BB" w14:textId="1B9FBEF0" w:rsidR="001D2C30" w:rsidRPr="00F52CA3" w:rsidRDefault="001D2C30" w:rsidP="005106E9">
      <w:pPr>
        <w:pStyle w:val="ListParagraph"/>
        <w:numPr>
          <w:ilvl w:val="0"/>
          <w:numId w:val="3"/>
        </w:numPr>
      </w:pPr>
      <w:r w:rsidRPr="00F52CA3">
        <w:t>It</w:t>
      </w:r>
      <w:r w:rsidR="00E21712" w:rsidRPr="00F52CA3">
        <w:t xml:space="preserve"> </w:t>
      </w:r>
      <w:r w:rsidRPr="00F52CA3">
        <w:t>is</w:t>
      </w:r>
      <w:r w:rsidR="00E21712" w:rsidRPr="00F52CA3">
        <w:t xml:space="preserve"> </w:t>
      </w:r>
      <w:r w:rsidRPr="00F52CA3">
        <w:t>also</w:t>
      </w:r>
      <w:r w:rsidR="00E21712" w:rsidRPr="00F52CA3">
        <w:t xml:space="preserve"> </w:t>
      </w:r>
      <w:r w:rsidRPr="00F52CA3">
        <w:t>to</w:t>
      </w:r>
      <w:r w:rsidR="00E21712" w:rsidRPr="00F52CA3">
        <w:t xml:space="preserve"> </w:t>
      </w:r>
      <w:r w:rsidRPr="00F52CA3">
        <w:t>be</w:t>
      </w:r>
      <w:r w:rsidR="00E21712" w:rsidRPr="00F52CA3">
        <w:t xml:space="preserve"> </w:t>
      </w:r>
      <w:r w:rsidRPr="00F52CA3">
        <w:t>celebrated</w:t>
      </w:r>
      <w:r w:rsidR="00E21712" w:rsidRPr="00F52CA3">
        <w:t xml:space="preserve"> </w:t>
      </w:r>
      <w:r w:rsidRPr="00F52CA3">
        <w:t>that</w:t>
      </w:r>
      <w:r w:rsidR="00E21712" w:rsidRPr="00F52CA3">
        <w:t xml:space="preserve"> </w:t>
      </w:r>
      <w:r w:rsidRPr="00F52CA3">
        <w:t>there</w:t>
      </w:r>
      <w:r w:rsidR="00E21712" w:rsidRPr="00F52CA3">
        <w:t xml:space="preserve"> </w:t>
      </w:r>
      <w:r w:rsidRPr="00F52CA3">
        <w:t>are</w:t>
      </w:r>
      <w:r w:rsidR="00E21712" w:rsidRPr="00F52CA3">
        <w:t xml:space="preserve"> </w:t>
      </w:r>
      <w:r w:rsidRPr="00F52CA3">
        <w:t>multiple</w:t>
      </w:r>
      <w:r w:rsidR="00E21712" w:rsidRPr="00F52CA3">
        <w:t xml:space="preserve"> </w:t>
      </w:r>
      <w:r w:rsidRPr="00F52CA3">
        <w:t>pathways</w:t>
      </w:r>
      <w:r w:rsidR="00E21712" w:rsidRPr="00F52CA3">
        <w:t xml:space="preserve"> </w:t>
      </w:r>
      <w:r w:rsidRPr="00F52CA3">
        <w:t>to</w:t>
      </w:r>
      <w:r w:rsidR="00E21712" w:rsidRPr="00F52CA3">
        <w:t xml:space="preserve"> </w:t>
      </w:r>
      <w:r w:rsidRPr="00F52CA3">
        <w:t>complete</w:t>
      </w:r>
      <w:r w:rsidR="00E21712" w:rsidRPr="00F52CA3">
        <w:t xml:space="preserve"> </w:t>
      </w:r>
      <w:r w:rsidRPr="00F52CA3">
        <w:t>a</w:t>
      </w:r>
      <w:r w:rsidR="00E21712" w:rsidRPr="00F52CA3">
        <w:t xml:space="preserve"> </w:t>
      </w:r>
      <w:r w:rsidRPr="00F52CA3">
        <w:t>teacher</w:t>
      </w:r>
      <w:r w:rsidR="00E21712" w:rsidRPr="00F52CA3">
        <w:t xml:space="preserve"> </w:t>
      </w:r>
      <w:r w:rsidRPr="00F52CA3">
        <w:t>preparation</w:t>
      </w:r>
      <w:r w:rsidR="00E21712" w:rsidRPr="00F52CA3">
        <w:t xml:space="preserve"> </w:t>
      </w:r>
      <w:r w:rsidRPr="00F52CA3">
        <w:t>program</w:t>
      </w:r>
      <w:r w:rsidR="00E21712" w:rsidRPr="00F52CA3">
        <w:t xml:space="preserve"> </w:t>
      </w:r>
      <w:r w:rsidRPr="00F52CA3">
        <w:t>responding</w:t>
      </w:r>
      <w:r w:rsidR="00E21712" w:rsidRPr="00F52CA3">
        <w:t xml:space="preserve"> </w:t>
      </w:r>
      <w:r w:rsidRPr="00F52CA3">
        <w:t>to</w:t>
      </w:r>
      <w:r w:rsidR="00E21712" w:rsidRPr="00F52CA3">
        <w:t xml:space="preserve"> </w:t>
      </w:r>
      <w:r w:rsidRPr="00F52CA3">
        <w:t>the</w:t>
      </w:r>
      <w:r w:rsidR="00E21712" w:rsidRPr="00F52CA3">
        <w:t xml:space="preserve"> </w:t>
      </w:r>
      <w:r w:rsidRPr="00F52CA3">
        <w:t>diverse</w:t>
      </w:r>
      <w:r w:rsidR="00E21712" w:rsidRPr="00F52CA3">
        <w:t xml:space="preserve"> </w:t>
      </w:r>
      <w:r w:rsidRPr="00F52CA3">
        <w:t>needs</w:t>
      </w:r>
      <w:r w:rsidR="00E21712" w:rsidRPr="00F52CA3">
        <w:t xml:space="preserve"> </w:t>
      </w:r>
      <w:r w:rsidRPr="00F52CA3">
        <w:t>of</w:t>
      </w:r>
      <w:r w:rsidR="00E21712" w:rsidRPr="00F52CA3">
        <w:t xml:space="preserve"> </w:t>
      </w:r>
      <w:r w:rsidRPr="00F52CA3">
        <w:t>both</w:t>
      </w:r>
      <w:r w:rsidR="00E21712" w:rsidRPr="00F52CA3">
        <w:t xml:space="preserve"> </w:t>
      </w:r>
      <w:r w:rsidRPr="00F52CA3">
        <w:t>potential</w:t>
      </w:r>
      <w:r w:rsidR="00E21712" w:rsidRPr="00F52CA3">
        <w:t xml:space="preserve"> </w:t>
      </w:r>
      <w:r w:rsidRPr="00F52CA3">
        <w:t>graduates</w:t>
      </w:r>
      <w:r w:rsidR="00E21712" w:rsidRPr="00F52CA3">
        <w:t xml:space="preserve"> </w:t>
      </w:r>
      <w:r w:rsidRPr="00F52CA3">
        <w:t>and</w:t>
      </w:r>
      <w:r w:rsidR="00E21712" w:rsidRPr="00F52CA3">
        <w:t xml:space="preserve"> </w:t>
      </w:r>
      <w:r w:rsidRPr="00F52CA3">
        <w:t>the</w:t>
      </w:r>
      <w:r w:rsidR="00E21712" w:rsidRPr="00F52CA3">
        <w:t xml:space="preserve"> </w:t>
      </w:r>
      <w:r w:rsidRPr="00F52CA3">
        <w:t>future</w:t>
      </w:r>
      <w:r w:rsidR="00E21712" w:rsidRPr="00F52CA3">
        <w:t xml:space="preserve"> </w:t>
      </w:r>
      <w:r w:rsidRPr="00F52CA3">
        <w:t>needs</w:t>
      </w:r>
      <w:r w:rsidR="00E21712" w:rsidRPr="00F52CA3">
        <w:t xml:space="preserve"> </w:t>
      </w:r>
      <w:r w:rsidRPr="00F52CA3">
        <w:t>of</w:t>
      </w:r>
      <w:r w:rsidR="00E21712" w:rsidRPr="00F52CA3">
        <w:t xml:space="preserve"> </w:t>
      </w:r>
      <w:r w:rsidRPr="00F52CA3">
        <w:t>the</w:t>
      </w:r>
      <w:r w:rsidR="00E21712" w:rsidRPr="00F52CA3">
        <w:t xml:space="preserve"> </w:t>
      </w:r>
      <w:r w:rsidRPr="00F52CA3">
        <w:t>workforce.</w:t>
      </w:r>
      <w:r w:rsidR="00E21712" w:rsidRPr="00F52CA3">
        <w:t xml:space="preserve"> </w:t>
      </w:r>
      <w:r w:rsidRPr="00F52CA3">
        <w:t>It</w:t>
      </w:r>
      <w:r w:rsidR="00E21712" w:rsidRPr="00F52CA3">
        <w:t xml:space="preserve"> </w:t>
      </w:r>
      <w:r w:rsidRPr="00F52CA3">
        <w:t>also</w:t>
      </w:r>
      <w:r w:rsidR="00E21712" w:rsidRPr="00F52CA3">
        <w:t xml:space="preserve"> </w:t>
      </w:r>
      <w:r w:rsidRPr="00F52CA3">
        <w:t>invites</w:t>
      </w:r>
      <w:r w:rsidR="00E21712" w:rsidRPr="00F52CA3">
        <w:t xml:space="preserve"> </w:t>
      </w:r>
      <w:r w:rsidRPr="00F52CA3">
        <w:t>different</w:t>
      </w:r>
      <w:r w:rsidR="00E21712" w:rsidRPr="00F52CA3">
        <w:t xml:space="preserve"> </w:t>
      </w:r>
      <w:r w:rsidRPr="00F52CA3">
        <w:t>providers</w:t>
      </w:r>
      <w:r w:rsidR="00E21712" w:rsidRPr="00F52CA3">
        <w:t xml:space="preserve"> </w:t>
      </w:r>
      <w:r w:rsidRPr="00F52CA3">
        <w:t>to</w:t>
      </w:r>
      <w:r w:rsidR="00E21712" w:rsidRPr="00F52CA3">
        <w:t xml:space="preserve"> </w:t>
      </w:r>
      <w:r w:rsidRPr="00F52CA3">
        <w:t>specialise</w:t>
      </w:r>
      <w:r w:rsidR="00E21712" w:rsidRPr="00F52CA3">
        <w:t xml:space="preserve"> </w:t>
      </w:r>
      <w:r w:rsidRPr="00F52CA3">
        <w:t>in</w:t>
      </w:r>
      <w:r w:rsidR="00E21712" w:rsidRPr="00F52CA3">
        <w:t xml:space="preserve"> </w:t>
      </w:r>
      <w:r w:rsidRPr="00F52CA3">
        <w:t>offering</w:t>
      </w:r>
      <w:r w:rsidR="00E21712" w:rsidRPr="00F52CA3">
        <w:t xml:space="preserve"> </w:t>
      </w:r>
      <w:r w:rsidRPr="00F52CA3">
        <w:t>programs</w:t>
      </w:r>
      <w:r w:rsidR="00E21712" w:rsidRPr="00F52CA3">
        <w:t xml:space="preserve"> </w:t>
      </w:r>
      <w:r w:rsidRPr="00F52CA3">
        <w:t>where</w:t>
      </w:r>
      <w:r w:rsidR="00E21712" w:rsidRPr="00F52CA3">
        <w:t xml:space="preserve"> </w:t>
      </w:r>
      <w:r w:rsidRPr="00F52CA3">
        <w:t>their</w:t>
      </w:r>
      <w:r w:rsidR="00E21712" w:rsidRPr="00F52CA3">
        <w:t xml:space="preserve"> </w:t>
      </w:r>
      <w:r w:rsidRPr="00F52CA3">
        <w:t>expertise</w:t>
      </w:r>
      <w:r w:rsidR="00E21712" w:rsidRPr="00F52CA3">
        <w:t xml:space="preserve"> </w:t>
      </w:r>
      <w:r w:rsidRPr="00F52CA3">
        <w:t>is</w:t>
      </w:r>
      <w:r w:rsidR="00E21712" w:rsidRPr="00F52CA3">
        <w:t xml:space="preserve"> </w:t>
      </w:r>
      <w:r w:rsidRPr="00F52CA3">
        <w:t>found.</w:t>
      </w:r>
      <w:r w:rsidR="00E21712" w:rsidRPr="00F52CA3">
        <w:t xml:space="preserve"> </w:t>
      </w:r>
      <w:r w:rsidRPr="00F52CA3">
        <w:t>The</w:t>
      </w:r>
      <w:r w:rsidR="00E21712" w:rsidRPr="00F52CA3">
        <w:t xml:space="preserve"> </w:t>
      </w:r>
      <w:r w:rsidRPr="00F52CA3">
        <w:t>programs</w:t>
      </w:r>
      <w:r w:rsidR="00E21712" w:rsidRPr="00F52CA3">
        <w:t xml:space="preserve"> </w:t>
      </w:r>
      <w:r w:rsidRPr="00F52CA3">
        <w:t>include</w:t>
      </w:r>
      <w:r w:rsidR="00E21712" w:rsidRPr="00F52CA3">
        <w:t xml:space="preserve"> </w:t>
      </w:r>
      <w:r w:rsidRPr="00F52CA3">
        <w:t>single</w:t>
      </w:r>
      <w:r w:rsidR="00E21712" w:rsidRPr="00F52CA3">
        <w:t xml:space="preserve"> </w:t>
      </w:r>
      <w:r w:rsidRPr="00F52CA3">
        <w:t>undergraduate</w:t>
      </w:r>
      <w:r w:rsidR="00E21712" w:rsidRPr="00F52CA3">
        <w:t xml:space="preserve"> </w:t>
      </w:r>
      <w:r w:rsidR="005106E9" w:rsidRPr="00F52CA3">
        <w:t>degrees</w:t>
      </w:r>
      <w:r w:rsidR="00E21712" w:rsidRPr="00F52CA3">
        <w:t xml:space="preserve"> </w:t>
      </w:r>
      <w:r w:rsidRPr="00F52CA3">
        <w:t>(</w:t>
      </w:r>
      <w:r w:rsidR="005106E9" w:rsidRPr="00F52CA3">
        <w:t>e.g.,</w:t>
      </w:r>
      <w:r w:rsidR="00E21712" w:rsidRPr="00F52CA3">
        <w:t xml:space="preserve"> </w:t>
      </w:r>
      <w:r w:rsidRPr="00F52CA3">
        <w:t>B</w:t>
      </w:r>
      <w:r w:rsidR="005106E9" w:rsidRPr="00F52CA3">
        <w:t>achelor</w:t>
      </w:r>
      <w:r w:rsidR="00E21712" w:rsidRPr="00F52CA3">
        <w:t xml:space="preserve"> </w:t>
      </w:r>
      <w:r w:rsidRPr="00F52CA3">
        <w:t>Ed</w:t>
      </w:r>
      <w:r w:rsidR="005106E9" w:rsidRPr="00F52CA3">
        <w:t>ucation,</w:t>
      </w:r>
      <w:r w:rsidR="00E21712" w:rsidRPr="00F52CA3">
        <w:t xml:space="preserve"> </w:t>
      </w:r>
      <w:r w:rsidR="005106E9" w:rsidRPr="00F52CA3">
        <w:t>Bachelor</w:t>
      </w:r>
      <w:r w:rsidR="00E21712" w:rsidRPr="00F52CA3">
        <w:t xml:space="preserve"> </w:t>
      </w:r>
      <w:r w:rsidR="005106E9" w:rsidRPr="00F52CA3">
        <w:t>of</w:t>
      </w:r>
      <w:r w:rsidR="00E21712" w:rsidRPr="00F52CA3">
        <w:t xml:space="preserve"> </w:t>
      </w:r>
      <w:r w:rsidR="005106E9" w:rsidRPr="00F52CA3">
        <w:t>Early</w:t>
      </w:r>
      <w:r w:rsidR="00E21712" w:rsidRPr="00F52CA3">
        <w:t xml:space="preserve"> </w:t>
      </w:r>
      <w:r w:rsidR="005106E9" w:rsidRPr="00F52CA3">
        <w:t>Childhood</w:t>
      </w:r>
      <w:r w:rsidR="00E21712" w:rsidRPr="00F52CA3">
        <w:t xml:space="preserve"> </w:t>
      </w:r>
      <w:r w:rsidR="005106E9" w:rsidRPr="00F52CA3">
        <w:t>Education),</w:t>
      </w:r>
      <w:r w:rsidR="00E21712" w:rsidRPr="00F52CA3">
        <w:t xml:space="preserve"> </w:t>
      </w:r>
      <w:r w:rsidR="005106E9" w:rsidRPr="00F52CA3">
        <w:t>double</w:t>
      </w:r>
      <w:r w:rsidR="00E21712" w:rsidRPr="00F52CA3">
        <w:t xml:space="preserve"> </w:t>
      </w:r>
      <w:r w:rsidR="005106E9" w:rsidRPr="00F52CA3">
        <w:t>or</w:t>
      </w:r>
      <w:r w:rsidR="00E21712" w:rsidRPr="00F52CA3">
        <w:t xml:space="preserve"> </w:t>
      </w:r>
      <w:r w:rsidR="005106E9" w:rsidRPr="00F52CA3">
        <w:t>companion</w:t>
      </w:r>
      <w:r w:rsidR="00E21712" w:rsidRPr="00F52CA3">
        <w:t xml:space="preserve"> </w:t>
      </w:r>
      <w:r w:rsidR="005106E9" w:rsidRPr="00F52CA3">
        <w:t>degrees</w:t>
      </w:r>
      <w:r w:rsidR="00E21712" w:rsidRPr="00F52CA3">
        <w:t xml:space="preserve"> </w:t>
      </w:r>
      <w:r w:rsidR="005106E9" w:rsidRPr="00F52CA3">
        <w:t>(e.g.,</w:t>
      </w:r>
      <w:r w:rsidR="00E21712" w:rsidRPr="00F52CA3">
        <w:t xml:space="preserve"> </w:t>
      </w:r>
      <w:r w:rsidR="005106E9" w:rsidRPr="00F52CA3">
        <w:t>Bachelor</w:t>
      </w:r>
      <w:r w:rsidR="00E21712" w:rsidRPr="00F52CA3">
        <w:t xml:space="preserve"> </w:t>
      </w:r>
      <w:r w:rsidR="005106E9" w:rsidRPr="00F52CA3">
        <w:t>of</w:t>
      </w:r>
      <w:r w:rsidR="00E21712" w:rsidRPr="00F52CA3">
        <w:t xml:space="preserve"> </w:t>
      </w:r>
      <w:r w:rsidR="005106E9" w:rsidRPr="00F52CA3">
        <w:t>Education/Bachelor</w:t>
      </w:r>
      <w:r w:rsidR="00E21712" w:rsidRPr="00F52CA3">
        <w:t xml:space="preserve"> </w:t>
      </w:r>
      <w:r w:rsidR="005106E9" w:rsidRPr="00F52CA3">
        <w:t>of</w:t>
      </w:r>
      <w:r w:rsidR="00E21712" w:rsidRPr="00F52CA3">
        <w:t xml:space="preserve"> </w:t>
      </w:r>
      <w:r w:rsidR="005106E9" w:rsidRPr="00F52CA3">
        <w:t>Science),</w:t>
      </w:r>
      <w:r w:rsidR="00E21712" w:rsidRPr="00F52CA3">
        <w:t xml:space="preserve"> </w:t>
      </w:r>
      <w:r w:rsidR="005106E9" w:rsidRPr="00F52CA3">
        <w:t>postgraduate</w:t>
      </w:r>
      <w:r w:rsidR="00E21712" w:rsidRPr="00F52CA3">
        <w:t xml:space="preserve"> </w:t>
      </w:r>
      <w:r w:rsidR="005106E9" w:rsidRPr="00F52CA3">
        <w:t>programs</w:t>
      </w:r>
      <w:r w:rsidR="00E21712" w:rsidRPr="00F52CA3">
        <w:t xml:space="preserve"> </w:t>
      </w:r>
      <w:r w:rsidR="005106E9" w:rsidRPr="00F52CA3">
        <w:t>(e.g.,</w:t>
      </w:r>
      <w:r w:rsidR="00E21712" w:rsidRPr="00F52CA3">
        <w:t xml:space="preserve"> </w:t>
      </w:r>
      <w:r w:rsidR="005106E9" w:rsidRPr="00F52CA3">
        <w:t>Master</w:t>
      </w:r>
      <w:r w:rsidR="00E21712" w:rsidRPr="00F52CA3">
        <w:t xml:space="preserve"> </w:t>
      </w:r>
      <w:r w:rsidR="005106E9" w:rsidRPr="00F52CA3">
        <w:t>of</w:t>
      </w:r>
      <w:r w:rsidR="00E21712" w:rsidRPr="00F52CA3">
        <w:t xml:space="preserve"> </w:t>
      </w:r>
      <w:r w:rsidR="005106E9" w:rsidRPr="00F52CA3">
        <w:t>Teaching).</w:t>
      </w:r>
      <w:r w:rsidR="00E21712" w:rsidRPr="00F52CA3">
        <w:t xml:space="preserve"> </w:t>
      </w:r>
      <w:r w:rsidR="005106E9" w:rsidRPr="00F52CA3">
        <w:t>The</w:t>
      </w:r>
      <w:r w:rsidR="00E21712" w:rsidRPr="00F52CA3">
        <w:t xml:space="preserve"> </w:t>
      </w:r>
      <w:r w:rsidR="005106E9" w:rsidRPr="00F52CA3">
        <w:t>timing,</w:t>
      </w:r>
      <w:r w:rsidR="00E21712" w:rsidRPr="00F52CA3">
        <w:t xml:space="preserve"> </w:t>
      </w:r>
      <w:r w:rsidR="005106E9" w:rsidRPr="00F52CA3">
        <w:t>cost,</w:t>
      </w:r>
      <w:r w:rsidR="00E21712" w:rsidRPr="00F52CA3">
        <w:t xml:space="preserve"> </w:t>
      </w:r>
      <w:r w:rsidR="005106E9" w:rsidRPr="00F52CA3">
        <w:t>location,</w:t>
      </w:r>
      <w:r w:rsidR="00E21712" w:rsidRPr="00F52CA3">
        <w:t xml:space="preserve"> </w:t>
      </w:r>
      <w:r w:rsidR="005106E9" w:rsidRPr="00F52CA3">
        <w:t>modes</w:t>
      </w:r>
      <w:r w:rsidR="00E21712" w:rsidRPr="00F52CA3">
        <w:t xml:space="preserve"> </w:t>
      </w:r>
      <w:r w:rsidR="005106E9" w:rsidRPr="00F52CA3">
        <w:t>of</w:t>
      </w:r>
      <w:r w:rsidR="00E21712" w:rsidRPr="00F52CA3">
        <w:t xml:space="preserve"> </w:t>
      </w:r>
      <w:r w:rsidR="005106E9" w:rsidRPr="00F52CA3">
        <w:t>delivery</w:t>
      </w:r>
      <w:r w:rsidR="00E21712" w:rsidRPr="00F52CA3">
        <w:t xml:space="preserve"> </w:t>
      </w:r>
      <w:r w:rsidR="005106E9" w:rsidRPr="00F52CA3">
        <w:t>and</w:t>
      </w:r>
      <w:r w:rsidR="00E21712" w:rsidRPr="00F52CA3">
        <w:t xml:space="preserve"> </w:t>
      </w:r>
      <w:r w:rsidR="005106E9" w:rsidRPr="00F52CA3">
        <w:t>length</w:t>
      </w:r>
      <w:r w:rsidR="00E21712" w:rsidRPr="00F52CA3">
        <w:t xml:space="preserve"> </w:t>
      </w:r>
      <w:r w:rsidR="005106E9" w:rsidRPr="00F52CA3">
        <w:t>of</w:t>
      </w:r>
      <w:r w:rsidR="00E21712" w:rsidRPr="00F52CA3">
        <w:t xml:space="preserve"> </w:t>
      </w:r>
      <w:r w:rsidR="005106E9" w:rsidRPr="00F52CA3">
        <w:t>the</w:t>
      </w:r>
      <w:r w:rsidR="00E21712" w:rsidRPr="00F52CA3">
        <w:t xml:space="preserve"> </w:t>
      </w:r>
      <w:r w:rsidR="005106E9" w:rsidRPr="00F52CA3">
        <w:t>study</w:t>
      </w:r>
      <w:r w:rsidR="00E21712" w:rsidRPr="00F52CA3">
        <w:t xml:space="preserve"> </w:t>
      </w:r>
      <w:r w:rsidR="005106E9" w:rsidRPr="00F52CA3">
        <w:t>periods</w:t>
      </w:r>
      <w:r w:rsidR="00E21712" w:rsidRPr="00F52CA3">
        <w:t xml:space="preserve"> </w:t>
      </w:r>
      <w:r w:rsidR="005106E9" w:rsidRPr="00F52CA3">
        <w:t>vary</w:t>
      </w:r>
      <w:r w:rsidR="00E21712" w:rsidRPr="00F52CA3">
        <w:t xml:space="preserve"> </w:t>
      </w:r>
      <w:r w:rsidR="005106E9" w:rsidRPr="00F52CA3">
        <w:t>and</w:t>
      </w:r>
      <w:r w:rsidR="00E21712" w:rsidRPr="00F52CA3">
        <w:t xml:space="preserve"> </w:t>
      </w:r>
      <w:r w:rsidR="005106E9" w:rsidRPr="00F52CA3">
        <w:t>give</w:t>
      </w:r>
      <w:r w:rsidR="00E21712" w:rsidRPr="00F52CA3">
        <w:t xml:space="preserve"> </w:t>
      </w:r>
      <w:r w:rsidR="005106E9" w:rsidRPr="00F52CA3">
        <w:t>students</w:t>
      </w:r>
      <w:r w:rsidR="00E21712" w:rsidRPr="00F52CA3">
        <w:t xml:space="preserve"> </w:t>
      </w:r>
      <w:r w:rsidR="005106E9" w:rsidRPr="00F52CA3">
        <w:t>a</w:t>
      </w:r>
      <w:r w:rsidR="00E21712" w:rsidRPr="00F52CA3">
        <w:t xml:space="preserve"> </w:t>
      </w:r>
      <w:r w:rsidR="005106E9" w:rsidRPr="00F52CA3">
        <w:t>great</w:t>
      </w:r>
      <w:r w:rsidR="00E21712" w:rsidRPr="00F52CA3">
        <w:t xml:space="preserve"> </w:t>
      </w:r>
      <w:r w:rsidR="005106E9" w:rsidRPr="00F52CA3">
        <w:t>deal</w:t>
      </w:r>
      <w:r w:rsidR="00E21712" w:rsidRPr="00F52CA3">
        <w:t xml:space="preserve"> </w:t>
      </w:r>
      <w:r w:rsidR="005106E9" w:rsidRPr="00F52CA3">
        <w:t>of</w:t>
      </w:r>
      <w:r w:rsidR="00E21712" w:rsidRPr="00F52CA3">
        <w:t xml:space="preserve"> </w:t>
      </w:r>
      <w:r w:rsidR="005106E9" w:rsidRPr="00F52CA3">
        <w:t>choice</w:t>
      </w:r>
      <w:r w:rsidR="00E21712" w:rsidRPr="00F52CA3">
        <w:t xml:space="preserve"> </w:t>
      </w:r>
      <w:r w:rsidR="005106E9" w:rsidRPr="00F52CA3">
        <w:t>as</w:t>
      </w:r>
      <w:r w:rsidR="00E21712" w:rsidRPr="00F52CA3">
        <w:t xml:space="preserve"> </w:t>
      </w:r>
      <w:r w:rsidR="005106E9" w:rsidRPr="00F52CA3">
        <w:t>to</w:t>
      </w:r>
      <w:r w:rsidR="00E21712" w:rsidRPr="00F52CA3">
        <w:t xml:space="preserve"> </w:t>
      </w:r>
      <w:r w:rsidR="005106E9" w:rsidRPr="00F52CA3">
        <w:t>when</w:t>
      </w:r>
      <w:r w:rsidR="00E21712" w:rsidRPr="00F52CA3">
        <w:t xml:space="preserve"> </w:t>
      </w:r>
      <w:r w:rsidR="005106E9" w:rsidRPr="00F52CA3">
        <w:t>and</w:t>
      </w:r>
      <w:r w:rsidR="00E21712" w:rsidRPr="00F52CA3">
        <w:t xml:space="preserve"> </w:t>
      </w:r>
      <w:r w:rsidR="005106E9" w:rsidRPr="00F52CA3">
        <w:t>how</w:t>
      </w:r>
      <w:r w:rsidR="00E21712" w:rsidRPr="00F52CA3">
        <w:t xml:space="preserve"> </w:t>
      </w:r>
      <w:r w:rsidR="005106E9" w:rsidRPr="00F52CA3">
        <w:t>they</w:t>
      </w:r>
      <w:r w:rsidR="00E21712" w:rsidRPr="00F52CA3">
        <w:t xml:space="preserve"> </w:t>
      </w:r>
      <w:r w:rsidR="005106E9" w:rsidRPr="00F52CA3">
        <w:t>access</w:t>
      </w:r>
      <w:r w:rsidR="00E21712" w:rsidRPr="00F52CA3">
        <w:t xml:space="preserve"> </w:t>
      </w:r>
      <w:r w:rsidR="005106E9" w:rsidRPr="00F52CA3">
        <w:t>a</w:t>
      </w:r>
      <w:r w:rsidR="00E21712" w:rsidRPr="00F52CA3">
        <w:t xml:space="preserve"> </w:t>
      </w:r>
      <w:r w:rsidR="005106E9" w:rsidRPr="00F52CA3">
        <w:t>program.</w:t>
      </w:r>
      <w:r w:rsidR="00E21712" w:rsidRPr="00F52CA3">
        <w:t xml:space="preserve"> </w:t>
      </w:r>
      <w:r w:rsidR="005106E9" w:rsidRPr="00F52CA3">
        <w:t>This</w:t>
      </w:r>
      <w:r w:rsidR="00E21712" w:rsidRPr="00F52CA3">
        <w:t xml:space="preserve"> </w:t>
      </w:r>
      <w:r w:rsidR="005106E9" w:rsidRPr="00F52CA3">
        <w:t>is</w:t>
      </w:r>
      <w:r w:rsidR="00E21712" w:rsidRPr="00F52CA3">
        <w:t xml:space="preserve"> </w:t>
      </w:r>
      <w:r w:rsidR="005106E9" w:rsidRPr="00F52CA3">
        <w:t>particularly</w:t>
      </w:r>
      <w:r w:rsidR="00E21712" w:rsidRPr="00F52CA3">
        <w:t xml:space="preserve"> </w:t>
      </w:r>
      <w:r w:rsidR="005106E9" w:rsidRPr="00F52CA3">
        <w:t>important</w:t>
      </w:r>
      <w:r w:rsidR="00E21712" w:rsidRPr="00F52CA3">
        <w:t xml:space="preserve"> </w:t>
      </w:r>
      <w:r w:rsidR="005106E9" w:rsidRPr="00F52CA3">
        <w:t>for</w:t>
      </w:r>
      <w:r w:rsidR="00E21712" w:rsidRPr="00F52CA3">
        <w:t xml:space="preserve"> </w:t>
      </w:r>
      <w:r w:rsidR="005106E9" w:rsidRPr="00F52CA3">
        <w:t>mature</w:t>
      </w:r>
      <w:r w:rsidR="00E21712" w:rsidRPr="00F52CA3">
        <w:t xml:space="preserve"> </w:t>
      </w:r>
      <w:r w:rsidR="005106E9" w:rsidRPr="00F52CA3">
        <w:t>age</w:t>
      </w:r>
      <w:r w:rsidR="00E21712" w:rsidRPr="00F52CA3">
        <w:t xml:space="preserve"> </w:t>
      </w:r>
      <w:r w:rsidR="005106E9" w:rsidRPr="00F52CA3">
        <w:t>students,</w:t>
      </w:r>
      <w:r w:rsidR="00E21712" w:rsidRPr="00F52CA3">
        <w:t xml:space="preserve"> </w:t>
      </w:r>
      <w:r w:rsidR="005106E9" w:rsidRPr="00F52CA3">
        <w:t>career</w:t>
      </w:r>
      <w:r w:rsidR="00E21712" w:rsidRPr="00F52CA3">
        <w:t xml:space="preserve"> </w:t>
      </w:r>
      <w:r w:rsidR="005106E9" w:rsidRPr="00F52CA3">
        <w:t>change</w:t>
      </w:r>
      <w:r w:rsidR="00E21712" w:rsidRPr="00F52CA3">
        <w:t xml:space="preserve"> </w:t>
      </w:r>
      <w:r w:rsidR="005106E9" w:rsidRPr="00F52CA3">
        <w:t>students,</w:t>
      </w:r>
      <w:r w:rsidR="00E21712" w:rsidRPr="00F52CA3">
        <w:t xml:space="preserve"> </w:t>
      </w:r>
      <w:r w:rsidR="005106E9" w:rsidRPr="00F52CA3">
        <w:t>Aboriginal</w:t>
      </w:r>
      <w:r w:rsidR="00E21712" w:rsidRPr="00F52CA3">
        <w:t xml:space="preserve"> </w:t>
      </w:r>
      <w:r w:rsidR="005106E9" w:rsidRPr="00F52CA3">
        <w:t>and</w:t>
      </w:r>
      <w:r w:rsidR="00E21712" w:rsidRPr="00F52CA3">
        <w:t xml:space="preserve"> </w:t>
      </w:r>
      <w:r w:rsidR="005106E9" w:rsidRPr="00F52CA3">
        <w:t>Torres</w:t>
      </w:r>
      <w:r w:rsidR="00E21712" w:rsidRPr="00F52CA3">
        <w:t xml:space="preserve"> </w:t>
      </w:r>
      <w:r w:rsidR="005106E9" w:rsidRPr="00F52CA3">
        <w:t>Strait</w:t>
      </w:r>
      <w:r w:rsidR="00E21712" w:rsidRPr="00F52CA3">
        <w:t xml:space="preserve"> </w:t>
      </w:r>
      <w:r w:rsidR="005106E9" w:rsidRPr="00F52CA3">
        <w:t>Islander</w:t>
      </w:r>
      <w:r w:rsidR="00E21712" w:rsidRPr="00F52CA3">
        <w:t xml:space="preserve"> </w:t>
      </w:r>
      <w:r w:rsidR="005106E9" w:rsidRPr="00F52CA3">
        <w:t>students</w:t>
      </w:r>
      <w:r w:rsidR="00E21712" w:rsidRPr="00F52CA3">
        <w:t xml:space="preserve"> </w:t>
      </w:r>
      <w:r w:rsidR="005106E9" w:rsidRPr="00F52CA3">
        <w:t>and</w:t>
      </w:r>
      <w:r w:rsidR="00E21712" w:rsidRPr="00F52CA3">
        <w:t xml:space="preserve"> </w:t>
      </w:r>
      <w:r w:rsidR="005106E9" w:rsidRPr="00F52CA3">
        <w:t>international</w:t>
      </w:r>
      <w:r w:rsidR="00E21712" w:rsidRPr="00F52CA3">
        <w:t xml:space="preserve"> </w:t>
      </w:r>
      <w:r w:rsidR="005106E9" w:rsidRPr="00F52CA3">
        <w:t>students.</w:t>
      </w:r>
      <w:r w:rsidR="00E21712" w:rsidRPr="00F52CA3">
        <w:t xml:space="preserve"> </w:t>
      </w:r>
      <w:proofErr w:type="gramStart"/>
      <w:r w:rsidR="005106E9" w:rsidRPr="00F52CA3">
        <w:t>A</w:t>
      </w:r>
      <w:r w:rsidR="00E21712" w:rsidRPr="00F52CA3">
        <w:t xml:space="preserve"> </w:t>
      </w:r>
      <w:r w:rsidR="005106E9" w:rsidRPr="00F52CA3">
        <w:t>number</w:t>
      </w:r>
      <w:r w:rsidR="00E21712" w:rsidRPr="00F52CA3">
        <w:t xml:space="preserve"> </w:t>
      </w:r>
      <w:r w:rsidR="005106E9" w:rsidRPr="00F52CA3">
        <w:t>of</w:t>
      </w:r>
      <w:proofErr w:type="gramEnd"/>
      <w:r w:rsidR="00E21712" w:rsidRPr="00F52CA3">
        <w:t xml:space="preserve"> </w:t>
      </w:r>
      <w:r w:rsidR="005106E9" w:rsidRPr="00F52CA3">
        <w:t>higher</w:t>
      </w:r>
      <w:r w:rsidR="00E21712" w:rsidRPr="00F52CA3">
        <w:t xml:space="preserve"> </w:t>
      </w:r>
      <w:r w:rsidR="005106E9" w:rsidRPr="00F52CA3">
        <w:t>education</w:t>
      </w:r>
      <w:r w:rsidR="00E21712" w:rsidRPr="00F52CA3">
        <w:t xml:space="preserve"> </w:t>
      </w:r>
      <w:r w:rsidR="005106E9" w:rsidRPr="00F52CA3">
        <w:t>providers</w:t>
      </w:r>
      <w:r w:rsidR="00E21712" w:rsidRPr="00F52CA3">
        <w:t xml:space="preserve"> </w:t>
      </w:r>
      <w:r w:rsidR="005106E9" w:rsidRPr="00F52CA3">
        <w:t>that</w:t>
      </w:r>
      <w:r w:rsidR="00E21712" w:rsidRPr="00F52CA3">
        <w:t xml:space="preserve"> </w:t>
      </w:r>
      <w:r w:rsidR="005106E9" w:rsidRPr="00F52CA3">
        <w:t>do</w:t>
      </w:r>
      <w:r w:rsidR="00E21712" w:rsidRPr="00F52CA3">
        <w:t xml:space="preserve"> </w:t>
      </w:r>
      <w:r w:rsidR="005106E9" w:rsidRPr="00F52CA3">
        <w:t>not</w:t>
      </w:r>
      <w:r w:rsidR="00E21712" w:rsidRPr="00F52CA3">
        <w:t xml:space="preserve"> </w:t>
      </w:r>
      <w:r w:rsidR="005106E9" w:rsidRPr="00F52CA3">
        <w:t>uphold</w:t>
      </w:r>
      <w:r w:rsidR="00E21712" w:rsidRPr="00F52CA3">
        <w:t xml:space="preserve"> </w:t>
      </w:r>
      <w:r w:rsidR="005106E9" w:rsidRPr="00F52CA3">
        <w:t>university</w:t>
      </w:r>
      <w:r w:rsidR="00E21712" w:rsidRPr="00F52CA3">
        <w:t xml:space="preserve"> </w:t>
      </w:r>
      <w:r w:rsidR="005106E9" w:rsidRPr="00F52CA3">
        <w:t>status</w:t>
      </w:r>
      <w:r w:rsidR="00E21712" w:rsidRPr="00F52CA3">
        <w:t xml:space="preserve"> </w:t>
      </w:r>
      <w:r w:rsidR="005106E9" w:rsidRPr="00F52CA3">
        <w:t>are</w:t>
      </w:r>
      <w:r w:rsidR="00E21712" w:rsidRPr="00F52CA3">
        <w:t xml:space="preserve"> </w:t>
      </w:r>
      <w:r w:rsidR="005106E9" w:rsidRPr="00F52CA3">
        <w:t>also</w:t>
      </w:r>
      <w:r w:rsidR="00E21712" w:rsidRPr="00F52CA3">
        <w:t xml:space="preserve"> </w:t>
      </w:r>
      <w:r w:rsidR="005106E9" w:rsidRPr="00F52CA3">
        <w:t>enabled</w:t>
      </w:r>
      <w:r w:rsidR="00E21712" w:rsidRPr="00F52CA3">
        <w:t xml:space="preserve"> </w:t>
      </w:r>
      <w:r w:rsidR="005106E9" w:rsidRPr="00F52CA3">
        <w:t>to</w:t>
      </w:r>
      <w:r w:rsidR="00E21712" w:rsidRPr="00F52CA3">
        <w:t xml:space="preserve"> </w:t>
      </w:r>
      <w:r w:rsidR="005106E9" w:rsidRPr="00F52CA3">
        <w:t>provide</w:t>
      </w:r>
      <w:r w:rsidR="00E21712" w:rsidRPr="00F52CA3">
        <w:t xml:space="preserve"> </w:t>
      </w:r>
      <w:r w:rsidR="005106E9" w:rsidRPr="00F52CA3">
        <w:t>bespoke</w:t>
      </w:r>
      <w:r w:rsidR="00E21712" w:rsidRPr="00F52CA3">
        <w:t xml:space="preserve"> </w:t>
      </w:r>
      <w:r w:rsidR="005106E9" w:rsidRPr="00F52CA3">
        <w:t>courses</w:t>
      </w:r>
      <w:r w:rsidR="00E21712" w:rsidRPr="00F52CA3">
        <w:t xml:space="preserve"> </w:t>
      </w:r>
      <w:r w:rsidR="005106E9" w:rsidRPr="00F52CA3">
        <w:t>for</w:t>
      </w:r>
      <w:r w:rsidR="00E21712" w:rsidRPr="00F52CA3">
        <w:t xml:space="preserve"> </w:t>
      </w:r>
      <w:r w:rsidR="005106E9" w:rsidRPr="00F52CA3">
        <w:t>their</w:t>
      </w:r>
      <w:r w:rsidR="00E21712" w:rsidRPr="00F52CA3">
        <w:t xml:space="preserve"> </w:t>
      </w:r>
      <w:r w:rsidR="005106E9" w:rsidRPr="00F52CA3">
        <w:t>unique</w:t>
      </w:r>
      <w:r w:rsidR="00E21712" w:rsidRPr="00F52CA3">
        <w:t xml:space="preserve"> </w:t>
      </w:r>
      <w:r w:rsidR="005106E9" w:rsidRPr="00F52CA3">
        <w:t>clientele</w:t>
      </w:r>
      <w:r w:rsidR="00E21712" w:rsidRPr="00F52CA3">
        <w:t xml:space="preserve"> </w:t>
      </w:r>
      <w:r w:rsidR="005106E9" w:rsidRPr="00F52CA3">
        <w:t>e.g.,</w:t>
      </w:r>
      <w:r w:rsidR="00E21712" w:rsidRPr="00F52CA3">
        <w:t xml:space="preserve"> </w:t>
      </w:r>
      <w:r w:rsidR="005106E9" w:rsidRPr="00F52CA3">
        <w:t>faith-based</w:t>
      </w:r>
      <w:r w:rsidR="00E21712" w:rsidRPr="00F52CA3">
        <w:t xml:space="preserve"> </w:t>
      </w:r>
      <w:r w:rsidR="005106E9" w:rsidRPr="00F52CA3">
        <w:t>providers.</w:t>
      </w:r>
      <w:r w:rsidR="00E21712" w:rsidRPr="00F52CA3">
        <w:t xml:space="preserve"> </w:t>
      </w:r>
      <w:r w:rsidR="005106E9" w:rsidRPr="00F52CA3">
        <w:t>This</w:t>
      </w:r>
      <w:r w:rsidR="00E21712" w:rsidRPr="00F52CA3">
        <w:t xml:space="preserve"> </w:t>
      </w:r>
      <w:r w:rsidR="005106E9" w:rsidRPr="00F52CA3">
        <w:t>flexibility</w:t>
      </w:r>
      <w:r w:rsidR="00E21712" w:rsidRPr="00F52CA3">
        <w:t xml:space="preserve"> </w:t>
      </w:r>
      <w:r w:rsidR="005106E9" w:rsidRPr="00F52CA3">
        <w:t>in</w:t>
      </w:r>
      <w:r w:rsidR="00E21712" w:rsidRPr="00F52CA3">
        <w:t xml:space="preserve"> </w:t>
      </w:r>
      <w:r w:rsidR="005106E9" w:rsidRPr="00F52CA3">
        <w:t>program</w:t>
      </w:r>
      <w:r w:rsidR="00E21712" w:rsidRPr="00F52CA3">
        <w:t xml:space="preserve"> </w:t>
      </w:r>
      <w:r w:rsidR="005106E9" w:rsidRPr="00F52CA3">
        <w:t>offering</w:t>
      </w:r>
      <w:r w:rsidR="00E21712" w:rsidRPr="00F52CA3">
        <w:t xml:space="preserve"> </w:t>
      </w:r>
      <w:r w:rsidR="005106E9" w:rsidRPr="00F52CA3">
        <w:t>augurs</w:t>
      </w:r>
      <w:r w:rsidR="00E21712" w:rsidRPr="00F52CA3">
        <w:t xml:space="preserve"> </w:t>
      </w:r>
      <w:r w:rsidR="005106E9" w:rsidRPr="00F52CA3">
        <w:t>well</w:t>
      </w:r>
      <w:r w:rsidR="00E21712" w:rsidRPr="00F52CA3">
        <w:t xml:space="preserve"> </w:t>
      </w:r>
      <w:r w:rsidR="005106E9" w:rsidRPr="00F52CA3">
        <w:t>for</w:t>
      </w:r>
      <w:r w:rsidR="00E21712" w:rsidRPr="00F52CA3">
        <w:t xml:space="preserve"> </w:t>
      </w:r>
      <w:r w:rsidR="005106E9" w:rsidRPr="00F52CA3">
        <w:t>promoting</w:t>
      </w:r>
      <w:r w:rsidR="00E21712" w:rsidRPr="00F52CA3">
        <w:t xml:space="preserve"> </w:t>
      </w:r>
      <w:r w:rsidR="005106E9" w:rsidRPr="00F52CA3">
        <w:t>diversity</w:t>
      </w:r>
      <w:r w:rsidR="00E21712" w:rsidRPr="00F52CA3">
        <w:t xml:space="preserve"> </w:t>
      </w:r>
      <w:r w:rsidR="005106E9" w:rsidRPr="00F52CA3">
        <w:t>at</w:t>
      </w:r>
      <w:r w:rsidR="00E21712" w:rsidRPr="00F52CA3">
        <w:t xml:space="preserve"> </w:t>
      </w:r>
      <w:r w:rsidR="005106E9" w:rsidRPr="00F52CA3">
        <w:t>all</w:t>
      </w:r>
      <w:r w:rsidR="00E21712" w:rsidRPr="00F52CA3">
        <w:t xml:space="preserve"> </w:t>
      </w:r>
      <w:r w:rsidR="005106E9" w:rsidRPr="00F52CA3">
        <w:t>points</w:t>
      </w:r>
      <w:r w:rsidR="00E21712" w:rsidRPr="00F52CA3">
        <w:t xml:space="preserve"> </w:t>
      </w:r>
      <w:r w:rsidR="005106E9" w:rsidRPr="00F52CA3">
        <w:t>of</w:t>
      </w:r>
      <w:r w:rsidR="00E21712" w:rsidRPr="00F52CA3">
        <w:t xml:space="preserve"> </w:t>
      </w:r>
      <w:r w:rsidR="005106E9" w:rsidRPr="00F52CA3">
        <w:t>engagement,</w:t>
      </w:r>
      <w:r w:rsidR="00E21712" w:rsidRPr="00F52CA3">
        <w:t xml:space="preserve"> </w:t>
      </w:r>
      <w:r w:rsidR="005106E9" w:rsidRPr="00F52CA3">
        <w:t>but</w:t>
      </w:r>
      <w:r w:rsidR="00E21712" w:rsidRPr="00F52CA3">
        <w:t xml:space="preserve"> </w:t>
      </w:r>
      <w:r w:rsidR="005106E9" w:rsidRPr="00F52CA3">
        <w:t>at</w:t>
      </w:r>
      <w:r w:rsidR="00E21712" w:rsidRPr="00F52CA3">
        <w:t xml:space="preserve"> </w:t>
      </w:r>
      <w:r w:rsidR="005106E9" w:rsidRPr="00F52CA3">
        <w:t>the</w:t>
      </w:r>
      <w:r w:rsidR="00E21712" w:rsidRPr="00F52CA3">
        <w:t xml:space="preserve"> </w:t>
      </w:r>
      <w:r w:rsidR="005106E9" w:rsidRPr="00F52CA3">
        <w:t>same</w:t>
      </w:r>
      <w:r w:rsidR="00E21712" w:rsidRPr="00F52CA3">
        <w:t xml:space="preserve"> </w:t>
      </w:r>
      <w:r w:rsidR="005106E9" w:rsidRPr="00F52CA3">
        <w:t>time</w:t>
      </w:r>
      <w:r w:rsidR="00E21712" w:rsidRPr="00F52CA3">
        <w:t xml:space="preserve"> </w:t>
      </w:r>
      <w:r w:rsidR="005106E9" w:rsidRPr="00F52CA3">
        <w:t>is</w:t>
      </w:r>
      <w:r w:rsidR="00E21712" w:rsidRPr="00F52CA3">
        <w:t xml:space="preserve"> </w:t>
      </w:r>
      <w:r w:rsidR="005106E9" w:rsidRPr="00F52CA3">
        <w:t>regulated</w:t>
      </w:r>
      <w:r w:rsidR="00E21712" w:rsidRPr="00F52CA3">
        <w:t xml:space="preserve"> </w:t>
      </w:r>
      <w:r w:rsidR="005106E9" w:rsidRPr="00F52CA3">
        <w:t>by</w:t>
      </w:r>
      <w:r w:rsidR="00E21712" w:rsidRPr="00F52CA3">
        <w:t xml:space="preserve"> </w:t>
      </w:r>
      <w:r w:rsidR="005106E9" w:rsidRPr="00F52CA3">
        <w:t>the</w:t>
      </w:r>
      <w:r w:rsidR="00E21712" w:rsidRPr="00F52CA3">
        <w:t xml:space="preserve"> </w:t>
      </w:r>
      <w:r w:rsidR="005106E9" w:rsidRPr="00F52CA3">
        <w:t>national</w:t>
      </w:r>
      <w:r w:rsidR="00E21712" w:rsidRPr="00F52CA3">
        <w:t xml:space="preserve"> </w:t>
      </w:r>
      <w:r w:rsidR="005106E9" w:rsidRPr="00F52CA3">
        <w:t>accreditation</w:t>
      </w:r>
      <w:r w:rsidR="00E21712" w:rsidRPr="00F52CA3">
        <w:t xml:space="preserve"> </w:t>
      </w:r>
      <w:r w:rsidR="005106E9" w:rsidRPr="00F52CA3">
        <w:t>standards</w:t>
      </w:r>
      <w:r w:rsidR="00E21712" w:rsidRPr="00F52CA3">
        <w:t xml:space="preserve"> </w:t>
      </w:r>
      <w:r w:rsidR="005106E9" w:rsidRPr="00F52CA3">
        <w:t>ensuring</w:t>
      </w:r>
      <w:r w:rsidR="00E21712" w:rsidRPr="00F52CA3">
        <w:t xml:space="preserve"> </w:t>
      </w:r>
      <w:r w:rsidR="005106E9" w:rsidRPr="00F52CA3">
        <w:t>rigour,</w:t>
      </w:r>
      <w:r w:rsidR="00E21712" w:rsidRPr="00F52CA3">
        <w:t xml:space="preserve"> </w:t>
      </w:r>
      <w:r w:rsidR="005106E9" w:rsidRPr="00F52CA3">
        <w:t>high</w:t>
      </w:r>
      <w:r w:rsidR="00E21712" w:rsidRPr="00F52CA3">
        <w:t xml:space="preserve"> </w:t>
      </w:r>
      <w:r w:rsidR="005106E9" w:rsidRPr="00F52CA3">
        <w:t>quality</w:t>
      </w:r>
      <w:r w:rsidR="00E21712" w:rsidRPr="00F52CA3">
        <w:t xml:space="preserve"> </w:t>
      </w:r>
      <w:r w:rsidR="005106E9" w:rsidRPr="00F52CA3">
        <w:t>programs</w:t>
      </w:r>
      <w:r w:rsidR="00E21712" w:rsidRPr="00F52CA3">
        <w:t xml:space="preserve"> </w:t>
      </w:r>
      <w:r w:rsidR="005106E9" w:rsidRPr="00F52CA3">
        <w:t>and</w:t>
      </w:r>
      <w:r w:rsidR="00E21712" w:rsidRPr="00F52CA3">
        <w:t xml:space="preserve"> </w:t>
      </w:r>
      <w:r w:rsidR="005106E9" w:rsidRPr="00F52CA3">
        <w:t>relevance</w:t>
      </w:r>
      <w:r w:rsidR="00E21712" w:rsidRPr="00F52CA3">
        <w:t xml:space="preserve"> </w:t>
      </w:r>
      <w:r w:rsidR="005106E9" w:rsidRPr="00F52CA3">
        <w:t>to</w:t>
      </w:r>
      <w:r w:rsidR="00E21712" w:rsidRPr="00F52CA3">
        <w:t xml:space="preserve"> </w:t>
      </w:r>
      <w:r w:rsidR="005106E9" w:rsidRPr="00F52CA3">
        <w:t>work</w:t>
      </w:r>
      <w:r w:rsidR="00E21712" w:rsidRPr="00F52CA3">
        <w:t xml:space="preserve"> </w:t>
      </w:r>
      <w:r w:rsidR="005106E9" w:rsidRPr="00F52CA3">
        <w:t>force</w:t>
      </w:r>
      <w:r w:rsidR="00E21712" w:rsidRPr="00F52CA3">
        <w:t xml:space="preserve"> </w:t>
      </w:r>
      <w:r w:rsidR="005106E9" w:rsidRPr="00F52CA3">
        <w:t>needs.</w:t>
      </w:r>
      <w:r w:rsidR="00E21712" w:rsidRPr="00F52CA3">
        <w:t xml:space="preserve"> </w:t>
      </w:r>
    </w:p>
    <w:p w14:paraId="1E90549A" w14:textId="77777777" w:rsidR="000F7B67" w:rsidRPr="00F52CA3" w:rsidRDefault="000F7B67" w:rsidP="00B054ED">
      <w:pPr>
        <w:pStyle w:val="ListParagraph"/>
      </w:pPr>
    </w:p>
    <w:p w14:paraId="3ED60B00" w14:textId="77777777" w:rsidR="00B054ED" w:rsidRPr="00F52CA3" w:rsidRDefault="00B054ED" w:rsidP="00B054ED"/>
    <w:p w14:paraId="0187BB13" w14:textId="5289F093" w:rsidR="00E1032B" w:rsidRPr="00F52CA3" w:rsidRDefault="00E1032B" w:rsidP="005106E9">
      <w:pPr>
        <w:pStyle w:val="ListParagraph"/>
        <w:numPr>
          <w:ilvl w:val="0"/>
          <w:numId w:val="3"/>
        </w:numPr>
      </w:pPr>
      <w:r w:rsidRPr="00F52CA3">
        <w:t xml:space="preserve">There are </w:t>
      </w:r>
      <w:proofErr w:type="gramStart"/>
      <w:r w:rsidRPr="00F52CA3">
        <w:t>a number of</w:t>
      </w:r>
      <w:proofErr w:type="gramEnd"/>
      <w:r w:rsidRPr="00F52CA3">
        <w:t xml:space="preserve"> members of the teaching profession dedicated to supporting the profession’s future who invest significant time and effort in supporting preservice teachers and school-based elements of ITE. It is commendable how much time and energy these individuals dedicate to this work, particularly given it is often done as an add on to their already full and busy </w:t>
      </w:r>
      <w:r w:rsidR="00E1176A" w:rsidRPr="00F52CA3">
        <w:t>lives</w:t>
      </w:r>
      <w:r w:rsidRPr="00F52CA3">
        <w:t xml:space="preserve"> in school and classroom</w:t>
      </w:r>
      <w:r w:rsidR="00E1176A" w:rsidRPr="00F52CA3">
        <w:t xml:space="preserve"> work</w:t>
      </w:r>
      <w:r w:rsidRPr="00F52CA3">
        <w:t xml:space="preserve">. </w:t>
      </w:r>
    </w:p>
    <w:p w14:paraId="1F349D97" w14:textId="4B90B792" w:rsidR="00EA1114" w:rsidRPr="00F52CA3" w:rsidRDefault="00EA1114"/>
    <w:p w14:paraId="09DF2CD1" w14:textId="1B32D90B" w:rsidR="005106E9" w:rsidRPr="00F52CA3" w:rsidRDefault="005106E9">
      <w:pPr>
        <w:rPr>
          <w:b/>
          <w:bCs/>
          <w:u w:val="single"/>
        </w:rPr>
      </w:pPr>
      <w:r w:rsidRPr="00F52CA3">
        <w:rPr>
          <w:b/>
          <w:bCs/>
          <w:u w:val="single"/>
        </w:rPr>
        <w:t>Concerns</w:t>
      </w:r>
    </w:p>
    <w:p w14:paraId="3BF5C9B3" w14:textId="77777777" w:rsidR="006C3B0A" w:rsidRPr="00F52CA3" w:rsidRDefault="006C3B0A"/>
    <w:p w14:paraId="2C7F02EF" w14:textId="5A0D7144" w:rsidR="00615191" w:rsidRPr="00F52CA3" w:rsidRDefault="005106E9" w:rsidP="008F0A8B">
      <w:pPr>
        <w:pStyle w:val="ListParagraph"/>
        <w:numPr>
          <w:ilvl w:val="0"/>
          <w:numId w:val="5"/>
        </w:numPr>
      </w:pPr>
      <w:r w:rsidRPr="00F52CA3">
        <w:t>The</w:t>
      </w:r>
      <w:r w:rsidR="00E21712" w:rsidRPr="00F52CA3">
        <w:t xml:space="preserve"> </w:t>
      </w:r>
      <w:r w:rsidRPr="00F52CA3">
        <w:t>greatest</w:t>
      </w:r>
      <w:r w:rsidR="00E21712" w:rsidRPr="00F52CA3">
        <w:t xml:space="preserve"> </w:t>
      </w:r>
      <w:r w:rsidRPr="00F52CA3">
        <w:t>concerns</w:t>
      </w:r>
      <w:r w:rsidR="00E21712" w:rsidRPr="00F52CA3">
        <w:t xml:space="preserve"> </w:t>
      </w:r>
      <w:r w:rsidRPr="00F52CA3">
        <w:t>for</w:t>
      </w:r>
      <w:r w:rsidR="00E21712" w:rsidRPr="00F52CA3">
        <w:t xml:space="preserve"> </w:t>
      </w:r>
      <w:r w:rsidRPr="00F52CA3">
        <w:t>the</w:t>
      </w:r>
      <w:r w:rsidR="00E21712" w:rsidRPr="00F52CA3">
        <w:t xml:space="preserve"> </w:t>
      </w:r>
      <w:r w:rsidRPr="00F52CA3">
        <w:t>profession</w:t>
      </w:r>
      <w:r w:rsidR="00E21712" w:rsidRPr="00F52CA3">
        <w:t xml:space="preserve"> </w:t>
      </w:r>
      <w:r w:rsidRPr="00F52CA3">
        <w:t>of</w:t>
      </w:r>
      <w:r w:rsidR="00E21712" w:rsidRPr="00F52CA3">
        <w:t xml:space="preserve"> </w:t>
      </w:r>
      <w:r w:rsidRPr="00F52CA3">
        <w:t>teaching</w:t>
      </w:r>
      <w:r w:rsidR="00E21712" w:rsidRPr="00F52CA3">
        <w:t xml:space="preserve"> </w:t>
      </w:r>
      <w:r w:rsidR="0038262C" w:rsidRPr="00F52CA3">
        <w:t>are</w:t>
      </w:r>
      <w:r w:rsidR="00E21712" w:rsidRPr="00F52CA3">
        <w:t xml:space="preserve"> </w:t>
      </w:r>
      <w:r w:rsidR="0038262C" w:rsidRPr="00F52CA3">
        <w:t>twofold</w:t>
      </w:r>
      <w:r w:rsidR="00E21712" w:rsidRPr="00F52CA3">
        <w:t xml:space="preserve"> </w:t>
      </w:r>
      <w:r w:rsidR="0038262C" w:rsidRPr="00F52CA3">
        <w:t>and</w:t>
      </w:r>
      <w:r w:rsidR="00E21712" w:rsidRPr="00F52CA3">
        <w:t xml:space="preserve"> </w:t>
      </w:r>
      <w:r w:rsidR="0038262C" w:rsidRPr="00F52CA3">
        <w:t>interrelated</w:t>
      </w:r>
      <w:r w:rsidR="00002B6F" w:rsidRPr="00F52CA3">
        <w:t>:</w:t>
      </w:r>
      <w:r w:rsidR="00E21712" w:rsidRPr="00F52CA3">
        <w:t xml:space="preserve"> </w:t>
      </w:r>
      <w:r w:rsidR="0038262C" w:rsidRPr="00F52CA3">
        <w:t>attraction</w:t>
      </w:r>
      <w:r w:rsidR="00E21712" w:rsidRPr="00F52CA3">
        <w:t xml:space="preserve"> </w:t>
      </w:r>
      <w:r w:rsidR="0038262C" w:rsidRPr="00F52CA3">
        <w:t>and</w:t>
      </w:r>
      <w:r w:rsidR="00E21712" w:rsidRPr="00F52CA3">
        <w:t xml:space="preserve"> </w:t>
      </w:r>
      <w:r w:rsidR="0038262C" w:rsidRPr="00F52CA3">
        <w:t>retention.</w:t>
      </w:r>
      <w:r w:rsidR="00E21712" w:rsidRPr="00F52CA3">
        <w:t xml:space="preserve"> </w:t>
      </w:r>
      <w:r w:rsidR="0038262C" w:rsidRPr="00F52CA3">
        <w:t>Gore</w:t>
      </w:r>
      <w:r w:rsidR="00E21712" w:rsidRPr="00F52CA3">
        <w:t xml:space="preserve"> </w:t>
      </w:r>
      <w:r w:rsidR="00615191" w:rsidRPr="00F52CA3">
        <w:t>et</w:t>
      </w:r>
      <w:r w:rsidR="00E21712" w:rsidRPr="00F52CA3">
        <w:t xml:space="preserve"> </w:t>
      </w:r>
      <w:r w:rsidR="00615191" w:rsidRPr="00F52CA3">
        <w:t>al</w:t>
      </w:r>
      <w:r w:rsidR="00E1176A" w:rsidRPr="00F52CA3">
        <w:t>.’s</w:t>
      </w:r>
      <w:r w:rsidR="00E21712" w:rsidRPr="00F52CA3">
        <w:t xml:space="preserve"> </w:t>
      </w:r>
      <w:r w:rsidR="00E1176A" w:rsidRPr="00F52CA3">
        <w:t xml:space="preserve">(2015) </w:t>
      </w:r>
      <w:r w:rsidR="0038262C" w:rsidRPr="00F52CA3">
        <w:t>work</w:t>
      </w:r>
      <w:r w:rsidR="00E21712" w:rsidRPr="00F52CA3">
        <w:t xml:space="preserve"> </w:t>
      </w:r>
      <w:r w:rsidR="0038262C" w:rsidRPr="00F52CA3">
        <w:t>has</w:t>
      </w:r>
      <w:r w:rsidR="00E21712" w:rsidRPr="00F52CA3">
        <w:t xml:space="preserve"> </w:t>
      </w:r>
      <w:r w:rsidR="0038262C" w:rsidRPr="00F52CA3">
        <w:t>demonstrated</w:t>
      </w:r>
      <w:r w:rsidR="00E21712" w:rsidRPr="00F52CA3">
        <w:t xml:space="preserve"> </w:t>
      </w:r>
      <w:r w:rsidR="0038262C" w:rsidRPr="00F52CA3">
        <w:t>that</w:t>
      </w:r>
      <w:r w:rsidR="00E21712" w:rsidRPr="00F52CA3">
        <w:t xml:space="preserve"> </w:t>
      </w:r>
      <w:r w:rsidR="0038262C" w:rsidRPr="00F52CA3">
        <w:t>many</w:t>
      </w:r>
      <w:r w:rsidR="00E21712" w:rsidRPr="00F52CA3">
        <w:t xml:space="preserve"> </w:t>
      </w:r>
      <w:r w:rsidR="0038262C" w:rsidRPr="00F52CA3">
        <w:t>school</w:t>
      </w:r>
      <w:r w:rsidR="00E21712" w:rsidRPr="00F52CA3">
        <w:t xml:space="preserve"> </w:t>
      </w:r>
      <w:r w:rsidR="0038262C" w:rsidRPr="00F52CA3">
        <w:t>leavers</w:t>
      </w:r>
      <w:r w:rsidR="00E21712" w:rsidRPr="00F52CA3">
        <w:t xml:space="preserve"> </w:t>
      </w:r>
      <w:r w:rsidR="0038262C" w:rsidRPr="00F52CA3">
        <w:t>aspire</w:t>
      </w:r>
      <w:r w:rsidR="00E21712" w:rsidRPr="00F52CA3">
        <w:t xml:space="preserve"> </w:t>
      </w:r>
      <w:r w:rsidR="0038262C" w:rsidRPr="00F52CA3">
        <w:t>to</w:t>
      </w:r>
      <w:r w:rsidR="00E21712" w:rsidRPr="00F52CA3">
        <w:t xml:space="preserve"> </w:t>
      </w:r>
      <w:r w:rsidR="0038262C" w:rsidRPr="00F52CA3">
        <w:t>enter</w:t>
      </w:r>
      <w:r w:rsidR="00E21712" w:rsidRPr="00F52CA3">
        <w:t xml:space="preserve"> </w:t>
      </w:r>
      <w:r w:rsidR="0038262C" w:rsidRPr="00F52CA3">
        <w:t>the</w:t>
      </w:r>
      <w:r w:rsidR="00E21712" w:rsidRPr="00F52CA3">
        <w:t xml:space="preserve"> </w:t>
      </w:r>
      <w:r w:rsidR="0038262C" w:rsidRPr="00F52CA3">
        <w:t>vocation</w:t>
      </w:r>
      <w:r w:rsidR="00E21712" w:rsidRPr="00F52CA3">
        <w:t xml:space="preserve"> </w:t>
      </w:r>
      <w:r w:rsidR="0038262C" w:rsidRPr="00F52CA3">
        <w:t>of</w:t>
      </w:r>
      <w:r w:rsidR="00E21712" w:rsidRPr="00F52CA3">
        <w:t xml:space="preserve"> </w:t>
      </w:r>
      <w:r w:rsidR="0038262C" w:rsidRPr="00F52CA3">
        <w:t>teaching</w:t>
      </w:r>
      <w:r w:rsidR="00E21712" w:rsidRPr="00F52CA3">
        <w:t xml:space="preserve"> </w:t>
      </w:r>
      <w:r w:rsidR="0038262C" w:rsidRPr="00F52CA3">
        <w:t>due</w:t>
      </w:r>
      <w:r w:rsidR="00E21712" w:rsidRPr="00F52CA3">
        <w:t xml:space="preserve"> </w:t>
      </w:r>
      <w:r w:rsidR="0038262C" w:rsidRPr="00F52CA3">
        <w:t>to</w:t>
      </w:r>
      <w:r w:rsidR="00E21712" w:rsidRPr="00F52CA3">
        <w:t xml:space="preserve"> </w:t>
      </w:r>
      <w:r w:rsidR="0038262C" w:rsidRPr="00F52CA3">
        <w:t>commendable</w:t>
      </w:r>
      <w:r w:rsidR="00E21712" w:rsidRPr="00F52CA3">
        <w:t xml:space="preserve"> </w:t>
      </w:r>
      <w:r w:rsidR="0038262C" w:rsidRPr="00F52CA3">
        <w:t>moral</w:t>
      </w:r>
      <w:r w:rsidR="00E21712" w:rsidRPr="00F52CA3">
        <w:t xml:space="preserve"> </w:t>
      </w:r>
      <w:r w:rsidR="0038262C" w:rsidRPr="00F52CA3">
        <w:t>purposes</w:t>
      </w:r>
      <w:r w:rsidR="00E21712" w:rsidRPr="00F52CA3">
        <w:t xml:space="preserve"> </w:t>
      </w:r>
      <w:r w:rsidR="0038262C" w:rsidRPr="00F52CA3">
        <w:t>and</w:t>
      </w:r>
      <w:r w:rsidR="00E21712" w:rsidRPr="00F52CA3">
        <w:t xml:space="preserve"> </w:t>
      </w:r>
      <w:r w:rsidR="0038262C" w:rsidRPr="00F52CA3">
        <w:t>a</w:t>
      </w:r>
      <w:r w:rsidR="00E21712" w:rsidRPr="00F52CA3">
        <w:t xml:space="preserve"> </w:t>
      </w:r>
      <w:r w:rsidR="0038262C" w:rsidRPr="00F52CA3">
        <w:t>commitment</w:t>
      </w:r>
      <w:r w:rsidR="00E21712" w:rsidRPr="00F52CA3">
        <w:t xml:space="preserve"> </w:t>
      </w:r>
      <w:r w:rsidR="0038262C" w:rsidRPr="00F52CA3">
        <w:t>to</w:t>
      </w:r>
      <w:r w:rsidR="00E21712" w:rsidRPr="00F52CA3">
        <w:t xml:space="preserve"> </w:t>
      </w:r>
      <w:r w:rsidR="0038262C" w:rsidRPr="00F52CA3">
        <w:t>enhancing</w:t>
      </w:r>
      <w:r w:rsidR="00E21712" w:rsidRPr="00F52CA3">
        <w:t xml:space="preserve"> </w:t>
      </w:r>
      <w:r w:rsidR="0038262C" w:rsidRPr="00F52CA3">
        <w:t>the</w:t>
      </w:r>
      <w:r w:rsidR="00E21712" w:rsidRPr="00F52CA3">
        <w:t xml:space="preserve"> </w:t>
      </w:r>
      <w:r w:rsidR="0038262C" w:rsidRPr="00F52CA3">
        <w:t>lives</w:t>
      </w:r>
      <w:r w:rsidR="00E21712" w:rsidRPr="00F52CA3">
        <w:t xml:space="preserve"> </w:t>
      </w:r>
      <w:r w:rsidR="0038262C" w:rsidRPr="00F52CA3">
        <w:t>of</w:t>
      </w:r>
      <w:r w:rsidR="00E21712" w:rsidRPr="00F52CA3">
        <w:t xml:space="preserve"> </w:t>
      </w:r>
      <w:r w:rsidR="0038262C" w:rsidRPr="00F52CA3">
        <w:t>young</w:t>
      </w:r>
      <w:r w:rsidR="00E21712" w:rsidRPr="00F52CA3">
        <w:t xml:space="preserve"> </w:t>
      </w:r>
      <w:r w:rsidR="0038262C" w:rsidRPr="00F52CA3">
        <w:t>people.</w:t>
      </w:r>
      <w:r w:rsidR="00E21712" w:rsidRPr="00F52CA3">
        <w:t xml:space="preserve"> </w:t>
      </w:r>
      <w:r w:rsidR="0038262C" w:rsidRPr="00F52CA3">
        <w:t>Three</w:t>
      </w:r>
      <w:r w:rsidR="00E21712" w:rsidRPr="00F52CA3">
        <w:t xml:space="preserve"> </w:t>
      </w:r>
      <w:r w:rsidR="0038262C" w:rsidRPr="00F52CA3">
        <w:t>factors</w:t>
      </w:r>
      <w:r w:rsidR="00E21712" w:rsidRPr="00F52CA3">
        <w:t xml:space="preserve"> </w:t>
      </w:r>
      <w:r w:rsidR="0038262C" w:rsidRPr="00F52CA3">
        <w:t>influence</w:t>
      </w:r>
      <w:r w:rsidR="00E21712" w:rsidRPr="00F52CA3">
        <w:t xml:space="preserve"> </w:t>
      </w:r>
      <w:r w:rsidR="0038262C" w:rsidRPr="00F52CA3">
        <w:t>the</w:t>
      </w:r>
      <w:r w:rsidR="00E21712" w:rsidRPr="00F52CA3">
        <w:t xml:space="preserve"> </w:t>
      </w:r>
      <w:r w:rsidR="0038262C" w:rsidRPr="00F52CA3">
        <w:t>decision</w:t>
      </w:r>
      <w:r w:rsidR="00E21712" w:rsidRPr="00F52CA3">
        <w:t xml:space="preserve"> </w:t>
      </w:r>
      <w:r w:rsidR="0038262C" w:rsidRPr="00F52CA3">
        <w:t>to</w:t>
      </w:r>
      <w:r w:rsidR="00E21712" w:rsidRPr="00F52CA3">
        <w:t xml:space="preserve"> </w:t>
      </w:r>
      <w:r w:rsidR="0038262C" w:rsidRPr="00F52CA3">
        <w:t>apply</w:t>
      </w:r>
      <w:r w:rsidR="00E21712" w:rsidRPr="00F52CA3">
        <w:t xml:space="preserve"> </w:t>
      </w:r>
      <w:r w:rsidR="0038262C" w:rsidRPr="00F52CA3">
        <w:t>for</w:t>
      </w:r>
      <w:r w:rsidR="00E21712" w:rsidRPr="00F52CA3">
        <w:t xml:space="preserve"> </w:t>
      </w:r>
      <w:r w:rsidR="0038262C" w:rsidRPr="00F52CA3">
        <w:t>entry</w:t>
      </w:r>
      <w:r w:rsidR="00E21712" w:rsidRPr="00F52CA3">
        <w:t xml:space="preserve"> </w:t>
      </w:r>
      <w:r w:rsidR="0038262C" w:rsidRPr="00F52CA3">
        <w:t>into</w:t>
      </w:r>
      <w:r w:rsidR="00E21712" w:rsidRPr="00F52CA3">
        <w:t xml:space="preserve"> </w:t>
      </w:r>
      <w:r w:rsidR="0038262C" w:rsidRPr="00F52CA3">
        <w:t>teaching</w:t>
      </w:r>
      <w:r w:rsidR="00E21712" w:rsidRPr="00F52CA3">
        <w:t xml:space="preserve"> </w:t>
      </w:r>
      <w:r w:rsidR="0038262C" w:rsidRPr="00F52CA3">
        <w:t>–</w:t>
      </w:r>
      <w:r w:rsidR="00E21712" w:rsidRPr="00F52CA3">
        <w:t xml:space="preserve"> </w:t>
      </w:r>
      <w:r w:rsidR="0038262C" w:rsidRPr="00F52CA3">
        <w:t>the</w:t>
      </w:r>
      <w:r w:rsidR="00E21712" w:rsidRPr="00F52CA3">
        <w:t xml:space="preserve"> </w:t>
      </w:r>
      <w:r w:rsidR="0038262C" w:rsidRPr="00F52CA3">
        <w:t>advice</w:t>
      </w:r>
      <w:r w:rsidR="00E21712" w:rsidRPr="00F52CA3">
        <w:t xml:space="preserve"> </w:t>
      </w:r>
      <w:r w:rsidR="0038262C" w:rsidRPr="00F52CA3">
        <w:t>of</w:t>
      </w:r>
      <w:r w:rsidR="00E21712" w:rsidRPr="00F52CA3">
        <w:t xml:space="preserve"> </w:t>
      </w:r>
      <w:r w:rsidR="0038262C" w:rsidRPr="00F52CA3">
        <w:t>those</w:t>
      </w:r>
      <w:r w:rsidR="00E21712" w:rsidRPr="00F52CA3">
        <w:t xml:space="preserve"> </w:t>
      </w:r>
      <w:r w:rsidR="0038262C" w:rsidRPr="00F52CA3">
        <w:t>around</w:t>
      </w:r>
      <w:r w:rsidR="00E21712" w:rsidRPr="00F52CA3">
        <w:t xml:space="preserve"> </w:t>
      </w:r>
      <w:r w:rsidR="0038262C" w:rsidRPr="00F52CA3">
        <w:t>them,</w:t>
      </w:r>
      <w:r w:rsidR="00E21712" w:rsidRPr="00F52CA3">
        <w:t xml:space="preserve"> </w:t>
      </w:r>
      <w:r w:rsidR="0038262C" w:rsidRPr="00F52CA3">
        <w:t>selection</w:t>
      </w:r>
      <w:r w:rsidR="00E21712" w:rsidRPr="00F52CA3">
        <w:t xml:space="preserve"> </w:t>
      </w:r>
      <w:r w:rsidR="0038262C" w:rsidRPr="00F52CA3">
        <w:t>criteria</w:t>
      </w:r>
      <w:r w:rsidR="003C2B1F" w:rsidRPr="00F52CA3">
        <w:t>,</w:t>
      </w:r>
      <w:r w:rsidR="00E21712" w:rsidRPr="00F52CA3">
        <w:t xml:space="preserve"> </w:t>
      </w:r>
      <w:r w:rsidR="0038262C" w:rsidRPr="00F52CA3">
        <w:t>and</w:t>
      </w:r>
      <w:r w:rsidR="00E21712" w:rsidRPr="00F52CA3">
        <w:t xml:space="preserve"> </w:t>
      </w:r>
      <w:r w:rsidR="0038262C" w:rsidRPr="00F52CA3">
        <w:t>career</w:t>
      </w:r>
      <w:r w:rsidR="00E21712" w:rsidRPr="00F52CA3">
        <w:t xml:space="preserve"> </w:t>
      </w:r>
      <w:r w:rsidR="0038262C" w:rsidRPr="00F52CA3">
        <w:t>opportunity.</w:t>
      </w:r>
      <w:r w:rsidR="00E21712" w:rsidRPr="00F52CA3">
        <w:t xml:space="preserve"> </w:t>
      </w:r>
      <w:r w:rsidR="00615191" w:rsidRPr="00F52CA3">
        <w:t>This</w:t>
      </w:r>
      <w:r w:rsidR="00E21712" w:rsidRPr="00F52CA3">
        <w:t xml:space="preserve"> </w:t>
      </w:r>
      <w:r w:rsidR="00615191" w:rsidRPr="00F52CA3">
        <w:t>work</w:t>
      </w:r>
      <w:r w:rsidR="00E21712" w:rsidRPr="00F52CA3">
        <w:t xml:space="preserve"> </w:t>
      </w:r>
      <w:r w:rsidR="00615191" w:rsidRPr="00F52CA3">
        <w:t>provides</w:t>
      </w:r>
      <w:r w:rsidR="00E21712" w:rsidRPr="00F52CA3">
        <w:t xml:space="preserve"> </w:t>
      </w:r>
      <w:r w:rsidR="00615191" w:rsidRPr="00F52CA3">
        <w:t>evidence</w:t>
      </w:r>
      <w:r w:rsidR="00E21712" w:rsidRPr="00F52CA3">
        <w:t xml:space="preserve"> </w:t>
      </w:r>
      <w:r w:rsidR="00615191" w:rsidRPr="00F52CA3">
        <w:t>to</w:t>
      </w:r>
      <w:r w:rsidR="00E21712" w:rsidRPr="00F52CA3">
        <w:t xml:space="preserve"> </w:t>
      </w:r>
      <w:r w:rsidR="00615191" w:rsidRPr="00F52CA3">
        <w:t>support</w:t>
      </w:r>
      <w:r w:rsidR="00E21712" w:rsidRPr="00F52CA3">
        <w:t xml:space="preserve"> </w:t>
      </w:r>
      <w:r w:rsidR="00615191" w:rsidRPr="00F52CA3">
        <w:t>the</w:t>
      </w:r>
      <w:r w:rsidR="00E21712" w:rsidRPr="00F52CA3">
        <w:t xml:space="preserve"> </w:t>
      </w:r>
      <w:r w:rsidR="00615191" w:rsidRPr="00F52CA3">
        <w:t>following</w:t>
      </w:r>
      <w:r w:rsidR="00E21712" w:rsidRPr="00F52CA3">
        <w:t xml:space="preserve"> </w:t>
      </w:r>
      <w:r w:rsidR="00615191" w:rsidRPr="00F52CA3">
        <w:t>concerns</w:t>
      </w:r>
    </w:p>
    <w:p w14:paraId="3BE71B87" w14:textId="613C3E5C" w:rsidR="00615191" w:rsidRPr="00F52CA3" w:rsidRDefault="00615191" w:rsidP="00615191">
      <w:pPr>
        <w:pStyle w:val="ListParagraph"/>
        <w:numPr>
          <w:ilvl w:val="1"/>
          <w:numId w:val="5"/>
        </w:numPr>
      </w:pPr>
      <w:r w:rsidRPr="00F52CA3">
        <w:lastRenderedPageBreak/>
        <w:t>School</w:t>
      </w:r>
      <w:r w:rsidR="00E21712" w:rsidRPr="00F52CA3">
        <w:t xml:space="preserve"> </w:t>
      </w:r>
      <w:r w:rsidRPr="00F52CA3">
        <w:t>leavers</w:t>
      </w:r>
      <w:r w:rsidR="00E21712" w:rsidRPr="00F52CA3">
        <w:t xml:space="preserve"> </w:t>
      </w:r>
      <w:r w:rsidRPr="00F52CA3">
        <w:t>who</w:t>
      </w:r>
      <w:r w:rsidR="00E21712" w:rsidRPr="00F52CA3">
        <w:t xml:space="preserve"> </w:t>
      </w:r>
      <w:r w:rsidRPr="00F52CA3">
        <w:t>desir</w:t>
      </w:r>
      <w:r w:rsidR="00FD4FAE" w:rsidRPr="00F52CA3">
        <w:t>e</w:t>
      </w:r>
      <w:r w:rsidR="00E21712" w:rsidRPr="00F52CA3">
        <w:t xml:space="preserve"> </w:t>
      </w:r>
      <w:r w:rsidR="00FD4FAE" w:rsidRPr="00F52CA3">
        <w:t>to</w:t>
      </w:r>
      <w:r w:rsidR="00E21712" w:rsidRPr="00F52CA3">
        <w:t xml:space="preserve"> </w:t>
      </w:r>
      <w:r w:rsidRPr="00F52CA3">
        <w:t>becom</w:t>
      </w:r>
      <w:r w:rsidR="00FD4FAE" w:rsidRPr="00F52CA3">
        <w:t>e</w:t>
      </w:r>
      <w:r w:rsidR="00E21712" w:rsidRPr="00F52CA3">
        <w:t xml:space="preserve"> </w:t>
      </w:r>
      <w:r w:rsidRPr="00F52CA3">
        <w:t>a</w:t>
      </w:r>
      <w:r w:rsidR="00E21712" w:rsidRPr="00F52CA3">
        <w:t xml:space="preserve"> </w:t>
      </w:r>
      <w:r w:rsidRPr="00F52CA3">
        <w:t>teacher</w:t>
      </w:r>
      <w:r w:rsidR="00E21712" w:rsidRPr="00F52CA3">
        <w:t xml:space="preserve"> </w:t>
      </w:r>
      <w:r w:rsidRPr="00F52CA3">
        <w:t>need</w:t>
      </w:r>
      <w:r w:rsidR="00E21712" w:rsidRPr="00F52CA3">
        <w:t xml:space="preserve"> </w:t>
      </w:r>
      <w:r w:rsidRPr="00F52CA3">
        <w:t>to</w:t>
      </w:r>
      <w:r w:rsidR="00E21712" w:rsidRPr="00F52CA3">
        <w:t xml:space="preserve"> </w:t>
      </w:r>
      <w:r w:rsidRPr="00F52CA3">
        <w:t>be</w:t>
      </w:r>
      <w:r w:rsidR="00E21712" w:rsidRPr="00F52CA3">
        <w:t xml:space="preserve"> </w:t>
      </w:r>
      <w:r w:rsidRPr="00F52CA3">
        <w:t>mentored</w:t>
      </w:r>
      <w:r w:rsidR="00E21712" w:rsidRPr="00F52CA3">
        <w:t xml:space="preserve"> </w:t>
      </w:r>
      <w:r w:rsidRPr="00F52CA3">
        <w:t>and</w:t>
      </w:r>
      <w:r w:rsidR="00E21712" w:rsidRPr="00F52CA3">
        <w:t xml:space="preserve"> </w:t>
      </w:r>
      <w:r w:rsidRPr="00F52CA3">
        <w:t>supported</w:t>
      </w:r>
      <w:r w:rsidR="00E21712" w:rsidRPr="00F52CA3">
        <w:t xml:space="preserve"> </w:t>
      </w:r>
      <w:r w:rsidRPr="00F52CA3">
        <w:t>as</w:t>
      </w:r>
      <w:r w:rsidR="00E21712" w:rsidRPr="00F52CA3">
        <w:t xml:space="preserve"> </w:t>
      </w:r>
      <w:r w:rsidRPr="00F52CA3">
        <w:t>early</w:t>
      </w:r>
      <w:r w:rsidR="00E21712" w:rsidRPr="00F52CA3">
        <w:t xml:space="preserve"> </w:t>
      </w:r>
      <w:r w:rsidRPr="00F52CA3">
        <w:t>as</w:t>
      </w:r>
      <w:r w:rsidR="00E21712" w:rsidRPr="00F52CA3">
        <w:t xml:space="preserve"> </w:t>
      </w:r>
      <w:r w:rsidRPr="00F52CA3">
        <w:t>Year</w:t>
      </w:r>
      <w:r w:rsidR="00E21712" w:rsidRPr="00F52CA3">
        <w:t xml:space="preserve"> </w:t>
      </w:r>
      <w:r w:rsidRPr="00F52CA3">
        <w:t>10</w:t>
      </w:r>
      <w:r w:rsidR="00E21712" w:rsidRPr="00F52CA3">
        <w:t xml:space="preserve"> </w:t>
      </w:r>
      <w:r w:rsidRPr="00F52CA3">
        <w:t>so</w:t>
      </w:r>
      <w:r w:rsidR="00E21712" w:rsidRPr="00F52CA3">
        <w:t xml:space="preserve"> </w:t>
      </w:r>
      <w:r w:rsidRPr="00F52CA3">
        <w:t>as</w:t>
      </w:r>
      <w:r w:rsidR="00E21712" w:rsidRPr="00F52CA3">
        <w:t xml:space="preserve"> </w:t>
      </w:r>
      <w:r w:rsidRPr="00F52CA3">
        <w:t>not</w:t>
      </w:r>
      <w:r w:rsidR="00E21712" w:rsidRPr="00F52CA3">
        <w:t xml:space="preserve"> </w:t>
      </w:r>
      <w:r w:rsidRPr="00F52CA3">
        <w:t>to</w:t>
      </w:r>
      <w:r w:rsidR="00E21712" w:rsidRPr="00F52CA3">
        <w:t xml:space="preserve"> </w:t>
      </w:r>
      <w:r w:rsidRPr="00F52CA3">
        <w:t>be</w:t>
      </w:r>
      <w:r w:rsidR="00E21712" w:rsidRPr="00F52CA3">
        <w:t xml:space="preserve"> </w:t>
      </w:r>
      <w:r w:rsidRPr="00F52CA3">
        <w:t>dissuaded</w:t>
      </w:r>
      <w:r w:rsidR="00E21712" w:rsidRPr="00F52CA3">
        <w:t xml:space="preserve"> </w:t>
      </w:r>
      <w:r w:rsidRPr="00F52CA3">
        <w:t>of</w:t>
      </w:r>
      <w:r w:rsidR="00E21712" w:rsidRPr="00F52CA3">
        <w:t xml:space="preserve"> </w:t>
      </w:r>
      <w:r w:rsidRPr="00F52CA3">
        <w:t>their</w:t>
      </w:r>
      <w:r w:rsidR="00E21712" w:rsidRPr="00F52CA3">
        <w:t xml:space="preserve"> </w:t>
      </w:r>
      <w:r w:rsidRPr="00F52CA3">
        <w:t>career</w:t>
      </w:r>
      <w:r w:rsidR="00E21712" w:rsidRPr="00F52CA3">
        <w:t xml:space="preserve"> </w:t>
      </w:r>
      <w:r w:rsidRPr="00F52CA3">
        <w:t>aspirations</w:t>
      </w:r>
      <w:r w:rsidR="00E21712" w:rsidRPr="00F52CA3">
        <w:t xml:space="preserve"> </w:t>
      </w:r>
      <w:r w:rsidRPr="00F52CA3">
        <w:t>by</w:t>
      </w:r>
      <w:r w:rsidR="00E21712" w:rsidRPr="00F52CA3">
        <w:t xml:space="preserve"> </w:t>
      </w:r>
      <w:r w:rsidRPr="00F52CA3">
        <w:t>cynic</w:t>
      </w:r>
      <w:r w:rsidR="00E21712" w:rsidRPr="00F52CA3">
        <w:t xml:space="preserve"> </w:t>
      </w:r>
      <w:r w:rsidRPr="00F52CA3">
        <w:t>within</w:t>
      </w:r>
      <w:r w:rsidR="00E21712" w:rsidRPr="00F52CA3">
        <w:t xml:space="preserve"> </w:t>
      </w:r>
      <w:r w:rsidRPr="00F52CA3">
        <w:t>the</w:t>
      </w:r>
      <w:r w:rsidR="00E21712" w:rsidRPr="00F52CA3">
        <w:t xml:space="preserve"> </w:t>
      </w:r>
      <w:r w:rsidRPr="00F52CA3">
        <w:t>media,</w:t>
      </w:r>
      <w:r w:rsidR="00E21712" w:rsidRPr="00F52CA3">
        <w:t xml:space="preserve"> </w:t>
      </w:r>
      <w:r w:rsidRPr="00F52CA3">
        <w:t>families</w:t>
      </w:r>
      <w:r w:rsidR="003C2B1F" w:rsidRPr="00F52CA3">
        <w:t>,</w:t>
      </w:r>
      <w:r w:rsidR="00E21712" w:rsidRPr="00F52CA3">
        <w:t xml:space="preserve"> </w:t>
      </w:r>
      <w:r w:rsidRPr="00F52CA3">
        <w:t>and</w:t>
      </w:r>
      <w:r w:rsidR="00E21712" w:rsidRPr="00F52CA3">
        <w:t xml:space="preserve"> </w:t>
      </w:r>
      <w:r w:rsidRPr="00F52CA3">
        <w:t>even</w:t>
      </w:r>
      <w:r w:rsidR="00E21712" w:rsidRPr="00F52CA3">
        <w:t xml:space="preserve"> </w:t>
      </w:r>
      <w:r w:rsidRPr="00F52CA3">
        <w:t>the</w:t>
      </w:r>
      <w:r w:rsidR="00E21712" w:rsidRPr="00F52CA3">
        <w:t xml:space="preserve"> </w:t>
      </w:r>
      <w:r w:rsidRPr="00F52CA3">
        <w:t>profession</w:t>
      </w:r>
      <w:r w:rsidR="00E21712" w:rsidRPr="00F52CA3">
        <w:t xml:space="preserve"> </w:t>
      </w:r>
      <w:r w:rsidRPr="00F52CA3">
        <w:t>itself</w:t>
      </w:r>
      <w:r w:rsidR="00E21712" w:rsidRPr="00F52CA3">
        <w:t xml:space="preserve"> </w:t>
      </w:r>
    </w:p>
    <w:p w14:paraId="01C84110" w14:textId="6DF4E76B" w:rsidR="00C86B5C" w:rsidRPr="00F52CA3" w:rsidRDefault="0038262C" w:rsidP="00C86B5C">
      <w:pPr>
        <w:pStyle w:val="ListParagraph"/>
        <w:numPr>
          <w:ilvl w:val="1"/>
          <w:numId w:val="5"/>
        </w:numPr>
      </w:pPr>
      <w:r w:rsidRPr="00F52CA3">
        <w:t>The</w:t>
      </w:r>
      <w:r w:rsidR="00E21712" w:rsidRPr="00F52CA3">
        <w:t xml:space="preserve"> </w:t>
      </w:r>
      <w:r w:rsidRPr="00F52CA3">
        <w:t>current</w:t>
      </w:r>
      <w:r w:rsidR="00E21712" w:rsidRPr="00F52CA3">
        <w:t xml:space="preserve"> </w:t>
      </w:r>
      <w:r w:rsidRPr="00F52CA3">
        <w:t>approach</w:t>
      </w:r>
      <w:r w:rsidR="00E21712" w:rsidRPr="00F52CA3">
        <w:t xml:space="preserve"> </w:t>
      </w:r>
      <w:r w:rsidRPr="00F52CA3">
        <w:t>to</w:t>
      </w:r>
      <w:r w:rsidR="00E21712" w:rsidRPr="00F52CA3">
        <w:t xml:space="preserve"> </w:t>
      </w:r>
      <w:r w:rsidRPr="00F52CA3">
        <w:t>select</w:t>
      </w:r>
      <w:r w:rsidR="00E344EF" w:rsidRPr="00F52CA3">
        <w:t>ing</w:t>
      </w:r>
      <w:r w:rsidR="00E21712" w:rsidRPr="00F52CA3">
        <w:t xml:space="preserve"> </w:t>
      </w:r>
      <w:r w:rsidRPr="00F52CA3">
        <w:t>school</w:t>
      </w:r>
      <w:r w:rsidR="00E21712" w:rsidRPr="00F52CA3">
        <w:t xml:space="preserve"> </w:t>
      </w:r>
      <w:r w:rsidRPr="00F52CA3">
        <w:t>leavers</w:t>
      </w:r>
      <w:r w:rsidR="00E21712" w:rsidRPr="00F52CA3">
        <w:t xml:space="preserve"> </w:t>
      </w:r>
      <w:r w:rsidRPr="00F52CA3">
        <w:t>into</w:t>
      </w:r>
      <w:r w:rsidR="00E21712" w:rsidRPr="00F52CA3">
        <w:t xml:space="preserve"> </w:t>
      </w:r>
      <w:r w:rsidRPr="00F52CA3">
        <w:t>teaching</w:t>
      </w:r>
      <w:r w:rsidR="00E21712" w:rsidRPr="00F52CA3">
        <w:t xml:space="preserve"> </w:t>
      </w:r>
      <w:r w:rsidRPr="00F52CA3">
        <w:t>based</w:t>
      </w:r>
      <w:r w:rsidR="00E21712" w:rsidRPr="00F52CA3">
        <w:t xml:space="preserve"> </w:t>
      </w:r>
      <w:r w:rsidRPr="00F52CA3">
        <w:t>on</w:t>
      </w:r>
      <w:r w:rsidR="00E21712" w:rsidRPr="00F52CA3">
        <w:t xml:space="preserve"> </w:t>
      </w:r>
      <w:r w:rsidRPr="00F52CA3">
        <w:t>national</w:t>
      </w:r>
      <w:r w:rsidR="00E21712" w:rsidRPr="00F52CA3">
        <w:t xml:space="preserve"> </w:t>
      </w:r>
      <w:r w:rsidR="00615191" w:rsidRPr="00F52CA3">
        <w:t>school</w:t>
      </w:r>
      <w:r w:rsidR="00E21712" w:rsidRPr="00F52CA3">
        <w:t xml:space="preserve"> </w:t>
      </w:r>
      <w:r w:rsidRPr="00F52CA3">
        <w:t>ranking</w:t>
      </w:r>
      <w:r w:rsidR="00E21712" w:rsidRPr="00F52CA3">
        <w:t xml:space="preserve"> </w:t>
      </w:r>
      <w:r w:rsidRPr="00F52CA3">
        <w:t>is</w:t>
      </w:r>
      <w:r w:rsidR="00E21712" w:rsidRPr="00F52CA3">
        <w:t xml:space="preserve"> </w:t>
      </w:r>
      <w:r w:rsidRPr="00F52CA3">
        <w:t>fraught</w:t>
      </w:r>
      <w:r w:rsidR="00E21712" w:rsidRPr="00F52CA3">
        <w:t xml:space="preserve"> </w:t>
      </w:r>
      <w:r w:rsidRPr="00F52CA3">
        <w:t>with</w:t>
      </w:r>
      <w:r w:rsidR="00E21712" w:rsidRPr="00F52CA3">
        <w:t xml:space="preserve"> </w:t>
      </w:r>
      <w:r w:rsidRPr="00F52CA3">
        <w:t>misconception</w:t>
      </w:r>
      <w:r w:rsidR="00E21712" w:rsidRPr="00F52CA3">
        <w:t xml:space="preserve"> </w:t>
      </w:r>
      <w:r w:rsidRPr="00F52CA3">
        <w:t>and</w:t>
      </w:r>
      <w:r w:rsidR="00E21712" w:rsidRPr="00F52CA3">
        <w:t xml:space="preserve"> </w:t>
      </w:r>
      <w:r w:rsidRPr="00F52CA3">
        <w:t>should</w:t>
      </w:r>
      <w:r w:rsidR="00E21712" w:rsidRPr="00F52CA3">
        <w:t xml:space="preserve"> </w:t>
      </w:r>
      <w:r w:rsidRPr="00F52CA3">
        <w:t>cease</w:t>
      </w:r>
      <w:r w:rsidR="00E21712" w:rsidRPr="00F52CA3">
        <w:t xml:space="preserve"> </w:t>
      </w:r>
      <w:r w:rsidRPr="00F52CA3">
        <w:t>immediately.</w:t>
      </w:r>
      <w:r w:rsidR="00E21712" w:rsidRPr="00F52CA3">
        <w:t xml:space="preserve"> </w:t>
      </w:r>
      <w:r w:rsidR="008F0A8B" w:rsidRPr="00F52CA3">
        <w:t>The</w:t>
      </w:r>
      <w:r w:rsidR="00E21712" w:rsidRPr="00F52CA3">
        <w:t xml:space="preserve"> </w:t>
      </w:r>
      <w:r w:rsidR="008F0A8B" w:rsidRPr="00F52CA3">
        <w:t>predictive</w:t>
      </w:r>
      <w:r w:rsidR="00E21712" w:rsidRPr="00F52CA3">
        <w:t xml:space="preserve"> </w:t>
      </w:r>
      <w:r w:rsidR="008F0A8B" w:rsidRPr="00F52CA3">
        <w:t>power</w:t>
      </w:r>
      <w:r w:rsidR="00E21712" w:rsidRPr="00F52CA3">
        <w:t xml:space="preserve"> </w:t>
      </w:r>
      <w:r w:rsidR="008F0A8B" w:rsidRPr="00F52CA3">
        <w:t>of</w:t>
      </w:r>
      <w:r w:rsidR="00E21712" w:rsidRPr="00F52CA3">
        <w:t xml:space="preserve"> </w:t>
      </w:r>
      <w:r w:rsidR="008F0A8B" w:rsidRPr="00F52CA3">
        <w:t>prior</w:t>
      </w:r>
      <w:r w:rsidR="00E21712" w:rsidRPr="00F52CA3">
        <w:t xml:space="preserve"> </w:t>
      </w:r>
      <w:r w:rsidR="008F0A8B" w:rsidRPr="00F52CA3">
        <w:t>academic</w:t>
      </w:r>
      <w:r w:rsidR="00E21712" w:rsidRPr="00F52CA3">
        <w:t xml:space="preserve"> </w:t>
      </w:r>
      <w:r w:rsidR="008F0A8B" w:rsidRPr="00F52CA3">
        <w:t>achievement</w:t>
      </w:r>
      <w:r w:rsidR="00E21712" w:rsidRPr="00F52CA3">
        <w:t xml:space="preserve"> </w:t>
      </w:r>
      <w:r w:rsidR="008F0A8B" w:rsidRPr="00F52CA3">
        <w:t>is</w:t>
      </w:r>
      <w:r w:rsidR="00E21712" w:rsidRPr="00F52CA3">
        <w:t xml:space="preserve"> </w:t>
      </w:r>
      <w:r w:rsidR="008F0A8B" w:rsidRPr="00F52CA3">
        <w:t>not</w:t>
      </w:r>
      <w:r w:rsidR="00E21712" w:rsidRPr="00F52CA3">
        <w:t xml:space="preserve"> </w:t>
      </w:r>
      <w:r w:rsidR="008F0A8B" w:rsidRPr="00F52CA3">
        <w:t>clear</w:t>
      </w:r>
      <w:r w:rsidR="00E21712" w:rsidRPr="00F52CA3">
        <w:t xml:space="preserve"> </w:t>
      </w:r>
      <w:r w:rsidR="00615191" w:rsidRPr="00F52CA3">
        <w:t>when</w:t>
      </w:r>
      <w:r w:rsidR="00E21712" w:rsidRPr="00F52CA3">
        <w:t xml:space="preserve"> </w:t>
      </w:r>
      <w:r w:rsidR="00615191" w:rsidRPr="00F52CA3">
        <w:t>it</w:t>
      </w:r>
      <w:r w:rsidR="00E21712" w:rsidRPr="00F52CA3">
        <w:t xml:space="preserve"> </w:t>
      </w:r>
      <w:r w:rsidR="00615191" w:rsidRPr="00F52CA3">
        <w:t>comes</w:t>
      </w:r>
      <w:r w:rsidR="00E21712" w:rsidRPr="00F52CA3">
        <w:t xml:space="preserve"> </w:t>
      </w:r>
      <w:r w:rsidR="00615191" w:rsidRPr="00F52CA3">
        <w:t>to</w:t>
      </w:r>
      <w:r w:rsidR="00E21712" w:rsidRPr="00F52CA3">
        <w:t xml:space="preserve"> </w:t>
      </w:r>
      <w:r w:rsidR="00615191" w:rsidRPr="00F52CA3">
        <w:t>teaching</w:t>
      </w:r>
      <w:r w:rsidR="00E21712" w:rsidRPr="00F52CA3">
        <w:t xml:space="preserve"> </w:t>
      </w:r>
      <w:r w:rsidR="00615191" w:rsidRPr="00F52CA3">
        <w:t>and</w:t>
      </w:r>
      <w:r w:rsidR="00E21712" w:rsidRPr="00F52CA3">
        <w:t xml:space="preserve"> </w:t>
      </w:r>
      <w:r w:rsidR="00615191" w:rsidRPr="00F52CA3">
        <w:t>most</w:t>
      </w:r>
      <w:r w:rsidR="00E21712" w:rsidRPr="00F52CA3">
        <w:t xml:space="preserve"> </w:t>
      </w:r>
      <w:r w:rsidR="00615191" w:rsidRPr="00F52CA3">
        <w:t>unreliable</w:t>
      </w:r>
      <w:r w:rsidR="00E21712" w:rsidRPr="00F52CA3">
        <w:t xml:space="preserve"> </w:t>
      </w:r>
      <w:r w:rsidR="00615191" w:rsidRPr="00F52CA3">
        <w:t>as</w:t>
      </w:r>
      <w:r w:rsidR="00E21712" w:rsidRPr="00F52CA3">
        <w:t xml:space="preserve"> </w:t>
      </w:r>
      <w:r w:rsidR="00615191" w:rsidRPr="00F52CA3">
        <w:t>a</w:t>
      </w:r>
      <w:r w:rsidR="00E21712" w:rsidRPr="00F52CA3">
        <w:t xml:space="preserve"> </w:t>
      </w:r>
      <w:r w:rsidR="00615191" w:rsidRPr="00F52CA3">
        <w:t>selection</w:t>
      </w:r>
      <w:r w:rsidR="00E21712" w:rsidRPr="00F52CA3">
        <w:t xml:space="preserve"> </w:t>
      </w:r>
      <w:r w:rsidR="00615191" w:rsidRPr="00F52CA3">
        <w:t>tool</w:t>
      </w:r>
      <w:r w:rsidR="00E21712" w:rsidRPr="00F52CA3">
        <w:t xml:space="preserve"> </w:t>
      </w:r>
      <w:r w:rsidR="008F0A8B" w:rsidRPr="00F52CA3">
        <w:t>(Goss</w:t>
      </w:r>
      <w:r w:rsidR="00E21712" w:rsidRPr="00F52CA3">
        <w:t xml:space="preserve"> </w:t>
      </w:r>
      <w:r w:rsidR="008F0A8B" w:rsidRPr="00F52CA3">
        <w:t>&amp;</w:t>
      </w:r>
      <w:r w:rsidR="00E21712" w:rsidRPr="00F52CA3">
        <w:t xml:space="preserve"> </w:t>
      </w:r>
      <w:proofErr w:type="spellStart"/>
      <w:r w:rsidR="008F0A8B" w:rsidRPr="00F52CA3">
        <w:t>Sonnemann</w:t>
      </w:r>
      <w:proofErr w:type="spellEnd"/>
      <w:r w:rsidR="008F0A8B" w:rsidRPr="00F52CA3">
        <w:t>,</w:t>
      </w:r>
      <w:r w:rsidR="00E21712" w:rsidRPr="00F52CA3">
        <w:t xml:space="preserve"> </w:t>
      </w:r>
      <w:r w:rsidR="008F0A8B" w:rsidRPr="00F52CA3">
        <w:t>2019</w:t>
      </w:r>
      <w:r w:rsidR="00E21712" w:rsidRPr="00F52CA3">
        <w:t xml:space="preserve"> </w:t>
      </w:r>
      <w:r w:rsidR="008F0A8B" w:rsidRPr="00F52CA3">
        <w:t>in</w:t>
      </w:r>
      <w:r w:rsidR="00E21712" w:rsidRPr="00F52CA3">
        <w:t xml:space="preserve"> </w:t>
      </w:r>
      <w:r w:rsidR="008F0A8B" w:rsidRPr="00F52CA3">
        <w:t>Gore,</w:t>
      </w:r>
      <w:r w:rsidR="00E21712" w:rsidRPr="00F52CA3">
        <w:t xml:space="preserve"> </w:t>
      </w:r>
      <w:r w:rsidR="008F0A8B" w:rsidRPr="00F52CA3">
        <w:t>2021).</w:t>
      </w:r>
    </w:p>
    <w:p w14:paraId="10C65E7A" w14:textId="57B8FA86" w:rsidR="00615191" w:rsidRPr="00F52CA3" w:rsidRDefault="00615191" w:rsidP="00B054ED">
      <w:pPr>
        <w:pStyle w:val="ListParagraph"/>
        <w:numPr>
          <w:ilvl w:val="1"/>
          <w:numId w:val="5"/>
        </w:numPr>
      </w:pPr>
      <w:r w:rsidRPr="00F52CA3">
        <w:t>The</w:t>
      </w:r>
      <w:r w:rsidR="00E21712" w:rsidRPr="00F52CA3">
        <w:t xml:space="preserve"> </w:t>
      </w:r>
      <w:r w:rsidRPr="00F52CA3">
        <w:t>inclusion</w:t>
      </w:r>
      <w:r w:rsidR="00E21712" w:rsidRPr="00F52CA3">
        <w:t xml:space="preserve"> </w:t>
      </w:r>
      <w:r w:rsidRPr="00F52CA3">
        <w:t>of</w:t>
      </w:r>
      <w:r w:rsidR="00E21712" w:rsidRPr="00F52CA3">
        <w:t xml:space="preserve"> </w:t>
      </w:r>
      <w:r w:rsidRPr="00F52CA3">
        <w:t>the</w:t>
      </w:r>
      <w:r w:rsidR="00E21712" w:rsidRPr="00F52CA3">
        <w:t xml:space="preserve"> </w:t>
      </w:r>
      <w:r w:rsidRPr="00F52CA3">
        <w:t>“best</w:t>
      </w:r>
      <w:r w:rsidR="00E21712" w:rsidRPr="00F52CA3">
        <w:t xml:space="preserve"> </w:t>
      </w:r>
      <w:r w:rsidRPr="00F52CA3">
        <w:t>school”</w:t>
      </w:r>
      <w:r w:rsidR="00E21712" w:rsidRPr="00F52CA3">
        <w:t xml:space="preserve"> </w:t>
      </w:r>
      <w:r w:rsidRPr="00F52CA3">
        <w:t>leavers</w:t>
      </w:r>
      <w:r w:rsidR="00E21712" w:rsidRPr="00F52CA3">
        <w:t xml:space="preserve"> </w:t>
      </w:r>
      <w:r w:rsidRPr="00F52CA3">
        <w:t>is</w:t>
      </w:r>
      <w:r w:rsidR="00E21712" w:rsidRPr="00F52CA3">
        <w:t xml:space="preserve"> </w:t>
      </w:r>
      <w:r w:rsidRPr="00F52CA3">
        <w:t>difficult</w:t>
      </w:r>
      <w:r w:rsidR="00E21712" w:rsidRPr="00F52CA3">
        <w:t xml:space="preserve"> </w:t>
      </w:r>
      <w:r w:rsidRPr="00F52CA3">
        <w:t>to</w:t>
      </w:r>
      <w:r w:rsidR="00E21712" w:rsidRPr="00F52CA3">
        <w:t xml:space="preserve"> </w:t>
      </w:r>
      <w:r w:rsidRPr="00F52CA3">
        <w:t>define</w:t>
      </w:r>
      <w:r w:rsidR="00E21712" w:rsidRPr="00F52CA3">
        <w:t xml:space="preserve"> </w:t>
      </w:r>
      <w:r w:rsidRPr="00F52CA3">
        <w:t>and</w:t>
      </w:r>
      <w:r w:rsidR="00E21712" w:rsidRPr="00F52CA3">
        <w:t xml:space="preserve"> </w:t>
      </w:r>
      <w:r w:rsidRPr="00F52CA3">
        <w:t>can</w:t>
      </w:r>
      <w:r w:rsidR="00E21712" w:rsidRPr="00F52CA3">
        <w:t xml:space="preserve"> </w:t>
      </w:r>
      <w:r w:rsidRPr="00F52CA3">
        <w:t>be</w:t>
      </w:r>
      <w:r w:rsidR="00E21712" w:rsidRPr="00F52CA3">
        <w:t xml:space="preserve"> </w:t>
      </w:r>
      <w:r w:rsidRPr="00F52CA3">
        <w:t>dismissive</w:t>
      </w:r>
      <w:r w:rsidR="00E21712" w:rsidRPr="00F52CA3">
        <w:t xml:space="preserve"> </w:t>
      </w:r>
      <w:r w:rsidRPr="00F52CA3">
        <w:t>of</w:t>
      </w:r>
      <w:r w:rsidR="00E21712" w:rsidRPr="00F52CA3">
        <w:t xml:space="preserve"> </w:t>
      </w:r>
      <w:r w:rsidRPr="00F52CA3">
        <w:t>a</w:t>
      </w:r>
      <w:r w:rsidR="00E21712" w:rsidRPr="00F52CA3">
        <w:t xml:space="preserve"> </w:t>
      </w:r>
      <w:r w:rsidRPr="00F52CA3">
        <w:t>broad</w:t>
      </w:r>
      <w:r w:rsidR="00E21712" w:rsidRPr="00F52CA3">
        <w:t xml:space="preserve"> </w:t>
      </w:r>
      <w:r w:rsidRPr="00F52CA3">
        <w:t>range</w:t>
      </w:r>
      <w:r w:rsidR="00E21712" w:rsidRPr="00F52CA3">
        <w:t xml:space="preserve"> </w:t>
      </w:r>
      <w:r w:rsidRPr="00F52CA3">
        <w:t>of</w:t>
      </w:r>
      <w:r w:rsidR="00E21712" w:rsidRPr="00F52CA3">
        <w:t xml:space="preserve"> </w:t>
      </w:r>
      <w:r w:rsidRPr="00F52CA3">
        <w:t>suitable</w:t>
      </w:r>
      <w:r w:rsidR="00E21712" w:rsidRPr="00F52CA3">
        <w:t xml:space="preserve"> </w:t>
      </w:r>
      <w:r w:rsidRPr="00F52CA3">
        <w:t>applicants</w:t>
      </w:r>
      <w:r w:rsidR="00E21712" w:rsidRPr="00F52CA3">
        <w:t xml:space="preserve"> </w:t>
      </w:r>
      <w:r w:rsidRPr="00F52CA3">
        <w:t>including</w:t>
      </w:r>
      <w:r w:rsidR="00E21712" w:rsidRPr="00F52CA3">
        <w:t xml:space="preserve"> </w:t>
      </w:r>
      <w:r w:rsidRPr="00F52CA3">
        <w:t>Aboriginal</w:t>
      </w:r>
      <w:r w:rsidR="00E21712" w:rsidRPr="00F52CA3">
        <w:t xml:space="preserve"> </w:t>
      </w:r>
      <w:r w:rsidRPr="00F52CA3">
        <w:t>and</w:t>
      </w:r>
      <w:r w:rsidR="00E21712" w:rsidRPr="00F52CA3">
        <w:t xml:space="preserve"> </w:t>
      </w:r>
      <w:r w:rsidRPr="00F52CA3">
        <w:t>Torres</w:t>
      </w:r>
      <w:r w:rsidR="00E21712" w:rsidRPr="00F52CA3">
        <w:t xml:space="preserve"> </w:t>
      </w:r>
      <w:r w:rsidR="00CF5DC0" w:rsidRPr="00F52CA3">
        <w:t>S</w:t>
      </w:r>
      <w:r w:rsidRPr="00F52CA3">
        <w:t>trait</w:t>
      </w:r>
      <w:r w:rsidR="00E21712" w:rsidRPr="00F52CA3">
        <w:t xml:space="preserve"> </w:t>
      </w:r>
      <w:r w:rsidRPr="00F52CA3">
        <w:t>Islander</w:t>
      </w:r>
      <w:r w:rsidR="00E21712" w:rsidRPr="00F52CA3">
        <w:t xml:space="preserve"> </w:t>
      </w:r>
      <w:r w:rsidRPr="00F52CA3">
        <w:t>students.</w:t>
      </w:r>
      <w:r w:rsidR="00E21712" w:rsidRPr="00F52CA3">
        <w:t xml:space="preserve"> </w:t>
      </w:r>
      <w:r w:rsidR="00C86B5C" w:rsidRPr="00F52CA3">
        <w:t>We</w:t>
      </w:r>
      <w:r w:rsidR="00E21712" w:rsidRPr="00F52CA3">
        <w:t xml:space="preserve"> </w:t>
      </w:r>
      <w:r w:rsidR="00C86B5C" w:rsidRPr="00F52CA3">
        <w:t>are</w:t>
      </w:r>
      <w:r w:rsidR="00E21712" w:rsidRPr="00F52CA3">
        <w:t xml:space="preserve"> </w:t>
      </w:r>
      <w:r w:rsidR="00C86B5C" w:rsidRPr="00F52CA3">
        <w:t>concern</w:t>
      </w:r>
      <w:r w:rsidR="00FD4FAE" w:rsidRPr="00F52CA3">
        <w:t>ed</w:t>
      </w:r>
      <w:r w:rsidR="00E21712" w:rsidRPr="00F52CA3">
        <w:t xml:space="preserve"> </w:t>
      </w:r>
      <w:r w:rsidR="00C86B5C" w:rsidRPr="00F52CA3">
        <w:t>that</w:t>
      </w:r>
      <w:r w:rsidR="00E21712" w:rsidRPr="00F52CA3">
        <w:t xml:space="preserve"> </w:t>
      </w:r>
      <w:r w:rsidR="00C86B5C" w:rsidRPr="00F52CA3">
        <w:t>unless</w:t>
      </w:r>
      <w:r w:rsidR="00E21712" w:rsidRPr="00F52CA3">
        <w:t xml:space="preserve"> </w:t>
      </w:r>
      <w:r w:rsidR="00C86B5C" w:rsidRPr="00F52CA3">
        <w:t>a</w:t>
      </w:r>
      <w:r w:rsidR="00E21712" w:rsidRPr="00F52CA3">
        <w:t xml:space="preserve"> </w:t>
      </w:r>
      <w:r w:rsidR="00C86B5C" w:rsidRPr="00F52CA3">
        <w:t>more</w:t>
      </w:r>
      <w:r w:rsidR="00E21712" w:rsidRPr="00F52CA3">
        <w:t xml:space="preserve"> </w:t>
      </w:r>
      <w:r w:rsidR="00C86B5C" w:rsidRPr="00F52CA3">
        <w:t>strategic</w:t>
      </w:r>
      <w:r w:rsidR="00E21712" w:rsidRPr="00F52CA3">
        <w:t xml:space="preserve"> </w:t>
      </w:r>
      <w:r w:rsidR="00C86B5C" w:rsidRPr="00F52CA3">
        <w:t>and</w:t>
      </w:r>
      <w:r w:rsidR="00E21712" w:rsidRPr="00F52CA3">
        <w:t xml:space="preserve"> </w:t>
      </w:r>
      <w:r w:rsidR="00C86B5C" w:rsidRPr="00F52CA3">
        <w:t>well</w:t>
      </w:r>
      <w:r w:rsidR="00FF5D74" w:rsidRPr="00F52CA3">
        <w:t>-</w:t>
      </w:r>
      <w:r w:rsidR="00C86B5C" w:rsidRPr="00F52CA3">
        <w:t>advise</w:t>
      </w:r>
      <w:r w:rsidR="00FD4FAE" w:rsidRPr="00F52CA3">
        <w:t>d</w:t>
      </w:r>
      <w:r w:rsidR="00E21712" w:rsidRPr="00F52CA3">
        <w:t xml:space="preserve"> </w:t>
      </w:r>
      <w:r w:rsidR="00C86B5C" w:rsidRPr="00F52CA3">
        <w:t>approach</w:t>
      </w:r>
      <w:r w:rsidR="00E21712" w:rsidRPr="00F52CA3">
        <w:t xml:space="preserve"> </w:t>
      </w:r>
      <w:r w:rsidR="00C86B5C" w:rsidRPr="00F52CA3">
        <w:t>unfolds,</w:t>
      </w:r>
      <w:r w:rsidR="00E21712" w:rsidRPr="00F52CA3">
        <w:t xml:space="preserve"> </w:t>
      </w:r>
      <w:r w:rsidR="00C86B5C" w:rsidRPr="00F52CA3">
        <w:t>nothing</w:t>
      </w:r>
      <w:r w:rsidR="00E21712" w:rsidRPr="00F52CA3">
        <w:t xml:space="preserve"> </w:t>
      </w:r>
      <w:r w:rsidR="00C86B5C" w:rsidRPr="00F52CA3">
        <w:t>much</w:t>
      </w:r>
      <w:r w:rsidR="00E21712" w:rsidRPr="00F52CA3">
        <w:t xml:space="preserve"> </w:t>
      </w:r>
      <w:r w:rsidR="00C86B5C" w:rsidRPr="00F52CA3">
        <w:t>will</w:t>
      </w:r>
      <w:r w:rsidR="00E21712" w:rsidRPr="00F52CA3">
        <w:t xml:space="preserve"> </w:t>
      </w:r>
      <w:r w:rsidR="00C86B5C" w:rsidRPr="00F52CA3">
        <w:t>change,</w:t>
      </w:r>
      <w:r w:rsidR="00E21712" w:rsidRPr="00F52CA3">
        <w:t xml:space="preserve"> </w:t>
      </w:r>
      <w:r w:rsidR="00C86B5C" w:rsidRPr="00F52CA3">
        <w:t>(See</w:t>
      </w:r>
      <w:r w:rsidR="00E21712" w:rsidRPr="00F52CA3">
        <w:t xml:space="preserve"> </w:t>
      </w:r>
      <w:r w:rsidR="00C86B5C" w:rsidRPr="00F52CA3">
        <w:t>for</w:t>
      </w:r>
      <w:r w:rsidR="00E21712" w:rsidRPr="00F52CA3">
        <w:t xml:space="preserve"> </w:t>
      </w:r>
      <w:r w:rsidR="00C86B5C" w:rsidRPr="00F52CA3">
        <w:t>example</w:t>
      </w:r>
      <w:r w:rsidR="00AC3CAE" w:rsidRPr="00F52CA3">
        <w:t xml:space="preserve"> Goss &amp; </w:t>
      </w:r>
      <w:proofErr w:type="spellStart"/>
      <w:r w:rsidR="00AC3CAE" w:rsidRPr="00F52CA3">
        <w:t>Sonnemann</w:t>
      </w:r>
      <w:proofErr w:type="spellEnd"/>
      <w:r w:rsidR="00AC3CAE" w:rsidRPr="00F52CA3">
        <w:t xml:space="preserve">, 2019), </w:t>
      </w:r>
      <w:r w:rsidR="00C86B5C" w:rsidRPr="00F52CA3">
        <w:t>and</w:t>
      </w:r>
      <w:r w:rsidR="00E21712" w:rsidRPr="00F52CA3">
        <w:t xml:space="preserve"> </w:t>
      </w:r>
      <w:r w:rsidR="00C86B5C" w:rsidRPr="00F52CA3">
        <w:t>yet</w:t>
      </w:r>
      <w:r w:rsidR="00E21712" w:rsidRPr="00F52CA3">
        <w:t xml:space="preserve"> </w:t>
      </w:r>
      <w:r w:rsidR="00C86B5C" w:rsidRPr="00F52CA3">
        <w:t>this</w:t>
      </w:r>
      <w:r w:rsidR="00E21712" w:rsidRPr="00F52CA3">
        <w:t xml:space="preserve"> </w:t>
      </w:r>
      <w:r w:rsidR="00C86B5C" w:rsidRPr="00F52CA3">
        <w:t>is</w:t>
      </w:r>
      <w:r w:rsidR="00FD4FAE" w:rsidRPr="00F52CA3">
        <w:t xml:space="preserve"> a</w:t>
      </w:r>
      <w:r w:rsidR="00E21712" w:rsidRPr="00F52CA3">
        <w:t xml:space="preserve"> </w:t>
      </w:r>
      <w:r w:rsidR="00C86B5C" w:rsidRPr="00F52CA3">
        <w:t>process</w:t>
      </w:r>
      <w:r w:rsidR="00E21712" w:rsidRPr="00F52CA3">
        <w:t xml:space="preserve"> </w:t>
      </w:r>
      <w:r w:rsidR="00C86B5C" w:rsidRPr="00F52CA3">
        <w:t>that</w:t>
      </w:r>
      <w:r w:rsidR="00E21712" w:rsidRPr="00F52CA3">
        <w:t xml:space="preserve"> </w:t>
      </w:r>
      <w:r w:rsidR="00C86B5C" w:rsidRPr="00F52CA3">
        <w:t>can</w:t>
      </w:r>
      <w:r w:rsidR="00E21712" w:rsidRPr="00F52CA3">
        <w:t xml:space="preserve"> </w:t>
      </w:r>
      <w:r w:rsidR="00C86B5C" w:rsidRPr="00F52CA3">
        <w:t>be</w:t>
      </w:r>
      <w:r w:rsidR="00E21712" w:rsidRPr="00F52CA3">
        <w:t xml:space="preserve"> </w:t>
      </w:r>
      <w:r w:rsidR="00C86B5C" w:rsidRPr="00F52CA3">
        <w:t>easily</w:t>
      </w:r>
      <w:r w:rsidR="00E21712" w:rsidRPr="00F52CA3">
        <w:t xml:space="preserve"> </w:t>
      </w:r>
      <w:r w:rsidR="00C86B5C" w:rsidRPr="00F52CA3">
        <w:t>reimagined</w:t>
      </w:r>
      <w:r w:rsidR="00E21712" w:rsidRPr="00F52CA3">
        <w:t xml:space="preserve"> </w:t>
      </w:r>
      <w:r w:rsidR="00C86B5C" w:rsidRPr="00F52CA3">
        <w:t>for</w:t>
      </w:r>
      <w:r w:rsidR="00E21712" w:rsidRPr="00F52CA3">
        <w:t xml:space="preserve"> </w:t>
      </w:r>
      <w:r w:rsidR="00C86B5C" w:rsidRPr="00F52CA3">
        <w:t>the</w:t>
      </w:r>
      <w:r w:rsidR="00E21712" w:rsidRPr="00F52CA3">
        <w:t xml:space="preserve"> </w:t>
      </w:r>
      <w:r w:rsidR="00C86B5C" w:rsidRPr="00F52CA3">
        <w:t>desired</w:t>
      </w:r>
      <w:r w:rsidR="00E21712" w:rsidRPr="00F52CA3">
        <w:t xml:space="preserve"> </w:t>
      </w:r>
      <w:r w:rsidR="00C86B5C" w:rsidRPr="00F52CA3">
        <w:t>outcome.</w:t>
      </w:r>
      <w:r w:rsidR="00E21712" w:rsidRPr="00F52CA3">
        <w:t xml:space="preserve"> </w:t>
      </w:r>
    </w:p>
    <w:p w14:paraId="5209765D" w14:textId="129546B8" w:rsidR="00831ACF" w:rsidRPr="00F52CA3" w:rsidRDefault="00831ACF" w:rsidP="008F0A8B">
      <w:pPr>
        <w:pStyle w:val="ListParagraph"/>
      </w:pPr>
    </w:p>
    <w:p w14:paraId="55EFF370" w14:textId="715AF643" w:rsidR="00CF5DC0" w:rsidRPr="00F52CA3" w:rsidRDefault="00C86B5C" w:rsidP="00CF5DC0">
      <w:pPr>
        <w:pStyle w:val="ListParagraph"/>
        <w:numPr>
          <w:ilvl w:val="0"/>
          <w:numId w:val="5"/>
        </w:numPr>
      </w:pPr>
      <w:r w:rsidRPr="00F52CA3">
        <w:t>Why</w:t>
      </w:r>
      <w:r w:rsidR="00E21712" w:rsidRPr="00F52CA3">
        <w:t xml:space="preserve"> </w:t>
      </w:r>
      <w:r w:rsidRPr="00F52CA3">
        <w:t>are</w:t>
      </w:r>
      <w:r w:rsidR="00E21712" w:rsidRPr="00F52CA3">
        <w:t xml:space="preserve"> </w:t>
      </w:r>
      <w:r w:rsidRPr="00F52CA3">
        <w:t>teachers</w:t>
      </w:r>
      <w:r w:rsidR="00E21712" w:rsidRPr="00F52CA3">
        <w:t xml:space="preserve"> </w:t>
      </w:r>
      <w:r w:rsidRPr="00F52CA3">
        <w:t>leaving</w:t>
      </w:r>
      <w:r w:rsidR="00E21712" w:rsidRPr="00F52CA3">
        <w:t xml:space="preserve"> </w:t>
      </w:r>
      <w:r w:rsidRPr="00F52CA3">
        <w:t>the</w:t>
      </w:r>
      <w:r w:rsidR="00E21712" w:rsidRPr="00F52CA3">
        <w:t xml:space="preserve"> </w:t>
      </w:r>
      <w:r w:rsidRPr="00F52CA3">
        <w:t>profession?</w:t>
      </w:r>
      <w:r w:rsidR="00E21712" w:rsidRPr="00F52CA3">
        <w:t xml:space="preserve"> </w:t>
      </w:r>
      <w:r w:rsidR="00002B6F" w:rsidRPr="00F52CA3">
        <w:t>Unlike</w:t>
      </w:r>
      <w:r w:rsidR="00E21712" w:rsidRPr="00F52CA3">
        <w:t xml:space="preserve"> </w:t>
      </w:r>
      <w:r w:rsidR="00002B6F" w:rsidRPr="00F52CA3">
        <w:t>our</w:t>
      </w:r>
      <w:r w:rsidR="00E21712" w:rsidRPr="00F52CA3">
        <w:t xml:space="preserve"> </w:t>
      </w:r>
      <w:r w:rsidR="00002B6F" w:rsidRPr="00F52CA3">
        <w:t>Singaporean</w:t>
      </w:r>
      <w:r w:rsidR="00E21712" w:rsidRPr="00F52CA3">
        <w:t xml:space="preserve"> </w:t>
      </w:r>
      <w:r w:rsidR="00002B6F" w:rsidRPr="00F52CA3">
        <w:t>and</w:t>
      </w:r>
      <w:r w:rsidR="00E21712" w:rsidRPr="00F52CA3">
        <w:t xml:space="preserve"> </w:t>
      </w:r>
      <w:r w:rsidR="00002B6F" w:rsidRPr="00F52CA3">
        <w:t>European</w:t>
      </w:r>
      <w:r w:rsidR="00E21712" w:rsidRPr="00F52CA3">
        <w:t xml:space="preserve"> </w:t>
      </w:r>
      <w:r w:rsidR="00002B6F" w:rsidRPr="00F52CA3">
        <w:t>colleagues,</w:t>
      </w:r>
      <w:r w:rsidR="00E21712" w:rsidRPr="00F52CA3">
        <w:t xml:space="preserve"> </w:t>
      </w:r>
      <w:r w:rsidR="00002B6F" w:rsidRPr="00F52CA3">
        <w:t>there</w:t>
      </w:r>
      <w:r w:rsidR="00E21712" w:rsidRPr="00F52CA3">
        <w:t xml:space="preserve"> </w:t>
      </w:r>
      <w:r w:rsidR="00002B6F" w:rsidRPr="00F52CA3">
        <w:t>is</w:t>
      </w:r>
      <w:r w:rsidR="00E21712" w:rsidRPr="00F52CA3">
        <w:t xml:space="preserve"> </w:t>
      </w:r>
      <w:r w:rsidR="00002B6F" w:rsidRPr="00F52CA3">
        <w:t>a</w:t>
      </w:r>
      <w:r w:rsidR="00E21712" w:rsidRPr="00F52CA3">
        <w:t xml:space="preserve"> </w:t>
      </w:r>
      <w:r w:rsidR="00002B6F" w:rsidRPr="00F52CA3">
        <w:t>limited</w:t>
      </w:r>
      <w:r w:rsidR="00E21712" w:rsidRPr="00F52CA3">
        <w:t xml:space="preserve"> </w:t>
      </w:r>
      <w:r w:rsidR="00002B6F" w:rsidRPr="00F52CA3">
        <w:t>career</w:t>
      </w:r>
      <w:r w:rsidR="00E21712" w:rsidRPr="00F52CA3">
        <w:t xml:space="preserve"> </w:t>
      </w:r>
      <w:r w:rsidR="00002B6F" w:rsidRPr="00F52CA3">
        <w:t>trajectory</w:t>
      </w:r>
      <w:r w:rsidR="00E21712" w:rsidRPr="00F52CA3">
        <w:t xml:space="preserve"> </w:t>
      </w:r>
      <w:r w:rsidR="00002B6F" w:rsidRPr="00F52CA3">
        <w:t>within</w:t>
      </w:r>
      <w:r w:rsidR="00E21712" w:rsidRPr="00F52CA3">
        <w:t xml:space="preserve"> </w:t>
      </w:r>
      <w:r w:rsidR="00002B6F" w:rsidRPr="00F52CA3">
        <w:t>the</w:t>
      </w:r>
      <w:r w:rsidR="00E21712" w:rsidRPr="00F52CA3">
        <w:t xml:space="preserve"> </w:t>
      </w:r>
      <w:r w:rsidR="00002B6F" w:rsidRPr="00F52CA3">
        <w:t>profession</w:t>
      </w:r>
      <w:r w:rsidR="00E21712" w:rsidRPr="00F52CA3">
        <w:t xml:space="preserve"> </w:t>
      </w:r>
      <w:r w:rsidR="00002B6F" w:rsidRPr="00F52CA3">
        <w:t>of</w:t>
      </w:r>
      <w:r w:rsidR="00E21712" w:rsidRPr="00F52CA3">
        <w:t xml:space="preserve"> </w:t>
      </w:r>
      <w:r w:rsidR="00002B6F" w:rsidRPr="00F52CA3">
        <w:t>teaching.</w:t>
      </w:r>
      <w:r w:rsidR="00E21712" w:rsidRPr="00F52CA3">
        <w:t xml:space="preserve"> </w:t>
      </w:r>
      <w:r w:rsidR="00002B6F" w:rsidRPr="00F52CA3">
        <w:t>This</w:t>
      </w:r>
      <w:r w:rsidR="00E21712" w:rsidRPr="00F52CA3">
        <w:t xml:space="preserve"> </w:t>
      </w:r>
      <w:r w:rsidR="00002B6F" w:rsidRPr="00F52CA3">
        <w:t>is</w:t>
      </w:r>
      <w:r w:rsidR="00E21712" w:rsidRPr="00F52CA3">
        <w:t xml:space="preserve"> </w:t>
      </w:r>
      <w:r w:rsidR="00002B6F" w:rsidRPr="00F52CA3">
        <w:t>not</w:t>
      </w:r>
      <w:r w:rsidR="00E21712" w:rsidRPr="00F52CA3">
        <w:t xml:space="preserve"> </w:t>
      </w:r>
      <w:r w:rsidR="00002B6F" w:rsidRPr="00F52CA3">
        <w:t>just</w:t>
      </w:r>
      <w:r w:rsidR="00E21712" w:rsidRPr="00F52CA3">
        <w:t xml:space="preserve"> </w:t>
      </w:r>
      <w:r w:rsidR="00002B6F" w:rsidRPr="00F52CA3">
        <w:t>about</w:t>
      </w:r>
      <w:r w:rsidR="00E21712" w:rsidRPr="00F52CA3">
        <w:t xml:space="preserve"> </w:t>
      </w:r>
      <w:r w:rsidR="00002B6F" w:rsidRPr="00F52CA3">
        <w:t>remuneration.</w:t>
      </w:r>
      <w:r w:rsidR="00E21712" w:rsidRPr="00F52CA3">
        <w:t xml:space="preserve"> </w:t>
      </w:r>
      <w:r w:rsidR="00831ACF" w:rsidRPr="00F52CA3">
        <w:t>C</w:t>
      </w:r>
      <w:r w:rsidR="0038262C" w:rsidRPr="00F52CA3">
        <w:t>areer</w:t>
      </w:r>
      <w:r w:rsidR="00E21712" w:rsidRPr="00F52CA3">
        <w:t xml:space="preserve"> </w:t>
      </w:r>
      <w:r w:rsidR="0038262C" w:rsidRPr="00F52CA3">
        <w:t>opportunities</w:t>
      </w:r>
      <w:r w:rsidR="00E21712" w:rsidRPr="00F52CA3">
        <w:t xml:space="preserve"> </w:t>
      </w:r>
      <w:r w:rsidR="0038262C" w:rsidRPr="00F52CA3">
        <w:t>for</w:t>
      </w:r>
      <w:r w:rsidR="00E21712" w:rsidRPr="00F52CA3">
        <w:t xml:space="preserve"> </w:t>
      </w:r>
      <w:r w:rsidR="0038262C" w:rsidRPr="00F52CA3">
        <w:t>teachers</w:t>
      </w:r>
      <w:r w:rsidR="00E21712" w:rsidRPr="00F52CA3">
        <w:t xml:space="preserve"> </w:t>
      </w:r>
      <w:r w:rsidR="0038262C" w:rsidRPr="00F52CA3">
        <w:t>to</w:t>
      </w:r>
      <w:r w:rsidR="00E21712" w:rsidRPr="00F52CA3">
        <w:t xml:space="preserve"> </w:t>
      </w:r>
      <w:r w:rsidR="0038262C" w:rsidRPr="00F52CA3">
        <w:t>remain</w:t>
      </w:r>
      <w:r w:rsidR="00E21712" w:rsidRPr="00F52CA3">
        <w:t xml:space="preserve"> </w:t>
      </w:r>
      <w:r w:rsidR="0038262C" w:rsidRPr="00F52CA3">
        <w:t>in</w:t>
      </w:r>
      <w:r w:rsidR="00E21712" w:rsidRPr="00F52CA3">
        <w:t xml:space="preserve"> </w:t>
      </w:r>
      <w:r w:rsidR="0038262C" w:rsidRPr="00F52CA3">
        <w:t>the</w:t>
      </w:r>
      <w:r w:rsidR="00E21712" w:rsidRPr="00F52CA3">
        <w:t xml:space="preserve"> </w:t>
      </w:r>
      <w:r w:rsidR="0038262C" w:rsidRPr="00F52CA3">
        <w:t>classroom</w:t>
      </w:r>
      <w:r w:rsidR="00E21712" w:rsidRPr="00F52CA3">
        <w:t xml:space="preserve"> </w:t>
      </w:r>
      <w:r w:rsidR="0038262C" w:rsidRPr="00F52CA3">
        <w:t>and</w:t>
      </w:r>
      <w:r w:rsidR="00E21712" w:rsidRPr="00F52CA3">
        <w:t xml:space="preserve"> </w:t>
      </w:r>
      <w:r w:rsidR="0038262C" w:rsidRPr="00F52CA3">
        <w:t>seek</w:t>
      </w:r>
      <w:r w:rsidR="00E21712" w:rsidRPr="00F52CA3">
        <w:t xml:space="preserve"> </w:t>
      </w:r>
      <w:r w:rsidR="0038262C" w:rsidRPr="00F52CA3">
        <w:t>promotion</w:t>
      </w:r>
      <w:r w:rsidR="00E21712" w:rsidRPr="00F52CA3">
        <w:t xml:space="preserve"> </w:t>
      </w:r>
      <w:r w:rsidR="0038262C" w:rsidRPr="00F52CA3">
        <w:t>flat</w:t>
      </w:r>
      <w:r w:rsidR="00E21712" w:rsidRPr="00F52CA3">
        <w:t xml:space="preserve"> </w:t>
      </w:r>
      <w:r w:rsidR="0038262C" w:rsidRPr="00F52CA3">
        <w:t>line</w:t>
      </w:r>
      <w:r w:rsidR="00E21712" w:rsidRPr="00F52CA3">
        <w:t xml:space="preserve"> </w:t>
      </w:r>
      <w:r w:rsidR="0038262C" w:rsidRPr="00F52CA3">
        <w:t>early,</w:t>
      </w:r>
      <w:r w:rsidR="00E21712" w:rsidRPr="00F52CA3">
        <w:t xml:space="preserve"> </w:t>
      </w:r>
      <w:r w:rsidR="0038262C" w:rsidRPr="00F52CA3">
        <w:t>within</w:t>
      </w:r>
      <w:r w:rsidR="00E21712" w:rsidRPr="00F52CA3">
        <w:t xml:space="preserve"> </w:t>
      </w:r>
      <w:r w:rsidR="0038262C" w:rsidRPr="00F52CA3">
        <w:t>7-10</w:t>
      </w:r>
      <w:r w:rsidR="00E21712" w:rsidRPr="00F52CA3">
        <w:t xml:space="preserve"> </w:t>
      </w:r>
      <w:r w:rsidR="0038262C" w:rsidRPr="00F52CA3">
        <w:t>years.</w:t>
      </w:r>
      <w:r w:rsidR="00E21712" w:rsidRPr="00F52CA3">
        <w:t xml:space="preserve"> </w:t>
      </w:r>
      <w:r w:rsidR="0038262C" w:rsidRPr="00F52CA3">
        <w:t>There</w:t>
      </w:r>
      <w:r w:rsidR="00E21712" w:rsidRPr="00F52CA3">
        <w:t xml:space="preserve"> </w:t>
      </w:r>
      <w:r w:rsidR="0038262C" w:rsidRPr="00F52CA3">
        <w:t>are</w:t>
      </w:r>
      <w:r w:rsidR="00E21712" w:rsidRPr="00F52CA3">
        <w:t xml:space="preserve"> </w:t>
      </w:r>
      <w:r w:rsidR="0038262C" w:rsidRPr="00F52CA3">
        <w:t>far</w:t>
      </w:r>
      <w:r w:rsidR="00E21712" w:rsidRPr="00F52CA3">
        <w:t xml:space="preserve"> </w:t>
      </w:r>
      <w:r w:rsidR="0038262C" w:rsidRPr="00F52CA3">
        <w:t>greater</w:t>
      </w:r>
      <w:r w:rsidR="00E21712" w:rsidRPr="00F52CA3">
        <w:t xml:space="preserve"> </w:t>
      </w:r>
      <w:r w:rsidR="0038262C" w:rsidRPr="00F52CA3">
        <w:t>opportunities</w:t>
      </w:r>
      <w:r w:rsidR="00E21712" w:rsidRPr="00F52CA3">
        <w:t xml:space="preserve"> </w:t>
      </w:r>
      <w:r w:rsidR="0038262C" w:rsidRPr="00F52CA3">
        <w:t>overseas</w:t>
      </w:r>
      <w:r w:rsidR="00E21712" w:rsidRPr="00F52CA3">
        <w:t xml:space="preserve"> </w:t>
      </w:r>
      <w:r w:rsidR="0038262C" w:rsidRPr="00F52CA3">
        <w:t>for</w:t>
      </w:r>
      <w:r w:rsidR="00E21712" w:rsidRPr="00F52CA3">
        <w:t xml:space="preserve"> </w:t>
      </w:r>
      <w:r w:rsidR="0038262C" w:rsidRPr="00F52CA3">
        <w:t>Australian</w:t>
      </w:r>
      <w:r w:rsidR="00E21712" w:rsidRPr="00F52CA3">
        <w:t xml:space="preserve"> </w:t>
      </w:r>
      <w:r w:rsidR="0038262C" w:rsidRPr="00F52CA3">
        <w:t>teachers</w:t>
      </w:r>
      <w:r w:rsidR="00E21712" w:rsidRPr="00F52CA3">
        <w:t xml:space="preserve"> </w:t>
      </w:r>
      <w:r w:rsidR="0038262C" w:rsidRPr="00F52CA3">
        <w:t>to</w:t>
      </w:r>
      <w:r w:rsidR="00E21712" w:rsidRPr="00F52CA3">
        <w:t xml:space="preserve"> </w:t>
      </w:r>
      <w:r w:rsidR="0038262C" w:rsidRPr="00F52CA3">
        <w:t>make</w:t>
      </w:r>
      <w:r w:rsidR="00E21712" w:rsidRPr="00F52CA3">
        <w:t xml:space="preserve"> </w:t>
      </w:r>
      <w:r w:rsidR="0038262C" w:rsidRPr="00F52CA3">
        <w:t>a</w:t>
      </w:r>
      <w:r w:rsidR="00E21712" w:rsidRPr="00F52CA3">
        <w:t xml:space="preserve"> </w:t>
      </w:r>
      <w:r w:rsidR="0038262C" w:rsidRPr="00F52CA3">
        <w:t>career</w:t>
      </w:r>
      <w:r w:rsidR="00E21712" w:rsidRPr="00F52CA3">
        <w:t xml:space="preserve"> </w:t>
      </w:r>
      <w:r w:rsidR="0038262C" w:rsidRPr="00F52CA3">
        <w:t>out</w:t>
      </w:r>
      <w:r w:rsidR="00E21712" w:rsidRPr="00F52CA3">
        <w:t xml:space="preserve"> </w:t>
      </w:r>
      <w:r w:rsidR="0038262C" w:rsidRPr="00F52CA3">
        <w:t>of</w:t>
      </w:r>
      <w:r w:rsidR="00E21712" w:rsidRPr="00F52CA3">
        <w:t xml:space="preserve"> </w:t>
      </w:r>
      <w:r w:rsidR="0038262C" w:rsidRPr="00F52CA3">
        <w:t>teaching</w:t>
      </w:r>
      <w:r w:rsidR="00E21712" w:rsidRPr="00F52CA3">
        <w:t xml:space="preserve"> </w:t>
      </w:r>
      <w:r w:rsidR="0038262C" w:rsidRPr="00F52CA3">
        <w:t>and</w:t>
      </w:r>
      <w:r w:rsidR="00E21712" w:rsidRPr="00F52CA3">
        <w:t xml:space="preserve"> </w:t>
      </w:r>
      <w:r w:rsidR="0038262C" w:rsidRPr="00F52CA3">
        <w:t>gain</w:t>
      </w:r>
      <w:r w:rsidR="00E21712" w:rsidRPr="00F52CA3">
        <w:t xml:space="preserve"> </w:t>
      </w:r>
      <w:r w:rsidR="0038262C" w:rsidRPr="00F52CA3">
        <w:t>respect</w:t>
      </w:r>
      <w:r w:rsidR="00E21712" w:rsidRPr="00F52CA3">
        <w:t xml:space="preserve"> </w:t>
      </w:r>
      <w:r w:rsidR="0038262C" w:rsidRPr="00F52CA3">
        <w:t>as</w:t>
      </w:r>
      <w:r w:rsidR="00E21712" w:rsidRPr="00F52CA3">
        <w:t xml:space="preserve"> </w:t>
      </w:r>
      <w:r w:rsidR="0038262C" w:rsidRPr="00F52CA3">
        <w:t>a</w:t>
      </w:r>
      <w:r w:rsidR="00E21712" w:rsidRPr="00F52CA3">
        <w:t xml:space="preserve"> </w:t>
      </w:r>
      <w:r w:rsidR="0038262C" w:rsidRPr="00F52CA3">
        <w:t>valued</w:t>
      </w:r>
      <w:r w:rsidR="00E21712" w:rsidRPr="00F52CA3">
        <w:t xml:space="preserve"> </w:t>
      </w:r>
      <w:r w:rsidR="0038262C" w:rsidRPr="00F52CA3">
        <w:t>professional.</w:t>
      </w:r>
      <w:r w:rsidR="00E21712" w:rsidRPr="00F52CA3">
        <w:t xml:space="preserve"> </w:t>
      </w:r>
      <w:r w:rsidR="0038262C" w:rsidRPr="00F52CA3">
        <w:t>Whilst</w:t>
      </w:r>
      <w:r w:rsidR="00E21712" w:rsidRPr="00F52CA3">
        <w:t xml:space="preserve"> </w:t>
      </w:r>
      <w:r w:rsidR="00E344EF" w:rsidRPr="00F52CA3">
        <w:t>in</w:t>
      </w:r>
      <w:r w:rsidR="00E21712" w:rsidRPr="00F52CA3">
        <w:t xml:space="preserve"> </w:t>
      </w:r>
      <w:r w:rsidR="00E344EF" w:rsidRPr="00F52CA3">
        <w:t>this</w:t>
      </w:r>
      <w:r w:rsidR="00E21712" w:rsidRPr="00F52CA3">
        <w:t xml:space="preserve"> </w:t>
      </w:r>
      <w:r w:rsidR="00E344EF" w:rsidRPr="00F52CA3">
        <w:t>nation,</w:t>
      </w:r>
      <w:r w:rsidR="00E21712" w:rsidRPr="00F52CA3">
        <w:t xml:space="preserve"> </w:t>
      </w:r>
      <w:r w:rsidR="00E344EF" w:rsidRPr="00F52CA3">
        <w:t>there</w:t>
      </w:r>
      <w:r w:rsidR="00E21712" w:rsidRPr="00F52CA3">
        <w:t xml:space="preserve"> </w:t>
      </w:r>
      <w:r w:rsidR="00E344EF" w:rsidRPr="00F52CA3">
        <w:t>is</w:t>
      </w:r>
      <w:r w:rsidR="00E21712" w:rsidRPr="00F52CA3">
        <w:t xml:space="preserve"> </w:t>
      </w:r>
      <w:r w:rsidR="00E344EF" w:rsidRPr="00F52CA3">
        <w:t>plentiful</w:t>
      </w:r>
      <w:r w:rsidR="00E21712" w:rsidRPr="00F52CA3">
        <w:t xml:space="preserve"> </w:t>
      </w:r>
      <w:r w:rsidR="00E344EF" w:rsidRPr="00F52CA3">
        <w:t>evidence</w:t>
      </w:r>
      <w:r w:rsidR="00E21712" w:rsidRPr="00F52CA3">
        <w:t xml:space="preserve"> </w:t>
      </w:r>
      <w:r w:rsidR="00831ACF" w:rsidRPr="00F52CA3">
        <w:t>of</w:t>
      </w:r>
      <w:r w:rsidR="00E21712" w:rsidRPr="00F52CA3">
        <w:t xml:space="preserve"> </w:t>
      </w:r>
      <w:r w:rsidR="00831ACF" w:rsidRPr="00F52CA3">
        <w:t>rich</w:t>
      </w:r>
      <w:r w:rsidR="00E21712" w:rsidRPr="00F52CA3">
        <w:t xml:space="preserve"> </w:t>
      </w:r>
      <w:r w:rsidR="0038262C" w:rsidRPr="00F52CA3">
        <w:t>preparation</w:t>
      </w:r>
      <w:r w:rsidR="00E21712" w:rsidRPr="00F52CA3">
        <w:t xml:space="preserve"> </w:t>
      </w:r>
      <w:r w:rsidR="00E344EF" w:rsidRPr="00F52CA3">
        <w:t>programs,</w:t>
      </w:r>
      <w:r w:rsidR="00E21712" w:rsidRPr="00F52CA3">
        <w:t xml:space="preserve"> </w:t>
      </w:r>
      <w:r w:rsidR="0038262C" w:rsidRPr="00F52CA3">
        <w:t>the</w:t>
      </w:r>
      <w:r w:rsidR="00E21712" w:rsidRPr="00F52CA3">
        <w:t xml:space="preserve"> </w:t>
      </w:r>
      <w:r w:rsidR="0038262C" w:rsidRPr="00F52CA3">
        <w:t>teaching</w:t>
      </w:r>
      <w:r w:rsidR="00E21712" w:rsidRPr="00F52CA3">
        <w:t xml:space="preserve"> </w:t>
      </w:r>
      <w:r w:rsidR="0038262C" w:rsidRPr="00F52CA3">
        <w:t>profession</w:t>
      </w:r>
      <w:r w:rsidR="00E21712" w:rsidRPr="00F52CA3">
        <w:t xml:space="preserve"> </w:t>
      </w:r>
      <w:r w:rsidR="0038262C" w:rsidRPr="00F52CA3">
        <w:t>nationally</w:t>
      </w:r>
      <w:r w:rsidR="00E21712" w:rsidRPr="00F52CA3">
        <w:t xml:space="preserve"> </w:t>
      </w:r>
      <w:r w:rsidR="0038262C" w:rsidRPr="00F52CA3">
        <w:t>is</w:t>
      </w:r>
      <w:r w:rsidR="00E21712" w:rsidRPr="00F52CA3">
        <w:t xml:space="preserve"> </w:t>
      </w:r>
      <w:r w:rsidR="0038262C" w:rsidRPr="00F52CA3">
        <w:t>not</w:t>
      </w:r>
      <w:r w:rsidR="00E21712" w:rsidRPr="00F52CA3">
        <w:t xml:space="preserve"> </w:t>
      </w:r>
      <w:r w:rsidR="0038262C" w:rsidRPr="00F52CA3">
        <w:t>structured</w:t>
      </w:r>
      <w:r w:rsidR="00E21712" w:rsidRPr="00F52CA3">
        <w:t xml:space="preserve"> </w:t>
      </w:r>
      <w:r w:rsidR="0038262C" w:rsidRPr="00F52CA3">
        <w:t>to</w:t>
      </w:r>
      <w:r w:rsidR="00E21712" w:rsidRPr="00F52CA3">
        <w:t xml:space="preserve"> </w:t>
      </w:r>
      <w:r w:rsidR="0038262C" w:rsidRPr="00F52CA3">
        <w:t>offer</w:t>
      </w:r>
      <w:r w:rsidR="00E21712" w:rsidRPr="00F52CA3">
        <w:t xml:space="preserve"> </w:t>
      </w:r>
      <w:r w:rsidRPr="00F52CA3">
        <w:t>career</w:t>
      </w:r>
      <w:r w:rsidR="00E21712" w:rsidRPr="00F52CA3">
        <w:t xml:space="preserve"> </w:t>
      </w:r>
      <w:r w:rsidRPr="00F52CA3">
        <w:t>promotions,</w:t>
      </w:r>
      <w:r w:rsidR="00E21712" w:rsidRPr="00F52CA3">
        <w:t xml:space="preserve"> </w:t>
      </w:r>
      <w:r w:rsidRPr="00F52CA3">
        <w:t>nor</w:t>
      </w:r>
      <w:r w:rsidR="00E21712" w:rsidRPr="00F52CA3">
        <w:t xml:space="preserve"> </w:t>
      </w:r>
      <w:r w:rsidR="0038262C" w:rsidRPr="00F52CA3">
        <w:t>ongoing</w:t>
      </w:r>
      <w:r w:rsidR="00E21712" w:rsidRPr="00F52CA3">
        <w:t xml:space="preserve"> </w:t>
      </w:r>
      <w:r w:rsidR="0038262C" w:rsidRPr="00F52CA3">
        <w:t>professional</w:t>
      </w:r>
      <w:r w:rsidR="00E21712" w:rsidRPr="00F52CA3">
        <w:t xml:space="preserve"> </w:t>
      </w:r>
      <w:r w:rsidR="0038262C" w:rsidRPr="00F52CA3">
        <w:t>learning,</w:t>
      </w:r>
      <w:r w:rsidR="00E21712" w:rsidRPr="00F52CA3">
        <w:t xml:space="preserve"> </w:t>
      </w:r>
      <w:r w:rsidRPr="00F52CA3">
        <w:t>and</w:t>
      </w:r>
      <w:r w:rsidR="00E21712" w:rsidRPr="00F52CA3">
        <w:t xml:space="preserve"> </w:t>
      </w:r>
      <w:r w:rsidR="0038262C" w:rsidRPr="00F52CA3">
        <w:t>there</w:t>
      </w:r>
      <w:r w:rsidR="00E21712" w:rsidRPr="00F52CA3">
        <w:t xml:space="preserve"> </w:t>
      </w:r>
      <w:r w:rsidR="0038262C" w:rsidRPr="00F52CA3">
        <w:t>are</w:t>
      </w:r>
      <w:r w:rsidR="00E21712" w:rsidRPr="00F52CA3">
        <w:t xml:space="preserve"> </w:t>
      </w:r>
      <w:r w:rsidR="0038262C" w:rsidRPr="00F52CA3">
        <w:t>few</w:t>
      </w:r>
      <w:r w:rsidR="00E21712" w:rsidRPr="00F52CA3">
        <w:t xml:space="preserve"> </w:t>
      </w:r>
      <w:r w:rsidR="0038262C" w:rsidRPr="00F52CA3">
        <w:t>opportunities</w:t>
      </w:r>
      <w:r w:rsidR="00E21712" w:rsidRPr="00F52CA3">
        <w:t xml:space="preserve"> </w:t>
      </w:r>
      <w:r w:rsidR="0038262C" w:rsidRPr="00F52CA3">
        <w:t>to</w:t>
      </w:r>
      <w:r w:rsidR="00E21712" w:rsidRPr="00F52CA3">
        <w:t xml:space="preserve"> </w:t>
      </w:r>
      <w:r w:rsidR="0038262C" w:rsidRPr="00F52CA3">
        <w:t>become</w:t>
      </w:r>
      <w:r w:rsidR="00E21712" w:rsidRPr="00F52CA3">
        <w:t xml:space="preserve"> </w:t>
      </w:r>
      <w:r w:rsidR="0038262C" w:rsidRPr="00F52CA3">
        <w:t>a</w:t>
      </w:r>
      <w:r w:rsidR="00E21712" w:rsidRPr="00F52CA3">
        <w:t xml:space="preserve"> </w:t>
      </w:r>
      <w:r w:rsidR="0038262C" w:rsidRPr="00F52CA3">
        <w:t>lead</w:t>
      </w:r>
      <w:r w:rsidR="00E21712" w:rsidRPr="00F52CA3">
        <w:t xml:space="preserve"> </w:t>
      </w:r>
      <w:r w:rsidR="0038262C" w:rsidRPr="00F52CA3">
        <w:t>or</w:t>
      </w:r>
      <w:r w:rsidR="00E21712" w:rsidRPr="00F52CA3">
        <w:t xml:space="preserve"> </w:t>
      </w:r>
      <w:r w:rsidR="0038262C" w:rsidRPr="00F52CA3">
        <w:t>master</w:t>
      </w:r>
      <w:r w:rsidR="00E21712" w:rsidRPr="00F52CA3">
        <w:t xml:space="preserve"> </w:t>
      </w:r>
      <w:r w:rsidR="0038262C" w:rsidRPr="00F52CA3">
        <w:t>teacher</w:t>
      </w:r>
      <w:r w:rsidR="00E21712" w:rsidRPr="00F52CA3">
        <w:t xml:space="preserve"> </w:t>
      </w:r>
      <w:r w:rsidRPr="00F52CA3">
        <w:t>status</w:t>
      </w:r>
      <w:r w:rsidR="00E21712" w:rsidRPr="00F52CA3">
        <w:t xml:space="preserve"> </w:t>
      </w:r>
      <w:r w:rsidRPr="00F52CA3">
        <w:t>based</w:t>
      </w:r>
      <w:r w:rsidR="00E21712" w:rsidRPr="00F52CA3">
        <w:t xml:space="preserve"> </w:t>
      </w:r>
      <w:r w:rsidRPr="00F52CA3">
        <w:t>on</w:t>
      </w:r>
      <w:r w:rsidR="00E21712" w:rsidRPr="00F52CA3">
        <w:t xml:space="preserve"> </w:t>
      </w:r>
      <w:r w:rsidRPr="00F52CA3">
        <w:t>merit.</w:t>
      </w:r>
      <w:r w:rsidR="00E21712" w:rsidRPr="00F52CA3">
        <w:t xml:space="preserve"> </w:t>
      </w:r>
      <w:r w:rsidRPr="00F52CA3">
        <w:t>R</w:t>
      </w:r>
      <w:r w:rsidR="0038262C" w:rsidRPr="00F52CA3">
        <w:t>emuneration</w:t>
      </w:r>
      <w:r w:rsidR="00E21712" w:rsidRPr="00F52CA3">
        <w:t xml:space="preserve"> </w:t>
      </w:r>
      <w:r w:rsidR="0038262C" w:rsidRPr="00F52CA3">
        <w:t>for</w:t>
      </w:r>
      <w:r w:rsidR="00E21712" w:rsidRPr="00F52CA3">
        <w:t xml:space="preserve"> </w:t>
      </w:r>
      <w:r w:rsidR="0038262C" w:rsidRPr="00F52CA3">
        <w:t>a</w:t>
      </w:r>
      <w:r w:rsidR="00E21712" w:rsidRPr="00F52CA3">
        <w:t xml:space="preserve"> </w:t>
      </w:r>
      <w:r w:rsidR="0038262C" w:rsidRPr="00F52CA3">
        <w:t>cla</w:t>
      </w:r>
      <w:r w:rsidR="00E344EF" w:rsidRPr="00F52CA3">
        <w:t>ssroom</w:t>
      </w:r>
      <w:r w:rsidR="00E21712" w:rsidRPr="00F52CA3">
        <w:t xml:space="preserve"> </w:t>
      </w:r>
      <w:r w:rsidR="0038262C" w:rsidRPr="00F52CA3">
        <w:t>teacher</w:t>
      </w:r>
      <w:r w:rsidR="00E21712" w:rsidRPr="00F52CA3">
        <w:t xml:space="preserve"> </w:t>
      </w:r>
      <w:r w:rsidR="0038262C" w:rsidRPr="00F52CA3">
        <w:t>reaches</w:t>
      </w:r>
      <w:r w:rsidR="00E21712" w:rsidRPr="00F52CA3">
        <w:t xml:space="preserve"> </w:t>
      </w:r>
      <w:r w:rsidR="00E344EF" w:rsidRPr="00F52CA3">
        <w:t>i</w:t>
      </w:r>
      <w:r w:rsidR="0038262C" w:rsidRPr="00F52CA3">
        <w:t>ts</w:t>
      </w:r>
      <w:r w:rsidR="00E21712" w:rsidRPr="00F52CA3">
        <w:t xml:space="preserve"> </w:t>
      </w:r>
      <w:r w:rsidR="0038262C" w:rsidRPr="00F52CA3">
        <w:t>peak</w:t>
      </w:r>
      <w:r w:rsidR="00E21712" w:rsidRPr="00F52CA3">
        <w:t xml:space="preserve"> </w:t>
      </w:r>
      <w:r w:rsidR="0038262C" w:rsidRPr="00F52CA3">
        <w:t>in</w:t>
      </w:r>
      <w:r w:rsidR="00E21712" w:rsidRPr="00F52CA3">
        <w:t xml:space="preserve"> </w:t>
      </w:r>
      <w:r w:rsidR="0038262C" w:rsidRPr="00F52CA3">
        <w:t>7-10</w:t>
      </w:r>
      <w:r w:rsidR="00B054ED" w:rsidRPr="00F52CA3">
        <w:t xml:space="preserve"> </w:t>
      </w:r>
      <w:r w:rsidR="0038262C" w:rsidRPr="00F52CA3">
        <w:t>years,</w:t>
      </w:r>
      <w:r w:rsidR="00E21712" w:rsidRPr="00F52CA3">
        <w:t xml:space="preserve"> </w:t>
      </w:r>
      <w:r w:rsidR="0038262C" w:rsidRPr="00F52CA3">
        <w:t>albeit</w:t>
      </w:r>
      <w:r w:rsidR="00E21712" w:rsidRPr="00F52CA3">
        <w:t xml:space="preserve"> </w:t>
      </w:r>
      <w:r w:rsidR="0038262C" w:rsidRPr="00F52CA3">
        <w:t>a</w:t>
      </w:r>
      <w:r w:rsidR="00E21712" w:rsidRPr="00F52CA3">
        <w:t xml:space="preserve"> </w:t>
      </w:r>
      <w:r w:rsidR="0038262C" w:rsidRPr="00F52CA3">
        <w:t>strong</w:t>
      </w:r>
      <w:r w:rsidR="00E21712" w:rsidRPr="00F52CA3">
        <w:t xml:space="preserve"> </w:t>
      </w:r>
      <w:r w:rsidR="0038262C" w:rsidRPr="00F52CA3">
        <w:t>starting</w:t>
      </w:r>
      <w:r w:rsidR="00E21712" w:rsidRPr="00F52CA3">
        <w:t xml:space="preserve"> </w:t>
      </w:r>
      <w:r w:rsidR="0038262C" w:rsidRPr="00F52CA3">
        <w:t>salary.</w:t>
      </w:r>
      <w:r w:rsidR="00E21712" w:rsidRPr="00F52CA3">
        <w:t xml:space="preserve"> </w:t>
      </w:r>
      <w:r w:rsidR="0038262C" w:rsidRPr="00F52CA3">
        <w:t>This</w:t>
      </w:r>
      <w:r w:rsidR="00E21712" w:rsidRPr="00F52CA3">
        <w:t xml:space="preserve"> </w:t>
      </w:r>
      <w:r w:rsidR="0038262C" w:rsidRPr="00F52CA3">
        <w:t>suggests</w:t>
      </w:r>
      <w:r w:rsidR="00E21712" w:rsidRPr="00F52CA3">
        <w:t xml:space="preserve"> </w:t>
      </w:r>
      <w:r w:rsidR="0038262C" w:rsidRPr="00F52CA3">
        <w:t>that</w:t>
      </w:r>
      <w:r w:rsidR="00E21712" w:rsidRPr="00F52CA3">
        <w:t xml:space="preserve"> </w:t>
      </w:r>
      <w:r w:rsidR="0038262C" w:rsidRPr="00F52CA3">
        <w:t>a</w:t>
      </w:r>
      <w:r w:rsidR="00E21712" w:rsidRPr="00F52CA3">
        <w:t xml:space="preserve"> </w:t>
      </w:r>
      <w:r w:rsidR="0038262C" w:rsidRPr="00F52CA3">
        <w:t>teacher</w:t>
      </w:r>
      <w:r w:rsidR="00E21712" w:rsidRPr="00F52CA3">
        <w:t xml:space="preserve"> </w:t>
      </w:r>
      <w:r w:rsidR="0038262C" w:rsidRPr="00F52CA3">
        <w:t>of</w:t>
      </w:r>
      <w:r w:rsidR="00E21712" w:rsidRPr="00F52CA3">
        <w:t xml:space="preserve"> </w:t>
      </w:r>
      <w:r w:rsidR="00E344EF" w:rsidRPr="00F52CA3">
        <w:t>thirty</w:t>
      </w:r>
      <w:r w:rsidR="00E21712" w:rsidRPr="00F52CA3">
        <w:t xml:space="preserve"> </w:t>
      </w:r>
      <w:r w:rsidR="00E344EF" w:rsidRPr="00F52CA3">
        <w:t>or</w:t>
      </w:r>
      <w:r w:rsidR="00E21712" w:rsidRPr="00F52CA3">
        <w:t xml:space="preserve"> </w:t>
      </w:r>
      <w:r w:rsidR="00E344EF" w:rsidRPr="00F52CA3">
        <w:t>forty</w:t>
      </w:r>
      <w:r w:rsidR="00E21712" w:rsidRPr="00F52CA3">
        <w:t xml:space="preserve"> </w:t>
      </w:r>
      <w:r w:rsidR="0038262C" w:rsidRPr="00F52CA3">
        <w:t>years</w:t>
      </w:r>
      <w:r w:rsidR="00830D10" w:rsidRPr="00F52CA3">
        <w:t xml:space="preserve"> old</w:t>
      </w:r>
      <w:r w:rsidR="00E21712" w:rsidRPr="00F52CA3">
        <w:t xml:space="preserve"> </w:t>
      </w:r>
      <w:r w:rsidR="00E344EF" w:rsidRPr="00F52CA3">
        <w:t>reaches</w:t>
      </w:r>
      <w:r w:rsidR="00E21712" w:rsidRPr="00F52CA3">
        <w:t xml:space="preserve"> </w:t>
      </w:r>
      <w:r w:rsidR="00E344EF" w:rsidRPr="00F52CA3">
        <w:t>their</w:t>
      </w:r>
      <w:r w:rsidR="00E21712" w:rsidRPr="00F52CA3">
        <w:t xml:space="preserve"> </w:t>
      </w:r>
      <w:r w:rsidR="00E344EF" w:rsidRPr="00F52CA3">
        <w:t>salary</w:t>
      </w:r>
      <w:r w:rsidR="00E21712" w:rsidRPr="00F52CA3">
        <w:t xml:space="preserve"> </w:t>
      </w:r>
      <w:r w:rsidR="00E344EF" w:rsidRPr="00F52CA3">
        <w:t>ceiling</w:t>
      </w:r>
      <w:r w:rsidR="00E21712" w:rsidRPr="00F52CA3">
        <w:t xml:space="preserve"> </w:t>
      </w:r>
      <w:r w:rsidR="00E344EF" w:rsidRPr="00F52CA3">
        <w:t>after</w:t>
      </w:r>
      <w:r w:rsidR="00E21712" w:rsidRPr="00F52CA3">
        <w:t xml:space="preserve"> </w:t>
      </w:r>
      <w:r w:rsidR="00E344EF" w:rsidRPr="00F52CA3">
        <w:t>the</w:t>
      </w:r>
      <w:r w:rsidR="00E21712" w:rsidRPr="00F52CA3">
        <w:t xml:space="preserve"> </w:t>
      </w:r>
      <w:r w:rsidR="00E344EF" w:rsidRPr="00F52CA3">
        <w:t>first</w:t>
      </w:r>
      <w:r w:rsidR="00E21712" w:rsidRPr="00F52CA3">
        <w:t xml:space="preserve"> </w:t>
      </w:r>
      <w:r w:rsidR="00E344EF" w:rsidRPr="00F52CA3">
        <w:t>ten</w:t>
      </w:r>
      <w:r w:rsidR="00E21712" w:rsidRPr="00F52CA3">
        <w:t xml:space="preserve"> </w:t>
      </w:r>
      <w:r w:rsidR="00E344EF" w:rsidRPr="00F52CA3">
        <w:t>years</w:t>
      </w:r>
      <w:r w:rsidR="00E21712" w:rsidRPr="00F52CA3">
        <w:t xml:space="preserve"> </w:t>
      </w:r>
      <w:r w:rsidR="00E344EF" w:rsidRPr="00F52CA3">
        <w:t>of</w:t>
      </w:r>
      <w:r w:rsidR="00E21712" w:rsidRPr="00F52CA3">
        <w:t xml:space="preserve"> </w:t>
      </w:r>
      <w:r w:rsidR="00E344EF" w:rsidRPr="00F52CA3">
        <w:t>teaching.</w:t>
      </w:r>
      <w:r w:rsidR="00E21712" w:rsidRPr="00F52CA3">
        <w:t xml:space="preserve"> </w:t>
      </w:r>
      <w:r w:rsidR="00E344EF" w:rsidRPr="00F52CA3">
        <w:t>Further</w:t>
      </w:r>
      <w:r w:rsidR="00E21712" w:rsidRPr="00F52CA3">
        <w:t xml:space="preserve"> </w:t>
      </w:r>
      <w:r w:rsidR="00E344EF" w:rsidRPr="00F52CA3">
        <w:t>if</w:t>
      </w:r>
      <w:r w:rsidR="00E21712" w:rsidRPr="00F52CA3">
        <w:t xml:space="preserve"> </w:t>
      </w:r>
      <w:r w:rsidR="00E344EF" w:rsidRPr="00F52CA3">
        <w:t>mid-career</w:t>
      </w:r>
      <w:r w:rsidR="00E21712" w:rsidRPr="00F52CA3">
        <w:t xml:space="preserve"> </w:t>
      </w:r>
      <w:r w:rsidR="00E344EF" w:rsidRPr="00F52CA3">
        <w:t>candidates</w:t>
      </w:r>
      <w:r w:rsidR="00E21712" w:rsidRPr="00F52CA3">
        <w:t xml:space="preserve"> </w:t>
      </w:r>
      <w:r w:rsidRPr="00F52CA3">
        <w:t>wish</w:t>
      </w:r>
      <w:r w:rsidR="00E21712" w:rsidRPr="00F52CA3">
        <w:t xml:space="preserve"> </w:t>
      </w:r>
      <w:r w:rsidR="00E344EF" w:rsidRPr="00F52CA3">
        <w:t>to</w:t>
      </w:r>
      <w:r w:rsidR="00E21712" w:rsidRPr="00F52CA3">
        <w:t xml:space="preserve"> </w:t>
      </w:r>
      <w:r w:rsidR="00E344EF" w:rsidRPr="00F52CA3">
        <w:t>trans</w:t>
      </w:r>
      <w:r w:rsidRPr="00F52CA3">
        <w:t>ition</w:t>
      </w:r>
      <w:r w:rsidR="00E21712" w:rsidRPr="00F52CA3">
        <w:t xml:space="preserve"> </w:t>
      </w:r>
      <w:r w:rsidR="00E344EF" w:rsidRPr="00F52CA3">
        <w:t>into</w:t>
      </w:r>
      <w:r w:rsidR="00E21712" w:rsidRPr="00F52CA3">
        <w:t xml:space="preserve"> </w:t>
      </w:r>
      <w:r w:rsidRPr="00F52CA3">
        <w:t>a</w:t>
      </w:r>
      <w:r w:rsidR="00E21712" w:rsidRPr="00F52CA3">
        <w:t xml:space="preserve"> </w:t>
      </w:r>
      <w:r w:rsidR="00E344EF" w:rsidRPr="00F52CA3">
        <w:t>teaching</w:t>
      </w:r>
      <w:r w:rsidR="00E21712" w:rsidRPr="00F52CA3">
        <w:t xml:space="preserve"> </w:t>
      </w:r>
      <w:r w:rsidRPr="00F52CA3">
        <w:t>career</w:t>
      </w:r>
      <w:r w:rsidR="00E21712" w:rsidRPr="00F52CA3">
        <w:t xml:space="preserve"> </w:t>
      </w:r>
      <w:r w:rsidR="00E344EF" w:rsidRPr="00F52CA3">
        <w:t>based</w:t>
      </w:r>
      <w:r w:rsidR="00E21712" w:rsidRPr="00F52CA3">
        <w:t xml:space="preserve"> </w:t>
      </w:r>
      <w:r w:rsidR="00E344EF" w:rsidRPr="00F52CA3">
        <w:t>on</w:t>
      </w:r>
      <w:r w:rsidR="00E21712" w:rsidRPr="00F52CA3">
        <w:t xml:space="preserve"> </w:t>
      </w:r>
      <w:r w:rsidR="00E344EF" w:rsidRPr="00F52CA3">
        <w:t>sound</w:t>
      </w:r>
      <w:r w:rsidR="00E21712" w:rsidRPr="00F52CA3">
        <w:t xml:space="preserve"> </w:t>
      </w:r>
      <w:r w:rsidR="00E344EF" w:rsidRPr="00F52CA3">
        <w:t>moral</w:t>
      </w:r>
      <w:r w:rsidR="00E21712" w:rsidRPr="00F52CA3">
        <w:t xml:space="preserve"> </w:t>
      </w:r>
      <w:r w:rsidR="00E344EF" w:rsidRPr="00F52CA3">
        <w:t>reasoning,</w:t>
      </w:r>
      <w:r w:rsidR="00E21712" w:rsidRPr="00F52CA3">
        <w:t xml:space="preserve"> </w:t>
      </w:r>
      <w:r w:rsidR="00E344EF" w:rsidRPr="00F52CA3">
        <w:t>the</w:t>
      </w:r>
      <w:r w:rsidR="00E21712" w:rsidRPr="00F52CA3">
        <w:t xml:space="preserve"> </w:t>
      </w:r>
      <w:r w:rsidR="00E344EF" w:rsidRPr="00F52CA3">
        <w:t>drop</w:t>
      </w:r>
      <w:r w:rsidR="00E21712" w:rsidRPr="00F52CA3">
        <w:t xml:space="preserve"> </w:t>
      </w:r>
      <w:r w:rsidR="00E344EF" w:rsidRPr="00F52CA3">
        <w:t>in</w:t>
      </w:r>
      <w:r w:rsidR="00E21712" w:rsidRPr="00F52CA3">
        <w:t xml:space="preserve"> </w:t>
      </w:r>
      <w:r w:rsidR="00E344EF" w:rsidRPr="00F52CA3">
        <w:t>salary</w:t>
      </w:r>
      <w:r w:rsidR="00E21712" w:rsidRPr="00F52CA3">
        <w:t xml:space="preserve"> </w:t>
      </w:r>
      <w:r w:rsidR="00E344EF" w:rsidRPr="00F52CA3">
        <w:t>that</w:t>
      </w:r>
      <w:r w:rsidR="00E21712" w:rsidRPr="00F52CA3">
        <w:t xml:space="preserve"> </w:t>
      </w:r>
      <w:r w:rsidR="00E344EF" w:rsidRPr="00F52CA3">
        <w:t>they</w:t>
      </w:r>
      <w:r w:rsidR="00E21712" w:rsidRPr="00F52CA3">
        <w:t xml:space="preserve"> </w:t>
      </w:r>
      <w:r w:rsidR="00E344EF" w:rsidRPr="00F52CA3">
        <w:t>might</w:t>
      </w:r>
      <w:r w:rsidR="00E21712" w:rsidRPr="00F52CA3">
        <w:t xml:space="preserve"> </w:t>
      </w:r>
      <w:r w:rsidR="00E344EF" w:rsidRPr="00F52CA3">
        <w:t>experience</w:t>
      </w:r>
      <w:r w:rsidR="00E21712" w:rsidRPr="00F52CA3">
        <w:t xml:space="preserve"> </w:t>
      </w:r>
      <w:r w:rsidR="00E344EF" w:rsidRPr="00F52CA3">
        <w:t>or</w:t>
      </w:r>
      <w:r w:rsidR="00E21712" w:rsidRPr="00F52CA3">
        <w:t xml:space="preserve"> </w:t>
      </w:r>
      <w:r w:rsidR="00E344EF" w:rsidRPr="00F52CA3">
        <w:t>the</w:t>
      </w:r>
      <w:r w:rsidR="00E21712" w:rsidRPr="00F52CA3">
        <w:t xml:space="preserve"> </w:t>
      </w:r>
      <w:r w:rsidR="00E344EF" w:rsidRPr="00F52CA3">
        <w:t>lack</w:t>
      </w:r>
      <w:r w:rsidR="00E21712" w:rsidRPr="00F52CA3">
        <w:t xml:space="preserve"> </w:t>
      </w:r>
      <w:r w:rsidR="00E344EF" w:rsidRPr="00F52CA3">
        <w:t>of</w:t>
      </w:r>
      <w:r w:rsidR="00E21712" w:rsidRPr="00F52CA3">
        <w:t xml:space="preserve"> </w:t>
      </w:r>
      <w:r w:rsidR="00E344EF" w:rsidRPr="00F52CA3">
        <w:t>career</w:t>
      </w:r>
      <w:r w:rsidR="00E21712" w:rsidRPr="00F52CA3">
        <w:t xml:space="preserve"> </w:t>
      </w:r>
      <w:r w:rsidR="00E344EF" w:rsidRPr="00F52CA3">
        <w:t>trajectory</w:t>
      </w:r>
      <w:r w:rsidR="00E21712" w:rsidRPr="00F52CA3">
        <w:t xml:space="preserve"> </w:t>
      </w:r>
      <w:r w:rsidR="00E344EF" w:rsidRPr="00F52CA3">
        <w:t>within</w:t>
      </w:r>
      <w:r w:rsidR="00E21712" w:rsidRPr="00F52CA3">
        <w:t xml:space="preserve"> </w:t>
      </w:r>
      <w:r w:rsidR="00E344EF" w:rsidRPr="00F52CA3">
        <w:t>the</w:t>
      </w:r>
      <w:r w:rsidR="00E21712" w:rsidRPr="00F52CA3">
        <w:t xml:space="preserve"> </w:t>
      </w:r>
      <w:r w:rsidR="00E344EF" w:rsidRPr="00F52CA3">
        <w:t>profession</w:t>
      </w:r>
      <w:r w:rsidR="00E21712" w:rsidRPr="00F52CA3">
        <w:t xml:space="preserve"> </w:t>
      </w:r>
      <w:r w:rsidRPr="00F52CA3">
        <w:t>may</w:t>
      </w:r>
      <w:r w:rsidR="00E21712" w:rsidRPr="00F52CA3">
        <w:t xml:space="preserve"> </w:t>
      </w:r>
      <w:r w:rsidR="00E344EF" w:rsidRPr="00F52CA3">
        <w:t>act</w:t>
      </w:r>
      <w:r w:rsidR="00E21712" w:rsidRPr="00F52CA3">
        <w:t xml:space="preserve"> </w:t>
      </w:r>
      <w:r w:rsidR="00E344EF" w:rsidRPr="00F52CA3">
        <w:t>as</w:t>
      </w:r>
      <w:r w:rsidR="00E21712" w:rsidRPr="00F52CA3">
        <w:t xml:space="preserve"> </w:t>
      </w:r>
      <w:r w:rsidR="00E344EF" w:rsidRPr="00F52CA3">
        <w:t>a</w:t>
      </w:r>
      <w:r w:rsidR="00E21712" w:rsidRPr="00F52CA3">
        <w:t xml:space="preserve"> </w:t>
      </w:r>
      <w:r w:rsidR="00E344EF" w:rsidRPr="00F52CA3">
        <w:t>disincentive.</w:t>
      </w:r>
      <w:r w:rsidR="00E21712" w:rsidRPr="00F52CA3">
        <w:t xml:space="preserve"> </w:t>
      </w:r>
    </w:p>
    <w:p w14:paraId="49A65BBB" w14:textId="77777777" w:rsidR="00CF5DC0" w:rsidRPr="00F52CA3" w:rsidRDefault="00CF5DC0" w:rsidP="00CF5DC0">
      <w:pPr>
        <w:pStyle w:val="ListParagraph"/>
      </w:pPr>
    </w:p>
    <w:p w14:paraId="6657220F" w14:textId="6B882FB7" w:rsidR="009E36BA" w:rsidRPr="00F52CA3" w:rsidRDefault="004C6CEF" w:rsidP="009E36BA">
      <w:pPr>
        <w:pStyle w:val="ListParagraph"/>
        <w:numPr>
          <w:ilvl w:val="0"/>
          <w:numId w:val="5"/>
        </w:numPr>
      </w:pPr>
      <w:r w:rsidRPr="00F52CA3">
        <w:t xml:space="preserve">The transition away from vocation and professional integrity has left teachers demoralised, conflicted with the demands of a testing culture, </w:t>
      </w:r>
      <w:proofErr w:type="gramStart"/>
      <w:r w:rsidRPr="00F52CA3">
        <w:t>accountability</w:t>
      </w:r>
      <w:proofErr w:type="gramEnd"/>
      <w:r w:rsidRPr="00F52CA3">
        <w:t xml:space="preserve"> and the crowded curriculum</w:t>
      </w:r>
      <w:r w:rsidR="007F4D97" w:rsidRPr="00F52CA3">
        <w:t xml:space="preserve">. </w:t>
      </w:r>
      <w:r w:rsidR="007F4D97" w:rsidRPr="00F52CA3">
        <w:rPr>
          <w:color w:val="000000"/>
          <w:shd w:val="clear" w:color="auto" w:fill="FFFFFF"/>
        </w:rPr>
        <w:t>There is a</w:t>
      </w:r>
      <w:r w:rsidR="007B4840" w:rsidRPr="00F52CA3">
        <w:rPr>
          <w:color w:val="000000"/>
          <w:shd w:val="clear" w:color="auto" w:fill="FFFFFF"/>
        </w:rPr>
        <w:t xml:space="preserve"> </w:t>
      </w:r>
      <w:r w:rsidR="003C2B1F" w:rsidRPr="00F52CA3">
        <w:t>narrow and instrumentalist view of what counts as evidence</w:t>
      </w:r>
      <w:r w:rsidR="007F4D97" w:rsidRPr="00F52CA3">
        <w:t xml:space="preserve"> and q</w:t>
      </w:r>
      <w:r w:rsidR="003C2B1F" w:rsidRPr="00F52CA3">
        <w:t xml:space="preserve">uality teaching </w:t>
      </w:r>
      <w:r w:rsidR="007B4840" w:rsidRPr="00F52CA3">
        <w:t>is</w:t>
      </w:r>
      <w:r w:rsidR="003C2B1F" w:rsidRPr="00F52CA3">
        <w:t xml:space="preserve"> </w:t>
      </w:r>
      <w:r w:rsidR="007F4D97" w:rsidRPr="00F52CA3">
        <w:t xml:space="preserve">being </w:t>
      </w:r>
      <w:r w:rsidR="003C2B1F" w:rsidRPr="00F52CA3">
        <w:t>reduced to limited measurable student outcomes, ignoring more holistic outcomes for students</w:t>
      </w:r>
      <w:r w:rsidR="007B4840" w:rsidRPr="00F52CA3">
        <w:t xml:space="preserve"> and</w:t>
      </w:r>
      <w:r w:rsidR="003C2B1F" w:rsidRPr="00F52CA3">
        <w:t xml:space="preserve"> teacher</w:t>
      </w:r>
      <w:r w:rsidR="007B4840" w:rsidRPr="00F52CA3">
        <w:t>s</w:t>
      </w:r>
      <w:r w:rsidR="003C2B1F" w:rsidRPr="00F52CA3">
        <w:t xml:space="preserve">. </w:t>
      </w:r>
      <w:r w:rsidR="00274669" w:rsidRPr="00F52CA3">
        <w:rPr>
          <w:color w:val="000000"/>
          <w:shd w:val="clear" w:color="auto" w:fill="FFFFFF"/>
        </w:rPr>
        <w:t>Researchers</w:t>
      </w:r>
      <w:r w:rsidR="00E21712" w:rsidRPr="00F52CA3">
        <w:rPr>
          <w:color w:val="000000"/>
          <w:shd w:val="clear" w:color="auto" w:fill="FFFFFF"/>
        </w:rPr>
        <w:t xml:space="preserve"> </w:t>
      </w:r>
      <w:r w:rsidR="00274669" w:rsidRPr="00F52CA3">
        <w:rPr>
          <w:color w:val="000000"/>
          <w:shd w:val="clear" w:color="auto" w:fill="FFFFFF"/>
        </w:rPr>
        <w:t>contend</w:t>
      </w:r>
      <w:r w:rsidR="00E21712" w:rsidRPr="00F52CA3">
        <w:rPr>
          <w:color w:val="000000"/>
          <w:shd w:val="clear" w:color="auto" w:fill="FFFFFF"/>
        </w:rPr>
        <w:t xml:space="preserve"> </w:t>
      </w:r>
      <w:r w:rsidR="00274669" w:rsidRPr="00F52CA3">
        <w:rPr>
          <w:color w:val="000000"/>
          <w:shd w:val="clear" w:color="auto" w:fill="FFFFFF"/>
        </w:rPr>
        <w:t>that</w:t>
      </w:r>
      <w:r w:rsidR="00E21712" w:rsidRPr="00F52CA3">
        <w:rPr>
          <w:color w:val="000000"/>
          <w:shd w:val="clear" w:color="auto" w:fill="FFFFFF"/>
        </w:rPr>
        <w:t xml:space="preserve"> </w:t>
      </w:r>
      <w:r w:rsidR="00274669" w:rsidRPr="00F52CA3">
        <w:rPr>
          <w:color w:val="000000"/>
          <w:shd w:val="clear" w:color="auto" w:fill="FFFFFF"/>
        </w:rPr>
        <w:t>individual</w:t>
      </w:r>
      <w:r w:rsidR="00E21712" w:rsidRPr="00F52CA3">
        <w:rPr>
          <w:color w:val="000000"/>
          <w:shd w:val="clear" w:color="auto" w:fill="FFFFFF"/>
        </w:rPr>
        <w:t xml:space="preserve"> </w:t>
      </w:r>
      <w:r w:rsidR="00274669" w:rsidRPr="00F52CA3">
        <w:rPr>
          <w:color w:val="000000"/>
          <w:shd w:val="clear" w:color="auto" w:fill="FFFFFF"/>
        </w:rPr>
        <w:t>student</w:t>
      </w:r>
      <w:r w:rsidR="00E21712" w:rsidRPr="00F52CA3">
        <w:rPr>
          <w:color w:val="000000"/>
          <w:shd w:val="clear" w:color="auto" w:fill="FFFFFF"/>
        </w:rPr>
        <w:t xml:space="preserve"> </w:t>
      </w:r>
      <w:r w:rsidR="00274669" w:rsidRPr="00F52CA3">
        <w:rPr>
          <w:color w:val="000000"/>
          <w:shd w:val="clear" w:color="auto" w:fill="FFFFFF"/>
        </w:rPr>
        <w:t>needs</w:t>
      </w:r>
      <w:r w:rsidR="00E21712" w:rsidRPr="00F52CA3">
        <w:rPr>
          <w:color w:val="000000"/>
          <w:shd w:val="clear" w:color="auto" w:fill="FFFFFF"/>
        </w:rPr>
        <w:t xml:space="preserve"> </w:t>
      </w:r>
      <w:r w:rsidR="00274669" w:rsidRPr="00F52CA3">
        <w:rPr>
          <w:color w:val="000000"/>
          <w:shd w:val="clear" w:color="auto" w:fill="FFFFFF"/>
        </w:rPr>
        <w:t>have</w:t>
      </w:r>
      <w:r w:rsidR="00E21712" w:rsidRPr="00F52CA3">
        <w:rPr>
          <w:color w:val="000000"/>
          <w:shd w:val="clear" w:color="auto" w:fill="FFFFFF"/>
        </w:rPr>
        <w:t xml:space="preserve"> </w:t>
      </w:r>
      <w:r w:rsidR="00274669" w:rsidRPr="00F52CA3">
        <w:rPr>
          <w:color w:val="000000"/>
          <w:shd w:val="clear" w:color="auto" w:fill="FFFFFF"/>
        </w:rPr>
        <w:t>been</w:t>
      </w:r>
      <w:r w:rsidR="00E21712" w:rsidRPr="00F52CA3">
        <w:rPr>
          <w:color w:val="000000"/>
          <w:shd w:val="clear" w:color="auto" w:fill="FFFFFF"/>
        </w:rPr>
        <w:t xml:space="preserve"> </w:t>
      </w:r>
      <w:r w:rsidR="00274669" w:rsidRPr="00F52CA3">
        <w:rPr>
          <w:color w:val="000000"/>
          <w:shd w:val="clear" w:color="auto" w:fill="FFFFFF"/>
        </w:rPr>
        <w:t>sidelined</w:t>
      </w:r>
      <w:r w:rsidR="00E21712" w:rsidRPr="00F52CA3">
        <w:rPr>
          <w:color w:val="000000"/>
          <w:shd w:val="clear" w:color="auto" w:fill="FFFFFF"/>
        </w:rPr>
        <w:t xml:space="preserve"> </w:t>
      </w:r>
      <w:r w:rsidR="00274669" w:rsidRPr="00F52CA3">
        <w:rPr>
          <w:color w:val="000000"/>
          <w:shd w:val="clear" w:color="auto" w:fill="FFFFFF"/>
        </w:rPr>
        <w:t>by</w:t>
      </w:r>
      <w:r w:rsidR="00E21712" w:rsidRPr="00F52CA3">
        <w:rPr>
          <w:color w:val="000000"/>
          <w:shd w:val="clear" w:color="auto" w:fill="FFFFFF"/>
        </w:rPr>
        <w:t xml:space="preserve"> </w:t>
      </w:r>
      <w:r w:rsidR="00274669" w:rsidRPr="00F52CA3">
        <w:rPr>
          <w:color w:val="000000"/>
          <w:shd w:val="clear" w:color="auto" w:fill="FFFFFF"/>
        </w:rPr>
        <w:t>the</w:t>
      </w:r>
      <w:r w:rsidR="00E21712" w:rsidRPr="00F52CA3">
        <w:rPr>
          <w:color w:val="000000"/>
          <w:shd w:val="clear" w:color="auto" w:fill="FFFFFF"/>
        </w:rPr>
        <w:t xml:space="preserve"> </w:t>
      </w:r>
      <w:r w:rsidR="00274669" w:rsidRPr="00F52CA3">
        <w:rPr>
          <w:color w:val="000000"/>
          <w:shd w:val="clear" w:color="auto" w:fill="FFFFFF"/>
        </w:rPr>
        <w:t>systematic</w:t>
      </w:r>
      <w:r w:rsidR="00E21712" w:rsidRPr="00F52CA3">
        <w:rPr>
          <w:color w:val="000000"/>
          <w:shd w:val="clear" w:color="auto" w:fill="FFFFFF"/>
        </w:rPr>
        <w:t xml:space="preserve"> </w:t>
      </w:r>
      <w:r w:rsidR="00274669" w:rsidRPr="00F52CA3">
        <w:rPr>
          <w:color w:val="000000"/>
          <w:shd w:val="clear" w:color="auto" w:fill="FFFFFF"/>
        </w:rPr>
        <w:t>dominance</w:t>
      </w:r>
      <w:r w:rsidR="00E21712" w:rsidRPr="00F52CA3">
        <w:rPr>
          <w:color w:val="000000"/>
          <w:shd w:val="clear" w:color="auto" w:fill="FFFFFF"/>
        </w:rPr>
        <w:t xml:space="preserve"> </w:t>
      </w:r>
      <w:r w:rsidR="00274669" w:rsidRPr="00F52CA3">
        <w:rPr>
          <w:color w:val="000000"/>
          <w:shd w:val="clear" w:color="auto" w:fill="FFFFFF"/>
        </w:rPr>
        <w:t>of</w:t>
      </w:r>
      <w:r w:rsidR="00E21712" w:rsidRPr="00F52CA3">
        <w:rPr>
          <w:color w:val="000000"/>
          <w:shd w:val="clear" w:color="auto" w:fill="FFFFFF"/>
        </w:rPr>
        <w:t xml:space="preserve"> </w:t>
      </w:r>
      <w:r w:rsidR="00274669" w:rsidRPr="00F52CA3">
        <w:rPr>
          <w:color w:val="000000"/>
          <w:shd w:val="clear" w:color="auto" w:fill="FFFFFF"/>
        </w:rPr>
        <w:t>high-stakes</w:t>
      </w:r>
      <w:r w:rsidR="00E21712" w:rsidRPr="00F52CA3">
        <w:rPr>
          <w:color w:val="000000"/>
          <w:shd w:val="clear" w:color="auto" w:fill="FFFFFF"/>
        </w:rPr>
        <w:t xml:space="preserve"> </w:t>
      </w:r>
      <w:r w:rsidR="00274669" w:rsidRPr="00F52CA3">
        <w:rPr>
          <w:color w:val="000000"/>
          <w:shd w:val="clear" w:color="auto" w:fill="FFFFFF"/>
        </w:rPr>
        <w:t>test</w:t>
      </w:r>
      <w:r w:rsidR="00E21712" w:rsidRPr="00F52CA3">
        <w:rPr>
          <w:color w:val="000000"/>
          <w:shd w:val="clear" w:color="auto" w:fill="FFFFFF"/>
        </w:rPr>
        <w:t xml:space="preserve"> </w:t>
      </w:r>
      <w:r w:rsidR="00274669" w:rsidRPr="00F52CA3">
        <w:rPr>
          <w:color w:val="000000"/>
          <w:shd w:val="clear" w:color="auto" w:fill="FFFFFF"/>
        </w:rPr>
        <w:t>data</w:t>
      </w:r>
      <w:r w:rsidR="00E21712" w:rsidRPr="00F52CA3">
        <w:rPr>
          <w:color w:val="000000"/>
          <w:shd w:val="clear" w:color="auto" w:fill="FFFFFF"/>
        </w:rPr>
        <w:t xml:space="preserve"> </w:t>
      </w:r>
      <w:r w:rsidR="00274669" w:rsidRPr="00F52CA3">
        <w:rPr>
          <w:color w:val="000000"/>
          <w:shd w:val="clear" w:color="auto" w:fill="FFFFFF"/>
        </w:rPr>
        <w:t>(Ewing,</w:t>
      </w:r>
      <w:r w:rsidR="00E21712" w:rsidRPr="00F52CA3">
        <w:rPr>
          <w:color w:val="000000"/>
          <w:shd w:val="clear" w:color="auto" w:fill="FFFFFF"/>
        </w:rPr>
        <w:t xml:space="preserve"> </w:t>
      </w:r>
      <w:r w:rsidR="00274669" w:rsidRPr="00F52CA3">
        <w:rPr>
          <w:color w:val="000000"/>
          <w:shd w:val="clear" w:color="auto" w:fill="FFFFFF"/>
        </w:rPr>
        <w:t>2012;</w:t>
      </w:r>
      <w:r w:rsidR="00E21712" w:rsidRPr="00F52CA3">
        <w:rPr>
          <w:color w:val="000000"/>
          <w:shd w:val="clear" w:color="auto" w:fill="FFFFFF"/>
        </w:rPr>
        <w:t xml:space="preserve"> </w:t>
      </w:r>
      <w:proofErr w:type="spellStart"/>
      <w:r w:rsidR="00274669" w:rsidRPr="00F52CA3">
        <w:rPr>
          <w:color w:val="000000"/>
          <w:shd w:val="clear" w:color="auto" w:fill="FFFFFF"/>
        </w:rPr>
        <w:t>Polesel</w:t>
      </w:r>
      <w:proofErr w:type="spellEnd"/>
      <w:r w:rsidR="00E21712" w:rsidRPr="00F52CA3">
        <w:rPr>
          <w:color w:val="000000"/>
          <w:shd w:val="clear" w:color="auto" w:fill="FFFFFF"/>
        </w:rPr>
        <w:t xml:space="preserve"> </w:t>
      </w:r>
      <w:r w:rsidR="00274669" w:rsidRPr="00F52CA3">
        <w:rPr>
          <w:color w:val="000000"/>
          <w:shd w:val="clear" w:color="auto" w:fill="FFFFFF"/>
        </w:rPr>
        <w:t>et</w:t>
      </w:r>
      <w:r w:rsidR="00E21712" w:rsidRPr="00F52CA3">
        <w:rPr>
          <w:color w:val="000000"/>
          <w:shd w:val="clear" w:color="auto" w:fill="FFFFFF"/>
        </w:rPr>
        <w:t xml:space="preserve"> </w:t>
      </w:r>
      <w:r w:rsidR="00274669" w:rsidRPr="00F52CA3">
        <w:rPr>
          <w:color w:val="000000"/>
          <w:shd w:val="clear" w:color="auto" w:fill="FFFFFF"/>
        </w:rPr>
        <w:t>al.,</w:t>
      </w:r>
      <w:r w:rsidR="00E21712" w:rsidRPr="00F52CA3">
        <w:rPr>
          <w:color w:val="000000"/>
          <w:shd w:val="clear" w:color="auto" w:fill="FFFFFF"/>
        </w:rPr>
        <w:t xml:space="preserve"> </w:t>
      </w:r>
      <w:r w:rsidR="00274669" w:rsidRPr="00F52CA3">
        <w:rPr>
          <w:color w:val="000000"/>
          <w:shd w:val="clear" w:color="auto" w:fill="FFFFFF"/>
        </w:rPr>
        <w:t>2012).</w:t>
      </w:r>
      <w:r w:rsidR="00E21712" w:rsidRPr="00F52CA3">
        <w:rPr>
          <w:color w:val="000000"/>
          <w:shd w:val="clear" w:color="auto" w:fill="FFFFFF"/>
        </w:rPr>
        <w:t xml:space="preserve"> </w:t>
      </w:r>
      <w:r w:rsidR="00274669" w:rsidRPr="00F52CA3">
        <w:rPr>
          <w:color w:val="000000"/>
          <w:shd w:val="clear" w:color="auto" w:fill="FFFFFF"/>
        </w:rPr>
        <w:t>This</w:t>
      </w:r>
      <w:r w:rsidR="00E21712" w:rsidRPr="00F52CA3">
        <w:rPr>
          <w:color w:val="000000"/>
          <w:shd w:val="clear" w:color="auto" w:fill="FFFFFF"/>
        </w:rPr>
        <w:t xml:space="preserve"> </w:t>
      </w:r>
      <w:r w:rsidR="00274669" w:rsidRPr="00F52CA3">
        <w:rPr>
          <w:color w:val="000000"/>
          <w:shd w:val="clear" w:color="auto" w:fill="FFFFFF"/>
        </w:rPr>
        <w:t>focus</w:t>
      </w:r>
      <w:r w:rsidR="00E21712" w:rsidRPr="00F52CA3">
        <w:rPr>
          <w:color w:val="000000"/>
          <w:shd w:val="clear" w:color="auto" w:fill="FFFFFF"/>
        </w:rPr>
        <w:t xml:space="preserve"> </w:t>
      </w:r>
      <w:r w:rsidR="00274669" w:rsidRPr="00F52CA3">
        <w:rPr>
          <w:color w:val="000000"/>
          <w:shd w:val="clear" w:color="auto" w:fill="FFFFFF"/>
        </w:rPr>
        <w:t>has</w:t>
      </w:r>
      <w:r w:rsidR="00E21712" w:rsidRPr="00F52CA3">
        <w:rPr>
          <w:color w:val="000000"/>
          <w:shd w:val="clear" w:color="auto" w:fill="FFFFFF"/>
        </w:rPr>
        <w:t xml:space="preserve"> </w:t>
      </w:r>
      <w:r w:rsidR="00274669" w:rsidRPr="00F52CA3">
        <w:rPr>
          <w:color w:val="000000"/>
          <w:shd w:val="clear" w:color="auto" w:fill="FFFFFF"/>
        </w:rPr>
        <w:t>sometimes</w:t>
      </w:r>
      <w:r w:rsidR="00E21712" w:rsidRPr="00F52CA3">
        <w:rPr>
          <w:color w:val="000000"/>
          <w:shd w:val="clear" w:color="auto" w:fill="FFFFFF"/>
        </w:rPr>
        <w:t xml:space="preserve"> </w:t>
      </w:r>
      <w:r w:rsidR="00274669" w:rsidRPr="00F52CA3">
        <w:rPr>
          <w:color w:val="000000"/>
          <w:shd w:val="clear" w:color="auto" w:fill="FFFFFF"/>
        </w:rPr>
        <w:t>resulted</w:t>
      </w:r>
      <w:r w:rsidR="00E21712" w:rsidRPr="00F52CA3">
        <w:rPr>
          <w:color w:val="000000"/>
          <w:shd w:val="clear" w:color="auto" w:fill="FFFFFF"/>
        </w:rPr>
        <w:t xml:space="preserve"> </w:t>
      </w:r>
      <w:r w:rsidR="00274669" w:rsidRPr="00F52CA3">
        <w:rPr>
          <w:color w:val="000000"/>
          <w:shd w:val="clear" w:color="auto" w:fill="FFFFFF"/>
        </w:rPr>
        <w:t>in</w:t>
      </w:r>
      <w:r w:rsidR="00E21712" w:rsidRPr="00F52CA3">
        <w:rPr>
          <w:color w:val="000000"/>
          <w:shd w:val="clear" w:color="auto" w:fill="FFFFFF"/>
        </w:rPr>
        <w:t xml:space="preserve"> </w:t>
      </w:r>
      <w:r w:rsidR="00274669" w:rsidRPr="00F52CA3">
        <w:rPr>
          <w:color w:val="000000"/>
          <w:shd w:val="clear" w:color="auto" w:fill="FFFFFF"/>
        </w:rPr>
        <w:t>high-stakes</w:t>
      </w:r>
      <w:r w:rsidR="00E21712" w:rsidRPr="00F52CA3">
        <w:rPr>
          <w:color w:val="000000"/>
          <w:shd w:val="clear" w:color="auto" w:fill="FFFFFF"/>
        </w:rPr>
        <w:t xml:space="preserve"> </w:t>
      </w:r>
      <w:r w:rsidR="00274669" w:rsidRPr="00F52CA3">
        <w:rPr>
          <w:color w:val="000000"/>
          <w:shd w:val="clear" w:color="auto" w:fill="FFFFFF"/>
        </w:rPr>
        <w:t>testing</w:t>
      </w:r>
      <w:r w:rsidR="00E21712" w:rsidRPr="00F52CA3">
        <w:rPr>
          <w:color w:val="000000"/>
          <w:shd w:val="clear" w:color="auto" w:fill="FFFFFF"/>
        </w:rPr>
        <w:t xml:space="preserve"> </w:t>
      </w:r>
      <w:r w:rsidR="00274669" w:rsidRPr="00F52CA3">
        <w:rPr>
          <w:color w:val="000000"/>
          <w:shd w:val="clear" w:color="auto" w:fill="FFFFFF"/>
        </w:rPr>
        <w:t>being</w:t>
      </w:r>
      <w:r w:rsidR="00E21712" w:rsidRPr="00F52CA3">
        <w:rPr>
          <w:color w:val="000000"/>
          <w:shd w:val="clear" w:color="auto" w:fill="FFFFFF"/>
        </w:rPr>
        <w:t xml:space="preserve"> </w:t>
      </w:r>
      <w:r w:rsidR="00274669" w:rsidRPr="00F52CA3">
        <w:rPr>
          <w:color w:val="000000"/>
          <w:shd w:val="clear" w:color="auto" w:fill="FFFFFF"/>
        </w:rPr>
        <w:t>viewed</w:t>
      </w:r>
      <w:r w:rsidR="00E21712" w:rsidRPr="00F52CA3">
        <w:rPr>
          <w:color w:val="000000"/>
          <w:shd w:val="clear" w:color="auto" w:fill="FFFFFF"/>
        </w:rPr>
        <w:t xml:space="preserve"> </w:t>
      </w:r>
      <w:r w:rsidR="00274669" w:rsidRPr="00F52CA3">
        <w:rPr>
          <w:color w:val="000000"/>
          <w:shd w:val="clear" w:color="auto" w:fill="FFFFFF"/>
        </w:rPr>
        <w:t>as</w:t>
      </w:r>
      <w:r w:rsidR="00E21712" w:rsidRPr="00F52CA3">
        <w:rPr>
          <w:color w:val="000000"/>
          <w:shd w:val="clear" w:color="auto" w:fill="FFFFFF"/>
        </w:rPr>
        <w:t xml:space="preserve"> </w:t>
      </w:r>
      <w:r w:rsidR="00274669" w:rsidRPr="00F52CA3">
        <w:rPr>
          <w:color w:val="000000"/>
          <w:shd w:val="clear" w:color="auto" w:fill="FFFFFF"/>
        </w:rPr>
        <w:t>the</w:t>
      </w:r>
      <w:r w:rsidR="00E21712" w:rsidRPr="00F52CA3">
        <w:rPr>
          <w:color w:val="000000"/>
          <w:shd w:val="clear" w:color="auto" w:fill="FFFFFF"/>
        </w:rPr>
        <w:t xml:space="preserve"> </w:t>
      </w:r>
      <w:r w:rsidR="00274669" w:rsidRPr="00F52CA3">
        <w:rPr>
          <w:color w:val="000000"/>
          <w:shd w:val="clear" w:color="auto" w:fill="FFFFFF"/>
        </w:rPr>
        <w:t>“de</w:t>
      </w:r>
      <w:r w:rsidR="00E21712" w:rsidRPr="00F52CA3">
        <w:rPr>
          <w:color w:val="000000"/>
          <w:shd w:val="clear" w:color="auto" w:fill="FFFFFF"/>
        </w:rPr>
        <w:t xml:space="preserve"> </w:t>
      </w:r>
      <w:r w:rsidR="00274669" w:rsidRPr="00F52CA3">
        <w:rPr>
          <w:color w:val="000000"/>
          <w:shd w:val="clear" w:color="auto" w:fill="FFFFFF"/>
        </w:rPr>
        <w:t>facto</w:t>
      </w:r>
      <w:r w:rsidR="00E21712" w:rsidRPr="00F52CA3">
        <w:rPr>
          <w:color w:val="000000"/>
          <w:shd w:val="clear" w:color="auto" w:fill="FFFFFF"/>
        </w:rPr>
        <w:t xml:space="preserve"> </w:t>
      </w:r>
      <w:r w:rsidR="00274669" w:rsidRPr="00F52CA3">
        <w:rPr>
          <w:color w:val="000000"/>
          <w:shd w:val="clear" w:color="auto" w:fill="FFFFFF"/>
        </w:rPr>
        <w:t>curriculum”</w:t>
      </w:r>
      <w:r w:rsidR="00E21712" w:rsidRPr="00F52CA3">
        <w:rPr>
          <w:color w:val="000000"/>
          <w:shd w:val="clear" w:color="auto" w:fill="FFFFFF"/>
        </w:rPr>
        <w:t xml:space="preserve"> </w:t>
      </w:r>
      <w:r w:rsidR="00274669" w:rsidRPr="00F52CA3">
        <w:rPr>
          <w:color w:val="000000"/>
          <w:shd w:val="clear" w:color="auto" w:fill="FFFFFF"/>
        </w:rPr>
        <w:t>(Hardy</w:t>
      </w:r>
      <w:r w:rsidR="00E21712" w:rsidRPr="00F52CA3">
        <w:rPr>
          <w:color w:val="000000"/>
          <w:shd w:val="clear" w:color="auto" w:fill="FFFFFF"/>
        </w:rPr>
        <w:t xml:space="preserve"> </w:t>
      </w:r>
      <w:r w:rsidR="00274669" w:rsidRPr="00F52CA3">
        <w:rPr>
          <w:color w:val="000000"/>
          <w:shd w:val="clear" w:color="auto" w:fill="FFFFFF"/>
        </w:rPr>
        <w:t>&amp;</w:t>
      </w:r>
      <w:r w:rsidR="00E21712" w:rsidRPr="00F52CA3">
        <w:rPr>
          <w:color w:val="000000"/>
          <w:shd w:val="clear" w:color="auto" w:fill="FFFFFF"/>
        </w:rPr>
        <w:t xml:space="preserve"> </w:t>
      </w:r>
      <w:r w:rsidR="00274669" w:rsidRPr="00F52CA3">
        <w:rPr>
          <w:color w:val="000000"/>
          <w:shd w:val="clear" w:color="auto" w:fill="FFFFFF"/>
        </w:rPr>
        <w:t>Boyle,</w:t>
      </w:r>
      <w:r w:rsidR="00E21712" w:rsidRPr="00F52CA3">
        <w:rPr>
          <w:color w:val="000000"/>
          <w:shd w:val="clear" w:color="auto" w:fill="FFFFFF"/>
        </w:rPr>
        <w:t xml:space="preserve"> </w:t>
      </w:r>
      <w:r w:rsidR="00274669" w:rsidRPr="00F52CA3">
        <w:rPr>
          <w:color w:val="000000"/>
          <w:shd w:val="clear" w:color="auto" w:fill="FFFFFF"/>
        </w:rPr>
        <w:t>2011,</w:t>
      </w:r>
      <w:r w:rsidR="00E21712" w:rsidRPr="00F52CA3">
        <w:rPr>
          <w:color w:val="000000"/>
          <w:shd w:val="clear" w:color="auto" w:fill="FFFFFF"/>
        </w:rPr>
        <w:t xml:space="preserve"> </w:t>
      </w:r>
      <w:r w:rsidR="00274669" w:rsidRPr="00F52CA3">
        <w:rPr>
          <w:color w:val="000000"/>
          <w:shd w:val="clear" w:color="auto" w:fill="FFFFFF"/>
        </w:rPr>
        <w:t>p.</w:t>
      </w:r>
      <w:r w:rsidR="00E21712" w:rsidRPr="00F52CA3">
        <w:rPr>
          <w:color w:val="000000"/>
          <w:shd w:val="clear" w:color="auto" w:fill="FFFFFF"/>
        </w:rPr>
        <w:t xml:space="preserve"> </w:t>
      </w:r>
      <w:r w:rsidR="00274669" w:rsidRPr="00F52CA3">
        <w:rPr>
          <w:color w:val="000000"/>
          <w:shd w:val="clear" w:color="auto" w:fill="FFFFFF"/>
        </w:rPr>
        <w:t>220),</w:t>
      </w:r>
      <w:r w:rsidR="00E21712" w:rsidRPr="00F52CA3">
        <w:rPr>
          <w:color w:val="000000"/>
          <w:shd w:val="clear" w:color="auto" w:fill="FFFFFF"/>
        </w:rPr>
        <w:t xml:space="preserve"> </w:t>
      </w:r>
      <w:r w:rsidR="00274669" w:rsidRPr="00F52CA3">
        <w:rPr>
          <w:color w:val="000000"/>
          <w:shd w:val="clear" w:color="auto" w:fill="FFFFFF"/>
        </w:rPr>
        <w:t>thereby</w:t>
      </w:r>
      <w:r w:rsidR="00E21712" w:rsidRPr="00F52CA3">
        <w:rPr>
          <w:color w:val="000000"/>
          <w:shd w:val="clear" w:color="auto" w:fill="FFFFFF"/>
        </w:rPr>
        <w:t xml:space="preserve"> </w:t>
      </w:r>
      <w:r w:rsidR="00274669" w:rsidRPr="00F52CA3">
        <w:rPr>
          <w:color w:val="000000"/>
          <w:shd w:val="clear" w:color="auto" w:fill="FFFFFF"/>
        </w:rPr>
        <w:t>reflecting</w:t>
      </w:r>
      <w:r w:rsidR="00E21712" w:rsidRPr="00F52CA3">
        <w:rPr>
          <w:color w:val="000000"/>
          <w:shd w:val="clear" w:color="auto" w:fill="FFFFFF"/>
        </w:rPr>
        <w:t xml:space="preserve"> </w:t>
      </w:r>
      <w:r w:rsidR="00274669" w:rsidRPr="00F52CA3">
        <w:rPr>
          <w:color w:val="000000"/>
          <w:shd w:val="clear" w:color="auto" w:fill="FFFFFF"/>
        </w:rPr>
        <w:t>a</w:t>
      </w:r>
      <w:r w:rsidR="00E21712" w:rsidRPr="00F52CA3">
        <w:rPr>
          <w:color w:val="000000"/>
          <w:shd w:val="clear" w:color="auto" w:fill="FFFFFF"/>
        </w:rPr>
        <w:t xml:space="preserve"> </w:t>
      </w:r>
      <w:r w:rsidR="00274669" w:rsidRPr="00F52CA3">
        <w:rPr>
          <w:color w:val="000000"/>
          <w:shd w:val="clear" w:color="auto" w:fill="FFFFFF"/>
        </w:rPr>
        <w:t>reductionist</w:t>
      </w:r>
      <w:r w:rsidR="00E21712" w:rsidRPr="00F52CA3">
        <w:rPr>
          <w:color w:val="000000"/>
          <w:shd w:val="clear" w:color="auto" w:fill="FFFFFF"/>
        </w:rPr>
        <w:t xml:space="preserve"> </w:t>
      </w:r>
      <w:r w:rsidR="00274669" w:rsidRPr="00F52CA3">
        <w:rPr>
          <w:color w:val="000000"/>
          <w:shd w:val="clear" w:color="auto" w:fill="FFFFFF"/>
        </w:rPr>
        <w:t>view</w:t>
      </w:r>
      <w:r w:rsidR="00E21712" w:rsidRPr="00F52CA3">
        <w:rPr>
          <w:color w:val="000000"/>
          <w:shd w:val="clear" w:color="auto" w:fill="FFFFFF"/>
        </w:rPr>
        <w:t xml:space="preserve"> </w:t>
      </w:r>
      <w:r w:rsidR="00274669" w:rsidRPr="00F52CA3">
        <w:rPr>
          <w:color w:val="000000"/>
          <w:shd w:val="clear" w:color="auto" w:fill="FFFFFF"/>
        </w:rPr>
        <w:t>of</w:t>
      </w:r>
      <w:r w:rsidR="00E21712" w:rsidRPr="00F52CA3">
        <w:rPr>
          <w:color w:val="000000"/>
          <w:shd w:val="clear" w:color="auto" w:fill="FFFFFF"/>
        </w:rPr>
        <w:t xml:space="preserve"> </w:t>
      </w:r>
      <w:r w:rsidR="00274669" w:rsidRPr="00F52CA3">
        <w:rPr>
          <w:color w:val="000000"/>
          <w:shd w:val="clear" w:color="auto" w:fill="FFFFFF"/>
        </w:rPr>
        <w:t>education</w:t>
      </w:r>
      <w:r w:rsidR="00E21712" w:rsidRPr="00F52CA3">
        <w:rPr>
          <w:color w:val="000000"/>
          <w:shd w:val="clear" w:color="auto" w:fill="FFFFFF"/>
        </w:rPr>
        <w:t xml:space="preserve"> </w:t>
      </w:r>
      <w:r w:rsidR="00274669" w:rsidRPr="00F52CA3">
        <w:rPr>
          <w:color w:val="000000"/>
          <w:shd w:val="clear" w:color="auto" w:fill="FFFFFF"/>
        </w:rPr>
        <w:t>which</w:t>
      </w:r>
      <w:r w:rsidR="00E21712" w:rsidRPr="00F52CA3">
        <w:rPr>
          <w:color w:val="000000"/>
          <w:shd w:val="clear" w:color="auto" w:fill="FFFFFF"/>
        </w:rPr>
        <w:t xml:space="preserve"> </w:t>
      </w:r>
      <w:r w:rsidR="00274669" w:rsidRPr="00F52CA3">
        <w:rPr>
          <w:color w:val="000000"/>
          <w:shd w:val="clear" w:color="auto" w:fill="FFFFFF"/>
        </w:rPr>
        <w:t>narrows</w:t>
      </w:r>
      <w:r w:rsidR="00E21712" w:rsidRPr="00F52CA3">
        <w:rPr>
          <w:color w:val="000000"/>
          <w:shd w:val="clear" w:color="auto" w:fill="FFFFFF"/>
        </w:rPr>
        <w:t xml:space="preserve"> </w:t>
      </w:r>
      <w:r w:rsidR="00274669" w:rsidRPr="00F52CA3">
        <w:rPr>
          <w:color w:val="000000"/>
          <w:shd w:val="clear" w:color="auto" w:fill="FFFFFF"/>
        </w:rPr>
        <w:t>the</w:t>
      </w:r>
      <w:r w:rsidR="00E21712" w:rsidRPr="00F52CA3">
        <w:rPr>
          <w:color w:val="000000"/>
          <w:shd w:val="clear" w:color="auto" w:fill="FFFFFF"/>
        </w:rPr>
        <w:t xml:space="preserve"> </w:t>
      </w:r>
      <w:r w:rsidR="00274669" w:rsidRPr="00F52CA3">
        <w:rPr>
          <w:color w:val="000000"/>
          <w:shd w:val="clear" w:color="auto" w:fill="FFFFFF"/>
        </w:rPr>
        <w:t>curriculum</w:t>
      </w:r>
      <w:r w:rsidR="00E21712" w:rsidRPr="00F52CA3">
        <w:rPr>
          <w:color w:val="000000"/>
          <w:shd w:val="clear" w:color="auto" w:fill="FFFFFF"/>
        </w:rPr>
        <w:t xml:space="preserve"> </w:t>
      </w:r>
      <w:r w:rsidR="00274669" w:rsidRPr="00F52CA3">
        <w:rPr>
          <w:color w:val="000000"/>
          <w:shd w:val="clear" w:color="auto" w:fill="FFFFFF"/>
        </w:rPr>
        <w:t>as</w:t>
      </w:r>
      <w:r w:rsidR="00E21712" w:rsidRPr="00F52CA3">
        <w:rPr>
          <w:color w:val="000000"/>
          <w:shd w:val="clear" w:color="auto" w:fill="FFFFFF"/>
        </w:rPr>
        <w:t xml:space="preserve"> </w:t>
      </w:r>
      <w:r w:rsidR="00274669" w:rsidRPr="00F52CA3">
        <w:rPr>
          <w:color w:val="000000"/>
          <w:shd w:val="clear" w:color="auto" w:fill="FFFFFF"/>
        </w:rPr>
        <w:t>the</w:t>
      </w:r>
      <w:r w:rsidR="00E21712" w:rsidRPr="00F52CA3">
        <w:rPr>
          <w:color w:val="000000"/>
          <w:shd w:val="clear" w:color="auto" w:fill="FFFFFF"/>
        </w:rPr>
        <w:t xml:space="preserve"> </w:t>
      </w:r>
      <w:r w:rsidR="00274669" w:rsidRPr="00F52CA3">
        <w:rPr>
          <w:color w:val="000000"/>
          <w:shd w:val="clear" w:color="auto" w:fill="FFFFFF"/>
        </w:rPr>
        <w:t>basis</w:t>
      </w:r>
      <w:r w:rsidR="00E21712" w:rsidRPr="00F52CA3">
        <w:rPr>
          <w:color w:val="000000"/>
          <w:shd w:val="clear" w:color="auto" w:fill="FFFFFF"/>
        </w:rPr>
        <w:t xml:space="preserve"> </w:t>
      </w:r>
      <w:r w:rsidR="00274669" w:rsidRPr="00F52CA3">
        <w:rPr>
          <w:color w:val="000000"/>
          <w:shd w:val="clear" w:color="auto" w:fill="FFFFFF"/>
        </w:rPr>
        <w:t>of</w:t>
      </w:r>
      <w:r w:rsidR="00E21712" w:rsidRPr="00F52CA3">
        <w:rPr>
          <w:color w:val="000000"/>
          <w:shd w:val="clear" w:color="auto" w:fill="FFFFFF"/>
        </w:rPr>
        <w:t xml:space="preserve"> </w:t>
      </w:r>
      <w:r w:rsidR="00274669" w:rsidRPr="00F52CA3">
        <w:rPr>
          <w:color w:val="000000"/>
          <w:shd w:val="clear" w:color="auto" w:fill="FFFFFF"/>
        </w:rPr>
        <w:t>learning</w:t>
      </w:r>
      <w:r w:rsidR="00E21712" w:rsidRPr="00F52CA3">
        <w:rPr>
          <w:color w:val="000000"/>
          <w:shd w:val="clear" w:color="auto" w:fill="FFFFFF"/>
        </w:rPr>
        <w:t xml:space="preserve"> </w:t>
      </w:r>
      <w:r w:rsidR="00274669" w:rsidRPr="00F52CA3">
        <w:rPr>
          <w:color w:val="000000"/>
          <w:shd w:val="clear" w:color="auto" w:fill="FFFFFF"/>
        </w:rPr>
        <w:t>and</w:t>
      </w:r>
      <w:r w:rsidR="00E21712" w:rsidRPr="00F52CA3">
        <w:rPr>
          <w:color w:val="000000"/>
          <w:shd w:val="clear" w:color="auto" w:fill="FFFFFF"/>
        </w:rPr>
        <w:t xml:space="preserve"> </w:t>
      </w:r>
      <w:r w:rsidR="00274669" w:rsidRPr="00F52CA3">
        <w:rPr>
          <w:color w:val="000000"/>
          <w:shd w:val="clear" w:color="auto" w:fill="FFFFFF"/>
        </w:rPr>
        <w:t>restricts</w:t>
      </w:r>
      <w:r w:rsidR="00E21712" w:rsidRPr="00F52CA3">
        <w:rPr>
          <w:color w:val="000000"/>
          <w:shd w:val="clear" w:color="auto" w:fill="FFFFFF"/>
        </w:rPr>
        <w:t xml:space="preserve"> </w:t>
      </w:r>
      <w:r w:rsidR="00274669" w:rsidRPr="00F52CA3">
        <w:rPr>
          <w:color w:val="000000"/>
          <w:shd w:val="clear" w:color="auto" w:fill="FFFFFF"/>
        </w:rPr>
        <w:t>creativity</w:t>
      </w:r>
      <w:r w:rsidR="00E21712" w:rsidRPr="00F52CA3">
        <w:rPr>
          <w:color w:val="000000"/>
          <w:shd w:val="clear" w:color="auto" w:fill="FFFFFF"/>
        </w:rPr>
        <w:t xml:space="preserve"> </w:t>
      </w:r>
      <w:r w:rsidR="00274669" w:rsidRPr="00F52CA3">
        <w:rPr>
          <w:color w:val="000000"/>
          <w:shd w:val="clear" w:color="auto" w:fill="FFFFFF"/>
        </w:rPr>
        <w:t>(Au</w:t>
      </w:r>
      <w:r w:rsidR="00E21712" w:rsidRPr="00F52CA3">
        <w:rPr>
          <w:color w:val="000000"/>
          <w:shd w:val="clear" w:color="auto" w:fill="FFFFFF"/>
        </w:rPr>
        <w:t xml:space="preserve"> </w:t>
      </w:r>
      <w:r w:rsidR="00274669" w:rsidRPr="00F52CA3">
        <w:rPr>
          <w:color w:val="000000"/>
          <w:shd w:val="clear" w:color="auto" w:fill="FFFFFF"/>
        </w:rPr>
        <w:t>&amp;</w:t>
      </w:r>
      <w:r w:rsidR="00E21712" w:rsidRPr="00F52CA3">
        <w:rPr>
          <w:color w:val="000000"/>
          <w:shd w:val="clear" w:color="auto" w:fill="FFFFFF"/>
        </w:rPr>
        <w:t xml:space="preserve"> </w:t>
      </w:r>
      <w:r w:rsidR="00274669" w:rsidRPr="00F52CA3">
        <w:rPr>
          <w:color w:val="000000"/>
          <w:shd w:val="clear" w:color="auto" w:fill="FFFFFF"/>
        </w:rPr>
        <w:t>Gourd,</w:t>
      </w:r>
      <w:r w:rsidR="00E21712" w:rsidRPr="00F52CA3">
        <w:rPr>
          <w:color w:val="000000"/>
          <w:shd w:val="clear" w:color="auto" w:fill="FFFFFF"/>
        </w:rPr>
        <w:t xml:space="preserve"> </w:t>
      </w:r>
      <w:r w:rsidR="00274669" w:rsidRPr="00F52CA3">
        <w:rPr>
          <w:color w:val="000000"/>
          <w:shd w:val="clear" w:color="auto" w:fill="FFFFFF"/>
        </w:rPr>
        <w:t>2013;</w:t>
      </w:r>
      <w:r w:rsidR="00E21712" w:rsidRPr="00F52CA3">
        <w:rPr>
          <w:color w:val="000000"/>
          <w:shd w:val="clear" w:color="auto" w:fill="FFFFFF"/>
        </w:rPr>
        <w:t xml:space="preserve"> </w:t>
      </w:r>
      <w:r w:rsidR="00274669" w:rsidRPr="00F52CA3">
        <w:rPr>
          <w:color w:val="000000"/>
          <w:shd w:val="clear" w:color="auto" w:fill="FFFFFF"/>
        </w:rPr>
        <w:t>Caldwell</w:t>
      </w:r>
      <w:r w:rsidR="00E21712" w:rsidRPr="00F52CA3">
        <w:rPr>
          <w:color w:val="000000"/>
          <w:shd w:val="clear" w:color="auto" w:fill="FFFFFF"/>
        </w:rPr>
        <w:t xml:space="preserve"> </w:t>
      </w:r>
      <w:r w:rsidR="00274669" w:rsidRPr="00F52CA3">
        <w:rPr>
          <w:color w:val="000000"/>
          <w:shd w:val="clear" w:color="auto" w:fill="FFFFFF"/>
        </w:rPr>
        <w:t>&amp;</w:t>
      </w:r>
      <w:r w:rsidR="00E21712" w:rsidRPr="00F52CA3">
        <w:rPr>
          <w:color w:val="000000"/>
          <w:shd w:val="clear" w:color="auto" w:fill="FFFFFF"/>
        </w:rPr>
        <w:t xml:space="preserve"> </w:t>
      </w:r>
      <w:r w:rsidR="00274669" w:rsidRPr="00F52CA3">
        <w:rPr>
          <w:color w:val="000000"/>
          <w:shd w:val="clear" w:color="auto" w:fill="FFFFFF"/>
        </w:rPr>
        <w:t>Vaughan,</w:t>
      </w:r>
      <w:r w:rsidR="00E21712" w:rsidRPr="00F52CA3">
        <w:rPr>
          <w:color w:val="000000"/>
          <w:shd w:val="clear" w:color="auto" w:fill="FFFFFF"/>
        </w:rPr>
        <w:t xml:space="preserve"> </w:t>
      </w:r>
      <w:r w:rsidR="00274669" w:rsidRPr="00F52CA3">
        <w:rPr>
          <w:color w:val="000000"/>
          <w:shd w:val="clear" w:color="auto" w:fill="FFFFFF"/>
        </w:rPr>
        <w:t>2012;</w:t>
      </w:r>
      <w:r w:rsidR="00E21712" w:rsidRPr="00F52CA3">
        <w:rPr>
          <w:color w:val="000000"/>
          <w:shd w:val="clear" w:color="auto" w:fill="FFFFFF"/>
        </w:rPr>
        <w:t xml:space="preserve"> </w:t>
      </w:r>
      <w:r w:rsidR="00274669" w:rsidRPr="00F52CA3">
        <w:rPr>
          <w:color w:val="000000"/>
          <w:shd w:val="clear" w:color="auto" w:fill="FFFFFF"/>
        </w:rPr>
        <w:t>Comber,</w:t>
      </w:r>
      <w:r w:rsidR="00E21712" w:rsidRPr="00F52CA3">
        <w:rPr>
          <w:color w:val="000000"/>
          <w:shd w:val="clear" w:color="auto" w:fill="FFFFFF"/>
        </w:rPr>
        <w:t xml:space="preserve"> </w:t>
      </w:r>
      <w:r w:rsidR="00274669" w:rsidRPr="00F52CA3">
        <w:rPr>
          <w:color w:val="000000"/>
          <w:shd w:val="clear" w:color="auto" w:fill="FFFFFF"/>
        </w:rPr>
        <w:t>2012;</w:t>
      </w:r>
      <w:r w:rsidR="00E21712" w:rsidRPr="00F52CA3">
        <w:rPr>
          <w:color w:val="000000"/>
          <w:shd w:val="clear" w:color="auto" w:fill="FFFFFF"/>
        </w:rPr>
        <w:t xml:space="preserve"> </w:t>
      </w:r>
      <w:r w:rsidR="00274669" w:rsidRPr="00F52CA3">
        <w:rPr>
          <w:color w:val="000000"/>
          <w:shd w:val="clear" w:color="auto" w:fill="FFFFFF"/>
        </w:rPr>
        <w:t>Cormack</w:t>
      </w:r>
      <w:r w:rsidR="00E21712" w:rsidRPr="00F52CA3">
        <w:rPr>
          <w:color w:val="000000"/>
          <w:shd w:val="clear" w:color="auto" w:fill="FFFFFF"/>
        </w:rPr>
        <w:t xml:space="preserve"> </w:t>
      </w:r>
      <w:r w:rsidR="00274669" w:rsidRPr="00F52CA3">
        <w:rPr>
          <w:color w:val="000000"/>
          <w:shd w:val="clear" w:color="auto" w:fill="FFFFFF"/>
        </w:rPr>
        <w:t>&amp;</w:t>
      </w:r>
      <w:r w:rsidR="00E21712" w:rsidRPr="00F52CA3">
        <w:rPr>
          <w:color w:val="000000"/>
          <w:shd w:val="clear" w:color="auto" w:fill="FFFFFF"/>
        </w:rPr>
        <w:t xml:space="preserve"> </w:t>
      </w:r>
      <w:r w:rsidR="00274669" w:rsidRPr="00F52CA3">
        <w:rPr>
          <w:color w:val="000000"/>
          <w:shd w:val="clear" w:color="auto" w:fill="FFFFFF"/>
        </w:rPr>
        <w:t>Comber,</w:t>
      </w:r>
      <w:r w:rsidR="00E21712" w:rsidRPr="00F52CA3">
        <w:rPr>
          <w:color w:val="000000"/>
          <w:shd w:val="clear" w:color="auto" w:fill="FFFFFF"/>
        </w:rPr>
        <w:t xml:space="preserve"> </w:t>
      </w:r>
      <w:r w:rsidR="00274669" w:rsidRPr="00F52CA3">
        <w:rPr>
          <w:color w:val="000000"/>
          <w:shd w:val="clear" w:color="auto" w:fill="FFFFFF"/>
        </w:rPr>
        <w:t>2013;</w:t>
      </w:r>
      <w:r w:rsidR="00E21712" w:rsidRPr="00F52CA3">
        <w:rPr>
          <w:color w:val="000000"/>
          <w:shd w:val="clear" w:color="auto" w:fill="FFFFFF"/>
        </w:rPr>
        <w:t xml:space="preserve"> </w:t>
      </w:r>
      <w:r w:rsidR="00274669" w:rsidRPr="00F52CA3">
        <w:rPr>
          <w:color w:val="000000"/>
          <w:shd w:val="clear" w:color="auto" w:fill="FFFFFF"/>
        </w:rPr>
        <w:t>Ewing,</w:t>
      </w:r>
      <w:r w:rsidR="00E21712" w:rsidRPr="00F52CA3">
        <w:rPr>
          <w:color w:val="000000"/>
          <w:shd w:val="clear" w:color="auto" w:fill="FFFFFF"/>
        </w:rPr>
        <w:t xml:space="preserve"> </w:t>
      </w:r>
      <w:r w:rsidR="00274669" w:rsidRPr="00F52CA3">
        <w:rPr>
          <w:color w:val="000000"/>
          <w:shd w:val="clear" w:color="auto" w:fill="FFFFFF"/>
        </w:rPr>
        <w:t>2012;</w:t>
      </w:r>
      <w:r w:rsidR="00E21712" w:rsidRPr="00F52CA3">
        <w:rPr>
          <w:color w:val="000000"/>
          <w:shd w:val="clear" w:color="auto" w:fill="FFFFFF"/>
        </w:rPr>
        <w:t xml:space="preserve"> </w:t>
      </w:r>
      <w:proofErr w:type="spellStart"/>
      <w:r w:rsidR="00274669" w:rsidRPr="00F52CA3">
        <w:rPr>
          <w:color w:val="000000"/>
          <w:shd w:val="clear" w:color="auto" w:fill="FFFFFF"/>
        </w:rPr>
        <w:t>Noddings</w:t>
      </w:r>
      <w:proofErr w:type="spellEnd"/>
      <w:r w:rsidR="00274669" w:rsidRPr="00F52CA3">
        <w:rPr>
          <w:color w:val="000000"/>
          <w:shd w:val="clear" w:color="auto" w:fill="FFFFFF"/>
        </w:rPr>
        <w:t>,</w:t>
      </w:r>
      <w:r w:rsidR="00E21712" w:rsidRPr="00F52CA3">
        <w:rPr>
          <w:color w:val="000000"/>
          <w:shd w:val="clear" w:color="auto" w:fill="FFFFFF"/>
        </w:rPr>
        <w:t xml:space="preserve"> </w:t>
      </w:r>
      <w:r w:rsidR="00274669" w:rsidRPr="00F52CA3">
        <w:rPr>
          <w:color w:val="000000"/>
          <w:shd w:val="clear" w:color="auto" w:fill="FFFFFF"/>
        </w:rPr>
        <w:t>2013;</w:t>
      </w:r>
      <w:r w:rsidR="00E21712" w:rsidRPr="00F52CA3">
        <w:rPr>
          <w:color w:val="000000"/>
          <w:shd w:val="clear" w:color="auto" w:fill="FFFFFF"/>
        </w:rPr>
        <w:t xml:space="preserve"> </w:t>
      </w:r>
      <w:r w:rsidR="00274669" w:rsidRPr="00F52CA3">
        <w:rPr>
          <w:color w:val="000000"/>
          <w:shd w:val="clear" w:color="auto" w:fill="FFFFFF"/>
        </w:rPr>
        <w:t>Thompson,</w:t>
      </w:r>
      <w:r w:rsidR="00E21712" w:rsidRPr="00F52CA3">
        <w:rPr>
          <w:color w:val="000000"/>
          <w:shd w:val="clear" w:color="auto" w:fill="FFFFFF"/>
        </w:rPr>
        <w:t xml:space="preserve"> </w:t>
      </w:r>
      <w:r w:rsidR="00274669" w:rsidRPr="00F52CA3">
        <w:rPr>
          <w:color w:val="000000"/>
          <w:shd w:val="clear" w:color="auto" w:fill="FFFFFF"/>
        </w:rPr>
        <w:t>2013;</w:t>
      </w:r>
      <w:r w:rsidR="00E21712" w:rsidRPr="00F52CA3">
        <w:rPr>
          <w:color w:val="000000"/>
          <w:shd w:val="clear" w:color="auto" w:fill="FFFFFF"/>
        </w:rPr>
        <w:t xml:space="preserve"> </w:t>
      </w:r>
      <w:r w:rsidR="00274669" w:rsidRPr="00F52CA3">
        <w:rPr>
          <w:color w:val="000000"/>
          <w:shd w:val="clear" w:color="auto" w:fill="FFFFFF"/>
        </w:rPr>
        <w:t>Thompson</w:t>
      </w:r>
      <w:r w:rsidR="00E21712" w:rsidRPr="00F52CA3">
        <w:rPr>
          <w:color w:val="000000"/>
          <w:shd w:val="clear" w:color="auto" w:fill="FFFFFF"/>
        </w:rPr>
        <w:t xml:space="preserve"> </w:t>
      </w:r>
      <w:r w:rsidR="00274669" w:rsidRPr="00F52CA3">
        <w:rPr>
          <w:color w:val="000000"/>
          <w:shd w:val="clear" w:color="auto" w:fill="FFFFFF"/>
        </w:rPr>
        <w:t>&amp;</w:t>
      </w:r>
      <w:r w:rsidR="00E21712" w:rsidRPr="00F52CA3">
        <w:rPr>
          <w:color w:val="000000"/>
          <w:shd w:val="clear" w:color="auto" w:fill="FFFFFF"/>
        </w:rPr>
        <w:t xml:space="preserve"> </w:t>
      </w:r>
      <w:r w:rsidR="00274669" w:rsidRPr="00F52CA3">
        <w:rPr>
          <w:color w:val="000000"/>
          <w:shd w:val="clear" w:color="auto" w:fill="FFFFFF"/>
        </w:rPr>
        <w:t>Harbaugh,</w:t>
      </w:r>
      <w:r w:rsidR="00E21712" w:rsidRPr="00F52CA3">
        <w:rPr>
          <w:color w:val="000000"/>
          <w:shd w:val="clear" w:color="auto" w:fill="FFFFFF"/>
        </w:rPr>
        <w:t xml:space="preserve"> </w:t>
      </w:r>
      <w:r w:rsidR="00274669" w:rsidRPr="00F52CA3">
        <w:rPr>
          <w:color w:val="000000"/>
          <w:shd w:val="clear" w:color="auto" w:fill="FFFFFF"/>
        </w:rPr>
        <w:t>2013).</w:t>
      </w:r>
      <w:r w:rsidR="00E21712" w:rsidRPr="00F52CA3">
        <w:rPr>
          <w:color w:val="000000"/>
          <w:shd w:val="clear" w:color="auto" w:fill="FFFFFF"/>
        </w:rPr>
        <w:t xml:space="preserve"> </w:t>
      </w:r>
      <w:r w:rsidR="00274669" w:rsidRPr="00F52CA3">
        <w:rPr>
          <w:color w:val="000000"/>
          <w:shd w:val="clear" w:color="auto" w:fill="FFFFFF"/>
        </w:rPr>
        <w:t>Teachers</w:t>
      </w:r>
      <w:r w:rsidR="00E21712" w:rsidRPr="00F52CA3">
        <w:rPr>
          <w:color w:val="000000"/>
          <w:shd w:val="clear" w:color="auto" w:fill="FFFFFF"/>
        </w:rPr>
        <w:t xml:space="preserve"> </w:t>
      </w:r>
      <w:r w:rsidR="00274669" w:rsidRPr="00F52CA3">
        <w:rPr>
          <w:color w:val="000000"/>
          <w:shd w:val="clear" w:color="auto" w:fill="FFFFFF"/>
        </w:rPr>
        <w:t>have</w:t>
      </w:r>
      <w:r w:rsidR="00E21712" w:rsidRPr="00F52CA3">
        <w:rPr>
          <w:color w:val="000000"/>
          <w:shd w:val="clear" w:color="auto" w:fill="FFFFFF"/>
        </w:rPr>
        <w:t xml:space="preserve"> </w:t>
      </w:r>
      <w:r w:rsidR="00274669" w:rsidRPr="00F52CA3">
        <w:rPr>
          <w:color w:val="000000"/>
          <w:shd w:val="clear" w:color="auto" w:fill="FFFFFF"/>
        </w:rPr>
        <w:t>become</w:t>
      </w:r>
      <w:r w:rsidR="00E21712" w:rsidRPr="00F52CA3">
        <w:rPr>
          <w:color w:val="000000"/>
          <w:shd w:val="clear" w:color="auto" w:fill="FFFFFF"/>
        </w:rPr>
        <w:t xml:space="preserve"> </w:t>
      </w:r>
      <w:r w:rsidR="00274669" w:rsidRPr="00F52CA3">
        <w:rPr>
          <w:color w:val="000000"/>
          <w:shd w:val="clear" w:color="auto" w:fill="FFFFFF"/>
        </w:rPr>
        <w:t>disgruntled</w:t>
      </w:r>
      <w:r w:rsidR="00E21712" w:rsidRPr="00F52CA3">
        <w:rPr>
          <w:color w:val="000000"/>
          <w:shd w:val="clear" w:color="auto" w:fill="FFFFFF"/>
        </w:rPr>
        <w:t xml:space="preserve"> </w:t>
      </w:r>
      <w:r w:rsidR="00274669" w:rsidRPr="00F52CA3">
        <w:rPr>
          <w:color w:val="000000"/>
          <w:shd w:val="clear" w:color="auto" w:fill="FFFFFF"/>
        </w:rPr>
        <w:t>with</w:t>
      </w:r>
      <w:r w:rsidR="00E21712" w:rsidRPr="00F52CA3">
        <w:rPr>
          <w:color w:val="000000"/>
          <w:shd w:val="clear" w:color="auto" w:fill="FFFFFF"/>
        </w:rPr>
        <w:t xml:space="preserve"> </w:t>
      </w:r>
      <w:r w:rsidR="00274669" w:rsidRPr="00F52CA3">
        <w:rPr>
          <w:color w:val="000000"/>
          <w:shd w:val="clear" w:color="auto" w:fill="FFFFFF"/>
        </w:rPr>
        <w:t>this</w:t>
      </w:r>
      <w:r w:rsidR="00E21712" w:rsidRPr="00F52CA3">
        <w:rPr>
          <w:color w:val="000000"/>
          <w:shd w:val="clear" w:color="auto" w:fill="FFFFFF"/>
        </w:rPr>
        <w:t xml:space="preserve"> </w:t>
      </w:r>
      <w:r w:rsidR="00274669" w:rsidRPr="00F52CA3">
        <w:rPr>
          <w:color w:val="000000"/>
          <w:shd w:val="clear" w:color="auto" w:fill="FFFFFF"/>
        </w:rPr>
        <w:t>scenario</w:t>
      </w:r>
      <w:r w:rsidR="007B4840" w:rsidRPr="00F52CA3">
        <w:rPr>
          <w:color w:val="000000"/>
          <w:shd w:val="clear" w:color="auto" w:fill="FFFFFF"/>
        </w:rPr>
        <w:t xml:space="preserve"> and there is a subsequent </w:t>
      </w:r>
      <w:r w:rsidR="007B4840" w:rsidRPr="00F52CA3">
        <w:t>impact on new graduates (and some established teachers) that undermines the moral imperative driving their desire to enter and stay in the profession (Walker, 2018)</w:t>
      </w:r>
      <w:r w:rsidR="00AC3CAE" w:rsidRPr="00F52CA3">
        <w:t>.</w:t>
      </w:r>
      <w:r w:rsidR="007B4840" w:rsidRPr="00F52CA3">
        <w:t xml:space="preserve"> </w:t>
      </w:r>
      <w:r w:rsidR="007F4D97" w:rsidRPr="00F52CA3">
        <w:t xml:space="preserve">Their work to develop the potential of their students through a rich and meaningful education has been reduced to technocratic demands that are no longer aligned to their professional standing as teachers. </w:t>
      </w:r>
      <w:r w:rsidR="007B4840" w:rsidRPr="00F52CA3">
        <w:t>Ultimately, these reductionist approaches contribute to teacher stress, disillusionment, and demoralization that escalates the attrition we are currently witnessing</w:t>
      </w:r>
      <w:r w:rsidRPr="00F52CA3">
        <w:t>.</w:t>
      </w:r>
      <w:r w:rsidR="007F4D97" w:rsidRPr="00F52CA3">
        <w:t xml:space="preserve"> </w:t>
      </w:r>
    </w:p>
    <w:p w14:paraId="3E82195E" w14:textId="77777777" w:rsidR="009E36BA" w:rsidRPr="00F52CA3" w:rsidRDefault="009E36BA" w:rsidP="009E36BA">
      <w:pPr>
        <w:pStyle w:val="ListParagraph"/>
      </w:pPr>
    </w:p>
    <w:p w14:paraId="543B2453" w14:textId="2715709A" w:rsidR="00274669" w:rsidRPr="00F52CA3" w:rsidRDefault="00274669" w:rsidP="009E36BA">
      <w:pPr>
        <w:pStyle w:val="ListParagraph"/>
        <w:numPr>
          <w:ilvl w:val="0"/>
          <w:numId w:val="5"/>
        </w:numPr>
      </w:pPr>
      <w:r w:rsidRPr="00F52CA3">
        <w:rPr>
          <w:shd w:val="clear" w:color="auto" w:fill="FFFFFF"/>
        </w:rPr>
        <w:t>Researchers</w:t>
      </w:r>
      <w:r w:rsidR="00E21712" w:rsidRPr="00F52CA3">
        <w:rPr>
          <w:shd w:val="clear" w:color="auto" w:fill="FFFFFF"/>
        </w:rPr>
        <w:t xml:space="preserve"> </w:t>
      </w:r>
      <w:r w:rsidRPr="00F52CA3">
        <w:rPr>
          <w:shd w:val="clear" w:color="auto" w:fill="FFFFFF"/>
        </w:rPr>
        <w:t>note</w:t>
      </w:r>
      <w:r w:rsidR="00E21712" w:rsidRPr="00F52CA3">
        <w:rPr>
          <w:shd w:val="clear" w:color="auto" w:fill="FFFFFF"/>
        </w:rPr>
        <w:t xml:space="preserve"> </w:t>
      </w:r>
      <w:r w:rsidRPr="00F52CA3">
        <w:t>that</w:t>
      </w:r>
      <w:r w:rsidR="00E21712" w:rsidRPr="00F52CA3">
        <w:t xml:space="preserve"> </w:t>
      </w:r>
      <w:r w:rsidRPr="00F52CA3">
        <w:t>teachers</w:t>
      </w:r>
      <w:r w:rsidR="00E21712" w:rsidRPr="00F52CA3">
        <w:t xml:space="preserve"> </w:t>
      </w:r>
      <w:r w:rsidRPr="00F52CA3">
        <w:t>often</w:t>
      </w:r>
      <w:r w:rsidR="00E21712" w:rsidRPr="00F52CA3">
        <w:t xml:space="preserve"> </w:t>
      </w:r>
      <w:r w:rsidRPr="00F52CA3">
        <w:t>feel</w:t>
      </w:r>
      <w:r w:rsidR="00E21712" w:rsidRPr="00F52CA3">
        <w:t xml:space="preserve"> </w:t>
      </w:r>
      <w:r w:rsidRPr="00F52CA3">
        <w:t>pressured</w:t>
      </w:r>
      <w:r w:rsidR="00E21712" w:rsidRPr="00F52CA3">
        <w:t xml:space="preserve"> </w:t>
      </w:r>
      <w:r w:rsidRPr="00F52CA3">
        <w:t>by</w:t>
      </w:r>
      <w:r w:rsidR="00E21712" w:rsidRPr="00F52CA3">
        <w:t xml:space="preserve"> </w:t>
      </w:r>
      <w:r w:rsidRPr="00F52CA3">
        <w:t>high-stakes</w:t>
      </w:r>
      <w:r w:rsidR="00E21712" w:rsidRPr="00F52CA3">
        <w:t xml:space="preserve"> </w:t>
      </w:r>
      <w:r w:rsidRPr="00F52CA3">
        <w:t>testing</w:t>
      </w:r>
      <w:r w:rsidR="00E21712" w:rsidRPr="00F52CA3">
        <w:t xml:space="preserve"> </w:t>
      </w:r>
      <w:r w:rsidRPr="00F52CA3">
        <w:t>programs</w:t>
      </w:r>
      <w:r w:rsidR="00E21712" w:rsidRPr="00F52CA3">
        <w:t xml:space="preserve"> </w:t>
      </w:r>
      <w:r w:rsidRPr="00F52CA3">
        <w:t>to</w:t>
      </w:r>
      <w:r w:rsidR="00E21712" w:rsidRPr="00F52CA3">
        <w:t xml:space="preserve"> </w:t>
      </w:r>
      <w:r w:rsidRPr="00F52CA3">
        <w:t>favour</w:t>
      </w:r>
      <w:r w:rsidR="00E21712" w:rsidRPr="00F52CA3">
        <w:t xml:space="preserve"> </w:t>
      </w:r>
      <w:r w:rsidRPr="00F52CA3">
        <w:t>lecture-based</w:t>
      </w:r>
      <w:r w:rsidR="00E21712" w:rsidRPr="00F52CA3">
        <w:t xml:space="preserve"> </w:t>
      </w:r>
      <w:r w:rsidRPr="00F52CA3">
        <w:t>pedagogies</w:t>
      </w:r>
      <w:r w:rsidR="00E21712" w:rsidRPr="00F52CA3">
        <w:t xml:space="preserve"> </w:t>
      </w:r>
      <w:r w:rsidRPr="00F52CA3">
        <w:t>and</w:t>
      </w:r>
      <w:r w:rsidR="00E21712" w:rsidRPr="00F52CA3">
        <w:t xml:space="preserve"> </w:t>
      </w:r>
      <w:r w:rsidRPr="00F52CA3">
        <w:t>more</w:t>
      </w:r>
      <w:r w:rsidR="00E21712" w:rsidRPr="00F52CA3">
        <w:t xml:space="preserve"> </w:t>
      </w:r>
      <w:r w:rsidRPr="00F52CA3">
        <w:t>formulaic</w:t>
      </w:r>
      <w:r w:rsidR="00E21712" w:rsidRPr="00F52CA3">
        <w:t xml:space="preserve"> </w:t>
      </w:r>
      <w:r w:rsidRPr="00F52CA3">
        <w:t>teaching</w:t>
      </w:r>
      <w:r w:rsidR="00E21712" w:rsidRPr="00F52CA3">
        <w:t xml:space="preserve"> </w:t>
      </w:r>
      <w:r w:rsidRPr="00F52CA3">
        <w:t>styles,</w:t>
      </w:r>
      <w:r w:rsidR="00E21712" w:rsidRPr="00F52CA3">
        <w:t xml:space="preserve"> </w:t>
      </w:r>
      <w:r w:rsidRPr="00F52CA3">
        <w:t>and</w:t>
      </w:r>
      <w:r w:rsidR="00E21712" w:rsidRPr="00F52CA3">
        <w:t xml:space="preserve"> </w:t>
      </w:r>
      <w:r w:rsidRPr="00F52CA3">
        <w:t>to</w:t>
      </w:r>
      <w:r w:rsidR="00E21712" w:rsidRPr="00F52CA3">
        <w:t xml:space="preserve"> </w:t>
      </w:r>
      <w:r w:rsidRPr="00F52CA3">
        <w:t>exclude</w:t>
      </w:r>
      <w:r w:rsidR="00E21712" w:rsidRPr="00F52CA3">
        <w:t xml:space="preserve"> </w:t>
      </w:r>
      <w:r w:rsidRPr="00F52CA3">
        <w:t>activities</w:t>
      </w:r>
      <w:r w:rsidR="00E21712" w:rsidRPr="00F52CA3">
        <w:t xml:space="preserve"> </w:t>
      </w:r>
      <w:r w:rsidRPr="00F52CA3">
        <w:t>reflecting</w:t>
      </w:r>
      <w:r w:rsidR="00E21712" w:rsidRPr="00F52CA3">
        <w:t xml:space="preserve"> </w:t>
      </w:r>
      <w:r w:rsidRPr="00F52CA3">
        <w:t>high-quality</w:t>
      </w:r>
      <w:r w:rsidR="00E21712" w:rsidRPr="00F52CA3">
        <w:t xml:space="preserve"> </w:t>
      </w:r>
      <w:r w:rsidRPr="00F52CA3">
        <w:t>pedagogy</w:t>
      </w:r>
      <w:r w:rsidR="00E21712" w:rsidRPr="00F52CA3">
        <w:t xml:space="preserve"> </w:t>
      </w:r>
      <w:r w:rsidRPr="00F52CA3">
        <w:t>(Au</w:t>
      </w:r>
      <w:r w:rsidR="00E21712" w:rsidRPr="00F52CA3">
        <w:t xml:space="preserve"> </w:t>
      </w:r>
      <w:r w:rsidRPr="00F52CA3">
        <w:t>&amp;</w:t>
      </w:r>
      <w:r w:rsidR="00E21712" w:rsidRPr="00F52CA3">
        <w:t xml:space="preserve"> </w:t>
      </w:r>
      <w:r w:rsidRPr="00F52CA3">
        <w:t>Gourd,</w:t>
      </w:r>
      <w:r w:rsidR="00E21712" w:rsidRPr="00F52CA3">
        <w:t xml:space="preserve"> </w:t>
      </w:r>
      <w:r w:rsidRPr="00F52CA3">
        <w:t>2013;</w:t>
      </w:r>
      <w:r w:rsidR="00E21712" w:rsidRPr="00F52CA3">
        <w:t xml:space="preserve"> </w:t>
      </w:r>
      <w:r w:rsidRPr="00F52CA3">
        <w:t>Comber,</w:t>
      </w:r>
      <w:r w:rsidR="00E21712" w:rsidRPr="00F52CA3">
        <w:t xml:space="preserve"> </w:t>
      </w:r>
      <w:r w:rsidRPr="00F52CA3">
        <w:t>2012;</w:t>
      </w:r>
      <w:r w:rsidR="00E21712" w:rsidRPr="00F52CA3">
        <w:t xml:space="preserve"> </w:t>
      </w:r>
      <w:r w:rsidRPr="00F52CA3">
        <w:t>Cormack</w:t>
      </w:r>
      <w:r w:rsidR="00E21712" w:rsidRPr="00F52CA3">
        <w:t xml:space="preserve"> </w:t>
      </w:r>
      <w:r w:rsidRPr="00F52CA3">
        <w:t>&amp;</w:t>
      </w:r>
      <w:r w:rsidR="00E21712" w:rsidRPr="00F52CA3">
        <w:t xml:space="preserve"> </w:t>
      </w:r>
      <w:r w:rsidRPr="00F52CA3">
        <w:t>Comber,</w:t>
      </w:r>
      <w:r w:rsidR="00E21712" w:rsidRPr="00F52CA3">
        <w:rPr>
          <w:shd w:val="clear" w:color="auto" w:fill="FFFFFF"/>
        </w:rPr>
        <w:t xml:space="preserve"> </w:t>
      </w:r>
      <w:r w:rsidRPr="00F52CA3">
        <w:rPr>
          <w:shd w:val="clear" w:color="auto" w:fill="FFFFFF"/>
        </w:rPr>
        <w:lastRenderedPageBreak/>
        <w:t>2013).</w:t>
      </w:r>
      <w:r w:rsidR="00E21712" w:rsidRPr="00F52CA3">
        <w:rPr>
          <w:shd w:val="clear" w:color="auto" w:fill="FFFFFF"/>
        </w:rPr>
        <w:t xml:space="preserve"> </w:t>
      </w:r>
      <w:r w:rsidRPr="00F52CA3">
        <w:rPr>
          <w:shd w:val="clear" w:color="auto" w:fill="FFFFFF"/>
        </w:rPr>
        <w:t>These</w:t>
      </w:r>
      <w:r w:rsidR="00E21712" w:rsidRPr="00F52CA3">
        <w:rPr>
          <w:shd w:val="clear" w:color="auto" w:fill="FFFFFF"/>
        </w:rPr>
        <w:t xml:space="preserve"> </w:t>
      </w:r>
      <w:r w:rsidRPr="00F52CA3">
        <w:rPr>
          <w:shd w:val="clear" w:color="auto" w:fill="FFFFFF"/>
        </w:rPr>
        <w:t>test-driven</w:t>
      </w:r>
      <w:r w:rsidR="00E21712" w:rsidRPr="00F52CA3">
        <w:rPr>
          <w:shd w:val="clear" w:color="auto" w:fill="FFFFFF"/>
        </w:rPr>
        <w:t xml:space="preserve"> </w:t>
      </w:r>
      <w:r w:rsidRPr="00F52CA3">
        <w:rPr>
          <w:shd w:val="clear" w:color="auto" w:fill="FFFFFF"/>
        </w:rPr>
        <w:t>teaching</w:t>
      </w:r>
      <w:r w:rsidR="00E21712" w:rsidRPr="00F52CA3">
        <w:rPr>
          <w:shd w:val="clear" w:color="auto" w:fill="FFFFFF"/>
        </w:rPr>
        <w:t xml:space="preserve"> </w:t>
      </w:r>
      <w:r w:rsidRPr="00F52CA3">
        <w:rPr>
          <w:shd w:val="clear" w:color="auto" w:fill="FFFFFF"/>
        </w:rPr>
        <w:t>methods</w:t>
      </w:r>
      <w:r w:rsidR="00E21712" w:rsidRPr="00F52CA3">
        <w:rPr>
          <w:shd w:val="clear" w:color="auto" w:fill="FFFFFF"/>
        </w:rPr>
        <w:t xml:space="preserve"> </w:t>
      </w:r>
      <w:r w:rsidRPr="00F52CA3">
        <w:rPr>
          <w:shd w:val="clear" w:color="auto" w:fill="FFFFFF"/>
        </w:rPr>
        <w:t>(</w:t>
      </w:r>
      <w:proofErr w:type="spellStart"/>
      <w:r w:rsidRPr="00F52CA3">
        <w:rPr>
          <w:shd w:val="clear" w:color="auto" w:fill="FFFFFF"/>
        </w:rPr>
        <w:t>Klenowski</w:t>
      </w:r>
      <w:proofErr w:type="spellEnd"/>
      <w:r w:rsidRPr="00F52CA3">
        <w:rPr>
          <w:shd w:val="clear" w:color="auto" w:fill="FFFFFF"/>
        </w:rPr>
        <w:t>,</w:t>
      </w:r>
      <w:r w:rsidR="00E21712" w:rsidRPr="00F52CA3">
        <w:rPr>
          <w:shd w:val="clear" w:color="auto" w:fill="FFFFFF"/>
        </w:rPr>
        <w:t xml:space="preserve"> </w:t>
      </w:r>
      <w:r w:rsidRPr="00F52CA3">
        <w:rPr>
          <w:shd w:val="clear" w:color="auto" w:fill="FFFFFF"/>
        </w:rPr>
        <w:t>2011;</w:t>
      </w:r>
      <w:r w:rsidR="00E21712" w:rsidRPr="00F52CA3">
        <w:rPr>
          <w:shd w:val="clear" w:color="auto" w:fill="FFFFFF"/>
        </w:rPr>
        <w:t xml:space="preserve"> </w:t>
      </w:r>
      <w:proofErr w:type="spellStart"/>
      <w:r w:rsidRPr="00F52CA3">
        <w:rPr>
          <w:shd w:val="clear" w:color="auto" w:fill="FFFFFF"/>
        </w:rPr>
        <w:t>Klenowski</w:t>
      </w:r>
      <w:proofErr w:type="spellEnd"/>
      <w:r w:rsidR="00E21712" w:rsidRPr="00F52CA3">
        <w:rPr>
          <w:shd w:val="clear" w:color="auto" w:fill="FFFFFF"/>
        </w:rPr>
        <w:t xml:space="preserve"> </w:t>
      </w:r>
      <w:r w:rsidRPr="00F52CA3">
        <w:rPr>
          <w:shd w:val="clear" w:color="auto" w:fill="FFFFFF"/>
        </w:rPr>
        <w:t>&amp;</w:t>
      </w:r>
      <w:r w:rsidR="00E21712" w:rsidRPr="00F52CA3">
        <w:rPr>
          <w:shd w:val="clear" w:color="auto" w:fill="FFFFFF"/>
        </w:rPr>
        <w:t xml:space="preserve"> </w:t>
      </w:r>
      <w:r w:rsidRPr="00F52CA3">
        <w:rPr>
          <w:shd w:val="clear" w:color="auto" w:fill="FFFFFF"/>
        </w:rPr>
        <w:t>Wyatt-Smith,</w:t>
      </w:r>
      <w:r w:rsidR="00E21712" w:rsidRPr="00F52CA3">
        <w:rPr>
          <w:shd w:val="clear" w:color="auto" w:fill="FFFFFF"/>
        </w:rPr>
        <w:t xml:space="preserve"> </w:t>
      </w:r>
      <w:r w:rsidRPr="00F52CA3">
        <w:rPr>
          <w:shd w:val="clear" w:color="auto" w:fill="FFFFFF"/>
        </w:rPr>
        <w:t>2012;</w:t>
      </w:r>
      <w:r w:rsidR="00E21712" w:rsidRPr="00F52CA3">
        <w:rPr>
          <w:shd w:val="clear" w:color="auto" w:fill="FFFFFF"/>
        </w:rPr>
        <w:t xml:space="preserve"> </w:t>
      </w:r>
      <w:proofErr w:type="spellStart"/>
      <w:r w:rsidRPr="00F52CA3">
        <w:rPr>
          <w:shd w:val="clear" w:color="auto" w:fill="FFFFFF"/>
        </w:rPr>
        <w:t>Lobascher</w:t>
      </w:r>
      <w:proofErr w:type="spellEnd"/>
      <w:r w:rsidRPr="00F52CA3">
        <w:rPr>
          <w:shd w:val="clear" w:color="auto" w:fill="FFFFFF"/>
        </w:rPr>
        <w:t>,</w:t>
      </w:r>
      <w:r w:rsidR="00E21712" w:rsidRPr="00F52CA3">
        <w:rPr>
          <w:shd w:val="clear" w:color="auto" w:fill="FFFFFF"/>
        </w:rPr>
        <w:t xml:space="preserve"> </w:t>
      </w:r>
      <w:r w:rsidRPr="00F52CA3">
        <w:rPr>
          <w:shd w:val="clear" w:color="auto" w:fill="FFFFFF"/>
        </w:rPr>
        <w:t>2011;</w:t>
      </w:r>
      <w:r w:rsidR="00E21712" w:rsidRPr="00F52CA3">
        <w:rPr>
          <w:shd w:val="clear" w:color="auto" w:fill="FFFFFF"/>
        </w:rPr>
        <w:t xml:space="preserve"> </w:t>
      </w:r>
      <w:r w:rsidRPr="00F52CA3">
        <w:rPr>
          <w:shd w:val="clear" w:color="auto" w:fill="FFFFFF"/>
        </w:rPr>
        <w:t>Thompson,</w:t>
      </w:r>
      <w:r w:rsidR="00E21712" w:rsidRPr="00F52CA3">
        <w:rPr>
          <w:shd w:val="clear" w:color="auto" w:fill="FFFFFF"/>
        </w:rPr>
        <w:t xml:space="preserve"> </w:t>
      </w:r>
      <w:r w:rsidRPr="00F52CA3">
        <w:rPr>
          <w:shd w:val="clear" w:color="auto" w:fill="FFFFFF"/>
        </w:rPr>
        <w:t>2013;</w:t>
      </w:r>
      <w:r w:rsidR="00E21712" w:rsidRPr="00F52CA3">
        <w:rPr>
          <w:shd w:val="clear" w:color="auto" w:fill="FFFFFF"/>
        </w:rPr>
        <w:t xml:space="preserve"> </w:t>
      </w:r>
      <w:r w:rsidRPr="00F52CA3">
        <w:rPr>
          <w:shd w:val="clear" w:color="auto" w:fill="FFFFFF"/>
        </w:rPr>
        <w:t>Thompson</w:t>
      </w:r>
      <w:r w:rsidR="00E21712" w:rsidRPr="00F52CA3">
        <w:rPr>
          <w:shd w:val="clear" w:color="auto" w:fill="FFFFFF"/>
        </w:rPr>
        <w:t xml:space="preserve"> </w:t>
      </w:r>
      <w:r w:rsidRPr="00F52CA3">
        <w:rPr>
          <w:shd w:val="clear" w:color="auto" w:fill="FFFFFF"/>
        </w:rPr>
        <w:t>&amp;</w:t>
      </w:r>
      <w:r w:rsidR="00E21712" w:rsidRPr="00F52CA3">
        <w:rPr>
          <w:shd w:val="clear" w:color="auto" w:fill="FFFFFF"/>
        </w:rPr>
        <w:t xml:space="preserve"> </w:t>
      </w:r>
      <w:r w:rsidRPr="00F52CA3">
        <w:rPr>
          <w:shd w:val="clear" w:color="auto" w:fill="FFFFFF"/>
        </w:rPr>
        <w:t>Harbaugh,</w:t>
      </w:r>
      <w:r w:rsidR="00E21712" w:rsidRPr="00F52CA3">
        <w:rPr>
          <w:shd w:val="clear" w:color="auto" w:fill="FFFFFF"/>
        </w:rPr>
        <w:t xml:space="preserve"> </w:t>
      </w:r>
      <w:r w:rsidRPr="00F52CA3">
        <w:rPr>
          <w:shd w:val="clear" w:color="auto" w:fill="FFFFFF"/>
        </w:rPr>
        <w:t>2013)</w:t>
      </w:r>
      <w:r w:rsidR="00E21712" w:rsidRPr="00F52CA3">
        <w:rPr>
          <w:shd w:val="clear" w:color="auto" w:fill="FFFFFF"/>
        </w:rPr>
        <w:t xml:space="preserve"> </w:t>
      </w:r>
      <w:r w:rsidRPr="00F52CA3">
        <w:rPr>
          <w:shd w:val="clear" w:color="auto" w:fill="FFFFFF"/>
        </w:rPr>
        <w:t>can</w:t>
      </w:r>
      <w:r w:rsidR="00E21712" w:rsidRPr="00F52CA3">
        <w:rPr>
          <w:shd w:val="clear" w:color="auto" w:fill="FFFFFF"/>
        </w:rPr>
        <w:t xml:space="preserve"> </w:t>
      </w:r>
      <w:r w:rsidRPr="00F52CA3">
        <w:rPr>
          <w:shd w:val="clear" w:color="auto" w:fill="FFFFFF"/>
        </w:rPr>
        <w:t>lead</w:t>
      </w:r>
      <w:r w:rsidR="00E21712" w:rsidRPr="00F52CA3">
        <w:rPr>
          <w:shd w:val="clear" w:color="auto" w:fill="FFFFFF"/>
        </w:rPr>
        <w:t xml:space="preserve"> </w:t>
      </w:r>
      <w:r w:rsidRPr="00F52CA3">
        <w:rPr>
          <w:shd w:val="clear" w:color="auto" w:fill="FFFFFF"/>
        </w:rPr>
        <w:t>to</w:t>
      </w:r>
      <w:r w:rsidR="00E21712" w:rsidRPr="00F52CA3">
        <w:rPr>
          <w:shd w:val="clear" w:color="auto" w:fill="FFFFFF"/>
        </w:rPr>
        <w:t xml:space="preserve"> </w:t>
      </w:r>
      <w:r w:rsidRPr="00F52CA3">
        <w:rPr>
          <w:shd w:val="clear" w:color="auto" w:fill="FFFFFF"/>
        </w:rPr>
        <w:t>teachers</w:t>
      </w:r>
      <w:r w:rsidR="00E21712" w:rsidRPr="00F52CA3">
        <w:rPr>
          <w:shd w:val="clear" w:color="auto" w:fill="FFFFFF"/>
        </w:rPr>
        <w:t xml:space="preserve"> </w:t>
      </w:r>
      <w:r w:rsidRPr="00F52CA3">
        <w:rPr>
          <w:shd w:val="clear" w:color="auto" w:fill="FFFFFF"/>
        </w:rPr>
        <w:t>perceiving</w:t>
      </w:r>
      <w:r w:rsidR="00E21712" w:rsidRPr="00F52CA3">
        <w:rPr>
          <w:shd w:val="clear" w:color="auto" w:fill="FFFFFF"/>
        </w:rPr>
        <w:t xml:space="preserve"> </w:t>
      </w:r>
      <w:r w:rsidRPr="00F52CA3">
        <w:rPr>
          <w:shd w:val="clear" w:color="auto" w:fill="FFFFFF"/>
        </w:rPr>
        <w:t>themselves</w:t>
      </w:r>
      <w:r w:rsidR="00E21712" w:rsidRPr="00F52CA3">
        <w:rPr>
          <w:shd w:val="clear" w:color="auto" w:fill="FFFFFF"/>
        </w:rPr>
        <w:t xml:space="preserve"> </w:t>
      </w:r>
      <w:r w:rsidRPr="00F52CA3">
        <w:rPr>
          <w:shd w:val="clear" w:color="auto" w:fill="FFFFFF"/>
        </w:rPr>
        <w:t>as</w:t>
      </w:r>
      <w:r w:rsidR="00E21712" w:rsidRPr="00F52CA3">
        <w:rPr>
          <w:shd w:val="clear" w:color="auto" w:fill="FFFFFF"/>
        </w:rPr>
        <w:t xml:space="preserve"> </w:t>
      </w:r>
      <w:r w:rsidRPr="00F52CA3">
        <w:rPr>
          <w:shd w:val="clear" w:color="auto" w:fill="FFFFFF"/>
        </w:rPr>
        <w:t>becoming</w:t>
      </w:r>
      <w:r w:rsidR="00E21712" w:rsidRPr="00F52CA3">
        <w:rPr>
          <w:shd w:val="clear" w:color="auto" w:fill="FFFFFF"/>
        </w:rPr>
        <w:t xml:space="preserve"> </w:t>
      </w:r>
      <w:r w:rsidRPr="00F52CA3">
        <w:rPr>
          <w:shd w:val="clear" w:color="auto" w:fill="FFFFFF"/>
        </w:rPr>
        <w:t>progressively</w:t>
      </w:r>
      <w:r w:rsidR="00E21712" w:rsidRPr="00F52CA3">
        <w:rPr>
          <w:shd w:val="clear" w:color="auto" w:fill="FFFFFF"/>
        </w:rPr>
        <w:t xml:space="preserve"> </w:t>
      </w:r>
      <w:r w:rsidRPr="00F52CA3">
        <w:rPr>
          <w:shd w:val="clear" w:color="auto" w:fill="FFFFFF"/>
        </w:rPr>
        <w:t>deskilled</w:t>
      </w:r>
      <w:r w:rsidR="00E21712" w:rsidRPr="00F52CA3">
        <w:rPr>
          <w:shd w:val="clear" w:color="auto" w:fill="FFFFFF"/>
        </w:rPr>
        <w:t xml:space="preserve"> </w:t>
      </w:r>
      <w:r w:rsidRPr="00F52CA3">
        <w:rPr>
          <w:shd w:val="clear" w:color="auto" w:fill="FFFFFF"/>
        </w:rPr>
        <w:t>(Ewing,</w:t>
      </w:r>
      <w:r w:rsidR="00E21712" w:rsidRPr="00F52CA3">
        <w:rPr>
          <w:shd w:val="clear" w:color="auto" w:fill="FFFFFF"/>
        </w:rPr>
        <w:t xml:space="preserve"> </w:t>
      </w:r>
      <w:r w:rsidRPr="00F52CA3">
        <w:rPr>
          <w:shd w:val="clear" w:color="auto" w:fill="FFFFFF"/>
        </w:rPr>
        <w:t>2012).</w:t>
      </w:r>
      <w:r w:rsidR="00E21712" w:rsidRPr="00F52CA3">
        <w:rPr>
          <w:shd w:val="clear" w:color="auto" w:fill="FFFFFF"/>
        </w:rPr>
        <w:t xml:space="preserve"> </w:t>
      </w:r>
      <w:r w:rsidRPr="00F52CA3">
        <w:rPr>
          <w:shd w:val="clear" w:color="auto" w:fill="FFFFFF"/>
        </w:rPr>
        <w:t>This</w:t>
      </w:r>
      <w:r w:rsidR="00E21712" w:rsidRPr="00F52CA3">
        <w:rPr>
          <w:shd w:val="clear" w:color="auto" w:fill="FFFFFF"/>
        </w:rPr>
        <w:t xml:space="preserve"> </w:t>
      </w:r>
      <w:r w:rsidRPr="00F52CA3">
        <w:rPr>
          <w:shd w:val="clear" w:color="auto" w:fill="FFFFFF"/>
        </w:rPr>
        <w:t>is</w:t>
      </w:r>
      <w:r w:rsidR="00E21712" w:rsidRPr="00F52CA3">
        <w:rPr>
          <w:shd w:val="clear" w:color="auto" w:fill="FFFFFF"/>
        </w:rPr>
        <w:t xml:space="preserve"> </w:t>
      </w:r>
      <w:r w:rsidRPr="00F52CA3">
        <w:rPr>
          <w:shd w:val="clear" w:color="auto" w:fill="FFFFFF"/>
        </w:rPr>
        <w:t>a</w:t>
      </w:r>
      <w:r w:rsidR="00E21712" w:rsidRPr="00F52CA3">
        <w:rPr>
          <w:shd w:val="clear" w:color="auto" w:fill="FFFFFF"/>
        </w:rPr>
        <w:t xml:space="preserve"> </w:t>
      </w:r>
      <w:r w:rsidRPr="00F52CA3">
        <w:rPr>
          <w:shd w:val="clear" w:color="auto" w:fill="FFFFFF"/>
        </w:rPr>
        <w:t>problem</w:t>
      </w:r>
      <w:r w:rsidR="00E21712" w:rsidRPr="00F52CA3">
        <w:rPr>
          <w:shd w:val="clear" w:color="auto" w:fill="FFFFFF"/>
        </w:rPr>
        <w:t xml:space="preserve"> </w:t>
      </w:r>
      <w:r w:rsidRPr="00F52CA3">
        <w:rPr>
          <w:shd w:val="clear" w:color="auto" w:fill="FFFFFF"/>
        </w:rPr>
        <w:t>because</w:t>
      </w:r>
      <w:r w:rsidR="00E21712" w:rsidRPr="00F52CA3">
        <w:rPr>
          <w:shd w:val="clear" w:color="auto" w:fill="FFFFFF"/>
        </w:rPr>
        <w:t xml:space="preserve"> </w:t>
      </w:r>
      <w:r w:rsidRPr="00F52CA3">
        <w:rPr>
          <w:shd w:val="clear" w:color="auto" w:fill="FFFFFF"/>
        </w:rPr>
        <w:t>teachers</w:t>
      </w:r>
      <w:r w:rsidR="00E21712" w:rsidRPr="00F52CA3">
        <w:rPr>
          <w:shd w:val="clear" w:color="auto" w:fill="FFFFFF"/>
        </w:rPr>
        <w:t xml:space="preserve"> </w:t>
      </w:r>
      <w:r w:rsidRPr="00F52CA3">
        <w:rPr>
          <w:shd w:val="clear" w:color="auto" w:fill="FFFFFF"/>
        </w:rPr>
        <w:t>can</w:t>
      </w:r>
      <w:r w:rsidR="00E21712" w:rsidRPr="00F52CA3">
        <w:rPr>
          <w:shd w:val="clear" w:color="auto" w:fill="FFFFFF"/>
        </w:rPr>
        <w:t xml:space="preserve"> </w:t>
      </w:r>
      <w:r w:rsidRPr="00F52CA3">
        <w:rPr>
          <w:shd w:val="clear" w:color="auto" w:fill="FFFFFF"/>
        </w:rPr>
        <w:t>feel</w:t>
      </w:r>
      <w:r w:rsidR="00E21712" w:rsidRPr="00F52CA3">
        <w:rPr>
          <w:shd w:val="clear" w:color="auto" w:fill="FFFFFF"/>
        </w:rPr>
        <w:t xml:space="preserve"> </w:t>
      </w:r>
      <w:r w:rsidRPr="00F52CA3">
        <w:rPr>
          <w:shd w:val="clear" w:color="auto" w:fill="FFFFFF"/>
        </w:rPr>
        <w:t>undervalued</w:t>
      </w:r>
      <w:r w:rsidR="00E21712" w:rsidRPr="00F52CA3">
        <w:rPr>
          <w:shd w:val="clear" w:color="auto" w:fill="FFFFFF"/>
        </w:rPr>
        <w:t xml:space="preserve"> </w:t>
      </w:r>
      <w:r w:rsidRPr="00F52CA3">
        <w:rPr>
          <w:shd w:val="clear" w:color="auto" w:fill="FFFFFF"/>
        </w:rPr>
        <w:t>and</w:t>
      </w:r>
      <w:r w:rsidR="00E21712" w:rsidRPr="00F52CA3">
        <w:rPr>
          <w:shd w:val="clear" w:color="auto" w:fill="FFFFFF"/>
        </w:rPr>
        <w:t xml:space="preserve"> </w:t>
      </w:r>
      <w:r w:rsidRPr="00F52CA3">
        <w:rPr>
          <w:shd w:val="clear" w:color="auto" w:fill="FFFFFF"/>
        </w:rPr>
        <w:t>may</w:t>
      </w:r>
      <w:r w:rsidR="00E21712" w:rsidRPr="00F52CA3">
        <w:rPr>
          <w:shd w:val="clear" w:color="auto" w:fill="FFFFFF"/>
        </w:rPr>
        <w:t xml:space="preserve"> </w:t>
      </w:r>
      <w:r w:rsidRPr="00F52CA3">
        <w:rPr>
          <w:shd w:val="clear" w:color="auto" w:fill="FFFFFF"/>
        </w:rPr>
        <w:t>question</w:t>
      </w:r>
      <w:r w:rsidR="00E21712" w:rsidRPr="00F52CA3">
        <w:rPr>
          <w:shd w:val="clear" w:color="auto" w:fill="FFFFFF"/>
        </w:rPr>
        <w:t xml:space="preserve"> </w:t>
      </w:r>
      <w:r w:rsidRPr="00F52CA3">
        <w:rPr>
          <w:shd w:val="clear" w:color="auto" w:fill="FFFFFF"/>
        </w:rPr>
        <w:t>their</w:t>
      </w:r>
      <w:r w:rsidR="00E21712" w:rsidRPr="00F52CA3">
        <w:rPr>
          <w:shd w:val="clear" w:color="auto" w:fill="FFFFFF"/>
        </w:rPr>
        <w:t xml:space="preserve"> </w:t>
      </w:r>
      <w:r w:rsidRPr="00F52CA3">
        <w:rPr>
          <w:shd w:val="clear" w:color="auto" w:fill="FFFFFF"/>
        </w:rPr>
        <w:t>own</w:t>
      </w:r>
      <w:r w:rsidR="00E21712" w:rsidRPr="00F52CA3">
        <w:rPr>
          <w:shd w:val="clear" w:color="auto" w:fill="FFFFFF"/>
        </w:rPr>
        <w:t xml:space="preserve"> </w:t>
      </w:r>
      <w:r w:rsidRPr="00F52CA3">
        <w:rPr>
          <w:shd w:val="clear" w:color="auto" w:fill="FFFFFF"/>
        </w:rPr>
        <w:t>professionalism.</w:t>
      </w:r>
      <w:r w:rsidR="00E21712" w:rsidRPr="00F52CA3">
        <w:rPr>
          <w:shd w:val="clear" w:color="auto" w:fill="FFFFFF"/>
        </w:rPr>
        <w:t xml:space="preserve"> </w:t>
      </w:r>
      <w:r w:rsidRPr="00F52CA3">
        <w:rPr>
          <w:shd w:val="clear" w:color="auto" w:fill="FFFFFF"/>
        </w:rPr>
        <w:t>When</w:t>
      </w:r>
      <w:r w:rsidR="00E21712" w:rsidRPr="00F52CA3">
        <w:rPr>
          <w:shd w:val="clear" w:color="auto" w:fill="FFFFFF"/>
        </w:rPr>
        <w:t xml:space="preserve"> </w:t>
      </w:r>
      <w:r w:rsidRPr="00F52CA3">
        <w:rPr>
          <w:shd w:val="clear" w:color="auto" w:fill="FFFFFF"/>
        </w:rPr>
        <w:t>teachers</w:t>
      </w:r>
      <w:r w:rsidR="00E21712" w:rsidRPr="00F52CA3">
        <w:rPr>
          <w:shd w:val="clear" w:color="auto" w:fill="FFFFFF"/>
        </w:rPr>
        <w:t xml:space="preserve"> </w:t>
      </w:r>
      <w:r w:rsidRPr="00F52CA3">
        <w:rPr>
          <w:shd w:val="clear" w:color="auto" w:fill="FFFFFF"/>
        </w:rPr>
        <w:t>perceive</w:t>
      </w:r>
      <w:r w:rsidR="00E21712" w:rsidRPr="00F52CA3">
        <w:rPr>
          <w:shd w:val="clear" w:color="auto" w:fill="FFFFFF"/>
        </w:rPr>
        <w:t xml:space="preserve"> </w:t>
      </w:r>
      <w:r w:rsidRPr="00F52CA3">
        <w:rPr>
          <w:shd w:val="clear" w:color="auto" w:fill="FFFFFF"/>
        </w:rPr>
        <w:t>their</w:t>
      </w:r>
      <w:r w:rsidR="00E21712" w:rsidRPr="00F52CA3">
        <w:rPr>
          <w:shd w:val="clear" w:color="auto" w:fill="FFFFFF"/>
        </w:rPr>
        <w:t xml:space="preserve"> </w:t>
      </w:r>
      <w:r w:rsidRPr="00F52CA3">
        <w:rPr>
          <w:shd w:val="clear" w:color="auto" w:fill="FFFFFF"/>
        </w:rPr>
        <w:t>teaching</w:t>
      </w:r>
      <w:r w:rsidR="00E21712" w:rsidRPr="00F52CA3">
        <w:rPr>
          <w:shd w:val="clear" w:color="auto" w:fill="FFFFFF"/>
        </w:rPr>
        <w:t xml:space="preserve"> </w:t>
      </w:r>
      <w:r w:rsidRPr="00F52CA3">
        <w:rPr>
          <w:shd w:val="clear" w:color="auto" w:fill="FFFFFF"/>
        </w:rPr>
        <w:t>practice</w:t>
      </w:r>
      <w:r w:rsidR="00E21712" w:rsidRPr="00F52CA3">
        <w:rPr>
          <w:shd w:val="clear" w:color="auto" w:fill="FFFFFF"/>
        </w:rPr>
        <w:t xml:space="preserve"> </w:t>
      </w:r>
      <w:r w:rsidRPr="00F52CA3">
        <w:rPr>
          <w:shd w:val="clear" w:color="auto" w:fill="FFFFFF"/>
        </w:rPr>
        <w:t>as</w:t>
      </w:r>
      <w:r w:rsidR="00E21712" w:rsidRPr="00F52CA3">
        <w:rPr>
          <w:shd w:val="clear" w:color="auto" w:fill="FFFFFF"/>
        </w:rPr>
        <w:t xml:space="preserve"> </w:t>
      </w:r>
      <w:r w:rsidRPr="00F52CA3">
        <w:rPr>
          <w:shd w:val="clear" w:color="auto" w:fill="FFFFFF"/>
        </w:rPr>
        <w:t>lacking</w:t>
      </w:r>
      <w:r w:rsidR="00E21712" w:rsidRPr="00F52CA3">
        <w:rPr>
          <w:shd w:val="clear" w:color="auto" w:fill="FFFFFF"/>
        </w:rPr>
        <w:t xml:space="preserve"> </w:t>
      </w:r>
      <w:r w:rsidRPr="00F52CA3">
        <w:rPr>
          <w:shd w:val="clear" w:color="auto" w:fill="FFFFFF"/>
        </w:rPr>
        <w:t>in</w:t>
      </w:r>
      <w:r w:rsidR="00E21712" w:rsidRPr="00F52CA3">
        <w:rPr>
          <w:shd w:val="clear" w:color="auto" w:fill="FFFFFF"/>
        </w:rPr>
        <w:t xml:space="preserve"> </w:t>
      </w:r>
      <w:r w:rsidRPr="00F52CA3">
        <w:rPr>
          <w:shd w:val="clear" w:color="auto" w:fill="FFFFFF"/>
        </w:rPr>
        <w:t>quality,</w:t>
      </w:r>
      <w:r w:rsidR="00E21712" w:rsidRPr="00F52CA3">
        <w:rPr>
          <w:shd w:val="clear" w:color="auto" w:fill="FFFFFF"/>
        </w:rPr>
        <w:t xml:space="preserve"> </w:t>
      </w:r>
      <w:r w:rsidRPr="00F52CA3">
        <w:rPr>
          <w:shd w:val="clear" w:color="auto" w:fill="FFFFFF"/>
        </w:rPr>
        <w:t>and</w:t>
      </w:r>
      <w:r w:rsidR="00E21712" w:rsidRPr="00F52CA3">
        <w:rPr>
          <w:shd w:val="clear" w:color="auto" w:fill="FFFFFF"/>
        </w:rPr>
        <w:t xml:space="preserve"> </w:t>
      </w:r>
      <w:r w:rsidRPr="00F52CA3">
        <w:rPr>
          <w:shd w:val="clear" w:color="auto" w:fill="FFFFFF"/>
        </w:rPr>
        <w:t>their</w:t>
      </w:r>
      <w:r w:rsidR="00E21712" w:rsidRPr="00F52CA3">
        <w:rPr>
          <w:shd w:val="clear" w:color="auto" w:fill="FFFFFF"/>
        </w:rPr>
        <w:t xml:space="preserve"> </w:t>
      </w:r>
      <w:r w:rsidRPr="00F52CA3">
        <w:rPr>
          <w:shd w:val="clear" w:color="auto" w:fill="FFFFFF"/>
        </w:rPr>
        <w:t>delivery</w:t>
      </w:r>
      <w:r w:rsidR="00E21712" w:rsidRPr="00F52CA3">
        <w:rPr>
          <w:shd w:val="clear" w:color="auto" w:fill="FFFFFF"/>
        </w:rPr>
        <w:t xml:space="preserve"> </w:t>
      </w:r>
      <w:r w:rsidRPr="00F52CA3">
        <w:rPr>
          <w:shd w:val="clear" w:color="auto" w:fill="FFFFFF"/>
        </w:rPr>
        <w:t>as</w:t>
      </w:r>
      <w:r w:rsidR="00E21712" w:rsidRPr="00F52CA3">
        <w:rPr>
          <w:shd w:val="clear" w:color="auto" w:fill="FFFFFF"/>
        </w:rPr>
        <w:t xml:space="preserve"> </w:t>
      </w:r>
      <w:r w:rsidRPr="00F52CA3">
        <w:rPr>
          <w:shd w:val="clear" w:color="auto" w:fill="FFFFFF"/>
        </w:rPr>
        <w:t>being</w:t>
      </w:r>
      <w:r w:rsidR="00E21712" w:rsidRPr="00F52CA3">
        <w:rPr>
          <w:shd w:val="clear" w:color="auto" w:fill="FFFFFF"/>
        </w:rPr>
        <w:t xml:space="preserve"> </w:t>
      </w:r>
      <w:r w:rsidRPr="00F52CA3">
        <w:rPr>
          <w:shd w:val="clear" w:color="auto" w:fill="FFFFFF"/>
        </w:rPr>
        <w:t>compromised,</w:t>
      </w:r>
      <w:r w:rsidR="00E21712" w:rsidRPr="00F52CA3">
        <w:rPr>
          <w:shd w:val="clear" w:color="auto" w:fill="FFFFFF"/>
        </w:rPr>
        <w:t xml:space="preserve"> </w:t>
      </w:r>
      <w:r w:rsidRPr="00F52CA3">
        <w:rPr>
          <w:shd w:val="clear" w:color="auto" w:fill="FFFFFF"/>
        </w:rPr>
        <w:t>their</w:t>
      </w:r>
      <w:r w:rsidR="00E21712" w:rsidRPr="00F52CA3">
        <w:rPr>
          <w:shd w:val="clear" w:color="auto" w:fill="FFFFFF"/>
        </w:rPr>
        <w:t xml:space="preserve"> </w:t>
      </w:r>
      <w:r w:rsidRPr="00F52CA3">
        <w:rPr>
          <w:shd w:val="clear" w:color="auto" w:fill="FFFFFF"/>
        </w:rPr>
        <w:t>self-esteem,</w:t>
      </w:r>
      <w:r w:rsidR="00E21712" w:rsidRPr="00F52CA3">
        <w:rPr>
          <w:shd w:val="clear" w:color="auto" w:fill="FFFFFF"/>
        </w:rPr>
        <w:t xml:space="preserve"> </w:t>
      </w:r>
      <w:r w:rsidRPr="00F52CA3">
        <w:rPr>
          <w:shd w:val="clear" w:color="auto" w:fill="FFFFFF"/>
        </w:rPr>
        <w:t>self-concept</w:t>
      </w:r>
      <w:r w:rsidR="00E21712" w:rsidRPr="00F52CA3">
        <w:rPr>
          <w:shd w:val="clear" w:color="auto" w:fill="FFFFFF"/>
        </w:rPr>
        <w:t xml:space="preserve"> </w:t>
      </w:r>
      <w:r w:rsidRPr="00F52CA3">
        <w:rPr>
          <w:shd w:val="clear" w:color="auto" w:fill="FFFFFF"/>
        </w:rPr>
        <w:t>and</w:t>
      </w:r>
      <w:r w:rsidR="00E21712" w:rsidRPr="00F52CA3">
        <w:rPr>
          <w:shd w:val="clear" w:color="auto" w:fill="FFFFFF"/>
        </w:rPr>
        <w:t xml:space="preserve"> </w:t>
      </w:r>
      <w:r w:rsidRPr="00F52CA3">
        <w:rPr>
          <w:shd w:val="clear" w:color="auto" w:fill="FFFFFF"/>
        </w:rPr>
        <w:t>self-efficacy</w:t>
      </w:r>
      <w:r w:rsidR="00E21712" w:rsidRPr="00F52CA3">
        <w:rPr>
          <w:shd w:val="clear" w:color="auto" w:fill="FFFFFF"/>
        </w:rPr>
        <w:t xml:space="preserve"> </w:t>
      </w:r>
      <w:r w:rsidRPr="00F52CA3">
        <w:rPr>
          <w:shd w:val="clear" w:color="auto" w:fill="FFFFFF"/>
        </w:rPr>
        <w:t>can</w:t>
      </w:r>
      <w:r w:rsidR="00E21712" w:rsidRPr="00F52CA3">
        <w:rPr>
          <w:shd w:val="clear" w:color="auto" w:fill="FFFFFF"/>
        </w:rPr>
        <w:t xml:space="preserve"> </w:t>
      </w:r>
      <w:r w:rsidRPr="00F52CA3">
        <w:rPr>
          <w:shd w:val="clear" w:color="auto" w:fill="FFFFFF"/>
        </w:rPr>
        <w:t>be</w:t>
      </w:r>
      <w:r w:rsidR="00E21712" w:rsidRPr="00F52CA3">
        <w:rPr>
          <w:shd w:val="clear" w:color="auto" w:fill="FFFFFF"/>
        </w:rPr>
        <w:t xml:space="preserve"> </w:t>
      </w:r>
      <w:r w:rsidRPr="00F52CA3">
        <w:rPr>
          <w:shd w:val="clear" w:color="auto" w:fill="FFFFFF"/>
        </w:rPr>
        <w:t>diminished</w:t>
      </w:r>
      <w:r w:rsidR="00E21712" w:rsidRPr="00F52CA3">
        <w:rPr>
          <w:shd w:val="clear" w:color="auto" w:fill="FFFFFF"/>
        </w:rPr>
        <w:t xml:space="preserve"> </w:t>
      </w:r>
      <w:r w:rsidRPr="00F52CA3">
        <w:rPr>
          <w:shd w:val="clear" w:color="auto" w:fill="FFFFFF"/>
        </w:rPr>
        <w:t>(</w:t>
      </w:r>
      <w:proofErr w:type="spellStart"/>
      <w:r w:rsidRPr="00F52CA3">
        <w:rPr>
          <w:shd w:val="clear" w:color="auto" w:fill="FFFFFF"/>
        </w:rPr>
        <w:t>Garvis</w:t>
      </w:r>
      <w:proofErr w:type="spellEnd"/>
      <w:r w:rsidR="00E21712" w:rsidRPr="00F52CA3">
        <w:rPr>
          <w:shd w:val="clear" w:color="auto" w:fill="FFFFFF"/>
        </w:rPr>
        <w:t xml:space="preserve"> </w:t>
      </w:r>
      <w:r w:rsidRPr="00F52CA3">
        <w:rPr>
          <w:shd w:val="clear" w:color="auto" w:fill="FFFFFF"/>
        </w:rPr>
        <w:t>&amp;</w:t>
      </w:r>
      <w:r w:rsidR="00E21712" w:rsidRPr="00F52CA3">
        <w:rPr>
          <w:shd w:val="clear" w:color="auto" w:fill="FFFFFF"/>
        </w:rPr>
        <w:t xml:space="preserve"> </w:t>
      </w:r>
      <w:r w:rsidRPr="00F52CA3">
        <w:rPr>
          <w:shd w:val="clear" w:color="auto" w:fill="FFFFFF"/>
        </w:rPr>
        <w:t>Lemon,</w:t>
      </w:r>
      <w:r w:rsidR="00E21712" w:rsidRPr="00F52CA3">
        <w:rPr>
          <w:shd w:val="clear" w:color="auto" w:fill="FFFFFF"/>
        </w:rPr>
        <w:t xml:space="preserve"> </w:t>
      </w:r>
      <w:r w:rsidRPr="00F52CA3">
        <w:rPr>
          <w:shd w:val="clear" w:color="auto" w:fill="FFFFFF"/>
        </w:rPr>
        <w:t>2013;</w:t>
      </w:r>
      <w:r w:rsidR="00E21712" w:rsidRPr="00F52CA3">
        <w:rPr>
          <w:shd w:val="clear" w:color="auto" w:fill="FFFFFF"/>
        </w:rPr>
        <w:t xml:space="preserve"> </w:t>
      </w:r>
      <w:proofErr w:type="spellStart"/>
      <w:r w:rsidRPr="00F52CA3">
        <w:rPr>
          <w:shd w:val="clear" w:color="auto" w:fill="FFFFFF"/>
        </w:rPr>
        <w:t>Garvis</w:t>
      </w:r>
      <w:proofErr w:type="spellEnd"/>
      <w:r w:rsidR="00E21712" w:rsidRPr="00F52CA3">
        <w:rPr>
          <w:shd w:val="clear" w:color="auto" w:fill="FFFFFF"/>
        </w:rPr>
        <w:t xml:space="preserve"> </w:t>
      </w:r>
      <w:r w:rsidRPr="00F52CA3">
        <w:rPr>
          <w:shd w:val="clear" w:color="auto" w:fill="FFFFFF"/>
        </w:rPr>
        <w:t>&amp;</w:t>
      </w:r>
      <w:r w:rsidR="00E21712" w:rsidRPr="00F52CA3">
        <w:rPr>
          <w:shd w:val="clear" w:color="auto" w:fill="FFFFFF"/>
        </w:rPr>
        <w:t xml:space="preserve"> </w:t>
      </w:r>
      <w:proofErr w:type="spellStart"/>
      <w:r w:rsidRPr="00F52CA3">
        <w:rPr>
          <w:shd w:val="clear" w:color="auto" w:fill="FFFFFF"/>
        </w:rPr>
        <w:t>Pendergast</w:t>
      </w:r>
      <w:proofErr w:type="spellEnd"/>
      <w:r w:rsidRPr="00F52CA3">
        <w:rPr>
          <w:shd w:val="clear" w:color="auto" w:fill="FFFFFF"/>
        </w:rPr>
        <w:t>,</w:t>
      </w:r>
      <w:r w:rsidR="00E21712" w:rsidRPr="00F52CA3">
        <w:rPr>
          <w:shd w:val="clear" w:color="auto" w:fill="FFFFFF"/>
        </w:rPr>
        <w:t xml:space="preserve"> </w:t>
      </w:r>
      <w:r w:rsidRPr="00F52CA3">
        <w:rPr>
          <w:shd w:val="clear" w:color="auto" w:fill="FFFFFF"/>
        </w:rPr>
        <w:t>2010;</w:t>
      </w:r>
      <w:r w:rsidR="00E21712" w:rsidRPr="00F52CA3">
        <w:rPr>
          <w:shd w:val="clear" w:color="auto" w:fill="FFFFFF"/>
        </w:rPr>
        <w:t xml:space="preserve"> </w:t>
      </w:r>
      <w:r w:rsidRPr="00F52CA3">
        <w:rPr>
          <w:shd w:val="clear" w:color="auto" w:fill="FFFFFF"/>
        </w:rPr>
        <w:t>Russell-Bowie,</w:t>
      </w:r>
      <w:r w:rsidR="00E21712" w:rsidRPr="00F52CA3">
        <w:rPr>
          <w:shd w:val="clear" w:color="auto" w:fill="FFFFFF"/>
        </w:rPr>
        <w:t xml:space="preserve"> </w:t>
      </w:r>
      <w:r w:rsidRPr="00F52CA3">
        <w:rPr>
          <w:shd w:val="clear" w:color="auto" w:fill="FFFFFF"/>
        </w:rPr>
        <w:t>2009b).</w:t>
      </w:r>
      <w:r w:rsidR="00E21712" w:rsidRPr="00F52CA3">
        <w:rPr>
          <w:shd w:val="clear" w:color="auto" w:fill="FFFFFF"/>
        </w:rPr>
        <w:t xml:space="preserve"> </w:t>
      </w:r>
      <w:r w:rsidRPr="00F52CA3">
        <w:rPr>
          <w:shd w:val="clear" w:color="auto" w:fill="FFFFFF"/>
        </w:rPr>
        <w:t>This</w:t>
      </w:r>
      <w:r w:rsidR="00E21712" w:rsidRPr="00F52CA3">
        <w:rPr>
          <w:shd w:val="clear" w:color="auto" w:fill="FFFFFF"/>
        </w:rPr>
        <w:t xml:space="preserve"> </w:t>
      </w:r>
      <w:r w:rsidRPr="00F52CA3">
        <w:rPr>
          <w:shd w:val="clear" w:color="auto" w:fill="FFFFFF"/>
        </w:rPr>
        <w:t>situation</w:t>
      </w:r>
      <w:r w:rsidR="00E21712" w:rsidRPr="00F52CA3">
        <w:rPr>
          <w:shd w:val="clear" w:color="auto" w:fill="FFFFFF"/>
        </w:rPr>
        <w:t xml:space="preserve"> </w:t>
      </w:r>
      <w:r w:rsidRPr="00F52CA3">
        <w:rPr>
          <w:shd w:val="clear" w:color="auto" w:fill="FFFFFF"/>
        </w:rPr>
        <w:t>can</w:t>
      </w:r>
      <w:r w:rsidR="00E21712" w:rsidRPr="00F52CA3">
        <w:rPr>
          <w:shd w:val="clear" w:color="auto" w:fill="FFFFFF"/>
        </w:rPr>
        <w:t xml:space="preserve"> </w:t>
      </w:r>
      <w:r w:rsidRPr="00F52CA3">
        <w:rPr>
          <w:shd w:val="clear" w:color="auto" w:fill="FFFFFF"/>
        </w:rPr>
        <w:t>produce</w:t>
      </w:r>
      <w:r w:rsidR="00E21712" w:rsidRPr="00F52CA3">
        <w:rPr>
          <w:shd w:val="clear" w:color="auto" w:fill="FFFFFF"/>
        </w:rPr>
        <w:t xml:space="preserve"> </w:t>
      </w:r>
      <w:r w:rsidRPr="00F52CA3">
        <w:rPr>
          <w:shd w:val="clear" w:color="auto" w:fill="FFFFFF"/>
        </w:rPr>
        <w:t>conflict</w:t>
      </w:r>
      <w:r w:rsidR="00E21712" w:rsidRPr="00F52CA3">
        <w:rPr>
          <w:shd w:val="clear" w:color="auto" w:fill="FFFFFF"/>
        </w:rPr>
        <w:t xml:space="preserve"> </w:t>
      </w:r>
      <w:r w:rsidRPr="00F52CA3">
        <w:rPr>
          <w:shd w:val="clear" w:color="auto" w:fill="FFFFFF"/>
        </w:rPr>
        <w:t>between</w:t>
      </w:r>
      <w:r w:rsidR="00E21712" w:rsidRPr="00F52CA3">
        <w:rPr>
          <w:shd w:val="clear" w:color="auto" w:fill="FFFFFF"/>
        </w:rPr>
        <w:t xml:space="preserve"> </w:t>
      </w:r>
      <w:r w:rsidRPr="00F52CA3">
        <w:rPr>
          <w:shd w:val="clear" w:color="auto" w:fill="FFFFFF"/>
        </w:rPr>
        <w:t>what</w:t>
      </w:r>
      <w:r w:rsidR="00E21712" w:rsidRPr="00F52CA3">
        <w:rPr>
          <w:shd w:val="clear" w:color="auto" w:fill="FFFFFF"/>
        </w:rPr>
        <w:t xml:space="preserve"> </w:t>
      </w:r>
      <w:r w:rsidRPr="00F52CA3">
        <w:rPr>
          <w:shd w:val="clear" w:color="auto" w:fill="FFFFFF"/>
        </w:rPr>
        <w:t>is</w:t>
      </w:r>
      <w:r w:rsidR="00E21712" w:rsidRPr="00F52CA3">
        <w:rPr>
          <w:shd w:val="clear" w:color="auto" w:fill="FFFFFF"/>
        </w:rPr>
        <w:t xml:space="preserve"> </w:t>
      </w:r>
      <w:r w:rsidRPr="00F52CA3">
        <w:rPr>
          <w:shd w:val="clear" w:color="auto" w:fill="FFFFFF"/>
        </w:rPr>
        <w:t>happening</w:t>
      </w:r>
      <w:r w:rsidR="00E21712" w:rsidRPr="00F52CA3">
        <w:rPr>
          <w:shd w:val="clear" w:color="auto" w:fill="FFFFFF"/>
        </w:rPr>
        <w:t xml:space="preserve"> </w:t>
      </w:r>
      <w:r w:rsidRPr="00F52CA3">
        <w:rPr>
          <w:shd w:val="clear" w:color="auto" w:fill="FFFFFF"/>
        </w:rPr>
        <w:t>in</w:t>
      </w:r>
      <w:r w:rsidR="00E21712" w:rsidRPr="00F52CA3">
        <w:rPr>
          <w:shd w:val="clear" w:color="auto" w:fill="FFFFFF"/>
        </w:rPr>
        <w:t xml:space="preserve"> </w:t>
      </w:r>
      <w:r w:rsidRPr="00F52CA3">
        <w:rPr>
          <w:shd w:val="clear" w:color="auto" w:fill="FFFFFF"/>
        </w:rPr>
        <w:t>the</w:t>
      </w:r>
      <w:r w:rsidR="00E21712" w:rsidRPr="00F52CA3">
        <w:rPr>
          <w:shd w:val="clear" w:color="auto" w:fill="FFFFFF"/>
        </w:rPr>
        <w:t xml:space="preserve"> </w:t>
      </w:r>
      <w:r w:rsidRPr="00F52CA3">
        <w:rPr>
          <w:shd w:val="clear" w:color="auto" w:fill="FFFFFF"/>
        </w:rPr>
        <w:t>classroom</w:t>
      </w:r>
      <w:r w:rsidR="00E21712" w:rsidRPr="00F52CA3">
        <w:rPr>
          <w:shd w:val="clear" w:color="auto" w:fill="FFFFFF"/>
        </w:rPr>
        <w:t xml:space="preserve"> </w:t>
      </w:r>
      <w:r w:rsidRPr="00F52CA3">
        <w:rPr>
          <w:shd w:val="clear" w:color="auto" w:fill="FFFFFF"/>
        </w:rPr>
        <w:t>and</w:t>
      </w:r>
      <w:r w:rsidR="00E21712" w:rsidRPr="00F52CA3">
        <w:rPr>
          <w:shd w:val="clear" w:color="auto" w:fill="FFFFFF"/>
        </w:rPr>
        <w:t xml:space="preserve"> </w:t>
      </w:r>
      <w:r w:rsidRPr="00F52CA3">
        <w:rPr>
          <w:shd w:val="clear" w:color="auto" w:fill="FFFFFF"/>
        </w:rPr>
        <w:t>what</w:t>
      </w:r>
      <w:r w:rsidR="00E21712" w:rsidRPr="00F52CA3">
        <w:rPr>
          <w:shd w:val="clear" w:color="auto" w:fill="FFFFFF"/>
        </w:rPr>
        <w:t xml:space="preserve"> </w:t>
      </w:r>
      <w:r w:rsidRPr="00F52CA3">
        <w:rPr>
          <w:shd w:val="clear" w:color="auto" w:fill="FFFFFF"/>
        </w:rPr>
        <w:t>the</w:t>
      </w:r>
      <w:r w:rsidR="00E21712" w:rsidRPr="00F52CA3">
        <w:rPr>
          <w:shd w:val="clear" w:color="auto" w:fill="FFFFFF"/>
        </w:rPr>
        <w:t xml:space="preserve"> </w:t>
      </w:r>
      <w:r w:rsidRPr="00F52CA3">
        <w:rPr>
          <w:shd w:val="clear" w:color="auto" w:fill="FFFFFF"/>
        </w:rPr>
        <w:t>teacher</w:t>
      </w:r>
      <w:r w:rsidR="00E21712" w:rsidRPr="00F52CA3">
        <w:rPr>
          <w:shd w:val="clear" w:color="auto" w:fill="FFFFFF"/>
        </w:rPr>
        <w:t xml:space="preserve"> </w:t>
      </w:r>
      <w:r w:rsidRPr="00F52CA3">
        <w:rPr>
          <w:shd w:val="clear" w:color="auto" w:fill="FFFFFF"/>
        </w:rPr>
        <w:t>believes</w:t>
      </w:r>
      <w:r w:rsidR="00E21712" w:rsidRPr="00F52CA3">
        <w:rPr>
          <w:shd w:val="clear" w:color="auto" w:fill="FFFFFF"/>
        </w:rPr>
        <w:t xml:space="preserve"> </w:t>
      </w:r>
      <w:r w:rsidRPr="00F52CA3">
        <w:rPr>
          <w:shd w:val="clear" w:color="auto" w:fill="FFFFFF"/>
        </w:rPr>
        <w:t>should</w:t>
      </w:r>
      <w:r w:rsidR="00E21712" w:rsidRPr="00F52CA3">
        <w:rPr>
          <w:shd w:val="clear" w:color="auto" w:fill="FFFFFF"/>
        </w:rPr>
        <w:t xml:space="preserve"> </w:t>
      </w:r>
      <w:r w:rsidRPr="00F52CA3">
        <w:rPr>
          <w:shd w:val="clear" w:color="auto" w:fill="FFFFFF"/>
        </w:rPr>
        <w:t>be</w:t>
      </w:r>
      <w:r w:rsidR="00E21712" w:rsidRPr="00F52CA3">
        <w:rPr>
          <w:shd w:val="clear" w:color="auto" w:fill="FFFFFF"/>
        </w:rPr>
        <w:t xml:space="preserve"> </w:t>
      </w:r>
      <w:r w:rsidRPr="00F52CA3">
        <w:rPr>
          <w:shd w:val="clear" w:color="auto" w:fill="FFFFFF"/>
        </w:rPr>
        <w:t>happening.</w:t>
      </w:r>
      <w:r w:rsidR="00E21712" w:rsidRPr="00F52CA3">
        <w:rPr>
          <w:shd w:val="clear" w:color="auto" w:fill="FFFFFF"/>
        </w:rPr>
        <w:t xml:space="preserve"> </w:t>
      </w:r>
      <w:r w:rsidRPr="00F52CA3">
        <w:rPr>
          <w:shd w:val="clear" w:color="auto" w:fill="FFFFFF"/>
        </w:rPr>
        <w:t>This</w:t>
      </w:r>
      <w:r w:rsidR="00E21712" w:rsidRPr="00F52CA3">
        <w:rPr>
          <w:shd w:val="clear" w:color="auto" w:fill="FFFFFF"/>
        </w:rPr>
        <w:t xml:space="preserve"> </w:t>
      </w:r>
      <w:r w:rsidRPr="00F52CA3">
        <w:rPr>
          <w:shd w:val="clear" w:color="auto" w:fill="FFFFFF"/>
        </w:rPr>
        <w:t>type</w:t>
      </w:r>
      <w:r w:rsidR="00E21712" w:rsidRPr="00F52CA3">
        <w:rPr>
          <w:shd w:val="clear" w:color="auto" w:fill="FFFFFF"/>
        </w:rPr>
        <w:t xml:space="preserve"> </w:t>
      </w:r>
      <w:r w:rsidRPr="00F52CA3">
        <w:rPr>
          <w:shd w:val="clear" w:color="auto" w:fill="FFFFFF"/>
        </w:rPr>
        <w:t>of</w:t>
      </w:r>
      <w:r w:rsidR="00E21712" w:rsidRPr="00F52CA3">
        <w:rPr>
          <w:shd w:val="clear" w:color="auto" w:fill="FFFFFF"/>
        </w:rPr>
        <w:t xml:space="preserve"> </w:t>
      </w:r>
      <w:r w:rsidRPr="00F52CA3">
        <w:rPr>
          <w:shd w:val="clear" w:color="auto" w:fill="FFFFFF"/>
        </w:rPr>
        <w:t>inner</w:t>
      </w:r>
      <w:r w:rsidR="00E21712" w:rsidRPr="00F52CA3">
        <w:rPr>
          <w:shd w:val="clear" w:color="auto" w:fill="FFFFFF"/>
        </w:rPr>
        <w:t xml:space="preserve"> </w:t>
      </w:r>
      <w:r w:rsidRPr="00F52CA3">
        <w:rPr>
          <w:shd w:val="clear" w:color="auto" w:fill="FFFFFF"/>
        </w:rPr>
        <w:t>conflict</w:t>
      </w:r>
      <w:r w:rsidR="00E21712" w:rsidRPr="00F52CA3">
        <w:rPr>
          <w:shd w:val="clear" w:color="auto" w:fill="FFFFFF"/>
        </w:rPr>
        <w:t xml:space="preserve"> </w:t>
      </w:r>
      <w:r w:rsidRPr="00F52CA3">
        <w:rPr>
          <w:shd w:val="clear" w:color="auto" w:fill="FFFFFF"/>
        </w:rPr>
        <w:t>contributes</w:t>
      </w:r>
      <w:r w:rsidR="00E21712" w:rsidRPr="00F52CA3">
        <w:rPr>
          <w:shd w:val="clear" w:color="auto" w:fill="FFFFFF"/>
        </w:rPr>
        <w:t xml:space="preserve"> </w:t>
      </w:r>
      <w:r w:rsidRPr="00F52CA3">
        <w:rPr>
          <w:shd w:val="clear" w:color="auto" w:fill="FFFFFF"/>
        </w:rPr>
        <w:t>to</w:t>
      </w:r>
      <w:r w:rsidR="00E21712" w:rsidRPr="00F52CA3">
        <w:rPr>
          <w:shd w:val="clear" w:color="auto" w:fill="FFFFFF"/>
        </w:rPr>
        <w:t xml:space="preserve"> </w:t>
      </w:r>
      <w:r w:rsidRPr="00F52CA3">
        <w:rPr>
          <w:shd w:val="clear" w:color="auto" w:fill="FFFFFF"/>
        </w:rPr>
        <w:t>a</w:t>
      </w:r>
      <w:r w:rsidR="00E21712" w:rsidRPr="00F52CA3">
        <w:rPr>
          <w:shd w:val="clear" w:color="auto" w:fill="FFFFFF"/>
        </w:rPr>
        <w:t xml:space="preserve"> </w:t>
      </w:r>
      <w:r w:rsidRPr="00F52CA3">
        <w:rPr>
          <w:shd w:val="clear" w:color="auto" w:fill="FFFFFF"/>
        </w:rPr>
        <w:t>short</w:t>
      </w:r>
      <w:r w:rsidR="00E21712" w:rsidRPr="00F52CA3">
        <w:rPr>
          <w:shd w:val="clear" w:color="auto" w:fill="FFFFFF"/>
        </w:rPr>
        <w:t xml:space="preserve"> </w:t>
      </w:r>
      <w:r w:rsidRPr="00F52CA3">
        <w:rPr>
          <w:shd w:val="clear" w:color="auto" w:fill="FFFFFF"/>
        </w:rPr>
        <w:t>'shelf-life'</w:t>
      </w:r>
      <w:r w:rsidR="00E21712" w:rsidRPr="00F52CA3">
        <w:rPr>
          <w:shd w:val="clear" w:color="auto" w:fill="FFFFFF"/>
        </w:rPr>
        <w:t xml:space="preserve"> </w:t>
      </w:r>
      <w:r w:rsidRPr="00F52CA3">
        <w:rPr>
          <w:shd w:val="clear" w:color="auto" w:fill="FFFFFF"/>
        </w:rPr>
        <w:t>for</w:t>
      </w:r>
      <w:r w:rsidR="00E21712" w:rsidRPr="00F52CA3">
        <w:rPr>
          <w:shd w:val="clear" w:color="auto" w:fill="FFFFFF"/>
        </w:rPr>
        <w:t xml:space="preserve"> </w:t>
      </w:r>
      <w:r w:rsidRPr="00F52CA3">
        <w:rPr>
          <w:shd w:val="clear" w:color="auto" w:fill="FFFFFF"/>
        </w:rPr>
        <w:t>teachers</w:t>
      </w:r>
      <w:r w:rsidR="00E21712" w:rsidRPr="00F52CA3">
        <w:rPr>
          <w:shd w:val="clear" w:color="auto" w:fill="FFFFFF"/>
        </w:rPr>
        <w:t xml:space="preserve"> </w:t>
      </w:r>
      <w:r w:rsidRPr="00F52CA3">
        <w:rPr>
          <w:shd w:val="clear" w:color="auto" w:fill="FFFFFF"/>
        </w:rPr>
        <w:t>and</w:t>
      </w:r>
      <w:r w:rsidR="00E21712" w:rsidRPr="00F52CA3">
        <w:rPr>
          <w:shd w:val="clear" w:color="auto" w:fill="FFFFFF"/>
        </w:rPr>
        <w:t xml:space="preserve"> </w:t>
      </w:r>
      <w:r w:rsidRPr="00F52CA3">
        <w:rPr>
          <w:shd w:val="clear" w:color="auto" w:fill="FFFFFF"/>
        </w:rPr>
        <w:t>perceptions</w:t>
      </w:r>
      <w:r w:rsidR="00E21712" w:rsidRPr="00F52CA3">
        <w:rPr>
          <w:shd w:val="clear" w:color="auto" w:fill="FFFFFF"/>
        </w:rPr>
        <w:t xml:space="preserve"> </w:t>
      </w:r>
      <w:r w:rsidRPr="00F52CA3">
        <w:rPr>
          <w:shd w:val="clear" w:color="auto" w:fill="FFFFFF"/>
        </w:rPr>
        <w:t>of</w:t>
      </w:r>
      <w:r w:rsidR="00E21712" w:rsidRPr="00F52CA3">
        <w:rPr>
          <w:shd w:val="clear" w:color="auto" w:fill="FFFFFF"/>
        </w:rPr>
        <w:t xml:space="preserve"> </w:t>
      </w:r>
      <w:r w:rsidRPr="00F52CA3">
        <w:rPr>
          <w:shd w:val="clear" w:color="auto" w:fill="FFFFFF"/>
        </w:rPr>
        <w:t>a</w:t>
      </w:r>
      <w:r w:rsidR="00E21712" w:rsidRPr="00F52CA3">
        <w:rPr>
          <w:shd w:val="clear" w:color="auto" w:fill="FFFFFF"/>
        </w:rPr>
        <w:t xml:space="preserve"> </w:t>
      </w:r>
      <w:r w:rsidRPr="00F52CA3">
        <w:rPr>
          <w:shd w:val="clear" w:color="auto" w:fill="FFFFFF"/>
        </w:rPr>
        <w:t>career</w:t>
      </w:r>
      <w:r w:rsidR="00E21712" w:rsidRPr="00F52CA3">
        <w:rPr>
          <w:shd w:val="clear" w:color="auto" w:fill="FFFFFF"/>
        </w:rPr>
        <w:t xml:space="preserve"> </w:t>
      </w:r>
      <w:r w:rsidRPr="00F52CA3">
        <w:rPr>
          <w:shd w:val="clear" w:color="auto" w:fill="FFFFFF"/>
        </w:rPr>
        <w:t>that</w:t>
      </w:r>
      <w:r w:rsidR="00E21712" w:rsidRPr="00F52CA3">
        <w:rPr>
          <w:shd w:val="clear" w:color="auto" w:fill="FFFFFF"/>
        </w:rPr>
        <w:t xml:space="preserve"> </w:t>
      </w:r>
      <w:r w:rsidRPr="00F52CA3">
        <w:rPr>
          <w:shd w:val="clear" w:color="auto" w:fill="FFFFFF"/>
        </w:rPr>
        <w:t>is</w:t>
      </w:r>
      <w:r w:rsidR="00E21712" w:rsidRPr="00F52CA3">
        <w:rPr>
          <w:shd w:val="clear" w:color="auto" w:fill="FFFFFF"/>
        </w:rPr>
        <w:t xml:space="preserve"> </w:t>
      </w:r>
      <w:r w:rsidRPr="00F52CA3">
        <w:rPr>
          <w:shd w:val="clear" w:color="auto" w:fill="FFFFFF"/>
        </w:rPr>
        <w:t>unappealing</w:t>
      </w:r>
      <w:r w:rsidR="00E21712" w:rsidRPr="00F52CA3">
        <w:rPr>
          <w:shd w:val="clear" w:color="auto" w:fill="FFFFFF"/>
        </w:rPr>
        <w:t xml:space="preserve"> </w:t>
      </w:r>
      <w:r w:rsidRPr="00F52CA3">
        <w:rPr>
          <w:shd w:val="clear" w:color="auto" w:fill="FFFFFF"/>
        </w:rPr>
        <w:t>to</w:t>
      </w:r>
      <w:r w:rsidR="00E21712" w:rsidRPr="00F52CA3">
        <w:rPr>
          <w:shd w:val="clear" w:color="auto" w:fill="FFFFFF"/>
        </w:rPr>
        <w:t xml:space="preserve"> </w:t>
      </w:r>
      <w:r w:rsidRPr="00F52CA3">
        <w:rPr>
          <w:shd w:val="clear" w:color="auto" w:fill="FFFFFF"/>
        </w:rPr>
        <w:t>others.</w:t>
      </w:r>
    </w:p>
    <w:p w14:paraId="59161E7E" w14:textId="40BE949D" w:rsidR="00274669" w:rsidRPr="00F52CA3" w:rsidRDefault="00274669" w:rsidP="00274669"/>
    <w:p w14:paraId="4DF83250" w14:textId="481F7F42" w:rsidR="0038262C" w:rsidRPr="00F52CA3" w:rsidRDefault="00831ACF" w:rsidP="00831ACF">
      <w:pPr>
        <w:pStyle w:val="ListParagraph"/>
        <w:numPr>
          <w:ilvl w:val="0"/>
          <w:numId w:val="5"/>
        </w:numPr>
      </w:pPr>
      <w:r w:rsidRPr="00F52CA3">
        <w:t>G</w:t>
      </w:r>
      <w:r w:rsidR="00E344EF" w:rsidRPr="00F52CA3">
        <w:t>raduate</w:t>
      </w:r>
      <w:r w:rsidR="00C86B5C" w:rsidRPr="00F52CA3">
        <w:t>s</w:t>
      </w:r>
      <w:r w:rsidR="00E21712" w:rsidRPr="00F52CA3">
        <w:t xml:space="preserve"> </w:t>
      </w:r>
      <w:r w:rsidR="00E344EF" w:rsidRPr="00F52CA3">
        <w:t>are</w:t>
      </w:r>
      <w:r w:rsidR="00E21712" w:rsidRPr="00F52CA3">
        <w:t xml:space="preserve"> </w:t>
      </w:r>
      <w:r w:rsidR="00E344EF" w:rsidRPr="00F52CA3">
        <w:t>moving</w:t>
      </w:r>
      <w:r w:rsidR="00E21712" w:rsidRPr="00F52CA3">
        <w:t xml:space="preserve"> </w:t>
      </w:r>
      <w:r w:rsidR="00E344EF" w:rsidRPr="00F52CA3">
        <w:t>into</w:t>
      </w:r>
      <w:r w:rsidR="00E21712" w:rsidRPr="00F52CA3">
        <w:t xml:space="preserve"> </w:t>
      </w:r>
      <w:r w:rsidR="00E344EF" w:rsidRPr="00F52CA3">
        <w:t>other</w:t>
      </w:r>
      <w:r w:rsidR="00E21712" w:rsidRPr="00F52CA3">
        <w:t xml:space="preserve"> </w:t>
      </w:r>
      <w:r w:rsidR="00E344EF" w:rsidRPr="00F52CA3">
        <w:t>professions</w:t>
      </w:r>
      <w:r w:rsidR="00E21712" w:rsidRPr="00F52CA3">
        <w:t xml:space="preserve"> </w:t>
      </w:r>
      <w:r w:rsidR="00E344EF" w:rsidRPr="00F52CA3">
        <w:t>in</w:t>
      </w:r>
      <w:r w:rsidR="00E21712" w:rsidRPr="00F52CA3">
        <w:t xml:space="preserve"> </w:t>
      </w:r>
      <w:r w:rsidR="00E344EF" w:rsidRPr="00F52CA3">
        <w:t>pursuit</w:t>
      </w:r>
      <w:r w:rsidR="00E21712" w:rsidRPr="00F52CA3">
        <w:t xml:space="preserve"> </w:t>
      </w:r>
      <w:r w:rsidR="00E344EF" w:rsidRPr="00F52CA3">
        <w:t>of</w:t>
      </w:r>
      <w:r w:rsidR="00E21712" w:rsidRPr="00F52CA3">
        <w:t xml:space="preserve"> </w:t>
      </w:r>
      <w:r w:rsidR="00E344EF" w:rsidRPr="00F52CA3">
        <w:t>career</w:t>
      </w:r>
      <w:r w:rsidR="00E21712" w:rsidRPr="00F52CA3">
        <w:t xml:space="preserve"> </w:t>
      </w:r>
      <w:r w:rsidR="00E344EF" w:rsidRPr="00F52CA3">
        <w:t>promotions</w:t>
      </w:r>
      <w:r w:rsidR="00E21712" w:rsidRPr="00F52CA3">
        <w:t xml:space="preserve"> </w:t>
      </w:r>
      <w:r w:rsidR="00E344EF" w:rsidRPr="00F52CA3">
        <w:t>and</w:t>
      </w:r>
      <w:r w:rsidR="00E21712" w:rsidRPr="00F52CA3">
        <w:t xml:space="preserve"> </w:t>
      </w:r>
      <w:r w:rsidR="006C3B0A" w:rsidRPr="00F52CA3">
        <w:t>mid-career</w:t>
      </w:r>
      <w:r w:rsidR="00E21712" w:rsidRPr="00F52CA3">
        <w:t xml:space="preserve"> </w:t>
      </w:r>
      <w:r w:rsidR="00E344EF" w:rsidRPr="00F52CA3">
        <w:t>changers</w:t>
      </w:r>
      <w:r w:rsidR="00E21712" w:rsidRPr="00F52CA3">
        <w:t xml:space="preserve"> </w:t>
      </w:r>
      <w:r w:rsidR="00E344EF" w:rsidRPr="00F52CA3">
        <w:t>are</w:t>
      </w:r>
      <w:r w:rsidR="00E21712" w:rsidRPr="00F52CA3">
        <w:t xml:space="preserve"> </w:t>
      </w:r>
      <w:r w:rsidR="00E344EF" w:rsidRPr="00F52CA3">
        <w:t>difficult</w:t>
      </w:r>
      <w:r w:rsidR="00E21712" w:rsidRPr="00F52CA3">
        <w:t xml:space="preserve"> </w:t>
      </w:r>
      <w:r w:rsidR="00E344EF" w:rsidRPr="00F52CA3">
        <w:t>to</w:t>
      </w:r>
      <w:r w:rsidR="00E21712" w:rsidRPr="00F52CA3">
        <w:t xml:space="preserve"> </w:t>
      </w:r>
      <w:r w:rsidR="00E344EF" w:rsidRPr="00F52CA3">
        <w:t>attract</w:t>
      </w:r>
      <w:r w:rsidR="00E21712" w:rsidRPr="00F52CA3">
        <w:t xml:space="preserve"> </w:t>
      </w:r>
      <w:r w:rsidR="00E344EF" w:rsidRPr="00F52CA3">
        <w:t>for</w:t>
      </w:r>
      <w:r w:rsidR="00E21712" w:rsidRPr="00F52CA3">
        <w:t xml:space="preserve"> </w:t>
      </w:r>
      <w:r w:rsidR="00E344EF" w:rsidRPr="00F52CA3">
        <w:t>the</w:t>
      </w:r>
      <w:r w:rsidR="00E21712" w:rsidRPr="00F52CA3">
        <w:t xml:space="preserve"> </w:t>
      </w:r>
      <w:r w:rsidR="00E344EF" w:rsidRPr="00F52CA3">
        <w:t>reasons</w:t>
      </w:r>
      <w:r w:rsidR="00E21712" w:rsidRPr="00F52CA3">
        <w:t xml:space="preserve"> </w:t>
      </w:r>
      <w:r w:rsidR="00E344EF" w:rsidRPr="00F52CA3">
        <w:t>outlined</w:t>
      </w:r>
      <w:r w:rsidR="00E21712" w:rsidRPr="00F52CA3">
        <w:t xml:space="preserve"> </w:t>
      </w:r>
      <w:r w:rsidR="00E344EF" w:rsidRPr="00F52CA3">
        <w:t>above.</w:t>
      </w:r>
      <w:r w:rsidR="00E21712" w:rsidRPr="00F52CA3">
        <w:t xml:space="preserve"> </w:t>
      </w:r>
      <w:r w:rsidR="00274669" w:rsidRPr="00F52CA3">
        <w:t>Further</w:t>
      </w:r>
      <w:r w:rsidR="007B4840" w:rsidRPr="00F52CA3">
        <w:t>,</w:t>
      </w:r>
      <w:r w:rsidR="00E21712" w:rsidRPr="00F52CA3">
        <w:t xml:space="preserve"> </w:t>
      </w:r>
      <w:r w:rsidR="00274669" w:rsidRPr="00F52CA3">
        <w:t>as</w:t>
      </w:r>
      <w:r w:rsidR="00E21712" w:rsidRPr="00F52CA3">
        <w:t xml:space="preserve"> </w:t>
      </w:r>
      <w:r w:rsidR="00274669" w:rsidRPr="00F52CA3">
        <w:t>teachers</w:t>
      </w:r>
      <w:r w:rsidR="00E21712" w:rsidRPr="00F52CA3">
        <w:t xml:space="preserve"> </w:t>
      </w:r>
      <w:r w:rsidR="00274669" w:rsidRPr="00F52CA3">
        <w:t>become</w:t>
      </w:r>
      <w:r w:rsidR="00E21712" w:rsidRPr="00F52CA3">
        <w:t xml:space="preserve"> </w:t>
      </w:r>
      <w:r w:rsidR="00274669" w:rsidRPr="00F52CA3">
        <w:t>more</w:t>
      </w:r>
      <w:r w:rsidR="00E21712" w:rsidRPr="00F52CA3">
        <w:t xml:space="preserve"> </w:t>
      </w:r>
      <w:r w:rsidR="00274669" w:rsidRPr="00F52CA3">
        <w:t>demoralised</w:t>
      </w:r>
      <w:r w:rsidR="00E21712" w:rsidRPr="00F52CA3">
        <w:t xml:space="preserve"> </w:t>
      </w:r>
      <w:r w:rsidR="00274669" w:rsidRPr="00F52CA3">
        <w:t>in</w:t>
      </w:r>
      <w:r w:rsidR="00E21712" w:rsidRPr="00F52CA3">
        <w:t xml:space="preserve"> </w:t>
      </w:r>
      <w:r w:rsidR="00274669" w:rsidRPr="00F52CA3">
        <w:t>terms</w:t>
      </w:r>
      <w:r w:rsidR="00E21712" w:rsidRPr="00F52CA3">
        <w:t xml:space="preserve"> </w:t>
      </w:r>
      <w:r w:rsidR="00274669" w:rsidRPr="00F52CA3">
        <w:t>of</w:t>
      </w:r>
      <w:r w:rsidR="00E21712" w:rsidRPr="00F52CA3">
        <w:t xml:space="preserve"> </w:t>
      </w:r>
      <w:r w:rsidR="00274669" w:rsidRPr="00F52CA3">
        <w:t>the</w:t>
      </w:r>
      <w:r w:rsidR="00E21712" w:rsidRPr="00F52CA3">
        <w:t xml:space="preserve"> </w:t>
      </w:r>
      <w:r w:rsidR="00274669" w:rsidRPr="00F52CA3">
        <w:t>nature</w:t>
      </w:r>
      <w:r w:rsidR="00E21712" w:rsidRPr="00F52CA3">
        <w:t xml:space="preserve"> </w:t>
      </w:r>
      <w:r w:rsidR="00274669" w:rsidRPr="00F52CA3">
        <w:t>of</w:t>
      </w:r>
      <w:r w:rsidR="00E21712" w:rsidRPr="00F52CA3">
        <w:t xml:space="preserve"> </w:t>
      </w:r>
      <w:r w:rsidR="00274669" w:rsidRPr="00F52CA3">
        <w:t>their</w:t>
      </w:r>
      <w:r w:rsidR="00E21712" w:rsidRPr="00F52CA3">
        <w:t xml:space="preserve"> </w:t>
      </w:r>
      <w:r w:rsidR="00274669" w:rsidRPr="00F52CA3">
        <w:t>core</w:t>
      </w:r>
      <w:r w:rsidR="00E21712" w:rsidRPr="00F52CA3">
        <w:t xml:space="preserve"> </w:t>
      </w:r>
      <w:r w:rsidR="00274669" w:rsidRPr="00F52CA3">
        <w:t>work,</w:t>
      </w:r>
      <w:r w:rsidR="00E21712" w:rsidRPr="00F52CA3">
        <w:t xml:space="preserve"> </w:t>
      </w:r>
      <w:r w:rsidR="00274669" w:rsidRPr="00F52CA3">
        <w:t>they</w:t>
      </w:r>
      <w:r w:rsidR="00E21712" w:rsidRPr="00F52CA3">
        <w:t xml:space="preserve"> </w:t>
      </w:r>
      <w:r w:rsidR="00274669" w:rsidRPr="00F52CA3">
        <w:t>will</w:t>
      </w:r>
      <w:r w:rsidR="00E21712" w:rsidRPr="00F52CA3">
        <w:t xml:space="preserve"> </w:t>
      </w:r>
      <w:r w:rsidR="00274669" w:rsidRPr="00F52CA3">
        <w:t>look</w:t>
      </w:r>
      <w:r w:rsidR="00E21712" w:rsidRPr="00F52CA3">
        <w:t xml:space="preserve"> </w:t>
      </w:r>
      <w:r w:rsidR="00274669" w:rsidRPr="00F52CA3">
        <w:t>to</w:t>
      </w:r>
      <w:r w:rsidR="00E21712" w:rsidRPr="00F52CA3">
        <w:t xml:space="preserve"> </w:t>
      </w:r>
      <w:r w:rsidR="00274669" w:rsidRPr="00F52CA3">
        <w:t>other</w:t>
      </w:r>
      <w:r w:rsidR="00E21712" w:rsidRPr="00F52CA3">
        <w:t xml:space="preserve"> </w:t>
      </w:r>
      <w:r w:rsidR="00274669" w:rsidRPr="00F52CA3">
        <w:t>fields</w:t>
      </w:r>
      <w:r w:rsidR="00E21712" w:rsidRPr="00F52CA3">
        <w:t xml:space="preserve"> </w:t>
      </w:r>
      <w:r w:rsidR="00274669" w:rsidRPr="00F52CA3">
        <w:t>for</w:t>
      </w:r>
      <w:r w:rsidR="00E21712" w:rsidRPr="00F52CA3">
        <w:t xml:space="preserve"> </w:t>
      </w:r>
      <w:r w:rsidR="00274669" w:rsidRPr="00F52CA3">
        <w:t>employment.</w:t>
      </w:r>
      <w:r w:rsidR="00E21712" w:rsidRPr="00F52CA3">
        <w:t xml:space="preserve"> </w:t>
      </w:r>
    </w:p>
    <w:p w14:paraId="2A3DDC0E" w14:textId="77777777" w:rsidR="0038262C" w:rsidRPr="00F52CA3" w:rsidRDefault="0038262C"/>
    <w:p w14:paraId="35877F09" w14:textId="028272F4" w:rsidR="00EA1114" w:rsidRPr="00F52CA3" w:rsidRDefault="00A2051A" w:rsidP="00B054ED">
      <w:pPr>
        <w:pStyle w:val="ListParagraph"/>
        <w:numPr>
          <w:ilvl w:val="0"/>
          <w:numId w:val="5"/>
        </w:numPr>
      </w:pPr>
      <w:r w:rsidRPr="00F52CA3">
        <w:t>There is a lack of structure within the profession and</w:t>
      </w:r>
      <w:r w:rsidR="00B054ED" w:rsidRPr="00F52CA3">
        <w:t xml:space="preserve"> in</w:t>
      </w:r>
      <w:r w:rsidRPr="00F52CA3">
        <w:t xml:space="preserve"> workload models to enable mentors, lead teachers, and master teachers to work with universities in teacher preparation as core business rather than as an (optional) add-on to their classroom responsibilities. Indeed, this is key to the success of models cited in the discussion paper such as Singapore and Finland.</w:t>
      </w:r>
    </w:p>
    <w:p w14:paraId="30CB2C8E" w14:textId="77777777" w:rsidR="00A2051A" w:rsidRPr="00F52CA3" w:rsidRDefault="00A2051A" w:rsidP="00B054ED">
      <w:pPr>
        <w:pStyle w:val="ListParagraph"/>
      </w:pPr>
    </w:p>
    <w:p w14:paraId="6A1D6EC4" w14:textId="77777777" w:rsidR="00B054ED" w:rsidRPr="00F52CA3" w:rsidRDefault="00B054ED">
      <w:pPr>
        <w:rPr>
          <w:u w:val="single"/>
        </w:rPr>
        <w:sectPr w:rsidR="00B054ED" w:rsidRPr="00F52CA3" w:rsidSect="008873A2">
          <w:footerReference w:type="even" r:id="rId7"/>
          <w:footerReference w:type="default" r:id="rId8"/>
          <w:pgSz w:w="11906" w:h="16838"/>
          <w:pgMar w:top="1440" w:right="1080" w:bottom="1440" w:left="1080" w:header="708" w:footer="708" w:gutter="0"/>
          <w:cols w:space="708"/>
          <w:docGrid w:linePitch="360"/>
        </w:sectPr>
      </w:pPr>
    </w:p>
    <w:p w14:paraId="5C335EDE" w14:textId="5CFEB97B" w:rsidR="00EA1114" w:rsidRPr="00F52CA3" w:rsidRDefault="00B054ED">
      <w:pPr>
        <w:rPr>
          <w:b/>
          <w:bCs/>
          <w:u w:val="single"/>
        </w:rPr>
      </w:pPr>
      <w:r w:rsidRPr="00F52CA3">
        <w:rPr>
          <w:b/>
          <w:bCs/>
          <w:u w:val="single"/>
        </w:rPr>
        <w:lastRenderedPageBreak/>
        <w:t xml:space="preserve">Part C </w:t>
      </w:r>
      <w:r w:rsidR="00EA1114" w:rsidRPr="00F52CA3">
        <w:rPr>
          <w:b/>
          <w:bCs/>
          <w:u w:val="single"/>
        </w:rPr>
        <w:t>Recommendations</w:t>
      </w:r>
      <w:r w:rsidRPr="00F52CA3">
        <w:rPr>
          <w:b/>
          <w:bCs/>
          <w:u w:val="single"/>
        </w:rPr>
        <w:t xml:space="preserve"> and Conclusions</w:t>
      </w:r>
    </w:p>
    <w:p w14:paraId="783B3083" w14:textId="77777777" w:rsidR="004C6CEF" w:rsidRPr="00F52CA3" w:rsidRDefault="004C6CEF" w:rsidP="00AC335C"/>
    <w:p w14:paraId="4CB1AA97" w14:textId="3BCCB85B" w:rsidR="00E1032B" w:rsidRPr="00F52CA3" w:rsidRDefault="00B054ED" w:rsidP="00E1032B">
      <w:r w:rsidRPr="00F52CA3">
        <w:t xml:space="preserve">The following recommendations draw together the affirmations and concerns explored above. They are organised under key themes: Partnerships; </w:t>
      </w:r>
      <w:r w:rsidR="009E36BA" w:rsidRPr="00F52CA3">
        <w:t xml:space="preserve">and </w:t>
      </w:r>
      <w:r w:rsidRPr="00F52CA3">
        <w:t>Attraction and Retention</w:t>
      </w:r>
      <w:r w:rsidR="009E36BA" w:rsidRPr="00F52CA3">
        <w:t>,</w:t>
      </w:r>
      <w:r w:rsidRPr="00F52CA3">
        <w:t xml:space="preserve"> which link to the Terms of Reference for the QITE Review. This is followed by a set of conclusions that outline ways </w:t>
      </w:r>
      <w:r w:rsidRPr="00F52CA3">
        <w:rPr>
          <w:color w:val="000000"/>
        </w:rPr>
        <w:t xml:space="preserve">in which ATEA could work with the Minister in achieving </w:t>
      </w:r>
      <w:r w:rsidR="00503BFB" w:rsidRPr="00F52CA3">
        <w:rPr>
          <w:color w:val="000000"/>
        </w:rPr>
        <w:t>effective</w:t>
      </w:r>
      <w:r w:rsidRPr="00F52CA3">
        <w:rPr>
          <w:color w:val="000000"/>
        </w:rPr>
        <w:t xml:space="preserve"> </w:t>
      </w:r>
      <w:r w:rsidR="00503BFB" w:rsidRPr="00F52CA3">
        <w:rPr>
          <w:color w:val="000000"/>
        </w:rPr>
        <w:t>teacher education to prepare a</w:t>
      </w:r>
      <w:r w:rsidR="00830D10" w:rsidRPr="00F52CA3">
        <w:rPr>
          <w:color w:val="000000"/>
        </w:rPr>
        <w:t xml:space="preserve"> </w:t>
      </w:r>
      <w:r w:rsidR="00503BFB" w:rsidRPr="00F52CA3">
        <w:rPr>
          <w:color w:val="000000"/>
        </w:rPr>
        <w:t xml:space="preserve">high-quality </w:t>
      </w:r>
      <w:r w:rsidRPr="00F52CA3">
        <w:rPr>
          <w:color w:val="000000"/>
        </w:rPr>
        <w:t>Australia</w:t>
      </w:r>
      <w:r w:rsidR="00503BFB" w:rsidRPr="00F52CA3">
        <w:rPr>
          <w:color w:val="000000"/>
        </w:rPr>
        <w:t>n teaching profession.</w:t>
      </w:r>
    </w:p>
    <w:p w14:paraId="1876633D" w14:textId="77777777" w:rsidR="00B054ED" w:rsidRPr="00F52CA3" w:rsidRDefault="00B054ED" w:rsidP="00E1032B"/>
    <w:p w14:paraId="56EA3DF8" w14:textId="2B2E6462" w:rsidR="00E1032B" w:rsidRPr="00F52CA3" w:rsidRDefault="00503BFB" w:rsidP="00E1032B">
      <w:pPr>
        <w:rPr>
          <w:b/>
          <w:bCs/>
          <w:u w:val="single"/>
        </w:rPr>
      </w:pPr>
      <w:r w:rsidRPr="00F52CA3">
        <w:rPr>
          <w:b/>
          <w:bCs/>
          <w:u w:val="single"/>
        </w:rPr>
        <w:t xml:space="preserve">Theme 1: </w:t>
      </w:r>
      <w:r w:rsidR="00E1032B" w:rsidRPr="00F52CA3">
        <w:rPr>
          <w:b/>
          <w:bCs/>
          <w:u w:val="single"/>
        </w:rPr>
        <w:t>Partnerships</w:t>
      </w:r>
    </w:p>
    <w:p w14:paraId="73582822" w14:textId="164245B9" w:rsidR="00E1032B" w:rsidRPr="00F52CA3" w:rsidRDefault="00E1032B" w:rsidP="00503BFB">
      <w:r w:rsidRPr="00F52CA3">
        <w:t xml:space="preserve">There are a wide range of tangible benefits associated with school-university partnerships for those involved, including: </w:t>
      </w:r>
    </w:p>
    <w:p w14:paraId="1808A6C7" w14:textId="77777777" w:rsidR="00E1032B" w:rsidRPr="00F52CA3" w:rsidRDefault="00E1032B" w:rsidP="00E1032B">
      <w:pPr>
        <w:pStyle w:val="NormalWeb"/>
        <w:numPr>
          <w:ilvl w:val="0"/>
          <w:numId w:val="28"/>
        </w:numPr>
        <w:spacing w:before="0" w:beforeAutospacing="0" w:after="0" w:afterAutospacing="0"/>
        <w:ind w:left="567"/>
      </w:pPr>
      <w:r w:rsidRPr="00F52CA3">
        <w:t xml:space="preserve">in-service teachers employing research-informed practices and reflecting on their </w:t>
      </w:r>
      <w:proofErr w:type="gramStart"/>
      <w:r w:rsidRPr="00F52CA3">
        <w:t>teaching;</w:t>
      </w:r>
      <w:proofErr w:type="gramEnd"/>
      <w:r w:rsidRPr="00F52CA3">
        <w:t xml:space="preserve"> </w:t>
      </w:r>
    </w:p>
    <w:p w14:paraId="1EF2CEAD" w14:textId="77777777" w:rsidR="00E1032B" w:rsidRPr="00F52CA3" w:rsidRDefault="00E1032B" w:rsidP="00E1032B">
      <w:pPr>
        <w:pStyle w:val="NormalWeb"/>
        <w:numPr>
          <w:ilvl w:val="0"/>
          <w:numId w:val="28"/>
        </w:numPr>
        <w:spacing w:before="0" w:beforeAutospacing="0" w:after="0" w:afterAutospacing="0"/>
        <w:ind w:left="567"/>
      </w:pPr>
      <w:r w:rsidRPr="00F52CA3">
        <w:t xml:space="preserve">school students engaging in high-quality </w:t>
      </w:r>
      <w:proofErr w:type="gramStart"/>
      <w:r w:rsidRPr="00F52CA3">
        <w:t>learning;</w:t>
      </w:r>
      <w:proofErr w:type="gramEnd"/>
      <w:r w:rsidRPr="00F52CA3">
        <w:t xml:space="preserve"> </w:t>
      </w:r>
    </w:p>
    <w:p w14:paraId="63EF8708" w14:textId="6971C5C1" w:rsidR="00E1032B" w:rsidRPr="00F52CA3" w:rsidRDefault="00E1032B" w:rsidP="00E1032B">
      <w:pPr>
        <w:pStyle w:val="NormalWeb"/>
        <w:numPr>
          <w:ilvl w:val="0"/>
          <w:numId w:val="28"/>
        </w:numPr>
        <w:spacing w:before="0" w:beforeAutospacing="0" w:after="0" w:afterAutospacing="0"/>
        <w:ind w:left="567"/>
      </w:pPr>
      <w:r w:rsidRPr="00F52CA3">
        <w:t xml:space="preserve">academics and researchers being connected to the classroom </w:t>
      </w:r>
      <w:proofErr w:type="gramStart"/>
      <w:r w:rsidRPr="00F52CA3">
        <w:t>reality;</w:t>
      </w:r>
      <w:proofErr w:type="gramEnd"/>
      <w:r w:rsidRPr="00F52CA3">
        <w:t xml:space="preserve"> </w:t>
      </w:r>
    </w:p>
    <w:p w14:paraId="771C22FB" w14:textId="3FC24CC9" w:rsidR="00E1032B" w:rsidRPr="00F52CA3" w:rsidRDefault="00E1032B" w:rsidP="00E1032B">
      <w:pPr>
        <w:pStyle w:val="NormalWeb"/>
        <w:numPr>
          <w:ilvl w:val="0"/>
          <w:numId w:val="28"/>
        </w:numPr>
        <w:spacing w:before="0" w:beforeAutospacing="0" w:after="0" w:afterAutospacing="0"/>
        <w:ind w:left="567"/>
      </w:pPr>
      <w:r w:rsidRPr="00F52CA3">
        <w:t xml:space="preserve">pre-service teachers gaining valuable and structured experience in school </w:t>
      </w:r>
      <w:proofErr w:type="gramStart"/>
      <w:r w:rsidRPr="00F52CA3">
        <w:t>settings, and</w:t>
      </w:r>
      <w:proofErr w:type="gramEnd"/>
      <w:r w:rsidRPr="00F52CA3">
        <w:t xml:space="preserve"> connecting theory with practice</w:t>
      </w:r>
      <w:r w:rsidR="009E36BA" w:rsidRPr="00F52CA3">
        <w:t>.</w:t>
      </w:r>
    </w:p>
    <w:p w14:paraId="269DC009" w14:textId="77777777" w:rsidR="00503BFB" w:rsidRPr="00F52CA3" w:rsidRDefault="00503BFB" w:rsidP="00E1032B">
      <w:pPr>
        <w:pStyle w:val="NormalWeb"/>
        <w:spacing w:before="0" w:beforeAutospacing="0" w:after="0" w:afterAutospacing="0"/>
        <w:ind w:left="207"/>
        <w:rPr>
          <w:lang w:val="en-US"/>
        </w:rPr>
      </w:pPr>
    </w:p>
    <w:p w14:paraId="5AF712D2" w14:textId="04A8F335" w:rsidR="00503BFB" w:rsidRPr="00F52CA3" w:rsidRDefault="00503BFB" w:rsidP="00E1032B">
      <w:pPr>
        <w:pStyle w:val="NormalWeb"/>
        <w:spacing w:before="0" w:beforeAutospacing="0" w:after="0" w:afterAutospacing="0"/>
        <w:ind w:left="207"/>
      </w:pPr>
      <w:r w:rsidRPr="00F52CA3">
        <w:t xml:space="preserve">There is widespread and long-term evidence that harnessing the important aspects of university and school-based learning means coursework and practical experience must be closely entwined (Bentley-Williams et al., 2017; Darling-Hammond, 2012, 2014; Elsden-Clifton &amp; Jordan, 2016; Green, Tindall-Ford, &amp; </w:t>
      </w:r>
      <w:proofErr w:type="spellStart"/>
      <w:r w:rsidRPr="00F52CA3">
        <w:t>Eady</w:t>
      </w:r>
      <w:proofErr w:type="spellEnd"/>
      <w:r w:rsidRPr="00F52CA3">
        <w:t xml:space="preserve">, 2020a; Jones et al., 2016; </w:t>
      </w:r>
      <w:proofErr w:type="spellStart"/>
      <w:r w:rsidRPr="00F52CA3">
        <w:t>Kosnick</w:t>
      </w:r>
      <w:proofErr w:type="spellEnd"/>
      <w:r w:rsidRPr="00F52CA3">
        <w:t xml:space="preserve"> &amp; Beck, 2009; Loughran &amp; Hamilton, 2016; McLean Davies et al., 2017; Zeichner et al., 2015)</w:t>
      </w:r>
      <w:r w:rsidR="009E36BA" w:rsidRPr="00F52CA3">
        <w:t>.</w:t>
      </w:r>
    </w:p>
    <w:p w14:paraId="5A5E94A0" w14:textId="3284BDDB" w:rsidR="00503BFB" w:rsidRPr="00F52CA3" w:rsidRDefault="00503BFB" w:rsidP="00E1032B">
      <w:pPr>
        <w:pStyle w:val="NormalWeb"/>
        <w:spacing w:before="0" w:beforeAutospacing="0" w:after="0" w:afterAutospacing="0"/>
        <w:ind w:left="207"/>
      </w:pPr>
    </w:p>
    <w:p w14:paraId="0949A5FE" w14:textId="4981C256" w:rsidR="00503BFB" w:rsidRPr="00F52CA3" w:rsidRDefault="00503BFB" w:rsidP="00B65785">
      <w:pPr>
        <w:pStyle w:val="NormalWeb"/>
        <w:spacing w:before="0" w:beforeAutospacing="0" w:after="0" w:afterAutospacing="0"/>
        <w:ind w:left="207"/>
      </w:pPr>
      <w:r w:rsidRPr="00F52CA3">
        <w:t xml:space="preserve">The benefits of </w:t>
      </w:r>
      <w:r w:rsidR="00B65785" w:rsidRPr="00F52CA3">
        <w:t xml:space="preserve">embedded partnership work </w:t>
      </w:r>
      <w:r w:rsidRPr="00F52CA3">
        <w:t xml:space="preserve">can have a cyclical effect leading to the improvement of the </w:t>
      </w:r>
      <w:proofErr w:type="gramStart"/>
      <w:r w:rsidRPr="00F52CA3">
        <w:t>profession as a whole</w:t>
      </w:r>
      <w:proofErr w:type="gramEnd"/>
      <w:r w:rsidRPr="00F52CA3">
        <w:t>. Funding necessarily needs to follow these innovations, not only at the pilot stage</w:t>
      </w:r>
      <w:r w:rsidR="009E36BA" w:rsidRPr="00F52CA3">
        <w:t>,</w:t>
      </w:r>
      <w:r w:rsidRPr="00F52CA3">
        <w:t xml:space="preserve"> but in a manner that enables sustainability of successful outcomes for the teaching profession. Th</w:t>
      </w:r>
      <w:r w:rsidR="00B65785" w:rsidRPr="00F52CA3">
        <w:t>u</w:t>
      </w:r>
      <w:r w:rsidRPr="00F52CA3">
        <w:t>s</w:t>
      </w:r>
      <w:r w:rsidR="00B65785" w:rsidRPr="00F52CA3">
        <w:t>, the</w:t>
      </w:r>
      <w:r w:rsidRPr="00F52CA3">
        <w:t xml:space="preserve"> evidence base provides the impetus for increasing focus and funding on strengthening partnership practice in more systematic </w:t>
      </w:r>
      <w:proofErr w:type="gramStart"/>
      <w:r w:rsidRPr="00F52CA3">
        <w:t>ways;</w:t>
      </w:r>
      <w:proofErr w:type="gramEnd"/>
      <w:r w:rsidRPr="00F52CA3">
        <w:t xml:space="preserve"> as core business</w:t>
      </w:r>
      <w:r w:rsidR="009E36BA" w:rsidRPr="00F52CA3">
        <w:t xml:space="preserve">. </w:t>
      </w:r>
      <w:r w:rsidRPr="00F52CA3">
        <w:t>Hence the following recommendations are made</w:t>
      </w:r>
      <w:r w:rsidR="00B65785" w:rsidRPr="00F52CA3">
        <w:t xml:space="preserve"> in relation to partnerships</w:t>
      </w:r>
      <w:r w:rsidRPr="00F52CA3">
        <w:t>:</w:t>
      </w:r>
    </w:p>
    <w:p w14:paraId="632E243F" w14:textId="4155DA8A" w:rsidR="00E1032B" w:rsidRPr="00F52CA3" w:rsidRDefault="00E1032B" w:rsidP="00E1032B"/>
    <w:p w14:paraId="4BE1E75C" w14:textId="092675A8" w:rsidR="00CD7577" w:rsidRPr="00F52CA3" w:rsidRDefault="00B65785" w:rsidP="007F4D97">
      <w:r w:rsidRPr="00F52CA3">
        <w:rPr>
          <w:b/>
          <w:bCs/>
          <w:i/>
          <w:iCs/>
        </w:rPr>
        <w:t>Recommendation 1: Partnerships</w:t>
      </w:r>
      <w:r w:rsidRPr="00F52CA3">
        <w:rPr>
          <w:b/>
          <w:bCs/>
          <w:i/>
          <w:iCs/>
        </w:rPr>
        <w:br/>
      </w:r>
      <w:r w:rsidRPr="00505B8E">
        <w:rPr>
          <w:b/>
          <w:bCs/>
        </w:rPr>
        <w:t>1A.</w:t>
      </w:r>
      <w:r w:rsidRPr="00F52CA3">
        <w:t xml:space="preserve"> Based on new funding models for ITE and the teacher profession, make partnerships and mentoring a part of core business.</w:t>
      </w:r>
      <w:r w:rsidR="00CD7577" w:rsidRPr="00F52CA3">
        <w:t xml:space="preserve"> This would:</w:t>
      </w:r>
    </w:p>
    <w:p w14:paraId="355D82A5" w14:textId="78F11038" w:rsidR="007F4D97" w:rsidRPr="00F52CA3" w:rsidRDefault="00CD7577" w:rsidP="00CD7577">
      <w:pPr>
        <w:pStyle w:val="ListParagraph"/>
        <w:numPr>
          <w:ilvl w:val="0"/>
          <w:numId w:val="36"/>
        </w:numPr>
      </w:pPr>
      <w:r w:rsidRPr="00F52CA3">
        <w:t xml:space="preserve">Provide avenues for ITE providers and </w:t>
      </w:r>
      <w:r w:rsidR="000B0B80" w:rsidRPr="00F52CA3">
        <w:t>s</w:t>
      </w:r>
      <w:r w:rsidRPr="00F52CA3">
        <w:t>chool leaders to work collaboratively to build and sustain authentic, co generative partnerships across teacher education and teaching professions that serve the needs of the context-specific communities and the profession in educationally sound ways</w:t>
      </w:r>
      <w:r w:rsidR="007F4D97" w:rsidRPr="00F52CA3">
        <w:t xml:space="preserve"> </w:t>
      </w:r>
    </w:p>
    <w:p w14:paraId="18906285" w14:textId="7B956228" w:rsidR="007312B2" w:rsidRPr="00F52CA3" w:rsidRDefault="00CD7577" w:rsidP="007312B2">
      <w:pPr>
        <w:pStyle w:val="ListParagraph"/>
        <w:numPr>
          <w:ilvl w:val="0"/>
          <w:numId w:val="34"/>
        </w:numPr>
      </w:pPr>
      <w:r w:rsidRPr="00F52CA3">
        <w:t>enable</w:t>
      </w:r>
      <w:r w:rsidR="007F4D97" w:rsidRPr="00F52CA3">
        <w:t xml:space="preserve"> professional learning provisions for teachers and </w:t>
      </w:r>
      <w:r w:rsidRPr="00F52CA3">
        <w:t xml:space="preserve">an </w:t>
      </w:r>
      <w:r w:rsidR="007F4D97" w:rsidRPr="00F52CA3">
        <w:t>introduc</w:t>
      </w:r>
      <w:r w:rsidRPr="00F52CA3">
        <w:t>tion of</w:t>
      </w:r>
      <w:r w:rsidR="007F4D97" w:rsidRPr="00F52CA3">
        <w:t xml:space="preserve"> mandatory upgrading of qualifications, micro-credentialed </w:t>
      </w:r>
      <w:proofErr w:type="gramStart"/>
      <w:r w:rsidR="007F4D97" w:rsidRPr="00F52CA3">
        <w:t>learning</w:t>
      </w:r>
      <w:proofErr w:type="gramEnd"/>
      <w:r w:rsidR="007F4D97" w:rsidRPr="00F52CA3">
        <w:t xml:space="preserve"> and authentic professional development requirements </w:t>
      </w:r>
      <w:r w:rsidRPr="00F52CA3">
        <w:t>to</w:t>
      </w:r>
      <w:r w:rsidR="007F4D97" w:rsidRPr="00F52CA3">
        <w:t xml:space="preserve"> enhance the knowledge and capacitates of teachers for teaching rather than to meet regulatory requirements. </w:t>
      </w:r>
      <w:r w:rsidRPr="00F52CA3">
        <w:t>(</w:t>
      </w:r>
      <w:r w:rsidR="007F4D97" w:rsidRPr="00F52CA3">
        <w:t xml:space="preserve">This is ably modelled in other professions such as the finance industry, </w:t>
      </w:r>
      <w:proofErr w:type="gramStart"/>
      <w:r w:rsidR="007F4D97" w:rsidRPr="00F52CA3">
        <w:t>nursing</w:t>
      </w:r>
      <w:proofErr w:type="gramEnd"/>
      <w:r w:rsidR="007F4D97" w:rsidRPr="00F52CA3">
        <w:t xml:space="preserve"> and engineering. Gore (2021) also exemplifies a successful model</w:t>
      </w:r>
      <w:r w:rsidRPr="00F52CA3">
        <w:t>)</w:t>
      </w:r>
      <w:r w:rsidR="007312B2" w:rsidRPr="00F52CA3">
        <w:t>.</w:t>
      </w:r>
    </w:p>
    <w:p w14:paraId="67C6595A" w14:textId="47155506" w:rsidR="00B65785" w:rsidRPr="00F52CA3" w:rsidRDefault="007312B2" w:rsidP="007312B2">
      <w:pPr>
        <w:ind w:left="426"/>
        <w:rPr>
          <w:i/>
          <w:iCs/>
        </w:rPr>
      </w:pPr>
      <w:r w:rsidRPr="00F52CA3">
        <w:rPr>
          <w:i/>
          <w:iCs/>
        </w:rPr>
        <w:t>Terms of Reference Addressed: Part A Q5; Part B Q6, Q7, Q9, Q10</w:t>
      </w:r>
    </w:p>
    <w:p w14:paraId="313683C1" w14:textId="77777777" w:rsidR="007312B2" w:rsidRPr="00F52CA3" w:rsidRDefault="007312B2" w:rsidP="007312B2"/>
    <w:p w14:paraId="092D2019" w14:textId="2CE390CB" w:rsidR="007F4D97" w:rsidRPr="00F52CA3" w:rsidRDefault="00B65785" w:rsidP="00B65785">
      <w:r w:rsidRPr="00505B8E">
        <w:rPr>
          <w:b/>
          <w:bCs/>
        </w:rPr>
        <w:t>1</w:t>
      </w:r>
      <w:r w:rsidR="00CD7577" w:rsidRPr="00505B8E">
        <w:rPr>
          <w:b/>
          <w:bCs/>
        </w:rPr>
        <w:t>B</w:t>
      </w:r>
      <w:r w:rsidRPr="00505B8E">
        <w:rPr>
          <w:b/>
          <w:bCs/>
        </w:rPr>
        <w:t>.</w:t>
      </w:r>
      <w:r w:rsidRPr="00F52CA3">
        <w:t xml:space="preserve"> Restructure systems to enable</w:t>
      </w:r>
      <w:r w:rsidR="00E1032B" w:rsidRPr="00F52CA3">
        <w:t xml:space="preserve"> pre-service teachers to work </w:t>
      </w:r>
      <w:r w:rsidR="00CD7577" w:rsidRPr="00F52CA3">
        <w:t xml:space="preserve">in a part-time capacity </w:t>
      </w:r>
      <w:r w:rsidR="00E1032B" w:rsidRPr="00F52CA3">
        <w:t xml:space="preserve">in and with schools and teachers in </w:t>
      </w:r>
      <w:r w:rsidR="00CD7577" w:rsidRPr="00F52CA3">
        <w:t xml:space="preserve">learning </w:t>
      </w:r>
      <w:r w:rsidR="00E1032B" w:rsidRPr="00F52CA3">
        <w:t xml:space="preserve">support-based roles </w:t>
      </w:r>
      <w:r w:rsidR="00CD7577" w:rsidRPr="00F52CA3">
        <w:t xml:space="preserve">leading up to the </w:t>
      </w:r>
      <w:r w:rsidR="00CD7577" w:rsidRPr="00F52CA3">
        <w:rPr>
          <w:i/>
          <w:iCs/>
        </w:rPr>
        <w:t>additional</w:t>
      </w:r>
      <w:r w:rsidR="00CD7577" w:rsidRPr="00F52CA3">
        <w:t xml:space="preserve"> more traditional</w:t>
      </w:r>
      <w:r w:rsidR="007F4D97" w:rsidRPr="00F52CA3">
        <w:t xml:space="preserve"> supervised and assessed practicum component. This two-pronged approach to school-based experience provides</w:t>
      </w:r>
      <w:r w:rsidR="00E1032B" w:rsidRPr="00F52CA3">
        <w:t xml:space="preserve"> a mutually beneficial endeavour</w:t>
      </w:r>
      <w:r w:rsidR="007F4D97" w:rsidRPr="00F52CA3">
        <w:t xml:space="preserve"> that:</w:t>
      </w:r>
    </w:p>
    <w:p w14:paraId="1172A48D" w14:textId="4C87530C" w:rsidR="00E1032B" w:rsidRPr="00F52CA3" w:rsidRDefault="007F4D97" w:rsidP="007F4D97">
      <w:pPr>
        <w:pStyle w:val="ListParagraph"/>
        <w:numPr>
          <w:ilvl w:val="0"/>
          <w:numId w:val="35"/>
        </w:numPr>
        <w:ind w:left="993"/>
      </w:pPr>
      <w:r w:rsidRPr="00F52CA3">
        <w:lastRenderedPageBreak/>
        <w:t>supports classroom teachers with additional, informed, classroom support without the time commitment and pressure of supervising and assessing PST requirements</w:t>
      </w:r>
    </w:p>
    <w:p w14:paraId="272FBD17" w14:textId="00DA29EE" w:rsidR="007F4D97" w:rsidRPr="00F52CA3" w:rsidRDefault="007F4D97" w:rsidP="007F4D97">
      <w:pPr>
        <w:pStyle w:val="ListParagraph"/>
        <w:numPr>
          <w:ilvl w:val="0"/>
          <w:numId w:val="35"/>
        </w:numPr>
        <w:ind w:left="993"/>
      </w:pPr>
      <w:r w:rsidRPr="00F52CA3">
        <w:t xml:space="preserve">provides PSTs with a more un-pressured </w:t>
      </w:r>
      <w:r w:rsidR="00CD7577" w:rsidRPr="00F52CA3">
        <w:t>experience</w:t>
      </w:r>
      <w:r w:rsidRPr="00F52CA3">
        <w:t xml:space="preserve"> to a wider range of school and classroom practices across the school year</w:t>
      </w:r>
      <w:r w:rsidR="007312B2" w:rsidRPr="00F52CA3">
        <w:t xml:space="preserve"> that are authentic and make concomitant coursework more relevant and meaningful</w:t>
      </w:r>
    </w:p>
    <w:p w14:paraId="76FE401C" w14:textId="7E11C8D6" w:rsidR="00CD7577" w:rsidRPr="00F52CA3" w:rsidRDefault="00CD7577" w:rsidP="007F4D97">
      <w:pPr>
        <w:pStyle w:val="ListParagraph"/>
        <w:numPr>
          <w:ilvl w:val="0"/>
          <w:numId w:val="35"/>
        </w:numPr>
        <w:ind w:left="993"/>
      </w:pPr>
      <w:r w:rsidRPr="00F52CA3">
        <w:t>enables a focus on children’s learning rather than PST requirements, which better supports both PST and children’s learning in the long run</w:t>
      </w:r>
    </w:p>
    <w:p w14:paraId="50F3C28F" w14:textId="530832BF" w:rsidR="00CD7577" w:rsidRPr="00F52CA3" w:rsidRDefault="00CD7577" w:rsidP="00CD7577">
      <w:pPr>
        <w:pStyle w:val="ListParagraph"/>
        <w:numPr>
          <w:ilvl w:val="0"/>
          <w:numId w:val="35"/>
        </w:numPr>
        <w:ind w:left="993"/>
      </w:pPr>
      <w:r w:rsidRPr="00F52CA3">
        <w:t xml:space="preserve">short fulltime supervised and assessed practicum weeks aligned with the current model would be supported as PSTs would have had an opportunity to build a relationship with children and understand the school structures in the part time classroom work leading up to the </w:t>
      </w:r>
      <w:proofErr w:type="spellStart"/>
      <w:r w:rsidRPr="00F52CA3">
        <w:t>prac</w:t>
      </w:r>
      <w:proofErr w:type="spellEnd"/>
      <w:r w:rsidRPr="00F52CA3">
        <w:t xml:space="preserve"> experience</w:t>
      </w:r>
      <w:r w:rsidR="007312B2" w:rsidRPr="00F52CA3">
        <w:t xml:space="preserve">, and support, in particular, their completion of the TPA in their final year </w:t>
      </w:r>
    </w:p>
    <w:p w14:paraId="0B52BD3F" w14:textId="3F68C95F" w:rsidR="00CD7577" w:rsidRPr="00F52CA3" w:rsidRDefault="00CD7577" w:rsidP="007F4D97">
      <w:pPr>
        <w:pStyle w:val="ListParagraph"/>
        <w:numPr>
          <w:ilvl w:val="0"/>
          <w:numId w:val="35"/>
        </w:numPr>
        <w:ind w:left="993"/>
      </w:pPr>
      <w:r w:rsidRPr="00F52CA3">
        <w:t xml:space="preserve">enables ITE providers to develop rich, authentic, reflective and experiential-based </w:t>
      </w:r>
      <w:r w:rsidR="007312B2" w:rsidRPr="00F52CA3">
        <w:t>connections</w:t>
      </w:r>
      <w:r w:rsidRPr="00F52CA3">
        <w:t xml:space="preserve"> in university-based coursework</w:t>
      </w:r>
      <w:r w:rsidR="000B0B80" w:rsidRPr="00F52CA3">
        <w:t>;</w:t>
      </w:r>
      <w:r w:rsidRPr="00F52CA3">
        <w:t xml:space="preserve"> th</w:t>
      </w:r>
      <w:r w:rsidR="000B0B80" w:rsidRPr="00F52CA3">
        <w:t>i</w:t>
      </w:r>
      <w:r w:rsidRPr="00F52CA3">
        <w:t>s addresses research-informed calls for more entwined approach</w:t>
      </w:r>
      <w:r w:rsidR="000B0B80" w:rsidRPr="00F52CA3">
        <w:t>es</w:t>
      </w:r>
      <w:r w:rsidRPr="00F52CA3">
        <w:t xml:space="preserve"> to ITE learning experiences</w:t>
      </w:r>
      <w:r w:rsidR="00137246">
        <w:t xml:space="preserve"> and could strengthen discipline-specific (e.g.,</w:t>
      </w:r>
      <w:r w:rsidR="008873A2">
        <w:t xml:space="preserve"> Science/Mathematics/STEM)</w:t>
      </w:r>
      <w:r w:rsidR="00137246">
        <w:t xml:space="preserve"> as well as general education outcomes</w:t>
      </w:r>
      <w:r w:rsidRPr="00F52CA3">
        <w:t>.</w:t>
      </w:r>
    </w:p>
    <w:p w14:paraId="12E96816" w14:textId="77777777" w:rsidR="00CD0119" w:rsidRPr="00F52CA3" w:rsidRDefault="00CD0119" w:rsidP="007312B2">
      <w:pPr>
        <w:ind w:left="426"/>
        <w:rPr>
          <w:i/>
          <w:iCs/>
        </w:rPr>
      </w:pPr>
    </w:p>
    <w:p w14:paraId="4400F916" w14:textId="2C8DD758" w:rsidR="007312B2" w:rsidRPr="00F52CA3" w:rsidRDefault="007312B2" w:rsidP="007312B2">
      <w:pPr>
        <w:ind w:left="426"/>
        <w:rPr>
          <w:i/>
          <w:iCs/>
        </w:rPr>
      </w:pPr>
      <w:r w:rsidRPr="00F52CA3">
        <w:rPr>
          <w:i/>
          <w:iCs/>
        </w:rPr>
        <w:t>Terms of Reference Addressed: Part A Q3</w:t>
      </w:r>
      <w:r w:rsidR="008873A2">
        <w:rPr>
          <w:i/>
          <w:iCs/>
        </w:rPr>
        <w:t>, Q4</w:t>
      </w:r>
      <w:r w:rsidRPr="00F52CA3">
        <w:rPr>
          <w:i/>
          <w:iCs/>
        </w:rPr>
        <w:t>; Part B Q6, Q7, Q8, Q9</w:t>
      </w:r>
    </w:p>
    <w:p w14:paraId="01EEECDF" w14:textId="4601DADD" w:rsidR="00B65785" w:rsidRPr="00F52CA3" w:rsidRDefault="00B65785" w:rsidP="00B65785"/>
    <w:p w14:paraId="39D3277A" w14:textId="66234C27" w:rsidR="00E1032B" w:rsidRPr="00F52CA3" w:rsidRDefault="00B65785" w:rsidP="00B65785">
      <w:r w:rsidRPr="00505B8E">
        <w:rPr>
          <w:b/>
          <w:bCs/>
        </w:rPr>
        <w:t>1</w:t>
      </w:r>
      <w:r w:rsidR="00CD7577" w:rsidRPr="00505B8E">
        <w:rPr>
          <w:b/>
          <w:bCs/>
        </w:rPr>
        <w:t>C</w:t>
      </w:r>
      <w:r w:rsidRPr="00505B8E">
        <w:rPr>
          <w:b/>
          <w:bCs/>
        </w:rPr>
        <w:t>.</w:t>
      </w:r>
      <w:r w:rsidRPr="00F52CA3">
        <w:t xml:space="preserve"> </w:t>
      </w:r>
      <w:r w:rsidR="00E1032B" w:rsidRPr="00F52CA3">
        <w:t>Identify a new workforce of professionals who have the capacity to work across both domains of learning, higher education</w:t>
      </w:r>
      <w:r w:rsidRPr="00F52CA3">
        <w:t>,</w:t>
      </w:r>
      <w:r w:rsidR="00E1032B" w:rsidRPr="00F52CA3">
        <w:t xml:space="preserve"> and school education, – boundary crossing professionals - and who are recognised for their expertise and status (See Clifton</w:t>
      </w:r>
      <w:r w:rsidR="00F52CA3">
        <w:t xml:space="preserve"> &amp; Jordan</w:t>
      </w:r>
      <w:r w:rsidR="0012210B" w:rsidRPr="00F52CA3">
        <w:t>, 2019;</w:t>
      </w:r>
      <w:r w:rsidR="00E1032B" w:rsidRPr="00F52CA3">
        <w:t xml:space="preserve"> </w:t>
      </w:r>
      <w:proofErr w:type="spellStart"/>
      <w:r w:rsidR="00E1032B" w:rsidRPr="00F52CA3">
        <w:t>Zeichner</w:t>
      </w:r>
      <w:proofErr w:type="spellEnd"/>
      <w:r w:rsidR="00E1032B" w:rsidRPr="00F52CA3">
        <w:t xml:space="preserve">, 2021) </w:t>
      </w:r>
    </w:p>
    <w:p w14:paraId="141AC987" w14:textId="77777777" w:rsidR="00CD0119" w:rsidRPr="00F52CA3" w:rsidRDefault="00CD0119" w:rsidP="007312B2">
      <w:pPr>
        <w:ind w:left="426"/>
        <w:rPr>
          <w:i/>
          <w:iCs/>
        </w:rPr>
      </w:pPr>
    </w:p>
    <w:p w14:paraId="56FEADC5" w14:textId="1F4AD003" w:rsidR="007312B2" w:rsidRPr="00F52CA3" w:rsidRDefault="007312B2" w:rsidP="007312B2">
      <w:pPr>
        <w:ind w:left="426"/>
        <w:rPr>
          <w:i/>
          <w:iCs/>
        </w:rPr>
      </w:pPr>
      <w:r w:rsidRPr="00F52CA3">
        <w:rPr>
          <w:i/>
          <w:iCs/>
        </w:rPr>
        <w:t>Terms of Reference Addressed: Part B Q6, Q8, Q10</w:t>
      </w:r>
    </w:p>
    <w:p w14:paraId="66473758" w14:textId="55230AF3" w:rsidR="00B65785" w:rsidRPr="00F52CA3" w:rsidRDefault="00B65785" w:rsidP="00B65785"/>
    <w:p w14:paraId="749E48BC" w14:textId="77777777" w:rsidR="00E1032B" w:rsidRPr="00F52CA3" w:rsidRDefault="00E1032B" w:rsidP="00E1032B"/>
    <w:p w14:paraId="0CB51FA9" w14:textId="0CC01E51" w:rsidR="004C6CEF" w:rsidRPr="00F52CA3" w:rsidRDefault="00DF4920" w:rsidP="007F4D97">
      <w:pPr>
        <w:rPr>
          <w:b/>
          <w:bCs/>
          <w:u w:val="single"/>
        </w:rPr>
      </w:pPr>
      <w:r w:rsidRPr="00F52CA3">
        <w:rPr>
          <w:b/>
          <w:bCs/>
          <w:u w:val="single"/>
        </w:rPr>
        <w:t xml:space="preserve">Theme 2 </w:t>
      </w:r>
      <w:r w:rsidR="00E1032B" w:rsidRPr="00F52CA3">
        <w:rPr>
          <w:b/>
          <w:bCs/>
          <w:u w:val="single"/>
        </w:rPr>
        <w:t>Attraction/Retention</w:t>
      </w:r>
    </w:p>
    <w:p w14:paraId="6846F79C" w14:textId="65E055B8" w:rsidR="00DF4920" w:rsidRPr="00F52CA3" w:rsidRDefault="00DF4920" w:rsidP="00DF4920">
      <w:r w:rsidRPr="00F52CA3">
        <w:t>The current multiple-entry points into ITE program</w:t>
      </w:r>
      <w:r w:rsidR="000B0B80" w:rsidRPr="00F52CA3">
        <w:t>s</w:t>
      </w:r>
      <w:r w:rsidRPr="00F52CA3">
        <w:t>, and the diversity of program offerings should be celebrated and strengthened. However, until the profession is viewed with more respect and favour in the wider community, attraction to the profession will remain an issue. Limited career trajectory is one issue contributing to this</w:t>
      </w:r>
      <w:r w:rsidR="0006060E" w:rsidRPr="00F52CA3">
        <w:t>, as are issues with workload structure for teachers to adequately support pre-service teachers in school-based components for their ITE. T</w:t>
      </w:r>
      <w:r w:rsidRPr="00F52CA3">
        <w:t>he profession itself needs to be restructured to address such issue</w:t>
      </w:r>
      <w:r w:rsidR="0006060E" w:rsidRPr="00F52CA3">
        <w:t>s</w:t>
      </w:r>
      <w:r w:rsidRPr="00F52CA3">
        <w:t xml:space="preserve">. </w:t>
      </w:r>
    </w:p>
    <w:p w14:paraId="6A455C4B" w14:textId="77777777" w:rsidR="00E77599" w:rsidRPr="00F52CA3" w:rsidRDefault="00E77599" w:rsidP="00DF4920"/>
    <w:p w14:paraId="35D8E987" w14:textId="4FE4A88F" w:rsidR="00DF4920" w:rsidRPr="00F52CA3" w:rsidRDefault="00DF4920" w:rsidP="00DF4920">
      <w:r w:rsidRPr="00F52CA3">
        <w:t xml:space="preserve">The second key issue that needs to be </w:t>
      </w:r>
      <w:r w:rsidR="0006060E" w:rsidRPr="00F52CA3">
        <w:t>tackled</w:t>
      </w:r>
      <w:r w:rsidRPr="00F52CA3">
        <w:t xml:space="preserve"> </w:t>
      </w:r>
      <w:proofErr w:type="gramStart"/>
      <w:r w:rsidRPr="00F52CA3">
        <w:t>in order to</w:t>
      </w:r>
      <w:proofErr w:type="gramEnd"/>
      <w:r w:rsidRPr="00F52CA3">
        <w:t xml:space="preserve"> address attraction and retention is concerned with </w:t>
      </w:r>
      <w:r w:rsidR="0006060E" w:rsidRPr="00F52CA3">
        <w:t xml:space="preserve">the demoralization of teachers upon entry into the profession. The subsumption of holistic learning by testing regimes and associated technocratic demands are not </w:t>
      </w:r>
      <w:r w:rsidR="003F779F" w:rsidRPr="00F52CA3">
        <w:t>meeting teachers’ moralistic or professional needs</w:t>
      </w:r>
      <w:r w:rsidR="0006060E" w:rsidRPr="00F52CA3">
        <w:t xml:space="preserve"> (</w:t>
      </w:r>
      <w:r w:rsidR="0006060E" w:rsidRPr="00F52CA3">
        <w:rPr>
          <w:color w:val="000000"/>
          <w:shd w:val="clear" w:color="auto" w:fill="FFFFFF"/>
        </w:rPr>
        <w:t>Au &amp; Gourd, 2013; Comber, 2012; Cormack &amp; Comber, 2013; Ewing, 2012b;</w:t>
      </w:r>
      <w:r w:rsidR="0006060E" w:rsidRPr="00F52CA3">
        <w:t xml:space="preserve"> Walker, 2018).</w:t>
      </w:r>
    </w:p>
    <w:p w14:paraId="6F936BBC" w14:textId="77777777" w:rsidR="003F779F" w:rsidRPr="00F52CA3" w:rsidRDefault="003F779F" w:rsidP="00DF4920"/>
    <w:p w14:paraId="4E048BAA" w14:textId="6AB7602C" w:rsidR="0006060E" w:rsidRPr="00F52CA3" w:rsidRDefault="0006060E" w:rsidP="00DF4920">
      <w:r w:rsidRPr="00F52CA3">
        <w:t xml:space="preserve">Finally, the preoccupation with </w:t>
      </w:r>
      <w:r w:rsidR="003F779F" w:rsidRPr="00F52CA3">
        <w:t xml:space="preserve">entry into ITE based on high pre-tertiary ranking scores detracts from the attraction of a wide range of potentially suitable candidates and is an unreliable selection tool (Goss &amp; </w:t>
      </w:r>
      <w:proofErr w:type="spellStart"/>
      <w:r w:rsidR="003F779F" w:rsidRPr="00F52CA3">
        <w:t>Sonnemann</w:t>
      </w:r>
      <w:proofErr w:type="spellEnd"/>
      <w:r w:rsidR="003F779F" w:rsidRPr="00F52CA3">
        <w:t>, 2019 in Gore, 2021). Moreover, this approach undermines any desire to diversify the teaching workforce.</w:t>
      </w:r>
    </w:p>
    <w:p w14:paraId="6673E330" w14:textId="77777777" w:rsidR="00DF4920" w:rsidRPr="00F52CA3" w:rsidRDefault="00DF4920" w:rsidP="00DF4920"/>
    <w:p w14:paraId="1FCB7B94" w14:textId="3564C7C7" w:rsidR="00DF4920" w:rsidRPr="00F52CA3" w:rsidRDefault="003F779F" w:rsidP="00DF4920">
      <w:r w:rsidRPr="00F52CA3">
        <w:rPr>
          <w:b/>
          <w:bCs/>
          <w:i/>
          <w:iCs/>
        </w:rPr>
        <w:t>Recommendation 2: Attraction and Retention</w:t>
      </w:r>
      <w:r w:rsidRPr="00F52CA3">
        <w:rPr>
          <w:b/>
          <w:bCs/>
          <w:i/>
          <w:iCs/>
        </w:rPr>
        <w:br/>
      </w:r>
      <w:r w:rsidRPr="00505B8E">
        <w:rPr>
          <w:b/>
          <w:bCs/>
        </w:rPr>
        <w:t>2A.</w:t>
      </w:r>
      <w:r w:rsidR="00DF4920" w:rsidRPr="00F52CA3">
        <w:t xml:space="preserve"> As a matter of urgency, government should work with employers and unions to restructure the profession of teaching to introduce a professional career trajectory that will incentivise people to join and stay </w:t>
      </w:r>
      <w:r w:rsidR="000B0B80" w:rsidRPr="00F52CA3">
        <w:t>in</w:t>
      </w:r>
      <w:r w:rsidR="00DF4920" w:rsidRPr="00F52CA3">
        <w:t xml:space="preserve"> the profession. The model adopted by the Singaporean government is an apt and proven model. </w:t>
      </w:r>
      <w:r w:rsidRPr="00F52CA3">
        <w:t>This should:</w:t>
      </w:r>
    </w:p>
    <w:p w14:paraId="7DD1CA37" w14:textId="084C81FE" w:rsidR="003F779F" w:rsidRPr="00F52CA3" w:rsidRDefault="003F779F" w:rsidP="003F779F">
      <w:pPr>
        <w:pStyle w:val="ListParagraph"/>
        <w:numPr>
          <w:ilvl w:val="0"/>
          <w:numId w:val="35"/>
        </w:numPr>
        <w:ind w:left="993"/>
      </w:pPr>
      <w:r w:rsidRPr="00F52CA3">
        <w:lastRenderedPageBreak/>
        <w:t>focus on provision of meaningful career trajectories within the profession</w:t>
      </w:r>
      <w:r w:rsidR="00C9775E" w:rsidRPr="00F52CA3">
        <w:t xml:space="preserve"> that would retain commitment to the profession and better attract career change candidates.</w:t>
      </w:r>
    </w:p>
    <w:p w14:paraId="7A23A52B" w14:textId="2F934BD3" w:rsidR="00C9775E" w:rsidRPr="00F52CA3" w:rsidRDefault="00C9775E" w:rsidP="003F779F">
      <w:pPr>
        <w:pStyle w:val="ListParagraph"/>
        <w:numPr>
          <w:ilvl w:val="0"/>
          <w:numId w:val="35"/>
        </w:numPr>
        <w:ind w:left="993"/>
      </w:pPr>
      <w:r w:rsidRPr="00F52CA3">
        <w:t>Enable specialised roles, potentially around mentoring, and/or boundary crosse</w:t>
      </w:r>
      <w:r w:rsidR="0012210B" w:rsidRPr="00F52CA3">
        <w:t xml:space="preserve">rs (e.g., see </w:t>
      </w:r>
      <w:r w:rsidR="007D35E8" w:rsidRPr="00F52CA3">
        <w:t>Clifton</w:t>
      </w:r>
      <w:r w:rsidRPr="00F52CA3">
        <w:t>,</w:t>
      </w:r>
      <w:r w:rsidR="0012210B" w:rsidRPr="00F52CA3">
        <w:t xml:space="preserve"> 2019; </w:t>
      </w:r>
      <w:proofErr w:type="spellStart"/>
      <w:r w:rsidR="0012210B" w:rsidRPr="00F52CA3">
        <w:t>Zeichner</w:t>
      </w:r>
      <w:proofErr w:type="spellEnd"/>
      <w:r w:rsidR="0012210B" w:rsidRPr="00F52CA3">
        <w:t xml:space="preserve">, 2021) </w:t>
      </w:r>
      <w:r w:rsidRPr="00F52CA3">
        <w:t>that work to better support preservice teachers and teachers in the practical components of ITE</w:t>
      </w:r>
      <w:r w:rsidR="0012210B" w:rsidRPr="00F52CA3">
        <w:t>.</w:t>
      </w:r>
    </w:p>
    <w:p w14:paraId="2518610F" w14:textId="77777777" w:rsidR="00E77599" w:rsidRPr="00F52CA3" w:rsidRDefault="00E77599" w:rsidP="007D35E8">
      <w:pPr>
        <w:ind w:left="426"/>
        <w:rPr>
          <w:i/>
          <w:iCs/>
        </w:rPr>
      </w:pPr>
    </w:p>
    <w:p w14:paraId="2EDAC06D" w14:textId="17F174BE" w:rsidR="007D35E8" w:rsidRPr="00F52CA3" w:rsidRDefault="007D35E8" w:rsidP="007D35E8">
      <w:pPr>
        <w:ind w:left="426"/>
        <w:rPr>
          <w:i/>
          <w:iCs/>
        </w:rPr>
      </w:pPr>
      <w:r w:rsidRPr="00F52CA3">
        <w:rPr>
          <w:i/>
          <w:iCs/>
        </w:rPr>
        <w:t>Terms of Reference Addressed: Part A Q1, Q2, Q3, Q5; Part B Q9</w:t>
      </w:r>
    </w:p>
    <w:p w14:paraId="0A379D99" w14:textId="77777777" w:rsidR="003F779F" w:rsidRPr="00F52CA3" w:rsidRDefault="003F779F" w:rsidP="00DF4920"/>
    <w:p w14:paraId="16D5BA95" w14:textId="044EF846" w:rsidR="003F779F" w:rsidRPr="00F52CA3" w:rsidRDefault="003F779F" w:rsidP="003F779F">
      <w:r w:rsidRPr="00505B8E">
        <w:rPr>
          <w:b/>
          <w:bCs/>
        </w:rPr>
        <w:t>2B.</w:t>
      </w:r>
      <w:r w:rsidRPr="00F52CA3">
        <w:t xml:space="preserve"> </w:t>
      </w:r>
      <w:r w:rsidR="00C9775E" w:rsidRPr="00F52CA3">
        <w:t>Cease the increasing</w:t>
      </w:r>
      <w:r w:rsidRPr="00F52CA3">
        <w:t xml:space="preserve"> </w:t>
      </w:r>
      <w:r w:rsidR="00DF4920" w:rsidRPr="00F52CA3">
        <w:t xml:space="preserve">regulation of teaching and the investment in </w:t>
      </w:r>
      <w:r w:rsidR="00C9775E" w:rsidRPr="00F52CA3">
        <w:t xml:space="preserve">standardised </w:t>
      </w:r>
      <w:r w:rsidR="00DF4920" w:rsidRPr="00F52CA3">
        <w:t>testing</w:t>
      </w:r>
      <w:r w:rsidR="00C9775E" w:rsidRPr="00F52CA3">
        <w:t xml:space="preserve"> in the wake of </w:t>
      </w:r>
      <w:r w:rsidR="00DF4920" w:rsidRPr="00F52CA3">
        <w:t xml:space="preserve">what this has achieved </w:t>
      </w:r>
      <w:r w:rsidRPr="00F52CA3">
        <w:t>given</w:t>
      </w:r>
      <w:r w:rsidR="00DF4920" w:rsidRPr="00F52CA3">
        <w:t xml:space="preserve"> national standards are in decline. </w:t>
      </w:r>
      <w:r w:rsidRPr="00F52CA3">
        <w:t>Call on organisations</w:t>
      </w:r>
      <w:r w:rsidR="00C9775E" w:rsidRPr="00F52CA3">
        <w:t>,</w:t>
      </w:r>
      <w:r w:rsidRPr="00F52CA3">
        <w:t xml:space="preserve"> such as ATEA</w:t>
      </w:r>
      <w:r w:rsidR="00C9775E" w:rsidRPr="00F52CA3">
        <w:t>,</w:t>
      </w:r>
      <w:r w:rsidRPr="00F52CA3">
        <w:t xml:space="preserve"> to provide research-based evidence to the profession as partners committed to excellence in education for all children and students in keeping with the UN Convention for the Rights of the Child (</w:t>
      </w:r>
      <w:r w:rsidR="0012210B" w:rsidRPr="00F52CA3">
        <w:t xml:space="preserve">United Nations, </w:t>
      </w:r>
      <w:r w:rsidRPr="00F52CA3">
        <w:t>19</w:t>
      </w:r>
      <w:r w:rsidR="0012210B" w:rsidRPr="00F52CA3">
        <w:t>89</w:t>
      </w:r>
      <w:r w:rsidRPr="00F52CA3">
        <w:t xml:space="preserve">) that calls on the broader society, (teachers) and governments to work towards providing every child with the best life that they can achieve. </w:t>
      </w:r>
      <w:r w:rsidR="00C9775E" w:rsidRPr="00F52CA3">
        <w:t>This would:</w:t>
      </w:r>
    </w:p>
    <w:p w14:paraId="25940CA7" w14:textId="33505398" w:rsidR="007D35E8" w:rsidRPr="00F52CA3" w:rsidRDefault="00C9775E" w:rsidP="007F2188">
      <w:pPr>
        <w:pStyle w:val="ListParagraph"/>
        <w:numPr>
          <w:ilvl w:val="0"/>
          <w:numId w:val="35"/>
        </w:numPr>
        <w:ind w:left="993"/>
      </w:pPr>
      <w:r w:rsidRPr="00F52CA3">
        <w:t>Increase teaching time and focus on holistic learning for children that better meets their diver</w:t>
      </w:r>
      <w:r w:rsidR="007F2188" w:rsidRPr="00F52CA3">
        <w:t>s</w:t>
      </w:r>
      <w:r w:rsidRPr="00F52CA3">
        <w:t>e needs</w:t>
      </w:r>
      <w:r w:rsidR="007F2188" w:rsidRPr="00F52CA3">
        <w:t xml:space="preserve"> and</w:t>
      </w:r>
      <w:r w:rsidR="00E77599" w:rsidRPr="00F52CA3">
        <w:t>,</w:t>
      </w:r>
      <w:r w:rsidR="007F2188" w:rsidRPr="00F52CA3">
        <w:t xml:space="preserve"> thus, r</w:t>
      </w:r>
      <w:r w:rsidRPr="00F52CA3">
        <w:t>estore the moral imperative that attracts and drives teachers’ vocational</w:t>
      </w:r>
      <w:r w:rsidR="007D35E8" w:rsidRPr="00F52CA3">
        <w:t xml:space="preserve"> and professional work</w:t>
      </w:r>
    </w:p>
    <w:p w14:paraId="5448B127" w14:textId="772B0F1D" w:rsidR="007F2188" w:rsidRPr="00F52CA3" w:rsidRDefault="007F2188" w:rsidP="007F2188">
      <w:pPr>
        <w:pStyle w:val="ListParagraph"/>
        <w:numPr>
          <w:ilvl w:val="0"/>
          <w:numId w:val="35"/>
        </w:numPr>
        <w:ind w:left="993"/>
      </w:pPr>
      <w:r w:rsidRPr="00F52CA3">
        <w:t>Enable additional and alternative forms of evidence on which to base evaluation of learning outcomes and teacher and teaching quality</w:t>
      </w:r>
    </w:p>
    <w:p w14:paraId="40EC0AE9" w14:textId="77777777" w:rsidR="00E77599" w:rsidRPr="00F52CA3" w:rsidRDefault="00E77599" w:rsidP="007D35E8">
      <w:pPr>
        <w:ind w:left="426"/>
        <w:rPr>
          <w:i/>
          <w:iCs/>
        </w:rPr>
      </w:pPr>
    </w:p>
    <w:p w14:paraId="41BA88EA" w14:textId="2BA3AB36" w:rsidR="007D35E8" w:rsidRPr="00F52CA3" w:rsidRDefault="007D35E8" w:rsidP="007D35E8">
      <w:pPr>
        <w:ind w:left="426"/>
        <w:rPr>
          <w:i/>
          <w:iCs/>
        </w:rPr>
      </w:pPr>
      <w:r w:rsidRPr="00F52CA3">
        <w:rPr>
          <w:i/>
          <w:iCs/>
        </w:rPr>
        <w:t xml:space="preserve">Terms of Reference Addressed: Part A Q1, Q3, Q5; Part B </w:t>
      </w:r>
      <w:r w:rsidR="007F2188" w:rsidRPr="00F52CA3">
        <w:rPr>
          <w:i/>
          <w:iCs/>
        </w:rPr>
        <w:t>Q6</w:t>
      </w:r>
    </w:p>
    <w:p w14:paraId="155B2D3A" w14:textId="77777777" w:rsidR="007D35E8" w:rsidRPr="00F52CA3" w:rsidRDefault="007D35E8" w:rsidP="00DF4920"/>
    <w:p w14:paraId="0D03D59E" w14:textId="4F2DE188" w:rsidR="007D35E8" w:rsidRPr="00F52CA3" w:rsidRDefault="003F779F" w:rsidP="003F779F">
      <w:r w:rsidRPr="00505B8E">
        <w:rPr>
          <w:b/>
          <w:bCs/>
        </w:rPr>
        <w:t>2</w:t>
      </w:r>
      <w:r w:rsidR="007D35E8" w:rsidRPr="00505B8E">
        <w:rPr>
          <w:b/>
          <w:bCs/>
        </w:rPr>
        <w:t>C</w:t>
      </w:r>
      <w:r w:rsidRPr="00505B8E">
        <w:rPr>
          <w:b/>
          <w:bCs/>
        </w:rPr>
        <w:t>.</w:t>
      </w:r>
      <w:r w:rsidRPr="00F52CA3">
        <w:t xml:space="preserve"> </w:t>
      </w:r>
      <w:r w:rsidR="007D35E8" w:rsidRPr="00F52CA3">
        <w:t>Reduce the focus on pre-tertiary entry requirements and standardised performance testing and strengthen other entry pathways into the profession. Consideration of recommendations from previous reports to government</w:t>
      </w:r>
      <w:r w:rsidR="007F2188" w:rsidRPr="00F52CA3">
        <w:t xml:space="preserve"> should inform this</w:t>
      </w:r>
      <w:r w:rsidR="007D35E8" w:rsidRPr="00F52CA3">
        <w:t xml:space="preserve"> (e.g., MATSITI report, Johnson et al, 2016). This would:</w:t>
      </w:r>
    </w:p>
    <w:p w14:paraId="020A181E" w14:textId="470C2669" w:rsidR="007D35E8" w:rsidRPr="00F52CA3" w:rsidRDefault="007D35E8" w:rsidP="007D35E8">
      <w:pPr>
        <w:pStyle w:val="ListParagraph"/>
        <w:numPr>
          <w:ilvl w:val="0"/>
          <w:numId w:val="39"/>
        </w:numPr>
      </w:pPr>
      <w:r w:rsidRPr="00F52CA3">
        <w:t>e</w:t>
      </w:r>
      <w:r w:rsidR="00E1032B" w:rsidRPr="00F52CA3">
        <w:t xml:space="preserve">ncourage </w:t>
      </w:r>
      <w:r w:rsidRPr="00F52CA3">
        <w:t xml:space="preserve">a more </w:t>
      </w:r>
      <w:r w:rsidR="00E1032B" w:rsidRPr="00F52CA3">
        <w:t>diverse</w:t>
      </w:r>
      <w:r w:rsidRPr="00F52CA3">
        <w:t xml:space="preserve"> pool of</w:t>
      </w:r>
      <w:r w:rsidR="00E1032B" w:rsidRPr="00F52CA3">
        <w:t xml:space="preserve"> candidates that </w:t>
      </w:r>
      <w:r w:rsidRPr="00F52CA3">
        <w:t xml:space="preserve">would better </w:t>
      </w:r>
      <w:r w:rsidR="00E1032B" w:rsidRPr="00F52CA3">
        <w:t>re</w:t>
      </w:r>
      <w:r w:rsidRPr="00F52CA3">
        <w:t>cognise and reflect</w:t>
      </w:r>
      <w:r w:rsidR="00E1032B" w:rsidRPr="00F52CA3">
        <w:t xml:space="preserve"> the diversity of contexts in which teachers need to work to meet growing national demand.</w:t>
      </w:r>
    </w:p>
    <w:p w14:paraId="0BC42963" w14:textId="06A64546" w:rsidR="00E1032B" w:rsidRPr="00F52CA3" w:rsidRDefault="00505B8E" w:rsidP="007D35E8">
      <w:pPr>
        <w:pStyle w:val="ListParagraph"/>
        <w:numPr>
          <w:ilvl w:val="0"/>
          <w:numId w:val="38"/>
        </w:numPr>
      </w:pPr>
      <w:r>
        <w:t>r</w:t>
      </w:r>
      <w:r w:rsidR="00E1032B" w:rsidRPr="00F52CA3">
        <w:t>ecognise the value-adding potential of ITE to shape quality teachers for the profession</w:t>
      </w:r>
      <w:r w:rsidR="007D35E8" w:rsidRPr="00F52CA3">
        <w:t xml:space="preserve"> (particularly if recommendations concerned with the Partnerships theme above are observed)</w:t>
      </w:r>
    </w:p>
    <w:p w14:paraId="70978CB6" w14:textId="55DD8E1C" w:rsidR="007D35E8" w:rsidRPr="00F52CA3" w:rsidRDefault="00505B8E" w:rsidP="007D35E8">
      <w:pPr>
        <w:pStyle w:val="ListParagraph"/>
        <w:numPr>
          <w:ilvl w:val="0"/>
          <w:numId w:val="38"/>
        </w:numPr>
      </w:pPr>
      <w:r>
        <w:t>a</w:t>
      </w:r>
      <w:r w:rsidR="007D35E8" w:rsidRPr="00F52CA3">
        <w:t>ttract a larger number of potential candidates to meet the growing demand for teachers both nationally and internationally.</w:t>
      </w:r>
    </w:p>
    <w:p w14:paraId="4C94CB80" w14:textId="14A028BF" w:rsidR="007F2188" w:rsidRPr="00F52CA3" w:rsidRDefault="007F2188" w:rsidP="007F2188">
      <w:pPr>
        <w:ind w:left="426"/>
        <w:rPr>
          <w:i/>
          <w:iCs/>
        </w:rPr>
      </w:pPr>
      <w:r w:rsidRPr="00F52CA3">
        <w:rPr>
          <w:i/>
          <w:iCs/>
        </w:rPr>
        <w:t>Terms of Reference Addressed: Part A Q1, Q2, Q5; Part B Q6, Q7</w:t>
      </w:r>
    </w:p>
    <w:p w14:paraId="5AE6FBB0" w14:textId="77777777" w:rsidR="003F779F" w:rsidRPr="00F52CA3" w:rsidRDefault="003F779F" w:rsidP="003F779F"/>
    <w:p w14:paraId="4220B2E8" w14:textId="6DF4433A" w:rsidR="007F2188" w:rsidRPr="00F52CA3" w:rsidRDefault="007F2188" w:rsidP="007F2188">
      <w:r w:rsidRPr="00505B8E">
        <w:rPr>
          <w:b/>
          <w:bCs/>
        </w:rPr>
        <w:t>2D.</w:t>
      </w:r>
      <w:r w:rsidRPr="00F52CA3">
        <w:t xml:space="preserve"> </w:t>
      </w:r>
      <w:r w:rsidR="00E1032B" w:rsidRPr="00F52CA3">
        <w:t xml:space="preserve">Address the increasing </w:t>
      </w:r>
      <w:proofErr w:type="spellStart"/>
      <w:r w:rsidR="00E1032B" w:rsidRPr="00F52CA3">
        <w:t>sessionalisation</w:t>
      </w:r>
      <w:proofErr w:type="spellEnd"/>
      <w:r w:rsidR="00E1032B" w:rsidRPr="00F52CA3">
        <w:t xml:space="preserve"> of the ITE profession </w:t>
      </w:r>
      <w:r w:rsidR="0012210B" w:rsidRPr="00F52CA3">
        <w:t xml:space="preserve">by providing </w:t>
      </w:r>
      <w:r w:rsidR="00E1032B" w:rsidRPr="00F52CA3">
        <w:t xml:space="preserve">increased funding for </w:t>
      </w:r>
      <w:r w:rsidR="0012210B" w:rsidRPr="00F52CA3">
        <w:t xml:space="preserve">supply of high-quality academic </w:t>
      </w:r>
      <w:r w:rsidR="00E1032B" w:rsidRPr="00F52CA3">
        <w:t>staffing</w:t>
      </w:r>
      <w:r w:rsidR="0012210B" w:rsidRPr="00F52CA3">
        <w:t>. This would help</w:t>
      </w:r>
      <w:r w:rsidRPr="00F52CA3">
        <w:t xml:space="preserve"> to ensure </w:t>
      </w:r>
      <w:r w:rsidR="0012210B" w:rsidRPr="00F52CA3">
        <w:t>sufficient staff are employed in out of teaching times to conduct non-teaching aspects of ITE work that supports ITE program design, implementation, and evaluation</w:t>
      </w:r>
      <w:r w:rsidRPr="00F52CA3">
        <w:t>. This would</w:t>
      </w:r>
      <w:r w:rsidR="00220CCE" w:rsidRPr="00F52CA3">
        <w:t xml:space="preserve"> </w:t>
      </w:r>
      <w:r w:rsidR="00E1032B" w:rsidRPr="00F52CA3">
        <w:t>enhance support for ITE candidates by</w:t>
      </w:r>
      <w:r w:rsidRPr="00F52CA3">
        <w:t>:</w:t>
      </w:r>
    </w:p>
    <w:p w14:paraId="430D3719" w14:textId="48F84ED1" w:rsidR="007F2188" w:rsidRPr="00F52CA3" w:rsidRDefault="00E1032B" w:rsidP="007F2188">
      <w:pPr>
        <w:pStyle w:val="ListParagraph"/>
        <w:numPr>
          <w:ilvl w:val="0"/>
          <w:numId w:val="40"/>
        </w:numPr>
      </w:pPr>
      <w:r w:rsidRPr="00F52CA3">
        <w:t>increasing cohesive program preparation</w:t>
      </w:r>
      <w:r w:rsidR="00220CCE" w:rsidRPr="00F52CA3">
        <w:t xml:space="preserve">, </w:t>
      </w:r>
      <w:proofErr w:type="gramStart"/>
      <w:r w:rsidRPr="00F52CA3">
        <w:t>implementation</w:t>
      </w:r>
      <w:proofErr w:type="gramEnd"/>
      <w:r w:rsidR="007F2188" w:rsidRPr="00F52CA3">
        <w:t xml:space="preserve"> and </w:t>
      </w:r>
      <w:r w:rsidR="00220CCE" w:rsidRPr="00F52CA3">
        <w:t>evidence-based evaluation to ensure a higher quality, supported experience of ITE for its candidates</w:t>
      </w:r>
    </w:p>
    <w:p w14:paraId="5C1F1156" w14:textId="77777777" w:rsidR="00220CCE" w:rsidRPr="00F52CA3" w:rsidRDefault="00E1032B" w:rsidP="007F2188">
      <w:pPr>
        <w:pStyle w:val="ListParagraph"/>
        <w:numPr>
          <w:ilvl w:val="0"/>
          <w:numId w:val="40"/>
        </w:numPr>
      </w:pPr>
      <w:r w:rsidRPr="00F52CA3">
        <w:t>support</w:t>
      </w:r>
      <w:r w:rsidR="00220CCE" w:rsidRPr="00F52CA3">
        <w:t>ing investment in</w:t>
      </w:r>
      <w:r w:rsidRPr="00F52CA3">
        <w:t xml:space="preserve"> the building of relationships and partnerships</w:t>
      </w:r>
      <w:r w:rsidR="00220CCE" w:rsidRPr="00F52CA3">
        <w:t xml:space="preserve"> with schools and community stakeholders that subsequently enrich ITE programs</w:t>
      </w:r>
    </w:p>
    <w:p w14:paraId="3172CE94" w14:textId="6B758C75" w:rsidR="00E1032B" w:rsidRPr="00F52CA3" w:rsidRDefault="00220CCE" w:rsidP="007F2188">
      <w:pPr>
        <w:pStyle w:val="ListParagraph"/>
        <w:numPr>
          <w:ilvl w:val="0"/>
          <w:numId w:val="40"/>
        </w:numPr>
      </w:pPr>
      <w:r w:rsidRPr="00F52CA3">
        <w:t>enable increased engagement in the profession to work in collaborative professional learning programs with schools and teachers</w:t>
      </w:r>
    </w:p>
    <w:p w14:paraId="179A5B0B" w14:textId="1A78F42E" w:rsidR="00220CCE" w:rsidRPr="00F52CA3" w:rsidRDefault="00220CCE" w:rsidP="007F2188">
      <w:pPr>
        <w:pStyle w:val="ListParagraph"/>
        <w:numPr>
          <w:ilvl w:val="0"/>
          <w:numId w:val="40"/>
        </w:numPr>
      </w:pPr>
      <w:r w:rsidRPr="00F52CA3">
        <w:t>increase ITE staff to market the profession and programs to attract candidates.</w:t>
      </w:r>
    </w:p>
    <w:p w14:paraId="1C6BBFC9" w14:textId="77777777" w:rsidR="00E1032B" w:rsidRPr="00F52CA3" w:rsidRDefault="00E1032B" w:rsidP="00E1032B"/>
    <w:p w14:paraId="21DE6280" w14:textId="7B497997" w:rsidR="00220CCE" w:rsidRPr="00F52CA3" w:rsidRDefault="00220CCE" w:rsidP="00220CCE">
      <w:pPr>
        <w:ind w:left="426"/>
        <w:rPr>
          <w:i/>
          <w:iCs/>
        </w:rPr>
      </w:pPr>
      <w:r w:rsidRPr="00F52CA3">
        <w:rPr>
          <w:i/>
          <w:iCs/>
        </w:rPr>
        <w:t>Terms of Reference Addressed: Part A Q1, Q3; Part B Q6, Q7, Q10.</w:t>
      </w:r>
    </w:p>
    <w:p w14:paraId="6B07C2F3" w14:textId="77777777" w:rsidR="000F7B67" w:rsidRPr="00F52CA3" w:rsidRDefault="000F7B67" w:rsidP="000F7B67"/>
    <w:p w14:paraId="0476F9A5" w14:textId="77777777" w:rsidR="0080066A" w:rsidRDefault="0080066A" w:rsidP="000F7B67">
      <w:pPr>
        <w:rPr>
          <w:b/>
          <w:bCs/>
          <w:sz w:val="28"/>
          <w:szCs w:val="28"/>
          <w:u w:val="single"/>
        </w:rPr>
      </w:pPr>
      <w:r>
        <w:rPr>
          <w:b/>
          <w:bCs/>
          <w:sz w:val="28"/>
          <w:szCs w:val="28"/>
          <w:u w:val="single"/>
        </w:rPr>
        <w:br w:type="page"/>
      </w:r>
    </w:p>
    <w:p w14:paraId="23CEE1EF" w14:textId="74232CB4" w:rsidR="000F7B67" w:rsidRPr="00F52CA3" w:rsidRDefault="000F7B67" w:rsidP="000F7B67">
      <w:pPr>
        <w:rPr>
          <w:b/>
          <w:bCs/>
          <w:sz w:val="28"/>
          <w:szCs w:val="28"/>
          <w:u w:val="single"/>
        </w:rPr>
      </w:pPr>
      <w:r w:rsidRPr="00F52CA3">
        <w:rPr>
          <w:b/>
          <w:bCs/>
          <w:sz w:val="28"/>
          <w:szCs w:val="28"/>
          <w:u w:val="single"/>
        </w:rPr>
        <w:lastRenderedPageBreak/>
        <w:t xml:space="preserve">Conclusion </w:t>
      </w:r>
    </w:p>
    <w:p w14:paraId="573D1260" w14:textId="02FB9412" w:rsidR="00782E34" w:rsidRPr="00F52CA3" w:rsidRDefault="00782E34" w:rsidP="000F7B67"/>
    <w:p w14:paraId="0B7B1E3C" w14:textId="77777777" w:rsidR="00782E34" w:rsidRPr="00F52CA3" w:rsidRDefault="000F7B67" w:rsidP="00782E34">
      <w:r w:rsidRPr="00F52CA3">
        <w:t xml:space="preserve">ATEA can contribute </w:t>
      </w:r>
      <w:r w:rsidR="00DF4920" w:rsidRPr="00F52CA3">
        <w:t>to</w:t>
      </w:r>
      <w:r w:rsidRPr="00F52CA3">
        <w:t xml:space="preserve"> the enhancement of the teaching profession through</w:t>
      </w:r>
      <w:r w:rsidR="00782E34" w:rsidRPr="00F52CA3">
        <w:t xml:space="preserve"> </w:t>
      </w:r>
      <w:proofErr w:type="gramStart"/>
      <w:r w:rsidR="00782E34" w:rsidRPr="00F52CA3">
        <w:t>a number of</w:t>
      </w:r>
      <w:proofErr w:type="gramEnd"/>
      <w:r w:rsidR="00782E34" w:rsidRPr="00F52CA3">
        <w:t xml:space="preserve"> avenues. These include:</w:t>
      </w:r>
    </w:p>
    <w:p w14:paraId="52BE58D4" w14:textId="2CDD0C0F" w:rsidR="000F7B67" w:rsidRPr="00F52CA3" w:rsidRDefault="00782E34" w:rsidP="00782E34">
      <w:pPr>
        <w:pStyle w:val="ListParagraph"/>
        <w:numPr>
          <w:ilvl w:val="0"/>
          <w:numId w:val="41"/>
        </w:numPr>
      </w:pPr>
      <w:r w:rsidRPr="00F52CA3">
        <w:t>Ongoing</w:t>
      </w:r>
      <w:r w:rsidR="000F7B67" w:rsidRPr="00F52CA3">
        <w:t xml:space="preserve"> provision of evidence through the following activities</w:t>
      </w:r>
      <w:r w:rsidR="00C03C7F" w:rsidRPr="00F52CA3">
        <w:t>:</w:t>
      </w:r>
      <w:r w:rsidR="000F7B67" w:rsidRPr="00F52CA3">
        <w:t xml:space="preserve"> </w:t>
      </w:r>
    </w:p>
    <w:p w14:paraId="6B629009" w14:textId="2004C6E2" w:rsidR="000F7B67" w:rsidRPr="00F52CA3" w:rsidRDefault="000F7B67" w:rsidP="000F7B67">
      <w:pPr>
        <w:pStyle w:val="ListParagraph"/>
        <w:numPr>
          <w:ilvl w:val="0"/>
          <w:numId w:val="12"/>
        </w:numPr>
      </w:pPr>
      <w:r w:rsidRPr="00F52CA3">
        <w:t xml:space="preserve">Q1 </w:t>
      </w:r>
      <w:r w:rsidR="00C03C7F" w:rsidRPr="00F52CA3">
        <w:t>j</w:t>
      </w:r>
      <w:r w:rsidRPr="00F52CA3">
        <w:t>ournal</w:t>
      </w:r>
      <w:r w:rsidR="00C03C7F" w:rsidRPr="00F52CA3">
        <w:t xml:space="preserve"> -</w:t>
      </w:r>
      <w:r w:rsidRPr="00F52CA3">
        <w:t xml:space="preserve"> Asia-Pacific Journal of Teacher Education </w:t>
      </w:r>
    </w:p>
    <w:p w14:paraId="3F3C8D00" w14:textId="77777777" w:rsidR="000F7B67" w:rsidRPr="00F52CA3" w:rsidRDefault="000F7B67" w:rsidP="000F7B67">
      <w:pPr>
        <w:pStyle w:val="ListParagraph"/>
        <w:numPr>
          <w:ilvl w:val="0"/>
          <w:numId w:val="12"/>
        </w:numPr>
      </w:pPr>
      <w:r w:rsidRPr="00F52CA3">
        <w:t xml:space="preserve">Annual book with Springer and soon to be released book series </w:t>
      </w:r>
    </w:p>
    <w:p w14:paraId="10FA09DA" w14:textId="4E705980" w:rsidR="000F7B67" w:rsidRPr="00F52CA3" w:rsidRDefault="00782E34" w:rsidP="000F7B67">
      <w:pPr>
        <w:pStyle w:val="ListParagraph"/>
        <w:numPr>
          <w:ilvl w:val="0"/>
          <w:numId w:val="12"/>
        </w:numPr>
      </w:pPr>
      <w:r w:rsidRPr="00F52CA3">
        <w:t>Annual conference for teachers and teacher educators to share evidence-informed practice and initiatives</w:t>
      </w:r>
      <w:r w:rsidR="000F7B67" w:rsidRPr="00F52CA3">
        <w:t xml:space="preserve"> </w:t>
      </w:r>
    </w:p>
    <w:p w14:paraId="6358A34B" w14:textId="1781F332" w:rsidR="000F7B67" w:rsidRPr="00F52CA3" w:rsidRDefault="000F7B67" w:rsidP="000F7B67">
      <w:pPr>
        <w:pStyle w:val="ListParagraph"/>
        <w:numPr>
          <w:ilvl w:val="0"/>
          <w:numId w:val="12"/>
        </w:numPr>
      </w:pPr>
      <w:r w:rsidRPr="00F52CA3">
        <w:t xml:space="preserve">Awards </w:t>
      </w:r>
      <w:r w:rsidR="00782E34" w:rsidRPr="00F52CA3">
        <w:t xml:space="preserve">for excellence </w:t>
      </w:r>
      <w:r w:rsidRPr="00F52CA3">
        <w:t xml:space="preserve">– </w:t>
      </w:r>
      <w:r w:rsidR="00782E34" w:rsidRPr="00F52CA3">
        <w:t xml:space="preserve">(e.g., </w:t>
      </w:r>
      <w:r w:rsidRPr="00F52CA3">
        <w:t>teacher educator</w:t>
      </w:r>
      <w:r w:rsidR="00782E34" w:rsidRPr="00F52CA3">
        <w:t xml:space="preserve"> of the year award)</w:t>
      </w:r>
      <w:r w:rsidRPr="00F52CA3">
        <w:t xml:space="preserve"> </w:t>
      </w:r>
    </w:p>
    <w:p w14:paraId="5A7D6FCD" w14:textId="17C55EC5" w:rsidR="000F7B67" w:rsidRPr="00F52CA3" w:rsidRDefault="000F7B67" w:rsidP="000F7B67">
      <w:pPr>
        <w:pStyle w:val="ListParagraph"/>
        <w:numPr>
          <w:ilvl w:val="0"/>
          <w:numId w:val="12"/>
        </w:numPr>
      </w:pPr>
      <w:r w:rsidRPr="00F52CA3">
        <w:t xml:space="preserve">Grants and support </w:t>
      </w:r>
      <w:r w:rsidR="00782E34" w:rsidRPr="00F52CA3">
        <w:t xml:space="preserve">for </w:t>
      </w:r>
      <w:r w:rsidRPr="00F52CA3">
        <w:t xml:space="preserve">early career researchers </w:t>
      </w:r>
    </w:p>
    <w:p w14:paraId="1936F978" w14:textId="724E8FE9" w:rsidR="000F7B67" w:rsidRPr="00F52CA3" w:rsidRDefault="000F7B67" w:rsidP="000F7B67">
      <w:pPr>
        <w:pStyle w:val="ListParagraph"/>
        <w:numPr>
          <w:ilvl w:val="0"/>
          <w:numId w:val="12"/>
        </w:numPr>
      </w:pPr>
      <w:r w:rsidRPr="00F52CA3">
        <w:t>Professional development for teachers and teacher educators</w:t>
      </w:r>
    </w:p>
    <w:p w14:paraId="40D333AF" w14:textId="77777777" w:rsidR="00782E34" w:rsidRPr="00F52CA3" w:rsidRDefault="00782E34" w:rsidP="000F7B67"/>
    <w:p w14:paraId="6F867CDB" w14:textId="23B56A77" w:rsidR="000F7B67" w:rsidRPr="00F52CA3" w:rsidRDefault="000F7B67" w:rsidP="00782E34">
      <w:r w:rsidRPr="00F52CA3">
        <w:t xml:space="preserve">We see opportunities to explore more ways to translate </w:t>
      </w:r>
      <w:r w:rsidR="00C03C7F" w:rsidRPr="00F52CA3">
        <w:t xml:space="preserve">our </w:t>
      </w:r>
      <w:r w:rsidRPr="00F52CA3">
        <w:t xml:space="preserve">research work into formats that contribute to evidence-informed practice in schools and university teacher education. </w:t>
      </w:r>
      <w:r w:rsidR="00782E34" w:rsidRPr="00F52CA3">
        <w:t xml:space="preserve">We also see that ATEA could have a role to </w:t>
      </w:r>
      <w:r w:rsidR="00482A9E">
        <w:t xml:space="preserve">work on behalf </w:t>
      </w:r>
      <w:proofErr w:type="gramStart"/>
      <w:r w:rsidR="00482A9E">
        <w:t xml:space="preserve">of </w:t>
      </w:r>
      <w:r w:rsidR="00782E34" w:rsidRPr="00F52CA3">
        <w:t xml:space="preserve"> the</w:t>
      </w:r>
      <w:proofErr w:type="gramEnd"/>
      <w:r w:rsidR="00782E34" w:rsidRPr="00F52CA3">
        <w:t xml:space="preserve"> federal government</w:t>
      </w:r>
      <w:r w:rsidR="00505B8E">
        <w:t>,</w:t>
      </w:r>
      <w:r w:rsidR="00782E34" w:rsidRPr="00F52CA3">
        <w:t xml:space="preserve"> with states and territories to explore ways for meaningful engagement between schools and university teacher education that go beyond professional experience. </w:t>
      </w:r>
      <w:r w:rsidRPr="00F52CA3">
        <w:t xml:space="preserve">ATEA would be keen to explore with the federal government support for this research translation work to be undertaken and accessible to teachers, preservice teachers and teacher educators. Specifically, the members of ATEA are keen to work with the federal government to explore ways to: </w:t>
      </w:r>
    </w:p>
    <w:p w14:paraId="1570C304" w14:textId="77777777" w:rsidR="000F7B67" w:rsidRPr="00F52CA3" w:rsidRDefault="000F7B67" w:rsidP="00782E34">
      <w:pPr>
        <w:pStyle w:val="ListParagraph"/>
        <w:numPr>
          <w:ilvl w:val="1"/>
          <w:numId w:val="9"/>
        </w:numPr>
        <w:ind w:left="1134"/>
      </w:pPr>
      <w:r w:rsidRPr="00F52CA3">
        <w:t xml:space="preserve">diversify the teacher education student population to align more closely with the diversity of the student population in schools. </w:t>
      </w:r>
    </w:p>
    <w:p w14:paraId="21F621D5" w14:textId="77777777" w:rsidR="000F7B67" w:rsidRPr="00F52CA3" w:rsidRDefault="000F7B67" w:rsidP="00782E34">
      <w:pPr>
        <w:pStyle w:val="ListParagraph"/>
        <w:numPr>
          <w:ilvl w:val="1"/>
          <w:numId w:val="9"/>
        </w:numPr>
        <w:ind w:left="1134"/>
      </w:pPr>
      <w:r w:rsidRPr="00F52CA3">
        <w:t xml:space="preserve">examine new and different ways to diversify the population of our teaching workforce. </w:t>
      </w:r>
    </w:p>
    <w:p w14:paraId="7A7CB6C0" w14:textId="77777777" w:rsidR="000F7B67" w:rsidRPr="00F52CA3" w:rsidRDefault="000F7B67" w:rsidP="00782E34">
      <w:pPr>
        <w:pStyle w:val="ListParagraph"/>
        <w:numPr>
          <w:ilvl w:val="1"/>
          <w:numId w:val="9"/>
        </w:numPr>
        <w:ind w:left="1134"/>
      </w:pPr>
      <w:r w:rsidRPr="00F52CA3">
        <w:t>explore why teachers</w:t>
      </w:r>
      <w:r w:rsidRPr="00F52CA3">
        <w:rPr>
          <w:color w:val="000000"/>
        </w:rPr>
        <w:t xml:space="preserve"> who complete teacher education programs do not enter or leave teaching after 5 years.</w:t>
      </w:r>
    </w:p>
    <w:p w14:paraId="1D7BE3CE" w14:textId="77777777" w:rsidR="000F7B67" w:rsidRPr="00F52CA3" w:rsidRDefault="000F7B67" w:rsidP="00782E34">
      <w:pPr>
        <w:pStyle w:val="ListParagraph"/>
        <w:numPr>
          <w:ilvl w:val="1"/>
          <w:numId w:val="9"/>
        </w:numPr>
        <w:ind w:left="1134"/>
      </w:pPr>
      <w:r w:rsidRPr="00F52CA3">
        <w:t xml:space="preserve">generate a national forum to explore how teachers, principals and schools can support ITE students during their program of study. </w:t>
      </w:r>
    </w:p>
    <w:p w14:paraId="507A4CBF" w14:textId="026673D4" w:rsidR="00002B6F" w:rsidRPr="00F52CA3" w:rsidRDefault="00002B6F" w:rsidP="00AC335C"/>
    <w:p w14:paraId="63833812" w14:textId="2E5A8917" w:rsidR="00782E34" w:rsidRPr="00F52CA3" w:rsidRDefault="00782E34" w:rsidP="00782E34">
      <w:r w:rsidRPr="00F52CA3">
        <w:t xml:space="preserve">This response to the QITE Review Discussion paper and Terms of Reference addresses key themes of partnerships and attraction and retention of teachers. It considers the evidence-base that identifies core, systemic issues that currently detract from the profession’s esteem and effectiveness in meeting growing national demand for quality teaching. We propose the above recommendations as a collective of initiatives that would best work together to enhance the already good work that teacher education and schools do to support the future of the profession. Policy and structural change </w:t>
      </w:r>
      <w:r w:rsidR="00C03C7F" w:rsidRPr="00F52CA3">
        <w:t>are</w:t>
      </w:r>
      <w:r w:rsidRPr="00F52CA3">
        <w:t xml:space="preserve"> needed to better support that work.</w:t>
      </w:r>
    </w:p>
    <w:p w14:paraId="2F762C03" w14:textId="77777777" w:rsidR="00782E34" w:rsidRPr="00F52CA3" w:rsidRDefault="00782E34" w:rsidP="00AC335C"/>
    <w:p w14:paraId="1F377700" w14:textId="77777777" w:rsidR="00B054ED" w:rsidRPr="00F52CA3" w:rsidRDefault="00B054ED">
      <w:pPr>
        <w:rPr>
          <w:b/>
          <w:bCs/>
        </w:rPr>
        <w:sectPr w:rsidR="00B054ED" w:rsidRPr="00F52CA3" w:rsidSect="008873A2">
          <w:pgSz w:w="11906" w:h="16838"/>
          <w:pgMar w:top="1440" w:right="1080" w:bottom="1440" w:left="1080" w:header="708" w:footer="708" w:gutter="0"/>
          <w:cols w:space="708"/>
          <w:docGrid w:linePitch="360"/>
        </w:sectPr>
      </w:pPr>
    </w:p>
    <w:p w14:paraId="192CBA44" w14:textId="6180A499" w:rsidR="00AC335C" w:rsidRPr="00F52CA3" w:rsidRDefault="007B4840">
      <w:pPr>
        <w:rPr>
          <w:b/>
          <w:bCs/>
        </w:rPr>
      </w:pPr>
      <w:r w:rsidRPr="00F52CA3">
        <w:rPr>
          <w:b/>
          <w:bCs/>
        </w:rPr>
        <w:lastRenderedPageBreak/>
        <w:t>References</w:t>
      </w:r>
    </w:p>
    <w:p w14:paraId="07540216" w14:textId="77777777" w:rsidR="00AC3CAE" w:rsidRPr="00F52CA3" w:rsidRDefault="00AC3CAE" w:rsidP="000D7D85">
      <w:pPr>
        <w:rPr>
          <w:color w:val="000000"/>
          <w:shd w:val="clear" w:color="auto" w:fill="FFFFFF"/>
        </w:rPr>
      </w:pPr>
    </w:p>
    <w:p w14:paraId="4A9633B0" w14:textId="183C2744" w:rsidR="000D7D85" w:rsidRPr="000D7D85" w:rsidRDefault="000D7D85" w:rsidP="00F52CA3">
      <w:pPr>
        <w:spacing w:after="120"/>
        <w:ind w:left="567" w:hanging="567"/>
        <w:rPr>
          <w:color w:val="000000"/>
          <w:shd w:val="clear" w:color="auto" w:fill="FFFFFF"/>
          <w:lang w:eastAsia="en-US"/>
        </w:rPr>
      </w:pPr>
      <w:r w:rsidRPr="000D7D85">
        <w:rPr>
          <w:color w:val="000000"/>
          <w:shd w:val="clear" w:color="auto" w:fill="FFFFFF"/>
          <w:lang w:eastAsia="en-US"/>
        </w:rPr>
        <w:t>Au, W., &amp; Gourd, K. (2013). Asinine assessment: Why high-stakes testing is bad for everyone, including English teachers.</w:t>
      </w:r>
      <w:r w:rsidRPr="00F52CA3">
        <w:rPr>
          <w:color w:val="000000"/>
          <w:shd w:val="clear" w:color="auto" w:fill="FFFFFF"/>
          <w:lang w:eastAsia="en-US"/>
        </w:rPr>
        <w:t xml:space="preserve"> </w:t>
      </w:r>
      <w:r w:rsidRPr="000D7D85">
        <w:rPr>
          <w:i/>
          <w:iCs/>
          <w:color w:val="000000"/>
          <w:shd w:val="clear" w:color="auto" w:fill="FFFFFF"/>
          <w:lang w:eastAsia="en-US"/>
        </w:rPr>
        <w:t>English Journal</w:t>
      </w:r>
      <w:r w:rsidRPr="000D7D85">
        <w:rPr>
          <w:color w:val="000000"/>
          <w:shd w:val="clear" w:color="auto" w:fill="FFFFFF"/>
          <w:lang w:eastAsia="en-US"/>
        </w:rPr>
        <w:t xml:space="preserve">, </w:t>
      </w:r>
      <w:r w:rsidRPr="00F52CA3">
        <w:rPr>
          <w:i/>
          <w:iCs/>
          <w:color w:val="000000"/>
          <w:shd w:val="clear" w:color="auto" w:fill="FFFFFF"/>
          <w:lang w:eastAsia="en-US"/>
        </w:rPr>
        <w:t>103</w:t>
      </w:r>
      <w:r w:rsidRPr="00F52CA3">
        <w:rPr>
          <w:color w:val="000000"/>
          <w:shd w:val="clear" w:color="auto" w:fill="FFFFFF"/>
          <w:lang w:eastAsia="en-US"/>
        </w:rPr>
        <w:t xml:space="preserve">(1), </w:t>
      </w:r>
      <w:r w:rsidRPr="000D7D85">
        <w:rPr>
          <w:color w:val="000000"/>
          <w:shd w:val="clear" w:color="auto" w:fill="FFFFFF"/>
          <w:lang w:eastAsia="en-US"/>
        </w:rPr>
        <w:t>14-19.</w:t>
      </w:r>
    </w:p>
    <w:p w14:paraId="1ACD31F6" w14:textId="5ACB52C1" w:rsidR="004A4A7E" w:rsidRPr="004A4A7E" w:rsidRDefault="004A4A7E" w:rsidP="00F52CA3">
      <w:pPr>
        <w:spacing w:after="120"/>
        <w:ind w:left="567" w:hanging="567"/>
        <w:rPr>
          <w:color w:val="000000"/>
          <w:shd w:val="clear" w:color="auto" w:fill="FFFFFF"/>
        </w:rPr>
      </w:pPr>
      <w:r w:rsidRPr="004A4A7E">
        <w:rPr>
          <w:color w:val="000000"/>
          <w:shd w:val="clear" w:color="auto" w:fill="FFFFFF"/>
        </w:rPr>
        <w:t xml:space="preserve">Bentley-Williams, R. </w:t>
      </w:r>
      <w:proofErr w:type="spellStart"/>
      <w:r w:rsidRPr="004A4A7E">
        <w:rPr>
          <w:color w:val="000000"/>
          <w:shd w:val="clear" w:color="auto" w:fill="FFFFFF"/>
        </w:rPr>
        <w:t>Grima</w:t>
      </w:r>
      <w:proofErr w:type="spellEnd"/>
      <w:r w:rsidRPr="004A4A7E">
        <w:rPr>
          <w:color w:val="000000"/>
          <w:shd w:val="clear" w:color="auto" w:fill="FFFFFF"/>
        </w:rPr>
        <w:t>-Farrell, C., Long, J. &amp; Laws,</w:t>
      </w:r>
      <w:r w:rsidRPr="00F52CA3">
        <w:rPr>
          <w:color w:val="000000"/>
          <w:shd w:val="clear" w:color="auto" w:fill="FFFFFF"/>
        </w:rPr>
        <w:t xml:space="preserve"> </w:t>
      </w:r>
      <w:r w:rsidRPr="004A4A7E">
        <w:rPr>
          <w:color w:val="000000"/>
          <w:shd w:val="clear" w:color="auto" w:fill="FFFFFF"/>
        </w:rPr>
        <w:t>C</w:t>
      </w:r>
      <w:r w:rsidRPr="00F52CA3">
        <w:rPr>
          <w:color w:val="000000"/>
          <w:shd w:val="clear" w:color="auto" w:fill="FFFFFF"/>
        </w:rPr>
        <w:t xml:space="preserve">. </w:t>
      </w:r>
      <w:r w:rsidRPr="004A4A7E">
        <w:rPr>
          <w:color w:val="000000"/>
          <w:shd w:val="clear" w:color="auto" w:fill="FFFFFF"/>
        </w:rPr>
        <w:t>(2017)</w:t>
      </w:r>
      <w:r w:rsidRPr="00F52CA3">
        <w:rPr>
          <w:color w:val="000000"/>
          <w:shd w:val="clear" w:color="auto" w:fill="FFFFFF"/>
        </w:rPr>
        <w:t>.</w:t>
      </w:r>
      <w:r w:rsidRPr="004A4A7E">
        <w:rPr>
          <w:color w:val="000000"/>
          <w:shd w:val="clear" w:color="auto" w:fill="FFFFFF"/>
        </w:rPr>
        <w:t xml:space="preserve"> Collaborative </w:t>
      </w:r>
      <w:r w:rsidRPr="00F52CA3">
        <w:rPr>
          <w:color w:val="000000"/>
          <w:shd w:val="clear" w:color="auto" w:fill="FFFFFF"/>
        </w:rPr>
        <w:t>p</w:t>
      </w:r>
      <w:r w:rsidRPr="004A4A7E">
        <w:rPr>
          <w:color w:val="000000"/>
          <w:shd w:val="clear" w:color="auto" w:fill="FFFFFF"/>
        </w:rPr>
        <w:t xml:space="preserve">artnership: Developing </w:t>
      </w:r>
      <w:r w:rsidRPr="00F52CA3">
        <w:rPr>
          <w:color w:val="000000"/>
          <w:shd w:val="clear" w:color="auto" w:fill="FFFFFF"/>
        </w:rPr>
        <w:t>pre-service teachers as inclusive practitioners to support students with disabilities</w:t>
      </w:r>
      <w:r w:rsidRPr="004A4A7E">
        <w:rPr>
          <w:color w:val="000000"/>
          <w:shd w:val="clear" w:color="auto" w:fill="FFFFFF"/>
        </w:rPr>
        <w:t xml:space="preserve">, </w:t>
      </w:r>
      <w:r w:rsidRPr="004A4A7E">
        <w:rPr>
          <w:i/>
          <w:iCs/>
          <w:color w:val="000000"/>
          <w:shd w:val="clear" w:color="auto" w:fill="FFFFFF"/>
        </w:rPr>
        <w:t>International Journal of Disability, Development and Education,</w:t>
      </w:r>
      <w:r w:rsidRPr="004A4A7E">
        <w:rPr>
          <w:color w:val="000000"/>
          <w:shd w:val="clear" w:color="auto" w:fill="FFFFFF"/>
        </w:rPr>
        <w:t xml:space="preserve"> 64</w:t>
      </w:r>
      <w:r w:rsidRPr="00F52CA3">
        <w:rPr>
          <w:color w:val="000000"/>
          <w:shd w:val="clear" w:color="auto" w:fill="FFFFFF"/>
        </w:rPr>
        <w:t>(</w:t>
      </w:r>
      <w:r w:rsidRPr="004A4A7E">
        <w:rPr>
          <w:color w:val="000000"/>
          <w:shd w:val="clear" w:color="auto" w:fill="FFFFFF"/>
        </w:rPr>
        <w:t>3</w:t>
      </w:r>
      <w:r w:rsidRPr="00F52CA3">
        <w:rPr>
          <w:color w:val="000000"/>
          <w:shd w:val="clear" w:color="auto" w:fill="FFFFFF"/>
        </w:rPr>
        <w:t>)</w:t>
      </w:r>
      <w:r w:rsidRPr="004A4A7E">
        <w:rPr>
          <w:color w:val="000000"/>
          <w:shd w:val="clear" w:color="auto" w:fill="FFFFFF"/>
        </w:rPr>
        <w:t xml:space="preserve">, 270-282, DOI: 10.1080/1034912X.2016.1199851 </w:t>
      </w:r>
    </w:p>
    <w:p w14:paraId="1A394BD8" w14:textId="4E1058FE" w:rsidR="00295661" w:rsidRPr="00F52CA3" w:rsidRDefault="00295661" w:rsidP="00F52CA3">
      <w:pPr>
        <w:spacing w:after="120"/>
        <w:ind w:left="567" w:hanging="567"/>
        <w:rPr>
          <w:color w:val="000000"/>
          <w:shd w:val="clear" w:color="auto" w:fill="FFFFFF"/>
        </w:rPr>
      </w:pPr>
      <w:r w:rsidRPr="00F52CA3">
        <w:rPr>
          <w:color w:val="000000"/>
          <w:shd w:val="clear" w:color="auto" w:fill="FFFFFF"/>
        </w:rPr>
        <w:t xml:space="preserve">Bourke, T. (2019). The changing face of accreditation for initial teacher education programmes in Australia. In A. Gutierrez, J. Fox, &amp; C. Alexander (Eds.), </w:t>
      </w:r>
      <w:r w:rsidRPr="00F52CA3">
        <w:rPr>
          <w:i/>
          <w:iCs/>
          <w:color w:val="000000"/>
          <w:shd w:val="clear" w:color="auto" w:fill="FFFFFF"/>
        </w:rPr>
        <w:t>Professionalism and teacher education: Voices from policy and practice</w:t>
      </w:r>
      <w:r w:rsidRPr="00F52CA3">
        <w:rPr>
          <w:color w:val="000000"/>
          <w:shd w:val="clear" w:color="auto" w:fill="FFFFFF"/>
        </w:rPr>
        <w:t xml:space="preserve"> (pp. 27-45). Springer. https://doi.org/10.1007/978-981-13-7002-1_2</w:t>
      </w:r>
    </w:p>
    <w:p w14:paraId="1AEBFD40" w14:textId="2F57729C" w:rsidR="004A4A7E" w:rsidRPr="004A4A7E" w:rsidRDefault="004A4A7E" w:rsidP="00F52CA3">
      <w:pPr>
        <w:spacing w:after="120"/>
        <w:ind w:left="567" w:hanging="567"/>
        <w:rPr>
          <w:color w:val="000000"/>
          <w:shd w:val="clear" w:color="auto" w:fill="FFFFFF"/>
        </w:rPr>
      </w:pPr>
      <w:r w:rsidRPr="004A4A7E">
        <w:rPr>
          <w:color w:val="000000"/>
          <w:shd w:val="clear" w:color="auto" w:fill="FFFFFF"/>
        </w:rPr>
        <w:t xml:space="preserve">Caldwell, B. J., &amp; Vaughan, T. (2012). </w:t>
      </w:r>
      <w:r w:rsidRPr="004A4A7E">
        <w:rPr>
          <w:i/>
          <w:iCs/>
          <w:color w:val="000000"/>
          <w:shd w:val="clear" w:color="auto" w:fill="FFFFFF"/>
        </w:rPr>
        <w:t>Transforming education through the arts</w:t>
      </w:r>
      <w:r w:rsidRPr="00F52CA3">
        <w:rPr>
          <w:color w:val="000000"/>
          <w:shd w:val="clear" w:color="auto" w:fill="FFFFFF"/>
        </w:rPr>
        <w:t>.</w:t>
      </w:r>
      <w:r w:rsidRPr="004A4A7E">
        <w:rPr>
          <w:color w:val="000000"/>
          <w:shd w:val="clear" w:color="auto" w:fill="FFFFFF"/>
        </w:rPr>
        <w:t xml:space="preserve"> Routledge</w:t>
      </w:r>
      <w:r w:rsidRPr="00F52CA3">
        <w:rPr>
          <w:color w:val="000000"/>
          <w:shd w:val="clear" w:color="auto" w:fill="FFFFFF"/>
        </w:rPr>
        <w:t>.</w:t>
      </w:r>
      <w:r w:rsidRPr="004A4A7E">
        <w:rPr>
          <w:color w:val="000000"/>
          <w:shd w:val="clear" w:color="auto" w:fill="FFFFFF"/>
        </w:rPr>
        <w:t xml:space="preserve"> </w:t>
      </w:r>
    </w:p>
    <w:p w14:paraId="03AEED57" w14:textId="4898B99B" w:rsidR="00C87A44" w:rsidRPr="00F52CA3" w:rsidRDefault="00C87A44" w:rsidP="00F52CA3">
      <w:pPr>
        <w:spacing w:after="120"/>
        <w:ind w:left="567" w:hanging="567"/>
        <w:rPr>
          <w:color w:val="000000"/>
          <w:shd w:val="clear" w:color="auto" w:fill="FFFFFF"/>
        </w:rPr>
      </w:pPr>
      <w:r w:rsidRPr="00F52CA3">
        <w:rPr>
          <w:color w:val="000000"/>
          <w:shd w:val="clear" w:color="auto" w:fill="FFFFFF"/>
        </w:rPr>
        <w:t xml:space="preserve">Clifton, J., &amp; Jordan, K. (2019). Who is the hybrid teacher educator? Understanding professional identity in school–university Partnership. In A. </w:t>
      </w:r>
      <w:proofErr w:type="spellStart"/>
      <w:r w:rsidRPr="00F52CA3">
        <w:rPr>
          <w:color w:val="000000"/>
          <w:shd w:val="clear" w:color="auto" w:fill="FFFFFF"/>
        </w:rPr>
        <w:t>Guttierez</w:t>
      </w:r>
      <w:proofErr w:type="spellEnd"/>
      <w:r w:rsidRPr="00F52CA3">
        <w:rPr>
          <w:color w:val="000000"/>
          <w:shd w:val="clear" w:color="auto" w:fill="FFFFFF"/>
        </w:rPr>
        <w:t xml:space="preserve">, J. Fox, &amp; C. Alexander (Eds.), </w:t>
      </w:r>
      <w:r w:rsidRPr="00F52CA3">
        <w:rPr>
          <w:i/>
          <w:iCs/>
          <w:color w:val="000000"/>
          <w:shd w:val="clear" w:color="auto" w:fill="FFFFFF"/>
        </w:rPr>
        <w:t>Professionalism and Teacher Education</w:t>
      </w:r>
      <w:r w:rsidRPr="00F52CA3">
        <w:rPr>
          <w:color w:val="000000"/>
          <w:shd w:val="clear" w:color="auto" w:fill="FFFFFF"/>
        </w:rPr>
        <w:t xml:space="preserve"> (pp. 71-90). Springer.</w:t>
      </w:r>
    </w:p>
    <w:p w14:paraId="65D6A41F" w14:textId="2B46564C" w:rsidR="004A4A7E" w:rsidRPr="004A4A7E" w:rsidRDefault="004A4A7E" w:rsidP="00F52CA3">
      <w:pPr>
        <w:spacing w:after="120"/>
        <w:ind w:left="567" w:hanging="567"/>
        <w:rPr>
          <w:color w:val="000000"/>
          <w:shd w:val="clear" w:color="auto" w:fill="FFFFFF"/>
        </w:rPr>
      </w:pPr>
      <w:r w:rsidRPr="004A4A7E">
        <w:rPr>
          <w:color w:val="000000"/>
          <w:shd w:val="clear" w:color="auto" w:fill="FFFFFF"/>
        </w:rPr>
        <w:t xml:space="preserve">Comber, B. (2012). Mandated literacy assessment and the reorganisation of teachers' work: Federal policy, local effects. </w:t>
      </w:r>
      <w:r w:rsidRPr="004A4A7E">
        <w:rPr>
          <w:i/>
          <w:iCs/>
          <w:color w:val="000000"/>
          <w:shd w:val="clear" w:color="auto" w:fill="FFFFFF"/>
        </w:rPr>
        <w:t>Critical Studies in Education</w:t>
      </w:r>
      <w:r w:rsidRPr="00F52CA3">
        <w:rPr>
          <w:i/>
          <w:iCs/>
          <w:color w:val="000000"/>
          <w:shd w:val="clear" w:color="auto" w:fill="FFFFFF"/>
        </w:rPr>
        <w:t>,</w:t>
      </w:r>
      <w:r w:rsidRPr="004A4A7E">
        <w:rPr>
          <w:i/>
          <w:iCs/>
          <w:color w:val="000000"/>
          <w:shd w:val="clear" w:color="auto" w:fill="FFFFFF"/>
        </w:rPr>
        <w:t xml:space="preserve"> 53</w:t>
      </w:r>
      <w:r w:rsidRPr="00F52CA3">
        <w:rPr>
          <w:color w:val="000000"/>
          <w:shd w:val="clear" w:color="auto" w:fill="FFFFFF"/>
        </w:rPr>
        <w:t>,</w:t>
      </w:r>
      <w:r w:rsidRPr="004A4A7E">
        <w:rPr>
          <w:color w:val="000000"/>
          <w:shd w:val="clear" w:color="auto" w:fill="FFFFFF"/>
        </w:rPr>
        <w:t xml:space="preserve"> 119-136. 10.1080/17508487.2012.672331.</w:t>
      </w:r>
    </w:p>
    <w:p w14:paraId="07C817BF" w14:textId="77777777" w:rsidR="004A4A7E" w:rsidRPr="00F52CA3" w:rsidRDefault="004A4A7E" w:rsidP="00F52CA3">
      <w:pPr>
        <w:spacing w:after="120"/>
        <w:ind w:left="567" w:hanging="567"/>
        <w:rPr>
          <w:color w:val="000000"/>
          <w:shd w:val="clear" w:color="auto" w:fill="FFFFFF"/>
        </w:rPr>
      </w:pPr>
      <w:r w:rsidRPr="004A4A7E">
        <w:rPr>
          <w:color w:val="000000"/>
          <w:shd w:val="clear" w:color="auto" w:fill="FFFFFF"/>
        </w:rPr>
        <w:t xml:space="preserve">Cormack, P. &amp; Comber, B. (2013). High-stakes literacy tests and local effects in a rural school. </w:t>
      </w:r>
      <w:r w:rsidRPr="004A4A7E">
        <w:rPr>
          <w:i/>
          <w:iCs/>
          <w:color w:val="000000"/>
          <w:shd w:val="clear" w:color="auto" w:fill="FFFFFF"/>
        </w:rPr>
        <w:t>Australian Journal of Language and Literacy</w:t>
      </w:r>
      <w:r w:rsidRPr="00F52CA3">
        <w:rPr>
          <w:i/>
          <w:iCs/>
          <w:color w:val="000000"/>
          <w:shd w:val="clear" w:color="auto" w:fill="FFFFFF"/>
        </w:rPr>
        <w:t>,</w:t>
      </w:r>
      <w:r w:rsidRPr="004A4A7E">
        <w:rPr>
          <w:i/>
          <w:iCs/>
          <w:color w:val="000000"/>
          <w:shd w:val="clear" w:color="auto" w:fill="FFFFFF"/>
        </w:rPr>
        <w:t xml:space="preserve"> 36</w:t>
      </w:r>
      <w:r w:rsidRPr="00F52CA3">
        <w:rPr>
          <w:color w:val="000000"/>
          <w:shd w:val="clear" w:color="auto" w:fill="FFFFFF"/>
        </w:rPr>
        <w:t xml:space="preserve">(2), </w:t>
      </w:r>
      <w:r w:rsidRPr="00F52CA3">
        <w:rPr>
          <w:i/>
          <w:iCs/>
          <w:color w:val="000000"/>
          <w:shd w:val="clear" w:color="auto" w:fill="FFFFFF"/>
        </w:rPr>
        <w:t xml:space="preserve">36(2), </w:t>
      </w:r>
      <w:r w:rsidRPr="00F52CA3">
        <w:rPr>
          <w:color w:val="000000"/>
          <w:shd w:val="clear" w:color="auto" w:fill="FFFFFF"/>
        </w:rPr>
        <w:t>78–89.</w:t>
      </w:r>
    </w:p>
    <w:p w14:paraId="5ABC0D0F" w14:textId="25A797CC" w:rsidR="007B4840" w:rsidRPr="00F52CA3" w:rsidRDefault="00351BE2" w:rsidP="00F52CA3">
      <w:pPr>
        <w:spacing w:after="120"/>
        <w:ind w:left="567" w:hanging="567"/>
        <w:rPr>
          <w:color w:val="000000"/>
          <w:shd w:val="clear" w:color="auto" w:fill="FFFFFF"/>
        </w:rPr>
      </w:pPr>
      <w:r w:rsidRPr="00F52CA3">
        <w:rPr>
          <w:color w:val="000000"/>
          <w:shd w:val="clear" w:color="auto" w:fill="FFFFFF"/>
        </w:rPr>
        <w:t xml:space="preserve">Craven, G., Beswick, K., Fleming, J., Fletcher, T., Green, M., Jensen, B., Leinonen, E., &amp; Rickards, F. (2014). </w:t>
      </w:r>
      <w:r w:rsidRPr="00F52CA3">
        <w:rPr>
          <w:i/>
          <w:iCs/>
          <w:color w:val="000000"/>
          <w:shd w:val="clear" w:color="auto" w:fill="FFFFFF"/>
        </w:rPr>
        <w:t>Action now: Classroom ready teachers advisory group members.</w:t>
      </w:r>
      <w:r w:rsidRPr="00F52CA3">
        <w:rPr>
          <w:color w:val="000000"/>
          <w:shd w:val="clear" w:color="auto" w:fill="FFFFFF"/>
        </w:rPr>
        <w:t xml:space="preserve"> Teacher Education Ministerial Advisory Group.</w:t>
      </w:r>
    </w:p>
    <w:p w14:paraId="102710A8" w14:textId="22993E95" w:rsidR="00981A1F" w:rsidRPr="00F52CA3" w:rsidRDefault="00981A1F" w:rsidP="00F52CA3">
      <w:pPr>
        <w:spacing w:after="120"/>
        <w:ind w:left="567" w:hanging="567"/>
        <w:rPr>
          <w:color w:val="000000"/>
          <w:shd w:val="clear" w:color="auto" w:fill="FFFFFF"/>
        </w:rPr>
      </w:pPr>
      <w:r w:rsidRPr="00F52CA3">
        <w:rPr>
          <w:color w:val="000000"/>
          <w:shd w:val="clear" w:color="auto" w:fill="FFFFFF"/>
        </w:rPr>
        <w:t xml:space="preserve">Darling-Hammond, L. (2012). </w:t>
      </w:r>
      <w:r w:rsidRPr="00F52CA3">
        <w:rPr>
          <w:i/>
          <w:iCs/>
          <w:color w:val="000000"/>
          <w:shd w:val="clear" w:color="auto" w:fill="FFFFFF"/>
        </w:rPr>
        <w:t>Powerful teacher education: Lessons from exemplary programs</w:t>
      </w:r>
      <w:r w:rsidRPr="00F52CA3">
        <w:rPr>
          <w:color w:val="000000"/>
          <w:shd w:val="clear" w:color="auto" w:fill="FFFFFF"/>
        </w:rPr>
        <w:t>. John Wiley &amp; Sons.</w:t>
      </w:r>
    </w:p>
    <w:p w14:paraId="45B6AB0A" w14:textId="6B124F31" w:rsidR="00981A1F" w:rsidRPr="00F52CA3" w:rsidRDefault="00981A1F" w:rsidP="00F52CA3">
      <w:pPr>
        <w:spacing w:after="120"/>
        <w:ind w:left="567" w:hanging="567"/>
        <w:rPr>
          <w:color w:val="000000"/>
          <w:shd w:val="clear" w:color="auto" w:fill="FFFFFF"/>
        </w:rPr>
      </w:pPr>
      <w:r w:rsidRPr="00F52CA3">
        <w:rPr>
          <w:color w:val="000000"/>
          <w:shd w:val="clear" w:color="auto" w:fill="FFFFFF"/>
        </w:rPr>
        <w:t xml:space="preserve">Darling-Hammond, L. (2014). Strengthening clinical preparation: The Holy Grail of teacher education. </w:t>
      </w:r>
      <w:r w:rsidRPr="00F52CA3">
        <w:rPr>
          <w:i/>
          <w:iCs/>
          <w:color w:val="000000"/>
          <w:shd w:val="clear" w:color="auto" w:fill="FFFFFF"/>
        </w:rPr>
        <w:t>Peabody Journal of Education, 89</w:t>
      </w:r>
      <w:r w:rsidRPr="00F52CA3">
        <w:rPr>
          <w:color w:val="000000"/>
          <w:shd w:val="clear" w:color="auto" w:fill="FFFFFF"/>
        </w:rPr>
        <w:t>(4), 547-561.</w:t>
      </w:r>
    </w:p>
    <w:p w14:paraId="232475C6" w14:textId="26650D2C" w:rsidR="00503BFB" w:rsidRPr="00F52CA3" w:rsidRDefault="00FF5D74" w:rsidP="00F52CA3">
      <w:pPr>
        <w:spacing w:after="120"/>
        <w:ind w:left="567" w:hanging="567"/>
        <w:rPr>
          <w:color w:val="000000"/>
          <w:shd w:val="clear" w:color="auto" w:fill="FFFFFF"/>
        </w:rPr>
      </w:pPr>
      <w:r w:rsidRPr="00F52CA3">
        <w:rPr>
          <w:color w:val="000000"/>
          <w:shd w:val="clear" w:color="auto" w:fill="FFFFFF"/>
        </w:rPr>
        <w:t xml:space="preserve">Elsden-Clifton, J., &amp; Jordan, K. (2016). Reframing professional experience: Adopting a distributed open collaborative course framework to facilitate third spaces. In A. Bertram &amp; T. </w:t>
      </w:r>
      <w:proofErr w:type="spellStart"/>
      <w:r w:rsidRPr="00F52CA3">
        <w:rPr>
          <w:color w:val="000000"/>
          <w:shd w:val="clear" w:color="auto" w:fill="FFFFFF"/>
        </w:rPr>
        <w:t>Barkatsas</w:t>
      </w:r>
      <w:proofErr w:type="spellEnd"/>
      <w:r w:rsidRPr="00F52CA3">
        <w:rPr>
          <w:color w:val="000000"/>
          <w:shd w:val="clear" w:color="auto" w:fill="FFFFFF"/>
        </w:rPr>
        <w:t xml:space="preserve"> (Eds.), </w:t>
      </w:r>
      <w:r w:rsidRPr="00F52CA3">
        <w:rPr>
          <w:i/>
          <w:color w:val="000000"/>
          <w:shd w:val="clear" w:color="auto" w:fill="FFFFFF"/>
        </w:rPr>
        <w:t xml:space="preserve">Global learning in the </w:t>
      </w:r>
      <w:r w:rsidRPr="00F52CA3">
        <w:rPr>
          <w:color w:val="000000"/>
          <w:shd w:val="clear" w:color="auto" w:fill="FFFFFF"/>
        </w:rPr>
        <w:t>21 century (pp. 57-70). Sense.</w:t>
      </w:r>
    </w:p>
    <w:p w14:paraId="3CFFBB06" w14:textId="4ADA78EE" w:rsidR="00AC3CAE" w:rsidRPr="00F52CA3" w:rsidRDefault="000D7D85" w:rsidP="00F52CA3">
      <w:pPr>
        <w:spacing w:after="120"/>
        <w:ind w:left="567" w:hanging="567"/>
        <w:rPr>
          <w:color w:val="000000"/>
          <w:shd w:val="clear" w:color="auto" w:fill="FFFFFF"/>
          <w:lang w:eastAsia="en-US"/>
        </w:rPr>
      </w:pPr>
      <w:r w:rsidRPr="000D7D85">
        <w:rPr>
          <w:color w:val="000000"/>
          <w:shd w:val="clear" w:color="auto" w:fill="FFFFFF"/>
          <w:lang w:eastAsia="en-US"/>
        </w:rPr>
        <w:t>Ewing, R. (2012). Competing issues in Australian primary curriculum: Learning from international experiences.</w:t>
      </w:r>
      <w:r w:rsidRPr="00F52CA3">
        <w:rPr>
          <w:color w:val="000000"/>
          <w:shd w:val="clear" w:color="auto" w:fill="FFFFFF"/>
          <w:lang w:eastAsia="en-US"/>
        </w:rPr>
        <w:t xml:space="preserve"> </w:t>
      </w:r>
      <w:r w:rsidRPr="000D7D85">
        <w:rPr>
          <w:color w:val="000000"/>
          <w:shd w:val="clear" w:color="auto" w:fill="FFFFFF"/>
          <w:lang w:eastAsia="en-US"/>
        </w:rPr>
        <w:t>Education 3-13,</w:t>
      </w:r>
      <w:r w:rsidRPr="00F52CA3">
        <w:rPr>
          <w:color w:val="000000"/>
          <w:shd w:val="clear" w:color="auto" w:fill="FFFFFF"/>
          <w:lang w:eastAsia="en-US"/>
        </w:rPr>
        <w:t xml:space="preserve"> </w:t>
      </w:r>
      <w:r w:rsidRPr="000D7D85">
        <w:rPr>
          <w:color w:val="000000"/>
          <w:shd w:val="clear" w:color="auto" w:fill="FFFFFF"/>
          <w:lang w:eastAsia="en-US"/>
        </w:rPr>
        <w:t>40(1), 97-111.</w:t>
      </w:r>
    </w:p>
    <w:p w14:paraId="5598CD91" w14:textId="0F72D245" w:rsidR="00AC3CAE" w:rsidRPr="00F52CA3" w:rsidRDefault="00AC3CAE" w:rsidP="00F52CA3">
      <w:pPr>
        <w:spacing w:after="120"/>
        <w:ind w:left="567" w:hanging="567"/>
        <w:rPr>
          <w:color w:val="000000"/>
          <w:shd w:val="clear" w:color="auto" w:fill="FFFFFF"/>
        </w:rPr>
      </w:pPr>
      <w:proofErr w:type="spellStart"/>
      <w:r w:rsidRPr="00F52CA3">
        <w:rPr>
          <w:color w:val="000000"/>
          <w:shd w:val="clear" w:color="auto" w:fill="FFFFFF"/>
        </w:rPr>
        <w:t>Garvis</w:t>
      </w:r>
      <w:proofErr w:type="spellEnd"/>
      <w:r w:rsidR="00B825D5" w:rsidRPr="00F52CA3">
        <w:rPr>
          <w:color w:val="000000"/>
          <w:shd w:val="clear" w:color="auto" w:fill="FFFFFF"/>
        </w:rPr>
        <w:t>, S.,</w:t>
      </w:r>
      <w:r w:rsidRPr="00F52CA3">
        <w:rPr>
          <w:color w:val="000000"/>
          <w:shd w:val="clear" w:color="auto" w:fill="FFFFFF"/>
        </w:rPr>
        <w:t xml:space="preserve"> &amp; Lemon, </w:t>
      </w:r>
      <w:r w:rsidR="00B825D5" w:rsidRPr="00F52CA3">
        <w:rPr>
          <w:color w:val="000000"/>
          <w:shd w:val="clear" w:color="auto" w:fill="FFFFFF"/>
        </w:rPr>
        <w:t>N., (</w:t>
      </w:r>
      <w:r w:rsidRPr="00F52CA3">
        <w:rPr>
          <w:color w:val="000000"/>
          <w:shd w:val="clear" w:color="auto" w:fill="FFFFFF"/>
        </w:rPr>
        <w:t>2013</w:t>
      </w:r>
      <w:r w:rsidR="00B825D5" w:rsidRPr="00F52CA3">
        <w:rPr>
          <w:color w:val="000000"/>
          <w:shd w:val="clear" w:color="auto" w:fill="FFFFFF"/>
        </w:rPr>
        <w:t xml:space="preserve">). Are the Arts important in schooling? Clear messages from the voices of pre-service generalist teachers in Australia. </w:t>
      </w:r>
      <w:r w:rsidR="00B825D5" w:rsidRPr="00F52CA3">
        <w:rPr>
          <w:i/>
          <w:iCs/>
          <w:color w:val="000000"/>
          <w:shd w:val="clear" w:color="auto" w:fill="FFFFFF"/>
        </w:rPr>
        <w:t>Australian Journal of Music Education, 2</w:t>
      </w:r>
      <w:r w:rsidR="00B825D5" w:rsidRPr="00F52CA3">
        <w:rPr>
          <w:color w:val="000000"/>
          <w:shd w:val="clear" w:color="auto" w:fill="FFFFFF"/>
        </w:rPr>
        <w:t>, 98-104.</w:t>
      </w:r>
    </w:p>
    <w:p w14:paraId="4E11FC3D" w14:textId="1AA9AA68" w:rsidR="004A4A7E" w:rsidRPr="004A4A7E" w:rsidRDefault="004A4A7E" w:rsidP="00F52CA3">
      <w:pPr>
        <w:spacing w:after="120"/>
        <w:ind w:left="567" w:hanging="567"/>
        <w:rPr>
          <w:color w:val="000000"/>
          <w:shd w:val="clear" w:color="auto" w:fill="FFFFFF"/>
        </w:rPr>
      </w:pPr>
      <w:proofErr w:type="spellStart"/>
      <w:r w:rsidRPr="004A4A7E">
        <w:rPr>
          <w:color w:val="000000"/>
          <w:shd w:val="clear" w:color="auto" w:fill="FFFFFF"/>
        </w:rPr>
        <w:t>Garvis</w:t>
      </w:r>
      <w:proofErr w:type="spellEnd"/>
      <w:r w:rsidRPr="004A4A7E">
        <w:rPr>
          <w:color w:val="000000"/>
          <w:shd w:val="clear" w:color="auto" w:fill="FFFFFF"/>
        </w:rPr>
        <w:t xml:space="preserve">, S. &amp; </w:t>
      </w:r>
      <w:proofErr w:type="spellStart"/>
      <w:r w:rsidRPr="004A4A7E">
        <w:rPr>
          <w:color w:val="000000"/>
          <w:shd w:val="clear" w:color="auto" w:fill="FFFFFF"/>
        </w:rPr>
        <w:t>Pendergast</w:t>
      </w:r>
      <w:proofErr w:type="spellEnd"/>
      <w:r w:rsidRPr="004A4A7E">
        <w:rPr>
          <w:color w:val="000000"/>
          <w:shd w:val="clear" w:color="auto" w:fill="FFFFFF"/>
        </w:rPr>
        <w:t>, D. (2010). Supporting novice teachers of the arts.</w:t>
      </w:r>
      <w:r w:rsidRPr="00F52CA3">
        <w:rPr>
          <w:color w:val="000000"/>
          <w:shd w:val="clear" w:color="auto" w:fill="FFFFFF"/>
        </w:rPr>
        <w:t xml:space="preserve"> </w:t>
      </w:r>
      <w:r w:rsidRPr="004A4A7E">
        <w:rPr>
          <w:i/>
          <w:iCs/>
          <w:color w:val="000000"/>
          <w:shd w:val="clear" w:color="auto" w:fill="FFFFFF"/>
        </w:rPr>
        <w:t>International Journal of Education &amp; the Arts, 11</w:t>
      </w:r>
      <w:r w:rsidRPr="004A4A7E">
        <w:rPr>
          <w:color w:val="000000"/>
          <w:shd w:val="clear" w:color="auto" w:fill="FFFFFF"/>
        </w:rPr>
        <w:t>(8). http://www.ijea.org/v11n8/</w:t>
      </w:r>
    </w:p>
    <w:p w14:paraId="10ACAEBC" w14:textId="7092F390" w:rsidR="00503BFB" w:rsidRPr="00F52CA3" w:rsidRDefault="00FF5D74" w:rsidP="00F52CA3">
      <w:pPr>
        <w:spacing w:after="120"/>
        <w:ind w:left="567" w:hanging="567"/>
        <w:rPr>
          <w:color w:val="000000"/>
          <w:shd w:val="clear" w:color="auto" w:fill="FFFFFF"/>
          <w:lang w:val="en-GB"/>
        </w:rPr>
      </w:pPr>
      <w:r w:rsidRPr="00F52CA3">
        <w:rPr>
          <w:color w:val="000000"/>
          <w:shd w:val="clear" w:color="auto" w:fill="FFFFFF"/>
          <w:lang w:val="en-GB"/>
        </w:rPr>
        <w:t xml:space="preserve">Green, C. A., Tindall-Ford, S. K., &amp; </w:t>
      </w:r>
      <w:proofErr w:type="spellStart"/>
      <w:r w:rsidRPr="00F52CA3">
        <w:rPr>
          <w:color w:val="000000"/>
          <w:shd w:val="clear" w:color="auto" w:fill="FFFFFF"/>
          <w:lang w:val="en-GB"/>
        </w:rPr>
        <w:t>Eady</w:t>
      </w:r>
      <w:proofErr w:type="spellEnd"/>
      <w:r w:rsidRPr="00F52CA3">
        <w:rPr>
          <w:color w:val="000000"/>
          <w:shd w:val="clear" w:color="auto" w:fill="FFFFFF"/>
          <w:lang w:val="en-GB"/>
        </w:rPr>
        <w:t xml:space="preserve">, M. J. (2020a). School-university partnerships in Australia: A systematic literature review. </w:t>
      </w:r>
      <w:r w:rsidRPr="00F52CA3">
        <w:rPr>
          <w:i/>
          <w:iCs/>
          <w:color w:val="000000"/>
          <w:shd w:val="clear" w:color="auto" w:fill="FFFFFF"/>
          <w:lang w:val="en-GB"/>
        </w:rPr>
        <w:t>Asia-Pacific Journal of Teacher Education, 48</w:t>
      </w:r>
      <w:r w:rsidRPr="00F52CA3">
        <w:rPr>
          <w:color w:val="000000"/>
          <w:shd w:val="clear" w:color="auto" w:fill="FFFFFF"/>
          <w:lang w:val="en-GB"/>
        </w:rPr>
        <w:t xml:space="preserve">(4), 403-435. </w:t>
      </w:r>
      <w:hyperlink r:id="rId9" w:history="1">
        <w:r w:rsidRPr="00F52CA3">
          <w:rPr>
            <w:rStyle w:val="Hyperlink"/>
            <w:shd w:val="clear" w:color="auto" w:fill="FFFFFF"/>
            <w:lang w:val="en-GB"/>
          </w:rPr>
          <w:t>https://doi.org/10.1080/1359866X.2019.1651822</w:t>
        </w:r>
      </w:hyperlink>
    </w:p>
    <w:p w14:paraId="6288EB8A" w14:textId="709F3732" w:rsidR="00AC3CAE" w:rsidRPr="00F52CA3" w:rsidRDefault="00AC3CAE" w:rsidP="00F52CA3">
      <w:pPr>
        <w:spacing w:after="120"/>
        <w:ind w:left="567" w:hanging="567"/>
        <w:rPr>
          <w:color w:val="000000"/>
          <w:shd w:val="clear" w:color="auto" w:fill="FFFFFF"/>
        </w:rPr>
      </w:pPr>
      <w:r w:rsidRPr="00F52CA3">
        <w:rPr>
          <w:color w:val="000000"/>
          <w:shd w:val="clear" w:color="auto" w:fill="FFFFFF"/>
        </w:rPr>
        <w:t xml:space="preserve">Goss, P., </w:t>
      </w:r>
      <w:proofErr w:type="spellStart"/>
      <w:r w:rsidRPr="00F52CA3">
        <w:rPr>
          <w:color w:val="000000"/>
          <w:shd w:val="clear" w:color="auto" w:fill="FFFFFF"/>
        </w:rPr>
        <w:t>Sonnemann</w:t>
      </w:r>
      <w:proofErr w:type="spellEnd"/>
      <w:r w:rsidRPr="00F52CA3">
        <w:rPr>
          <w:color w:val="000000"/>
          <w:shd w:val="clear" w:color="auto" w:fill="FFFFFF"/>
        </w:rPr>
        <w:t xml:space="preserve">, J., </w:t>
      </w:r>
      <w:r w:rsidR="00C87A44" w:rsidRPr="00F52CA3">
        <w:rPr>
          <w:color w:val="000000"/>
          <w:shd w:val="clear" w:color="auto" w:fill="FFFFFF"/>
        </w:rPr>
        <w:t>&amp;</w:t>
      </w:r>
      <w:r w:rsidRPr="00F52CA3">
        <w:rPr>
          <w:color w:val="000000"/>
          <w:shd w:val="clear" w:color="auto" w:fill="FFFFFF"/>
        </w:rPr>
        <w:t xml:space="preserve"> Nolan, J. (2019). </w:t>
      </w:r>
      <w:r w:rsidRPr="00F52CA3">
        <w:rPr>
          <w:i/>
          <w:iCs/>
          <w:color w:val="000000"/>
          <w:shd w:val="clear" w:color="auto" w:fill="FFFFFF"/>
        </w:rPr>
        <w:t>Attracting high achievers to teaching</w:t>
      </w:r>
      <w:r w:rsidRPr="00F52CA3">
        <w:rPr>
          <w:color w:val="000000"/>
          <w:shd w:val="clear" w:color="auto" w:fill="FFFFFF"/>
        </w:rPr>
        <w:t>. Grattan Institute</w:t>
      </w:r>
      <w:r w:rsidR="00782E34" w:rsidRPr="00F52CA3">
        <w:rPr>
          <w:color w:val="000000"/>
          <w:shd w:val="clear" w:color="auto" w:fill="FFFFFF"/>
        </w:rPr>
        <w:t>.</w:t>
      </w:r>
    </w:p>
    <w:p w14:paraId="31F3D1BB" w14:textId="23C3BAB2" w:rsidR="004A4A7E" w:rsidRPr="004A4A7E" w:rsidRDefault="004A4A7E" w:rsidP="00F52CA3">
      <w:pPr>
        <w:spacing w:after="120"/>
        <w:ind w:left="567" w:hanging="567"/>
        <w:rPr>
          <w:color w:val="000000"/>
          <w:shd w:val="clear" w:color="auto" w:fill="FFFFFF"/>
        </w:rPr>
      </w:pPr>
      <w:r w:rsidRPr="004A4A7E">
        <w:rPr>
          <w:color w:val="000000"/>
          <w:shd w:val="clear" w:color="auto" w:fill="FFFFFF"/>
        </w:rPr>
        <w:lastRenderedPageBreak/>
        <w:t xml:space="preserve">Gore, J., Smith, M., Bowe, J., Ellis, H., Lloyd, A., &amp; </w:t>
      </w:r>
      <w:proofErr w:type="spellStart"/>
      <w:r w:rsidRPr="004A4A7E">
        <w:rPr>
          <w:color w:val="000000"/>
          <w:shd w:val="clear" w:color="auto" w:fill="FFFFFF"/>
        </w:rPr>
        <w:t>Lubans</w:t>
      </w:r>
      <w:proofErr w:type="spellEnd"/>
      <w:r w:rsidRPr="004A4A7E">
        <w:rPr>
          <w:color w:val="000000"/>
          <w:shd w:val="clear" w:color="auto" w:fill="FFFFFF"/>
        </w:rPr>
        <w:t>, D. (2015). Quality Teaching Rounds as a professional development intervention for enhancing the quality of teaching: Rationale and study protocol for a cluster randomised controlled trial.</w:t>
      </w:r>
      <w:r w:rsidRPr="00F52CA3">
        <w:rPr>
          <w:color w:val="000000"/>
          <w:shd w:val="clear" w:color="auto" w:fill="FFFFFF"/>
        </w:rPr>
        <w:t xml:space="preserve"> </w:t>
      </w:r>
      <w:r w:rsidRPr="004A4A7E">
        <w:rPr>
          <w:i/>
          <w:iCs/>
          <w:color w:val="000000"/>
          <w:shd w:val="clear" w:color="auto" w:fill="FFFFFF"/>
        </w:rPr>
        <w:t>International Journal of Educational Research</w:t>
      </w:r>
      <w:r w:rsidRPr="004A4A7E">
        <w:rPr>
          <w:color w:val="000000"/>
          <w:shd w:val="clear" w:color="auto" w:fill="FFFFFF"/>
        </w:rPr>
        <w:t>,</w:t>
      </w:r>
      <w:r w:rsidRPr="00F52CA3">
        <w:rPr>
          <w:color w:val="000000"/>
          <w:shd w:val="clear" w:color="auto" w:fill="FFFFFF"/>
        </w:rPr>
        <w:t xml:space="preserve"> </w:t>
      </w:r>
      <w:r w:rsidRPr="004A4A7E">
        <w:rPr>
          <w:i/>
          <w:iCs/>
          <w:color w:val="000000"/>
          <w:shd w:val="clear" w:color="auto" w:fill="FFFFFF"/>
        </w:rPr>
        <w:t>74</w:t>
      </w:r>
      <w:r w:rsidRPr="004A4A7E">
        <w:rPr>
          <w:color w:val="000000"/>
          <w:shd w:val="clear" w:color="auto" w:fill="FFFFFF"/>
        </w:rPr>
        <w:t>(1), 82</w:t>
      </w:r>
      <w:r w:rsidRPr="00F52CA3">
        <w:rPr>
          <w:color w:val="000000"/>
          <w:shd w:val="clear" w:color="auto" w:fill="FFFFFF"/>
        </w:rPr>
        <w:t xml:space="preserve"> - </w:t>
      </w:r>
      <w:r w:rsidRPr="004A4A7E">
        <w:rPr>
          <w:color w:val="000000"/>
          <w:shd w:val="clear" w:color="auto" w:fill="FFFFFF"/>
        </w:rPr>
        <w:t>95.</w:t>
      </w:r>
    </w:p>
    <w:p w14:paraId="75BE5E01" w14:textId="510ABCC9" w:rsidR="00503BFB" w:rsidRPr="00F52CA3" w:rsidRDefault="00503BFB" w:rsidP="00F52CA3">
      <w:pPr>
        <w:spacing w:after="120"/>
        <w:ind w:left="567" w:hanging="567"/>
        <w:rPr>
          <w:color w:val="000000"/>
          <w:shd w:val="clear" w:color="auto" w:fill="FFFFFF"/>
        </w:rPr>
      </w:pPr>
      <w:r w:rsidRPr="00F52CA3">
        <w:rPr>
          <w:color w:val="000000"/>
          <w:shd w:val="clear" w:color="auto" w:fill="FFFFFF"/>
        </w:rPr>
        <w:t xml:space="preserve">Gore, J. M. (2014). </w:t>
      </w:r>
      <w:r w:rsidRPr="00F52CA3">
        <w:rPr>
          <w:i/>
          <w:iCs/>
          <w:color w:val="000000"/>
          <w:shd w:val="clear" w:color="auto" w:fill="FFFFFF"/>
        </w:rPr>
        <w:t>Towards quality and equity: The case for quality teaching rounds. In Quality and Equity: What Does Research Tell Us?</w:t>
      </w:r>
      <w:r w:rsidRPr="00F52CA3">
        <w:rPr>
          <w:color w:val="000000"/>
          <w:shd w:val="clear" w:color="auto" w:fill="FFFFFF"/>
        </w:rPr>
        <w:t xml:space="preserve"> ACER Research Conference 2014 (pp. 86–91).  Australian Council for Educational Research.</w:t>
      </w:r>
    </w:p>
    <w:p w14:paraId="38165D9B" w14:textId="7AB22202" w:rsidR="004A4A7E" w:rsidRPr="004A4A7E" w:rsidRDefault="004A4A7E" w:rsidP="00F52CA3">
      <w:pPr>
        <w:spacing w:after="120"/>
        <w:ind w:left="567" w:hanging="567"/>
        <w:rPr>
          <w:color w:val="000000"/>
          <w:shd w:val="clear" w:color="auto" w:fill="FFFFFF"/>
        </w:rPr>
      </w:pPr>
      <w:r w:rsidRPr="004A4A7E">
        <w:rPr>
          <w:color w:val="000000"/>
          <w:shd w:val="clear" w:color="auto" w:fill="FFFFFF"/>
        </w:rPr>
        <w:t>Gore, J. (2021).</w:t>
      </w:r>
      <w:r w:rsidRPr="00F52CA3">
        <w:rPr>
          <w:color w:val="000000"/>
          <w:shd w:val="clear" w:color="auto" w:fill="FFFFFF"/>
        </w:rPr>
        <w:t xml:space="preserve"> </w:t>
      </w:r>
      <w:r w:rsidRPr="004A4A7E">
        <w:rPr>
          <w:i/>
          <w:iCs/>
          <w:color w:val="000000"/>
          <w:shd w:val="clear" w:color="auto" w:fill="FFFFFF"/>
        </w:rPr>
        <w:t>The quest for better teaching, Oxford Review of Education, 47</w:t>
      </w:r>
      <w:r w:rsidRPr="00F52CA3">
        <w:rPr>
          <w:color w:val="000000"/>
          <w:shd w:val="clear" w:color="auto" w:fill="FFFFFF"/>
        </w:rPr>
        <w:t>(</w:t>
      </w:r>
      <w:r w:rsidRPr="004A4A7E">
        <w:rPr>
          <w:color w:val="000000"/>
          <w:shd w:val="clear" w:color="auto" w:fill="FFFFFF"/>
        </w:rPr>
        <w:t>1</w:t>
      </w:r>
      <w:r w:rsidRPr="00F52CA3">
        <w:rPr>
          <w:color w:val="000000"/>
          <w:shd w:val="clear" w:color="auto" w:fill="FFFFFF"/>
        </w:rPr>
        <w:t>)</w:t>
      </w:r>
      <w:r w:rsidRPr="004A4A7E">
        <w:rPr>
          <w:color w:val="000000"/>
          <w:shd w:val="clear" w:color="auto" w:fill="FFFFFF"/>
        </w:rPr>
        <w:t>, 45-60, DOI:</w:t>
      </w:r>
      <w:r w:rsidRPr="00F52CA3">
        <w:rPr>
          <w:color w:val="000000"/>
          <w:shd w:val="clear" w:color="auto" w:fill="FFFFFF"/>
        </w:rPr>
        <w:t xml:space="preserve"> </w:t>
      </w:r>
      <w:hyperlink r:id="rId10" w:tgtFrame="_blank" w:history="1">
        <w:r w:rsidRPr="004A4A7E">
          <w:rPr>
            <w:rStyle w:val="Hyperlink"/>
            <w:shd w:val="clear" w:color="auto" w:fill="FFFFFF"/>
          </w:rPr>
          <w:t>10.1080/03054985.2020.1842182</w:t>
        </w:r>
      </w:hyperlink>
    </w:p>
    <w:p w14:paraId="223B8A44" w14:textId="0FE682D3" w:rsidR="00295661" w:rsidRPr="00F52CA3" w:rsidRDefault="00295661" w:rsidP="00F52CA3">
      <w:pPr>
        <w:spacing w:after="120"/>
        <w:ind w:left="567" w:hanging="567"/>
        <w:rPr>
          <w:color w:val="000000"/>
          <w:shd w:val="clear" w:color="auto" w:fill="FFFFFF"/>
        </w:rPr>
      </w:pPr>
      <w:r w:rsidRPr="00F52CA3">
        <w:rPr>
          <w:color w:val="000000"/>
          <w:shd w:val="clear" w:color="auto" w:fill="FFFFFF"/>
        </w:rPr>
        <w:t xml:space="preserve">Grossman, P., </w:t>
      </w:r>
      <w:proofErr w:type="spellStart"/>
      <w:r w:rsidRPr="00F52CA3">
        <w:rPr>
          <w:color w:val="000000"/>
          <w:shd w:val="clear" w:color="auto" w:fill="FFFFFF"/>
        </w:rPr>
        <w:t>Hammerness</w:t>
      </w:r>
      <w:proofErr w:type="spellEnd"/>
      <w:r w:rsidRPr="00F52CA3">
        <w:rPr>
          <w:color w:val="000000"/>
          <w:shd w:val="clear" w:color="auto" w:fill="FFFFFF"/>
        </w:rPr>
        <w:t xml:space="preserve">, K., &amp; McDonald, M. (2009). Redefining teaching, re-imagining teacher education. </w:t>
      </w:r>
      <w:r w:rsidRPr="00F52CA3">
        <w:rPr>
          <w:i/>
          <w:iCs/>
          <w:color w:val="000000"/>
          <w:shd w:val="clear" w:color="auto" w:fill="FFFFFF"/>
        </w:rPr>
        <w:t>Teachers and Teaching, 15</w:t>
      </w:r>
      <w:r w:rsidRPr="00F52CA3">
        <w:rPr>
          <w:color w:val="000000"/>
          <w:shd w:val="clear" w:color="auto" w:fill="FFFFFF"/>
        </w:rPr>
        <w:t>, 273–289.</w:t>
      </w:r>
    </w:p>
    <w:p w14:paraId="5376BF98" w14:textId="54E320F1" w:rsidR="007B4840" w:rsidRPr="00F52CA3" w:rsidRDefault="007B4840" w:rsidP="00F52CA3">
      <w:pPr>
        <w:spacing w:after="120"/>
        <w:ind w:left="567" w:hanging="567"/>
        <w:rPr>
          <w:color w:val="000000"/>
          <w:shd w:val="clear" w:color="auto" w:fill="FFFFFF"/>
        </w:rPr>
      </w:pPr>
      <w:r w:rsidRPr="00F52CA3">
        <w:rPr>
          <w:color w:val="000000"/>
          <w:shd w:val="clear" w:color="auto" w:fill="FFFFFF"/>
        </w:rPr>
        <w:t xml:space="preserve">Hall, L. (2014). A Model for Small, Remote, Indigenous Communities </w:t>
      </w:r>
      <w:proofErr w:type="gramStart"/>
      <w:r w:rsidRPr="00F52CA3">
        <w:rPr>
          <w:color w:val="000000"/>
          <w:shd w:val="clear" w:color="auto" w:fill="FFFFFF"/>
        </w:rPr>
        <w:t>In</w:t>
      </w:r>
      <w:proofErr w:type="gramEnd"/>
      <w:r w:rsidRPr="00F52CA3">
        <w:rPr>
          <w:color w:val="000000"/>
          <w:shd w:val="clear" w:color="auto" w:fill="FFFFFF"/>
        </w:rPr>
        <w:t xml:space="preserve"> M. Jones &amp; J. Ryan, </w:t>
      </w:r>
      <w:r w:rsidRPr="00F52CA3">
        <w:rPr>
          <w:i/>
          <w:iCs/>
          <w:color w:val="000000"/>
          <w:shd w:val="clear" w:color="auto" w:fill="FFFFFF"/>
        </w:rPr>
        <w:t>Successful Teacher Education: Partnerships, Reflective Practice and the Place of Technology</w:t>
      </w:r>
      <w:r w:rsidR="00782E34" w:rsidRPr="00F52CA3">
        <w:rPr>
          <w:color w:val="000000"/>
          <w:shd w:val="clear" w:color="auto" w:fill="FFFFFF"/>
        </w:rPr>
        <w:t xml:space="preserve"> (pp. 83-99)</w:t>
      </w:r>
      <w:r w:rsidRPr="00F52CA3">
        <w:rPr>
          <w:color w:val="000000"/>
          <w:shd w:val="clear" w:color="auto" w:fill="FFFFFF"/>
        </w:rPr>
        <w:t xml:space="preserve">. Sense. </w:t>
      </w:r>
    </w:p>
    <w:p w14:paraId="777C201C" w14:textId="2E0B05DF" w:rsidR="000D7D85" w:rsidRPr="000D7D85" w:rsidRDefault="000D7D85" w:rsidP="00F52CA3">
      <w:pPr>
        <w:spacing w:after="120"/>
        <w:ind w:left="567" w:hanging="567"/>
        <w:rPr>
          <w:color w:val="000000"/>
          <w:shd w:val="clear" w:color="auto" w:fill="FFFFFF"/>
        </w:rPr>
      </w:pPr>
      <w:r w:rsidRPr="000D7D85">
        <w:rPr>
          <w:color w:val="000000"/>
          <w:shd w:val="clear" w:color="auto" w:fill="FFFFFF"/>
        </w:rPr>
        <w:t>Hardy, I., &amp; Boyle, C. (2011). My School? Critiquing the abstraction and quantification of education.</w:t>
      </w:r>
      <w:r w:rsidRPr="00F52CA3">
        <w:rPr>
          <w:color w:val="000000"/>
          <w:shd w:val="clear" w:color="auto" w:fill="FFFFFF"/>
        </w:rPr>
        <w:t xml:space="preserve"> </w:t>
      </w:r>
      <w:r w:rsidRPr="000D7D85">
        <w:rPr>
          <w:i/>
          <w:iCs/>
          <w:color w:val="000000"/>
          <w:shd w:val="clear" w:color="auto" w:fill="FFFFFF"/>
        </w:rPr>
        <w:t>Asia-Pacific Journal of Teacher Education</w:t>
      </w:r>
      <w:r w:rsidRPr="000D7D85">
        <w:rPr>
          <w:color w:val="000000"/>
          <w:shd w:val="clear" w:color="auto" w:fill="FFFFFF"/>
        </w:rPr>
        <w:t>,</w:t>
      </w:r>
      <w:r w:rsidRPr="00F52CA3">
        <w:rPr>
          <w:color w:val="000000"/>
          <w:shd w:val="clear" w:color="auto" w:fill="FFFFFF"/>
        </w:rPr>
        <w:t xml:space="preserve"> </w:t>
      </w:r>
      <w:r w:rsidRPr="000D7D85">
        <w:rPr>
          <w:i/>
          <w:iCs/>
          <w:color w:val="000000"/>
          <w:shd w:val="clear" w:color="auto" w:fill="FFFFFF"/>
        </w:rPr>
        <w:t>39</w:t>
      </w:r>
      <w:r w:rsidRPr="000D7D85">
        <w:rPr>
          <w:color w:val="000000"/>
          <w:shd w:val="clear" w:color="auto" w:fill="FFFFFF"/>
        </w:rPr>
        <w:t>(3), 211-222.</w:t>
      </w:r>
    </w:p>
    <w:p w14:paraId="7ABAF1F0" w14:textId="78D682B7" w:rsidR="00503BFB" w:rsidRPr="00F52CA3" w:rsidRDefault="00503BFB" w:rsidP="00F52CA3">
      <w:pPr>
        <w:spacing w:after="120"/>
        <w:ind w:left="567" w:hanging="567"/>
        <w:rPr>
          <w:color w:val="000000"/>
          <w:shd w:val="clear" w:color="auto" w:fill="FFFFFF"/>
        </w:rPr>
      </w:pPr>
      <w:r w:rsidRPr="00F52CA3">
        <w:rPr>
          <w:color w:val="000000"/>
          <w:shd w:val="clear" w:color="auto" w:fill="FFFFFF"/>
        </w:rPr>
        <w:t xml:space="preserve">Hobbs, L., Campbell, C., &amp; </w:t>
      </w:r>
      <w:r w:rsidR="00782E34" w:rsidRPr="00F52CA3">
        <w:rPr>
          <w:color w:val="000000"/>
          <w:shd w:val="clear" w:color="auto" w:fill="FFFFFF"/>
        </w:rPr>
        <w:t>J</w:t>
      </w:r>
      <w:r w:rsidRPr="00F52CA3">
        <w:rPr>
          <w:color w:val="000000"/>
          <w:shd w:val="clear" w:color="auto" w:fill="FFFFFF"/>
        </w:rPr>
        <w:t xml:space="preserve">ones, M. (2018). </w:t>
      </w:r>
      <w:r w:rsidRPr="00F52CA3">
        <w:rPr>
          <w:i/>
          <w:iCs/>
          <w:color w:val="000000"/>
          <w:shd w:val="clear" w:color="auto" w:fill="FFFFFF"/>
        </w:rPr>
        <w:t>School-based pedagogies in teacher education</w:t>
      </w:r>
      <w:r w:rsidRPr="00F52CA3">
        <w:rPr>
          <w:color w:val="000000"/>
          <w:shd w:val="clear" w:color="auto" w:fill="FFFFFF"/>
        </w:rPr>
        <w:t>. Springer.</w:t>
      </w:r>
    </w:p>
    <w:p w14:paraId="46F84CD6" w14:textId="70E08D3B" w:rsidR="00295661" w:rsidRPr="00F52CA3" w:rsidRDefault="00295661" w:rsidP="00F52CA3">
      <w:pPr>
        <w:spacing w:after="120"/>
        <w:ind w:left="567" w:hanging="567"/>
        <w:rPr>
          <w:color w:val="000000"/>
          <w:shd w:val="clear" w:color="auto" w:fill="FFFFFF"/>
        </w:rPr>
      </w:pPr>
      <w:r w:rsidRPr="00F52CA3">
        <w:rPr>
          <w:color w:val="000000"/>
          <w:shd w:val="clear" w:color="auto" w:fill="FFFFFF"/>
        </w:rPr>
        <w:t xml:space="preserve">Hobbs, L., </w:t>
      </w:r>
      <w:proofErr w:type="spellStart"/>
      <w:r w:rsidRPr="00F52CA3">
        <w:rPr>
          <w:color w:val="000000"/>
          <w:shd w:val="clear" w:color="auto" w:fill="FFFFFF"/>
        </w:rPr>
        <w:t>Chittleborough</w:t>
      </w:r>
      <w:proofErr w:type="spellEnd"/>
      <w:r w:rsidRPr="00F52CA3">
        <w:rPr>
          <w:color w:val="000000"/>
          <w:shd w:val="clear" w:color="auto" w:fill="FFFFFF"/>
        </w:rPr>
        <w:t>, G., Jones, M., Kenny, J., Campbell, C., Gilbert, A., Redman, C., &amp; King, J. (2015). S</w:t>
      </w:r>
      <w:r w:rsidRPr="00F52CA3">
        <w:rPr>
          <w:i/>
          <w:iCs/>
          <w:color w:val="000000"/>
          <w:shd w:val="clear" w:color="auto" w:fill="FFFFFF"/>
        </w:rPr>
        <w:t xml:space="preserve">chool-based pedagogies and partnerships in primary science teacher education: The Science Teacher Education Partnerships with Schools (STEPS) project. </w:t>
      </w:r>
      <w:r w:rsidRPr="00F52CA3">
        <w:rPr>
          <w:color w:val="000000"/>
          <w:shd w:val="clear" w:color="auto" w:fill="FFFFFF"/>
        </w:rPr>
        <w:t>Australian Government Office for Learning and Teaching, Sydney, N.S.W.</w:t>
      </w:r>
    </w:p>
    <w:p w14:paraId="1F4C73C1" w14:textId="77777777" w:rsidR="00981A1F" w:rsidRPr="00F52CA3" w:rsidRDefault="00981A1F" w:rsidP="00F52CA3">
      <w:pPr>
        <w:spacing w:after="120"/>
        <w:ind w:left="567" w:hanging="567"/>
        <w:rPr>
          <w:color w:val="000000"/>
          <w:shd w:val="clear" w:color="auto" w:fill="FFFFFF"/>
        </w:rPr>
      </w:pPr>
      <w:r w:rsidRPr="00F52CA3">
        <w:rPr>
          <w:color w:val="000000"/>
          <w:shd w:val="clear" w:color="auto" w:fill="FFFFFF"/>
        </w:rPr>
        <w:t xml:space="preserve">Hudson, P., &amp; Hudson, S. (2011, July). </w:t>
      </w:r>
      <w:r w:rsidRPr="00F52CA3">
        <w:rPr>
          <w:i/>
          <w:iCs/>
          <w:color w:val="000000"/>
          <w:shd w:val="clear" w:color="auto" w:fill="FFFFFF"/>
        </w:rPr>
        <w:t>Partners in Education: The Teacher Education Done Differently (TEDD) Project</w:t>
      </w:r>
      <w:r w:rsidRPr="00F52CA3">
        <w:rPr>
          <w:color w:val="000000"/>
          <w:shd w:val="clear" w:color="auto" w:fill="FFFFFF"/>
        </w:rPr>
        <w:t>. Paper presented at the Australian Teacher Education Association (ATEA) conference, Melbourne, Vic.</w:t>
      </w:r>
    </w:p>
    <w:p w14:paraId="3F5D2BB3" w14:textId="08C6370B" w:rsidR="007B4840" w:rsidRPr="00F52CA3" w:rsidRDefault="007B4840" w:rsidP="00F52CA3">
      <w:pPr>
        <w:spacing w:after="120"/>
        <w:ind w:left="567" w:hanging="567"/>
        <w:rPr>
          <w:color w:val="000000"/>
          <w:shd w:val="clear" w:color="auto" w:fill="FFFFFF"/>
        </w:rPr>
      </w:pPr>
      <w:r w:rsidRPr="00F52CA3">
        <w:rPr>
          <w:color w:val="000000"/>
          <w:shd w:val="clear" w:color="auto" w:fill="FFFFFF"/>
        </w:rPr>
        <w:t xml:space="preserve">Johnson, P., </w:t>
      </w:r>
      <w:proofErr w:type="spellStart"/>
      <w:r w:rsidRPr="00F52CA3">
        <w:rPr>
          <w:color w:val="000000"/>
          <w:shd w:val="clear" w:color="auto" w:fill="FFFFFF"/>
        </w:rPr>
        <w:t>Cherednichenko</w:t>
      </w:r>
      <w:proofErr w:type="spellEnd"/>
      <w:r w:rsidRPr="00F52CA3">
        <w:rPr>
          <w:color w:val="000000"/>
          <w:shd w:val="clear" w:color="auto" w:fill="FFFFFF"/>
        </w:rPr>
        <w:t xml:space="preserve">, B., &amp; Rose, M. (2016). </w:t>
      </w:r>
      <w:r w:rsidRPr="00F52CA3">
        <w:rPr>
          <w:i/>
          <w:iCs/>
          <w:color w:val="000000"/>
          <w:shd w:val="clear" w:color="auto" w:fill="FFFFFF"/>
        </w:rPr>
        <w:t xml:space="preserve">Evaluation of the More Aboriginal and Torres Strait Islander Teachers </w:t>
      </w:r>
      <w:proofErr w:type="spellStart"/>
      <w:r w:rsidRPr="00F52CA3">
        <w:rPr>
          <w:i/>
          <w:iCs/>
          <w:color w:val="000000"/>
          <w:shd w:val="clear" w:color="auto" w:fill="FFFFFF"/>
        </w:rPr>
        <w:t>Initiiave</w:t>
      </w:r>
      <w:proofErr w:type="spellEnd"/>
      <w:r w:rsidRPr="00F52CA3">
        <w:rPr>
          <w:i/>
          <w:iCs/>
          <w:color w:val="000000"/>
          <w:shd w:val="clear" w:color="auto" w:fill="FFFFFF"/>
        </w:rPr>
        <w:t xml:space="preserve"> project: Final report</w:t>
      </w:r>
      <w:r w:rsidRPr="00F52CA3">
        <w:rPr>
          <w:color w:val="000000"/>
          <w:shd w:val="clear" w:color="auto" w:fill="FFFFFF"/>
        </w:rPr>
        <w:t xml:space="preserve">. </w:t>
      </w:r>
      <w:hyperlink r:id="rId11" w:history="1">
        <w:r w:rsidRPr="00F52CA3">
          <w:rPr>
            <w:color w:val="000000"/>
            <w:shd w:val="clear" w:color="auto" w:fill="FFFFFF"/>
          </w:rPr>
          <w:t>https://www.edutech.com.au/matsiti/wp-content/uploads/2020/06/MATSITI-2016-Project-Evaluation-Final-Report.pdf</w:t>
        </w:r>
      </w:hyperlink>
      <w:r w:rsidRPr="00F52CA3">
        <w:rPr>
          <w:color w:val="000000"/>
          <w:shd w:val="clear" w:color="auto" w:fill="FFFFFF"/>
        </w:rPr>
        <w:t xml:space="preserve"> </w:t>
      </w:r>
    </w:p>
    <w:p w14:paraId="04CD16CC" w14:textId="284FDA92" w:rsidR="007B4840" w:rsidRPr="00F52CA3" w:rsidRDefault="007B4840" w:rsidP="00F52CA3">
      <w:pPr>
        <w:spacing w:after="120"/>
        <w:ind w:left="567" w:hanging="567"/>
        <w:rPr>
          <w:color w:val="000000"/>
          <w:shd w:val="clear" w:color="auto" w:fill="FFFFFF"/>
        </w:rPr>
      </w:pPr>
      <w:r w:rsidRPr="00F52CA3">
        <w:rPr>
          <w:color w:val="000000"/>
          <w:shd w:val="clear" w:color="auto" w:fill="FFFFFF"/>
        </w:rPr>
        <w:t xml:space="preserve">Jones, M., &amp; Ryan, J. (2014). </w:t>
      </w:r>
      <w:r w:rsidRPr="00F52CA3">
        <w:rPr>
          <w:i/>
          <w:iCs/>
          <w:color w:val="000000"/>
          <w:shd w:val="clear" w:color="auto" w:fill="FFFFFF"/>
        </w:rPr>
        <w:t xml:space="preserve">Successful Teacher Education: Partnerships, Reflective </w:t>
      </w:r>
      <w:proofErr w:type="gramStart"/>
      <w:r w:rsidRPr="00F52CA3">
        <w:rPr>
          <w:i/>
          <w:iCs/>
          <w:color w:val="000000"/>
          <w:shd w:val="clear" w:color="auto" w:fill="FFFFFF"/>
        </w:rPr>
        <w:t>Practice</w:t>
      </w:r>
      <w:proofErr w:type="gramEnd"/>
      <w:r w:rsidRPr="00F52CA3">
        <w:rPr>
          <w:i/>
          <w:iCs/>
          <w:color w:val="000000"/>
          <w:shd w:val="clear" w:color="auto" w:fill="FFFFFF"/>
        </w:rPr>
        <w:t xml:space="preserve"> and the Place of Technology</w:t>
      </w:r>
      <w:r w:rsidRPr="00F52CA3">
        <w:rPr>
          <w:color w:val="000000"/>
          <w:shd w:val="clear" w:color="auto" w:fill="FFFFFF"/>
        </w:rPr>
        <w:t xml:space="preserve">. Sense. </w:t>
      </w:r>
    </w:p>
    <w:p w14:paraId="28C83870" w14:textId="77777777" w:rsidR="00782E34" w:rsidRPr="00F52CA3" w:rsidRDefault="00782E34" w:rsidP="00F52CA3">
      <w:pPr>
        <w:spacing w:after="120"/>
        <w:ind w:left="567" w:hanging="567"/>
        <w:rPr>
          <w:color w:val="000000"/>
          <w:shd w:val="clear" w:color="auto" w:fill="FFFFFF"/>
        </w:rPr>
      </w:pPr>
      <w:r w:rsidRPr="00F52CA3">
        <w:rPr>
          <w:color w:val="000000"/>
          <w:shd w:val="clear" w:color="auto" w:fill="FFFFFF"/>
        </w:rPr>
        <w:t xml:space="preserve">Jones, M., Hobbs, L., Kenny, J., Campbell, C., </w:t>
      </w:r>
      <w:proofErr w:type="spellStart"/>
      <w:r w:rsidRPr="00F52CA3">
        <w:rPr>
          <w:color w:val="000000"/>
          <w:shd w:val="clear" w:color="auto" w:fill="FFFFFF"/>
        </w:rPr>
        <w:t>Chittleborough</w:t>
      </w:r>
      <w:proofErr w:type="spellEnd"/>
      <w:r w:rsidRPr="00F52CA3">
        <w:rPr>
          <w:color w:val="000000"/>
          <w:shd w:val="clear" w:color="auto" w:fill="FFFFFF"/>
        </w:rPr>
        <w:t xml:space="preserve">, G., Gilbert, A., Herbert, S., &amp; Redman, C. (2016). Successful university-school partnerships: An interpretive framework to inform partnership practice. </w:t>
      </w:r>
      <w:r w:rsidRPr="00F52CA3">
        <w:rPr>
          <w:i/>
          <w:color w:val="000000"/>
          <w:shd w:val="clear" w:color="auto" w:fill="FFFFFF"/>
        </w:rPr>
        <w:t xml:space="preserve">Teaching and Teacher Education, 60, </w:t>
      </w:r>
      <w:r w:rsidRPr="00F52CA3">
        <w:rPr>
          <w:color w:val="000000"/>
          <w:shd w:val="clear" w:color="auto" w:fill="FFFFFF"/>
        </w:rPr>
        <w:t>108-120.</w:t>
      </w:r>
    </w:p>
    <w:p w14:paraId="7BD17A50" w14:textId="51F7CD61" w:rsidR="00CD1B73" w:rsidRPr="00F52CA3" w:rsidRDefault="00CD1B73" w:rsidP="00F52CA3">
      <w:pPr>
        <w:spacing w:after="120"/>
        <w:ind w:left="567" w:hanging="567"/>
        <w:rPr>
          <w:color w:val="000000"/>
          <w:shd w:val="clear" w:color="auto" w:fill="FFFFFF"/>
        </w:rPr>
      </w:pPr>
      <w:proofErr w:type="spellStart"/>
      <w:r w:rsidRPr="00F52CA3">
        <w:rPr>
          <w:color w:val="000000"/>
          <w:shd w:val="clear" w:color="auto" w:fill="FFFFFF"/>
        </w:rPr>
        <w:t>Keamy</w:t>
      </w:r>
      <w:proofErr w:type="spellEnd"/>
      <w:r w:rsidRPr="00F52CA3">
        <w:rPr>
          <w:color w:val="000000"/>
          <w:shd w:val="clear" w:color="auto" w:fill="FFFFFF"/>
        </w:rPr>
        <w:t xml:space="preserve">, K., Clinton, J. &amp; Tan, K. (2020). </w:t>
      </w:r>
      <w:r w:rsidRPr="00F52CA3">
        <w:rPr>
          <w:i/>
          <w:iCs/>
          <w:color w:val="000000"/>
          <w:shd w:val="clear" w:color="auto" w:fill="FFFFFF"/>
        </w:rPr>
        <w:t xml:space="preserve">Assessment for Graduate Teaching Summary Report 2020: Prepared for </w:t>
      </w:r>
      <w:proofErr w:type="spellStart"/>
      <w:r w:rsidRPr="00F52CA3">
        <w:rPr>
          <w:i/>
          <w:iCs/>
          <w:color w:val="000000"/>
          <w:shd w:val="clear" w:color="auto" w:fill="FFFFFF"/>
        </w:rPr>
        <w:t>AfGT</w:t>
      </w:r>
      <w:proofErr w:type="spellEnd"/>
      <w:r w:rsidRPr="00F52CA3">
        <w:rPr>
          <w:i/>
          <w:iCs/>
          <w:color w:val="000000"/>
          <w:shd w:val="clear" w:color="auto" w:fill="FFFFFF"/>
        </w:rPr>
        <w:t xml:space="preserve"> Consor</w:t>
      </w:r>
      <w:r w:rsidR="00782E34" w:rsidRPr="00F52CA3">
        <w:rPr>
          <w:i/>
          <w:iCs/>
          <w:color w:val="000000"/>
          <w:shd w:val="clear" w:color="auto" w:fill="FFFFFF"/>
        </w:rPr>
        <w:t>ti</w:t>
      </w:r>
      <w:r w:rsidRPr="00F52CA3">
        <w:rPr>
          <w:i/>
          <w:iCs/>
          <w:color w:val="000000"/>
          <w:shd w:val="clear" w:color="auto" w:fill="FFFFFF"/>
        </w:rPr>
        <w:t>um Collaborators</w:t>
      </w:r>
      <w:r w:rsidRPr="00F52CA3">
        <w:rPr>
          <w:color w:val="000000"/>
          <w:shd w:val="clear" w:color="auto" w:fill="FFFFFF"/>
        </w:rPr>
        <w:t xml:space="preserve">. </w:t>
      </w:r>
      <w:proofErr w:type="spellStart"/>
      <w:r w:rsidRPr="00F52CA3">
        <w:rPr>
          <w:color w:val="000000"/>
          <w:shd w:val="clear" w:color="auto" w:fill="FFFFFF"/>
        </w:rPr>
        <w:t>AfGT</w:t>
      </w:r>
      <w:proofErr w:type="spellEnd"/>
      <w:r w:rsidRPr="00F52CA3">
        <w:rPr>
          <w:color w:val="000000"/>
          <w:shd w:val="clear" w:color="auto" w:fill="FFFFFF"/>
        </w:rPr>
        <w:t xml:space="preserve"> Consor</w:t>
      </w:r>
      <w:r w:rsidR="00503BFB" w:rsidRPr="00F52CA3">
        <w:rPr>
          <w:color w:val="000000"/>
          <w:shd w:val="clear" w:color="auto" w:fill="FFFFFF"/>
        </w:rPr>
        <w:t>ti</w:t>
      </w:r>
      <w:r w:rsidRPr="00F52CA3">
        <w:rPr>
          <w:color w:val="000000"/>
          <w:shd w:val="clear" w:color="auto" w:fill="FFFFFF"/>
        </w:rPr>
        <w:t>um, Melbourne Graduate School of Educa9on, The University of Melbourne.</w:t>
      </w:r>
    </w:p>
    <w:p w14:paraId="7456F73A" w14:textId="78BE9A64" w:rsidR="004A4A7E" w:rsidRPr="004A4A7E" w:rsidRDefault="004A4A7E" w:rsidP="00F52CA3">
      <w:pPr>
        <w:spacing w:after="120"/>
        <w:ind w:left="567" w:hanging="567"/>
        <w:rPr>
          <w:color w:val="000000"/>
          <w:shd w:val="clear" w:color="auto" w:fill="FFFFFF"/>
        </w:rPr>
      </w:pPr>
      <w:proofErr w:type="spellStart"/>
      <w:r w:rsidRPr="004A4A7E">
        <w:rPr>
          <w:color w:val="000000"/>
          <w:shd w:val="clear" w:color="auto" w:fill="FFFFFF"/>
        </w:rPr>
        <w:t>Klenowski</w:t>
      </w:r>
      <w:proofErr w:type="spellEnd"/>
      <w:r w:rsidRPr="004A4A7E">
        <w:rPr>
          <w:color w:val="000000"/>
          <w:shd w:val="clear" w:color="auto" w:fill="FFFFFF"/>
        </w:rPr>
        <w:t>, V.</w:t>
      </w:r>
      <w:r w:rsidR="000B4CA1" w:rsidRPr="00F52CA3">
        <w:rPr>
          <w:color w:val="000000"/>
          <w:shd w:val="clear" w:color="auto" w:fill="FFFFFF"/>
        </w:rPr>
        <w:t xml:space="preserve"> </w:t>
      </w:r>
      <w:r w:rsidRPr="004A4A7E">
        <w:rPr>
          <w:color w:val="000000"/>
          <w:shd w:val="clear" w:color="auto" w:fill="FFFFFF"/>
        </w:rPr>
        <w:t xml:space="preserve">(2011) Assessment reform and educational change in Australia. </w:t>
      </w:r>
      <w:proofErr w:type="spellStart"/>
      <w:r w:rsidRPr="004A4A7E">
        <w:rPr>
          <w:color w:val="000000"/>
          <w:shd w:val="clear" w:color="auto" w:fill="FFFFFF"/>
        </w:rPr>
        <w:t>In</w:t>
      </w:r>
      <w:r w:rsidR="000B4CA1" w:rsidRPr="00F52CA3">
        <w:rPr>
          <w:color w:val="000000"/>
          <w:shd w:val="clear" w:color="auto" w:fill="FFFFFF"/>
        </w:rPr>
        <w:t>R</w:t>
      </w:r>
      <w:proofErr w:type="spellEnd"/>
      <w:r w:rsidR="000B4CA1" w:rsidRPr="00F52CA3">
        <w:rPr>
          <w:color w:val="000000"/>
          <w:shd w:val="clear" w:color="auto" w:fill="FFFFFF"/>
        </w:rPr>
        <w:t xml:space="preserve">. </w:t>
      </w:r>
      <w:r w:rsidRPr="004A4A7E">
        <w:rPr>
          <w:color w:val="000000"/>
          <w:shd w:val="clear" w:color="auto" w:fill="FFFFFF"/>
        </w:rPr>
        <w:t>Berry, &amp;</w:t>
      </w:r>
      <w:r w:rsidR="000B4CA1" w:rsidRPr="00F52CA3">
        <w:rPr>
          <w:color w:val="000000"/>
          <w:shd w:val="clear" w:color="auto" w:fill="FFFFFF"/>
        </w:rPr>
        <w:t xml:space="preserve"> B. </w:t>
      </w:r>
      <w:r w:rsidRPr="004A4A7E">
        <w:rPr>
          <w:color w:val="000000"/>
          <w:shd w:val="clear" w:color="auto" w:fill="FFFFFF"/>
        </w:rPr>
        <w:t>Adamson</w:t>
      </w:r>
      <w:r w:rsidR="000B4CA1" w:rsidRPr="00F52CA3">
        <w:rPr>
          <w:color w:val="000000"/>
          <w:shd w:val="clear" w:color="auto" w:fill="FFFFFF"/>
        </w:rPr>
        <w:t xml:space="preserve"> </w:t>
      </w:r>
      <w:r w:rsidRPr="004A4A7E">
        <w:rPr>
          <w:color w:val="000000"/>
          <w:shd w:val="clear" w:color="auto" w:fill="FFFFFF"/>
        </w:rPr>
        <w:t>(Eds.)</w:t>
      </w:r>
      <w:r w:rsidR="000B4CA1" w:rsidRPr="00F52CA3">
        <w:rPr>
          <w:color w:val="000000"/>
          <w:shd w:val="clear" w:color="auto" w:fill="FFFFFF"/>
        </w:rPr>
        <w:t xml:space="preserve">, </w:t>
      </w:r>
      <w:r w:rsidRPr="004A4A7E">
        <w:rPr>
          <w:i/>
          <w:iCs/>
          <w:color w:val="000000"/>
          <w:shd w:val="clear" w:color="auto" w:fill="FFFFFF"/>
        </w:rPr>
        <w:t xml:space="preserve">Assessment </w:t>
      </w:r>
      <w:r w:rsidR="000B4CA1" w:rsidRPr="00F52CA3">
        <w:rPr>
          <w:i/>
          <w:iCs/>
          <w:color w:val="000000"/>
          <w:shd w:val="clear" w:color="auto" w:fill="FFFFFF"/>
        </w:rPr>
        <w:t>reform in education</w:t>
      </w:r>
      <w:r w:rsidRPr="004A4A7E">
        <w:rPr>
          <w:i/>
          <w:iCs/>
          <w:color w:val="000000"/>
          <w:shd w:val="clear" w:color="auto" w:fill="FFFFFF"/>
        </w:rPr>
        <w:t xml:space="preserve">: Policy and </w:t>
      </w:r>
      <w:r w:rsidR="000B4CA1" w:rsidRPr="00F52CA3">
        <w:rPr>
          <w:i/>
          <w:iCs/>
          <w:color w:val="000000"/>
          <w:shd w:val="clear" w:color="auto" w:fill="FFFFFF"/>
        </w:rPr>
        <w:t>p</w:t>
      </w:r>
      <w:r w:rsidRPr="004A4A7E">
        <w:rPr>
          <w:i/>
          <w:iCs/>
          <w:color w:val="000000"/>
          <w:shd w:val="clear" w:color="auto" w:fill="FFFFFF"/>
        </w:rPr>
        <w:t>ractice</w:t>
      </w:r>
      <w:r w:rsidR="000B4CA1" w:rsidRPr="00F52CA3">
        <w:rPr>
          <w:i/>
          <w:iCs/>
          <w:color w:val="000000"/>
          <w:shd w:val="clear" w:color="auto" w:fill="FFFFFF"/>
        </w:rPr>
        <w:t xml:space="preserve"> </w:t>
      </w:r>
      <w:r w:rsidR="000B4CA1" w:rsidRPr="00F52CA3">
        <w:rPr>
          <w:color w:val="000000"/>
          <w:shd w:val="clear" w:color="auto" w:fill="FFFFFF"/>
        </w:rPr>
        <w:t>(</w:t>
      </w:r>
      <w:r w:rsidR="000B4CA1" w:rsidRPr="004A4A7E">
        <w:rPr>
          <w:color w:val="000000"/>
          <w:shd w:val="clear" w:color="auto" w:fill="FFFFFF"/>
        </w:rPr>
        <w:t>pp. 63-74</w:t>
      </w:r>
      <w:r w:rsidR="000B4CA1" w:rsidRPr="00F52CA3">
        <w:rPr>
          <w:color w:val="000000"/>
          <w:shd w:val="clear" w:color="auto" w:fill="FFFFFF"/>
        </w:rPr>
        <w:t>)</w:t>
      </w:r>
      <w:r w:rsidRPr="004A4A7E">
        <w:rPr>
          <w:i/>
          <w:iCs/>
          <w:color w:val="000000"/>
          <w:shd w:val="clear" w:color="auto" w:fill="FFFFFF"/>
        </w:rPr>
        <w:t>.</w:t>
      </w:r>
      <w:r w:rsidR="000B4CA1" w:rsidRPr="00F52CA3">
        <w:rPr>
          <w:color w:val="000000"/>
          <w:shd w:val="clear" w:color="auto" w:fill="FFFFFF"/>
        </w:rPr>
        <w:t xml:space="preserve"> </w:t>
      </w:r>
      <w:r w:rsidRPr="004A4A7E">
        <w:rPr>
          <w:color w:val="000000"/>
          <w:shd w:val="clear" w:color="auto" w:fill="FFFFFF"/>
        </w:rPr>
        <w:t>Springer</w:t>
      </w:r>
      <w:r w:rsidR="000B4CA1" w:rsidRPr="00F52CA3">
        <w:rPr>
          <w:color w:val="000000"/>
          <w:shd w:val="clear" w:color="auto" w:fill="FFFFFF"/>
        </w:rPr>
        <w:t>.</w:t>
      </w:r>
    </w:p>
    <w:p w14:paraId="7E1E3F8D" w14:textId="7E2BE74D" w:rsidR="004A4A7E" w:rsidRPr="004A4A7E" w:rsidRDefault="004A4A7E" w:rsidP="00F52CA3">
      <w:pPr>
        <w:spacing w:after="120"/>
        <w:ind w:left="567" w:hanging="567"/>
        <w:rPr>
          <w:color w:val="000000"/>
          <w:shd w:val="clear" w:color="auto" w:fill="FFFFFF"/>
        </w:rPr>
      </w:pPr>
      <w:proofErr w:type="spellStart"/>
      <w:r w:rsidRPr="004A4A7E">
        <w:rPr>
          <w:color w:val="000000"/>
          <w:shd w:val="clear" w:color="auto" w:fill="FFFFFF"/>
        </w:rPr>
        <w:t>Klenowski</w:t>
      </w:r>
      <w:proofErr w:type="spellEnd"/>
      <w:r w:rsidRPr="004A4A7E">
        <w:rPr>
          <w:color w:val="000000"/>
          <w:shd w:val="clear" w:color="auto" w:fill="FFFFFF"/>
        </w:rPr>
        <w:t xml:space="preserve">, V.  &amp; Wyatt-Smith, C. </w:t>
      </w:r>
      <w:r w:rsidR="000B4CA1" w:rsidRPr="00F52CA3">
        <w:rPr>
          <w:color w:val="000000"/>
          <w:shd w:val="clear" w:color="auto" w:fill="FFFFFF"/>
        </w:rPr>
        <w:t xml:space="preserve"> </w:t>
      </w:r>
      <w:r w:rsidRPr="004A4A7E">
        <w:rPr>
          <w:color w:val="000000"/>
          <w:shd w:val="clear" w:color="auto" w:fill="FFFFFF"/>
        </w:rPr>
        <w:t>(2012)</w:t>
      </w:r>
      <w:r w:rsidR="000B4CA1" w:rsidRPr="00F52CA3">
        <w:rPr>
          <w:color w:val="000000"/>
          <w:shd w:val="clear" w:color="auto" w:fill="FFFFFF"/>
        </w:rPr>
        <w:t xml:space="preserve">. </w:t>
      </w:r>
      <w:r w:rsidRPr="004A4A7E">
        <w:rPr>
          <w:color w:val="000000"/>
          <w:shd w:val="clear" w:color="auto" w:fill="FFFFFF"/>
        </w:rPr>
        <w:t xml:space="preserve">The impact of high stakes testing: </w:t>
      </w:r>
      <w:r w:rsidR="000B4CA1" w:rsidRPr="00F52CA3">
        <w:rPr>
          <w:color w:val="000000"/>
          <w:shd w:val="clear" w:color="auto" w:fill="FFFFFF"/>
        </w:rPr>
        <w:t>T</w:t>
      </w:r>
      <w:r w:rsidRPr="004A4A7E">
        <w:rPr>
          <w:color w:val="000000"/>
          <w:shd w:val="clear" w:color="auto" w:fill="FFFFFF"/>
        </w:rPr>
        <w:t>he Australian story</w:t>
      </w:r>
      <w:r w:rsidR="000B4CA1" w:rsidRPr="00F52CA3">
        <w:rPr>
          <w:color w:val="000000"/>
          <w:shd w:val="clear" w:color="auto" w:fill="FFFFFF"/>
        </w:rPr>
        <w:t xml:space="preserve">. </w:t>
      </w:r>
      <w:r w:rsidRPr="004A4A7E">
        <w:rPr>
          <w:i/>
          <w:iCs/>
          <w:color w:val="000000"/>
          <w:shd w:val="clear" w:color="auto" w:fill="FFFFFF"/>
        </w:rPr>
        <w:t>Assessment in Education: Principles, Policy &amp; Practice,</w:t>
      </w:r>
      <w:r w:rsidR="000B4CA1" w:rsidRPr="00F52CA3">
        <w:rPr>
          <w:i/>
          <w:iCs/>
          <w:color w:val="000000"/>
          <w:shd w:val="clear" w:color="auto" w:fill="FFFFFF"/>
        </w:rPr>
        <w:t xml:space="preserve"> </w:t>
      </w:r>
      <w:r w:rsidRPr="004A4A7E">
        <w:rPr>
          <w:i/>
          <w:iCs/>
          <w:color w:val="000000"/>
          <w:shd w:val="clear" w:color="auto" w:fill="FFFFFF"/>
        </w:rPr>
        <w:t>19</w:t>
      </w:r>
      <w:r w:rsidR="000B4CA1" w:rsidRPr="00F52CA3">
        <w:rPr>
          <w:color w:val="000000"/>
          <w:shd w:val="clear" w:color="auto" w:fill="FFFFFF"/>
        </w:rPr>
        <w:t>(</w:t>
      </w:r>
      <w:r w:rsidRPr="004A4A7E">
        <w:rPr>
          <w:color w:val="000000"/>
          <w:shd w:val="clear" w:color="auto" w:fill="FFFFFF"/>
        </w:rPr>
        <w:t>1</w:t>
      </w:r>
      <w:r w:rsidR="000B4CA1" w:rsidRPr="00F52CA3">
        <w:rPr>
          <w:color w:val="000000"/>
          <w:shd w:val="clear" w:color="auto" w:fill="FFFFFF"/>
        </w:rPr>
        <w:t xml:space="preserve">), </w:t>
      </w:r>
      <w:r w:rsidRPr="004A4A7E">
        <w:rPr>
          <w:color w:val="000000"/>
          <w:shd w:val="clear" w:color="auto" w:fill="FFFFFF"/>
        </w:rPr>
        <w:t>65-79</w:t>
      </w:r>
      <w:r w:rsidR="000B4CA1" w:rsidRPr="00F52CA3">
        <w:rPr>
          <w:color w:val="000000"/>
          <w:shd w:val="clear" w:color="auto" w:fill="FFFFFF"/>
        </w:rPr>
        <w:t xml:space="preserve">. </w:t>
      </w:r>
      <w:r w:rsidRPr="004A4A7E">
        <w:rPr>
          <w:color w:val="000000"/>
          <w:shd w:val="clear" w:color="auto" w:fill="FFFFFF"/>
        </w:rPr>
        <w:t>DOI:</w:t>
      </w:r>
      <w:r w:rsidR="000B4CA1" w:rsidRPr="00F52CA3">
        <w:rPr>
          <w:color w:val="000000"/>
          <w:shd w:val="clear" w:color="auto" w:fill="FFFFFF"/>
        </w:rPr>
        <w:t xml:space="preserve"> </w:t>
      </w:r>
      <w:hyperlink r:id="rId12" w:history="1">
        <w:r w:rsidRPr="004A4A7E">
          <w:rPr>
            <w:rStyle w:val="Hyperlink"/>
            <w:shd w:val="clear" w:color="auto" w:fill="FFFFFF"/>
          </w:rPr>
          <w:t>10.1080/0969594X.2011.592972</w:t>
        </w:r>
      </w:hyperlink>
    </w:p>
    <w:p w14:paraId="010D4957" w14:textId="2FA5F196" w:rsidR="00981A1F" w:rsidRPr="00F52CA3" w:rsidRDefault="00981A1F" w:rsidP="00F52CA3">
      <w:pPr>
        <w:spacing w:after="120"/>
        <w:ind w:left="567" w:hanging="567"/>
        <w:rPr>
          <w:color w:val="000000"/>
          <w:shd w:val="clear" w:color="auto" w:fill="FFFFFF"/>
        </w:rPr>
      </w:pPr>
      <w:proofErr w:type="spellStart"/>
      <w:r w:rsidRPr="00F52CA3">
        <w:rPr>
          <w:color w:val="000000"/>
          <w:shd w:val="clear" w:color="auto" w:fill="FFFFFF"/>
        </w:rPr>
        <w:lastRenderedPageBreak/>
        <w:t>Kosnik</w:t>
      </w:r>
      <w:proofErr w:type="spellEnd"/>
      <w:r w:rsidRPr="00F52CA3">
        <w:rPr>
          <w:color w:val="000000"/>
          <w:shd w:val="clear" w:color="auto" w:fill="FFFFFF"/>
        </w:rPr>
        <w:t xml:space="preserve">, C., &amp; Beck, C. (2009). Priorities in teacher education: The 7 key elements of preservice preparation. London, UK: Routledge. </w:t>
      </w:r>
    </w:p>
    <w:p w14:paraId="75C35290" w14:textId="1F0F50F1" w:rsidR="00981A1F" w:rsidRPr="00F52CA3" w:rsidRDefault="00981A1F" w:rsidP="00F52CA3">
      <w:pPr>
        <w:spacing w:after="120"/>
        <w:ind w:left="567" w:hanging="567"/>
        <w:rPr>
          <w:color w:val="000000"/>
          <w:shd w:val="clear" w:color="auto" w:fill="FFFFFF"/>
        </w:rPr>
      </w:pPr>
      <w:r w:rsidRPr="00F52CA3">
        <w:rPr>
          <w:color w:val="000000"/>
          <w:shd w:val="clear" w:color="auto" w:fill="FFFFFF"/>
        </w:rPr>
        <w:t xml:space="preserve">Kruger, T., Davies, A., Eckersley, B., Newell, F., &amp; </w:t>
      </w:r>
      <w:proofErr w:type="spellStart"/>
      <w:r w:rsidRPr="00F52CA3">
        <w:rPr>
          <w:color w:val="000000"/>
          <w:shd w:val="clear" w:color="auto" w:fill="FFFFFF"/>
        </w:rPr>
        <w:t>Cherednichenko</w:t>
      </w:r>
      <w:proofErr w:type="spellEnd"/>
      <w:r w:rsidRPr="00F52CA3">
        <w:rPr>
          <w:color w:val="000000"/>
          <w:shd w:val="clear" w:color="auto" w:fill="FFFFFF"/>
        </w:rPr>
        <w:t xml:space="preserve">, B. (2009). </w:t>
      </w:r>
      <w:r w:rsidRPr="00F52CA3">
        <w:rPr>
          <w:i/>
          <w:iCs/>
          <w:color w:val="000000"/>
          <w:shd w:val="clear" w:color="auto" w:fill="FFFFFF"/>
        </w:rPr>
        <w:t>Effective and sustainable university-school partnerships. Beyond determined efforts of inspired individuals</w:t>
      </w:r>
      <w:r w:rsidRPr="00F52CA3">
        <w:rPr>
          <w:color w:val="000000"/>
          <w:shd w:val="clear" w:color="auto" w:fill="FFFFFF"/>
        </w:rPr>
        <w:t xml:space="preserve">. Canberra, ACT: Teaching Australia [Electronic version]. Retrieved from </w:t>
      </w:r>
      <w:hyperlink r:id="rId13" w:history="1">
        <w:r w:rsidRPr="00F52CA3">
          <w:rPr>
            <w:color w:val="000000"/>
            <w:shd w:val="clear" w:color="auto" w:fill="FFFFFF"/>
          </w:rPr>
          <w:t>http://hdl.voced.edu.au/10707/144200</w:t>
        </w:r>
      </w:hyperlink>
      <w:r w:rsidRPr="00F52CA3">
        <w:rPr>
          <w:color w:val="000000"/>
          <w:shd w:val="clear" w:color="auto" w:fill="FFFFFF"/>
        </w:rPr>
        <w:t xml:space="preserve"> </w:t>
      </w:r>
    </w:p>
    <w:p w14:paraId="295903E0" w14:textId="34C5E122" w:rsidR="000B4CA1" w:rsidRPr="00F52CA3" w:rsidRDefault="000B4CA1" w:rsidP="00F52CA3">
      <w:pPr>
        <w:spacing w:after="120"/>
        <w:ind w:left="567" w:hanging="567"/>
        <w:rPr>
          <w:color w:val="000000"/>
          <w:shd w:val="clear" w:color="auto" w:fill="FFFFFF"/>
        </w:rPr>
      </w:pPr>
      <w:proofErr w:type="spellStart"/>
      <w:r w:rsidRPr="00F52CA3">
        <w:rPr>
          <w:color w:val="000000"/>
          <w:shd w:val="clear" w:color="auto" w:fill="FFFFFF"/>
        </w:rPr>
        <w:t>Lobascher</w:t>
      </w:r>
      <w:proofErr w:type="spellEnd"/>
      <w:r w:rsidRPr="00F52CA3">
        <w:rPr>
          <w:color w:val="000000"/>
          <w:shd w:val="clear" w:color="auto" w:fill="FFFFFF"/>
        </w:rPr>
        <w:t xml:space="preserve">, S. (2011). What are the potential impacts of </w:t>
      </w:r>
      <w:proofErr w:type="gramStart"/>
      <w:r w:rsidRPr="00F52CA3">
        <w:rPr>
          <w:color w:val="000000"/>
          <w:shd w:val="clear" w:color="auto" w:fill="FFFFFF"/>
        </w:rPr>
        <w:t>high-stakes</w:t>
      </w:r>
      <w:proofErr w:type="gramEnd"/>
      <w:r w:rsidRPr="00F52CA3">
        <w:rPr>
          <w:color w:val="000000"/>
          <w:shd w:val="clear" w:color="auto" w:fill="FFFFFF"/>
        </w:rPr>
        <w:t xml:space="preserve"> testing on literacy education in Australia? Literacy Learning: The Middle Years, 19(2), 9-19. </w:t>
      </w:r>
    </w:p>
    <w:p w14:paraId="0299DC32" w14:textId="532BEBFF" w:rsidR="00981A1F" w:rsidRPr="00F52CA3" w:rsidRDefault="00981A1F" w:rsidP="00F52CA3">
      <w:pPr>
        <w:spacing w:after="120"/>
        <w:ind w:left="567" w:hanging="567"/>
        <w:rPr>
          <w:color w:val="000000"/>
          <w:shd w:val="clear" w:color="auto" w:fill="FFFFFF"/>
        </w:rPr>
      </w:pPr>
      <w:r w:rsidRPr="00F52CA3">
        <w:rPr>
          <w:color w:val="000000"/>
          <w:shd w:val="clear" w:color="auto" w:fill="FFFFFF"/>
        </w:rPr>
        <w:t xml:space="preserve">Loughran, J. (2014). Professionally developing as a teacher educator. </w:t>
      </w:r>
      <w:r w:rsidRPr="00F52CA3">
        <w:rPr>
          <w:i/>
          <w:iCs/>
          <w:color w:val="000000"/>
          <w:shd w:val="clear" w:color="auto" w:fill="FFFFFF"/>
        </w:rPr>
        <w:t>Journal of Teacher Education, 65</w:t>
      </w:r>
      <w:r w:rsidRPr="00F52CA3">
        <w:rPr>
          <w:color w:val="000000"/>
          <w:shd w:val="clear" w:color="auto" w:fill="FFFFFF"/>
        </w:rPr>
        <w:t>(4), 271–283.</w:t>
      </w:r>
    </w:p>
    <w:p w14:paraId="63A117A5" w14:textId="30467BF8" w:rsidR="00981A1F" w:rsidRPr="00F52CA3" w:rsidRDefault="00981A1F" w:rsidP="00F52CA3">
      <w:pPr>
        <w:spacing w:after="120"/>
        <w:ind w:left="567" w:hanging="567"/>
        <w:rPr>
          <w:color w:val="000000"/>
          <w:shd w:val="clear" w:color="auto" w:fill="FFFFFF"/>
        </w:rPr>
      </w:pPr>
      <w:r w:rsidRPr="00F52CA3">
        <w:rPr>
          <w:color w:val="000000"/>
          <w:shd w:val="clear" w:color="auto" w:fill="FFFFFF"/>
        </w:rPr>
        <w:t xml:space="preserve">Loughran, J., &amp; Hamilton, M. (2016). Developing an understanding of teacher education. In J. Loughran &amp; M. Hamilton (Eds.), </w:t>
      </w:r>
      <w:r w:rsidRPr="00F52CA3">
        <w:rPr>
          <w:i/>
          <w:iCs/>
          <w:color w:val="000000"/>
          <w:shd w:val="clear" w:color="auto" w:fill="FFFFFF"/>
        </w:rPr>
        <w:t>International handbook on teacher education</w:t>
      </w:r>
      <w:r w:rsidRPr="00F52CA3">
        <w:rPr>
          <w:color w:val="000000"/>
          <w:shd w:val="clear" w:color="auto" w:fill="FFFFFF"/>
        </w:rPr>
        <w:t xml:space="preserve"> (Vol. 1, pp. 3-22). Springer. </w:t>
      </w:r>
    </w:p>
    <w:p w14:paraId="2222DC9F" w14:textId="460B8D27" w:rsidR="00503BFB" w:rsidRPr="00F52CA3" w:rsidRDefault="00FF5D74" w:rsidP="00F52CA3">
      <w:pPr>
        <w:spacing w:after="120"/>
        <w:ind w:left="567" w:hanging="567"/>
        <w:rPr>
          <w:color w:val="000000"/>
          <w:shd w:val="clear" w:color="auto" w:fill="FFFFFF"/>
        </w:rPr>
      </w:pPr>
      <w:r w:rsidRPr="00F52CA3">
        <w:rPr>
          <w:color w:val="000000"/>
          <w:shd w:val="clear" w:color="auto" w:fill="FFFFFF"/>
          <w:lang w:val="en-GB"/>
        </w:rPr>
        <w:t xml:space="preserve">McLean Davies, L., Angelico, T., Hadlow, B., </w:t>
      </w:r>
      <w:proofErr w:type="spellStart"/>
      <w:r w:rsidRPr="00F52CA3">
        <w:rPr>
          <w:color w:val="000000"/>
          <w:shd w:val="clear" w:color="auto" w:fill="FFFFFF"/>
          <w:lang w:val="en-GB"/>
        </w:rPr>
        <w:t>Kriewaldt</w:t>
      </w:r>
      <w:proofErr w:type="spellEnd"/>
      <w:r w:rsidRPr="00F52CA3">
        <w:rPr>
          <w:color w:val="000000"/>
          <w:shd w:val="clear" w:color="auto" w:fill="FFFFFF"/>
          <w:lang w:val="en-GB"/>
        </w:rPr>
        <w:t xml:space="preserve">, J., Rickards, F., Thornton, J., &amp; Wright, P. (2017). Supporting the development of the profession: The impact of a clinical approach to teacher education. In T. Bentley &amp; G. C. Savage (Eds.), </w:t>
      </w:r>
      <w:r w:rsidRPr="00F52CA3">
        <w:rPr>
          <w:i/>
          <w:iCs/>
          <w:color w:val="000000"/>
          <w:shd w:val="clear" w:color="auto" w:fill="FFFFFF"/>
          <w:lang w:val="en-GB"/>
        </w:rPr>
        <w:t xml:space="preserve">Educating Australia: Challenges for the decade ahead </w:t>
      </w:r>
      <w:r w:rsidRPr="00F52CA3">
        <w:rPr>
          <w:color w:val="000000"/>
          <w:shd w:val="clear" w:color="auto" w:fill="FFFFFF"/>
          <w:lang w:val="en-GB"/>
        </w:rPr>
        <w:t>(pp. 209-223). Melbourne University Publishing.</w:t>
      </w:r>
    </w:p>
    <w:p w14:paraId="0D207F39" w14:textId="133BA02B" w:rsidR="000B4CA1" w:rsidRPr="000B4CA1" w:rsidRDefault="000B4CA1" w:rsidP="00F52CA3">
      <w:pPr>
        <w:spacing w:after="120"/>
        <w:ind w:left="567" w:hanging="567"/>
        <w:rPr>
          <w:color w:val="000000"/>
          <w:shd w:val="clear" w:color="auto" w:fill="FFFFFF"/>
        </w:rPr>
      </w:pPr>
      <w:proofErr w:type="spellStart"/>
      <w:r w:rsidRPr="000B4CA1">
        <w:rPr>
          <w:color w:val="000000"/>
          <w:shd w:val="clear" w:color="auto" w:fill="FFFFFF"/>
        </w:rPr>
        <w:t>Noddings</w:t>
      </w:r>
      <w:proofErr w:type="spellEnd"/>
      <w:r w:rsidRPr="000B4CA1">
        <w:rPr>
          <w:color w:val="000000"/>
          <w:shd w:val="clear" w:color="auto" w:fill="FFFFFF"/>
        </w:rPr>
        <w:t xml:space="preserve">, N. (2013). </w:t>
      </w:r>
      <w:r w:rsidRPr="000B4CA1">
        <w:rPr>
          <w:i/>
          <w:iCs/>
          <w:color w:val="000000"/>
          <w:shd w:val="clear" w:color="auto" w:fill="FFFFFF"/>
        </w:rPr>
        <w:t xml:space="preserve">Caring: A </w:t>
      </w:r>
      <w:r w:rsidRPr="00F52CA3">
        <w:rPr>
          <w:i/>
          <w:iCs/>
          <w:color w:val="000000"/>
          <w:shd w:val="clear" w:color="auto" w:fill="FFFFFF"/>
        </w:rPr>
        <w:t>relational approach to ethics and moral education</w:t>
      </w:r>
      <w:r w:rsidRPr="000B4CA1">
        <w:rPr>
          <w:color w:val="000000"/>
          <w:shd w:val="clear" w:color="auto" w:fill="FFFFFF"/>
        </w:rPr>
        <w:t>. University of California Press</w:t>
      </w:r>
      <w:r w:rsidRPr="00F52CA3">
        <w:rPr>
          <w:color w:val="000000"/>
          <w:shd w:val="clear" w:color="auto" w:fill="FFFFFF"/>
        </w:rPr>
        <w:t>.</w:t>
      </w:r>
    </w:p>
    <w:p w14:paraId="3614F899" w14:textId="4DFEA092" w:rsidR="00981A1F" w:rsidRPr="00F52CA3" w:rsidRDefault="00981A1F" w:rsidP="00F52CA3">
      <w:pPr>
        <w:spacing w:after="120"/>
        <w:ind w:left="567" w:hanging="567"/>
        <w:rPr>
          <w:color w:val="000000"/>
          <w:shd w:val="clear" w:color="auto" w:fill="FFFFFF"/>
        </w:rPr>
      </w:pPr>
      <w:r w:rsidRPr="00F52CA3">
        <w:rPr>
          <w:color w:val="000000"/>
          <w:shd w:val="clear" w:color="auto" w:fill="FFFFFF"/>
        </w:rPr>
        <w:t xml:space="preserve">Patrick, C-j., Peach, D., </w:t>
      </w:r>
      <w:proofErr w:type="spellStart"/>
      <w:r w:rsidRPr="00F52CA3">
        <w:rPr>
          <w:color w:val="000000"/>
          <w:shd w:val="clear" w:color="auto" w:fill="FFFFFF"/>
        </w:rPr>
        <w:t>Pocknee</w:t>
      </w:r>
      <w:proofErr w:type="spellEnd"/>
      <w:r w:rsidRPr="00F52CA3">
        <w:rPr>
          <w:color w:val="000000"/>
          <w:shd w:val="clear" w:color="auto" w:fill="FFFFFF"/>
        </w:rPr>
        <w:t xml:space="preserve">, C., Webb, F., Fletcher, M., </w:t>
      </w:r>
      <w:proofErr w:type="spellStart"/>
      <w:r w:rsidRPr="00F52CA3">
        <w:rPr>
          <w:color w:val="000000"/>
          <w:shd w:val="clear" w:color="auto" w:fill="FFFFFF"/>
        </w:rPr>
        <w:t>Pretto</w:t>
      </w:r>
      <w:proofErr w:type="spellEnd"/>
      <w:r w:rsidRPr="00F52CA3">
        <w:rPr>
          <w:color w:val="000000"/>
          <w:shd w:val="clear" w:color="auto" w:fill="FFFFFF"/>
        </w:rPr>
        <w:t xml:space="preserve">, G. (2008). </w:t>
      </w:r>
      <w:r w:rsidRPr="00F52CA3">
        <w:rPr>
          <w:i/>
          <w:iCs/>
          <w:color w:val="000000"/>
          <w:shd w:val="clear" w:color="auto" w:fill="FFFFFF"/>
        </w:rPr>
        <w:t>The WIL [Work Integrated Learning] report: A national scoping study</w:t>
      </w:r>
      <w:r w:rsidRPr="00F52CA3">
        <w:rPr>
          <w:color w:val="000000"/>
          <w:shd w:val="clear" w:color="auto" w:fill="FFFFFF"/>
        </w:rPr>
        <w:t xml:space="preserve"> [Australian Learning and Teaching Council (ALTC) Final report]. Brisbane: Queensland University of Technology. Retrieved from www.altc.edu.au and </w:t>
      </w:r>
      <w:hyperlink r:id="rId14" w:history="1">
        <w:r w:rsidRPr="00F52CA3">
          <w:rPr>
            <w:color w:val="000000"/>
            <w:shd w:val="clear" w:color="auto" w:fill="FFFFFF"/>
          </w:rPr>
          <w:t>www.acen.edu.au</w:t>
        </w:r>
      </w:hyperlink>
      <w:r w:rsidRPr="00F52CA3">
        <w:rPr>
          <w:color w:val="000000"/>
          <w:shd w:val="clear" w:color="auto" w:fill="FFFFFF"/>
        </w:rPr>
        <w:t xml:space="preserve"> </w:t>
      </w:r>
    </w:p>
    <w:p w14:paraId="1980D67D" w14:textId="67B58F3D" w:rsidR="000D7D85" w:rsidRPr="000D7D85" w:rsidRDefault="000D7D85" w:rsidP="00F52CA3">
      <w:pPr>
        <w:spacing w:after="120"/>
        <w:ind w:left="567" w:hanging="567"/>
        <w:rPr>
          <w:color w:val="000000"/>
          <w:shd w:val="clear" w:color="auto" w:fill="FFFFFF"/>
        </w:rPr>
      </w:pPr>
      <w:proofErr w:type="spellStart"/>
      <w:r w:rsidRPr="000D7D85">
        <w:rPr>
          <w:color w:val="000000"/>
          <w:shd w:val="clear" w:color="auto" w:fill="FFFFFF"/>
        </w:rPr>
        <w:t>Polesel</w:t>
      </w:r>
      <w:proofErr w:type="spellEnd"/>
      <w:r w:rsidRPr="000D7D85">
        <w:rPr>
          <w:color w:val="000000"/>
          <w:shd w:val="clear" w:color="auto" w:fill="FFFFFF"/>
        </w:rPr>
        <w:t xml:space="preserve">, J., Dulfer, N., &amp; Turnbull, M. (2012). </w:t>
      </w:r>
      <w:r w:rsidRPr="000D7D85">
        <w:rPr>
          <w:i/>
          <w:iCs/>
          <w:color w:val="000000"/>
          <w:shd w:val="clear" w:color="auto" w:fill="FFFFFF"/>
        </w:rPr>
        <w:t>The experience of education: The impacts of high stakes testing on school students and their families.</w:t>
      </w:r>
      <w:r w:rsidRPr="00F52CA3">
        <w:rPr>
          <w:i/>
          <w:iCs/>
          <w:color w:val="000000"/>
          <w:shd w:val="clear" w:color="auto" w:fill="FFFFFF"/>
        </w:rPr>
        <w:t xml:space="preserve"> </w:t>
      </w:r>
      <w:r w:rsidRPr="000D7D85">
        <w:rPr>
          <w:color w:val="000000"/>
          <w:shd w:val="clear" w:color="auto" w:fill="FFFFFF"/>
        </w:rPr>
        <w:t>Sydney, Australia: The Whitlam Institute.</w:t>
      </w:r>
    </w:p>
    <w:p w14:paraId="78DD0065" w14:textId="6936B6F9" w:rsidR="00FF5D74" w:rsidRPr="00FF5D74" w:rsidRDefault="00FF5D74" w:rsidP="00F52CA3">
      <w:pPr>
        <w:spacing w:after="120"/>
        <w:ind w:left="567" w:hanging="567"/>
        <w:rPr>
          <w:color w:val="000000"/>
          <w:u w:val="single"/>
          <w:shd w:val="clear" w:color="auto" w:fill="FFFFFF"/>
        </w:rPr>
      </w:pPr>
      <w:r w:rsidRPr="00FF5D74">
        <w:rPr>
          <w:color w:val="000000"/>
          <w:shd w:val="clear" w:color="auto" w:fill="FFFFFF"/>
        </w:rPr>
        <w:t xml:space="preserve">Rowan, L., Bourke, T., Lunn-Brownlee, J., Ryan, M., Walker, S., &amp; </w:t>
      </w:r>
      <w:proofErr w:type="spellStart"/>
      <w:r w:rsidRPr="00FF5D74">
        <w:rPr>
          <w:color w:val="000000"/>
          <w:shd w:val="clear" w:color="auto" w:fill="FFFFFF"/>
        </w:rPr>
        <w:t>L’Estrange</w:t>
      </w:r>
      <w:proofErr w:type="spellEnd"/>
      <w:r w:rsidRPr="00FF5D74">
        <w:rPr>
          <w:color w:val="000000"/>
          <w:shd w:val="clear" w:color="auto" w:fill="FFFFFF"/>
        </w:rPr>
        <w:t xml:space="preserve">, L. (2021). How does </w:t>
      </w:r>
      <w:r w:rsidRPr="00F52CA3">
        <w:rPr>
          <w:color w:val="000000"/>
          <w:shd w:val="clear" w:color="auto" w:fill="FFFFFF"/>
        </w:rPr>
        <w:t>initial teacher education research frame the challenge of preparing future teachers for student diversity in schoo</w:t>
      </w:r>
      <w:r w:rsidRPr="00FF5D74">
        <w:rPr>
          <w:color w:val="000000"/>
          <w:shd w:val="clear" w:color="auto" w:fill="FFFFFF"/>
        </w:rPr>
        <w:t xml:space="preserve">ls: A </w:t>
      </w:r>
      <w:r w:rsidRPr="00F52CA3">
        <w:rPr>
          <w:color w:val="000000"/>
          <w:shd w:val="clear" w:color="auto" w:fill="FFFFFF"/>
        </w:rPr>
        <w:t>systematic review of literature</w:t>
      </w:r>
      <w:r w:rsidRPr="00FF5D74">
        <w:rPr>
          <w:color w:val="000000"/>
          <w:shd w:val="clear" w:color="auto" w:fill="FFFFFF"/>
        </w:rPr>
        <w:t xml:space="preserve">. </w:t>
      </w:r>
      <w:r w:rsidRPr="00FF5D74">
        <w:rPr>
          <w:i/>
          <w:iCs/>
          <w:color w:val="000000"/>
          <w:shd w:val="clear" w:color="auto" w:fill="FFFFFF"/>
        </w:rPr>
        <w:t>Review of Educational Research</w:t>
      </w:r>
      <w:r w:rsidRPr="00F52CA3">
        <w:rPr>
          <w:i/>
          <w:iCs/>
          <w:color w:val="000000"/>
          <w:shd w:val="clear" w:color="auto" w:fill="FFFFFF"/>
        </w:rPr>
        <w:t>,</w:t>
      </w:r>
      <w:r w:rsidRPr="00FF5D74">
        <w:rPr>
          <w:i/>
          <w:iCs/>
          <w:color w:val="000000"/>
          <w:shd w:val="clear" w:color="auto" w:fill="FFFFFF"/>
        </w:rPr>
        <w:t xml:space="preserve"> 91</w:t>
      </w:r>
      <w:r w:rsidRPr="00FF5D74">
        <w:rPr>
          <w:color w:val="000000"/>
          <w:shd w:val="clear" w:color="auto" w:fill="FFFFFF"/>
        </w:rPr>
        <w:t xml:space="preserve">(1), 112-158. </w:t>
      </w:r>
      <w:hyperlink r:id="rId15" w:history="1">
        <w:r w:rsidRPr="00FF5D74">
          <w:rPr>
            <w:rStyle w:val="Hyperlink"/>
            <w:i/>
            <w:iCs/>
            <w:shd w:val="clear" w:color="auto" w:fill="FFFFFF"/>
          </w:rPr>
          <w:t>https://</w:t>
        </w:r>
        <w:r w:rsidRPr="00FF5D74">
          <w:rPr>
            <w:rStyle w:val="Hyperlink"/>
            <w:shd w:val="clear" w:color="auto" w:fill="FFFFFF"/>
          </w:rPr>
          <w:t>doi.org/10.1007/s13384-021-00434-y</w:t>
        </w:r>
      </w:hyperlink>
    </w:p>
    <w:p w14:paraId="732E5567" w14:textId="73F5A5EC" w:rsidR="00B825D5" w:rsidRPr="00B825D5" w:rsidRDefault="00B825D5" w:rsidP="00F52CA3">
      <w:pPr>
        <w:spacing w:after="120"/>
        <w:ind w:left="567" w:hanging="567"/>
        <w:rPr>
          <w:color w:val="000000"/>
          <w:shd w:val="clear" w:color="auto" w:fill="FFFFFF"/>
        </w:rPr>
      </w:pPr>
      <w:r w:rsidRPr="00B825D5">
        <w:rPr>
          <w:color w:val="000000"/>
          <w:shd w:val="clear" w:color="auto" w:fill="FFFFFF"/>
        </w:rPr>
        <w:t xml:space="preserve">Russell-Bowie, D. (2009). </w:t>
      </w:r>
      <w:proofErr w:type="spellStart"/>
      <w:r w:rsidRPr="00B825D5">
        <w:rPr>
          <w:color w:val="000000"/>
          <w:shd w:val="clear" w:color="auto" w:fill="FFFFFF"/>
        </w:rPr>
        <w:t>Syntegration</w:t>
      </w:r>
      <w:proofErr w:type="spellEnd"/>
      <w:r w:rsidRPr="00B825D5">
        <w:rPr>
          <w:color w:val="000000"/>
          <w:shd w:val="clear" w:color="auto" w:fill="FFFFFF"/>
        </w:rPr>
        <w:t xml:space="preserve"> or disintegration? Models of integrating the arts across the primary curriculum. </w:t>
      </w:r>
      <w:r w:rsidRPr="00B825D5">
        <w:rPr>
          <w:i/>
          <w:iCs/>
          <w:color w:val="000000"/>
          <w:shd w:val="clear" w:color="auto" w:fill="FFFFFF"/>
        </w:rPr>
        <w:t>International Journal of Education &amp; the Arts</w:t>
      </w:r>
      <w:r w:rsidRPr="00B825D5">
        <w:rPr>
          <w:color w:val="000000"/>
          <w:shd w:val="clear" w:color="auto" w:fill="FFFFFF"/>
        </w:rPr>
        <w:t>,</w:t>
      </w:r>
      <w:r w:rsidRPr="00F52CA3">
        <w:rPr>
          <w:color w:val="000000"/>
          <w:shd w:val="clear" w:color="auto" w:fill="FFFFFF"/>
        </w:rPr>
        <w:t xml:space="preserve"> </w:t>
      </w:r>
      <w:r w:rsidRPr="00B825D5">
        <w:rPr>
          <w:i/>
          <w:iCs/>
          <w:color w:val="000000"/>
          <w:shd w:val="clear" w:color="auto" w:fill="FFFFFF"/>
        </w:rPr>
        <w:t>10</w:t>
      </w:r>
      <w:r w:rsidRPr="00B825D5">
        <w:rPr>
          <w:color w:val="000000"/>
          <w:shd w:val="clear" w:color="auto" w:fill="FFFFFF"/>
        </w:rPr>
        <w:t>(28), 1-23.</w:t>
      </w:r>
    </w:p>
    <w:p w14:paraId="7536D8BC" w14:textId="3CCBBC4F" w:rsidR="00C87A44" w:rsidRPr="00C87A44" w:rsidRDefault="00C87A44" w:rsidP="00F52CA3">
      <w:pPr>
        <w:spacing w:after="120"/>
        <w:ind w:left="567" w:hanging="567"/>
        <w:rPr>
          <w:color w:val="000000"/>
          <w:shd w:val="clear" w:color="auto" w:fill="FFFFFF"/>
        </w:rPr>
      </w:pPr>
      <w:r w:rsidRPr="00C87A44">
        <w:rPr>
          <w:color w:val="000000"/>
          <w:shd w:val="clear" w:color="auto" w:fill="FFFFFF"/>
        </w:rPr>
        <w:t>Thompson, G. (201</w:t>
      </w:r>
      <w:r w:rsidRPr="00F52CA3">
        <w:rPr>
          <w:color w:val="000000"/>
          <w:shd w:val="clear" w:color="auto" w:fill="FFFFFF"/>
        </w:rPr>
        <w:t>3</w:t>
      </w:r>
      <w:r w:rsidRPr="00C87A44">
        <w:rPr>
          <w:color w:val="000000"/>
          <w:shd w:val="clear" w:color="auto" w:fill="FFFFFF"/>
        </w:rPr>
        <w:t xml:space="preserve">). NAPLAN, </w:t>
      </w:r>
      <w:proofErr w:type="spellStart"/>
      <w:r w:rsidRPr="00C87A44">
        <w:rPr>
          <w:color w:val="000000"/>
          <w:shd w:val="clear" w:color="auto" w:fill="FFFFFF"/>
        </w:rPr>
        <w:t>MySchool</w:t>
      </w:r>
      <w:proofErr w:type="spellEnd"/>
      <w:r w:rsidRPr="00C87A44">
        <w:rPr>
          <w:color w:val="000000"/>
          <w:shd w:val="clear" w:color="auto" w:fill="FFFFFF"/>
        </w:rPr>
        <w:t xml:space="preserve"> and accountability: Teacher perceptions of the effects of testing.</w:t>
      </w:r>
      <w:r w:rsidRPr="00F52CA3">
        <w:rPr>
          <w:color w:val="000000"/>
          <w:shd w:val="clear" w:color="auto" w:fill="FFFFFF"/>
        </w:rPr>
        <w:t xml:space="preserve"> </w:t>
      </w:r>
      <w:r w:rsidRPr="00C87A44">
        <w:rPr>
          <w:i/>
          <w:iCs/>
          <w:color w:val="000000"/>
          <w:shd w:val="clear" w:color="auto" w:fill="FFFFFF"/>
        </w:rPr>
        <w:t xml:space="preserve">International </w:t>
      </w:r>
      <w:r w:rsidRPr="00F52CA3">
        <w:rPr>
          <w:i/>
          <w:iCs/>
          <w:color w:val="000000"/>
          <w:shd w:val="clear" w:color="auto" w:fill="FFFFFF"/>
        </w:rPr>
        <w:t>Education Journal: Comparative Perspectives</w:t>
      </w:r>
      <w:r w:rsidRPr="00C87A44">
        <w:rPr>
          <w:color w:val="000000"/>
          <w:shd w:val="clear" w:color="auto" w:fill="FFFFFF"/>
        </w:rPr>
        <w:t>,</w:t>
      </w:r>
      <w:r w:rsidRPr="00F52CA3">
        <w:rPr>
          <w:color w:val="000000"/>
          <w:shd w:val="clear" w:color="auto" w:fill="FFFFFF"/>
        </w:rPr>
        <w:t xml:space="preserve"> </w:t>
      </w:r>
      <w:r w:rsidRPr="00C87A44">
        <w:rPr>
          <w:i/>
          <w:iCs/>
          <w:color w:val="000000"/>
          <w:shd w:val="clear" w:color="auto" w:fill="FFFFFF"/>
        </w:rPr>
        <w:t>12</w:t>
      </w:r>
      <w:r w:rsidRPr="00C87A44">
        <w:rPr>
          <w:color w:val="000000"/>
          <w:shd w:val="clear" w:color="auto" w:fill="FFFFFF"/>
        </w:rPr>
        <w:t>(2)</w:t>
      </w:r>
      <w:r w:rsidRPr="00F52CA3">
        <w:rPr>
          <w:color w:val="000000"/>
          <w:shd w:val="clear" w:color="auto" w:fill="FFFFFF"/>
        </w:rPr>
        <w:t>, 62-84</w:t>
      </w:r>
      <w:r w:rsidRPr="00C87A44">
        <w:rPr>
          <w:color w:val="000000"/>
          <w:shd w:val="clear" w:color="auto" w:fill="FFFFFF"/>
        </w:rPr>
        <w:t>.</w:t>
      </w:r>
    </w:p>
    <w:p w14:paraId="45261EE4" w14:textId="0E4D0FA4" w:rsidR="00C87A44" w:rsidRPr="00C87A44" w:rsidRDefault="00C87A44" w:rsidP="00F52CA3">
      <w:pPr>
        <w:spacing w:after="120"/>
        <w:ind w:left="567" w:hanging="567"/>
        <w:rPr>
          <w:color w:val="000000"/>
          <w:shd w:val="clear" w:color="auto" w:fill="FFFFFF"/>
        </w:rPr>
      </w:pPr>
      <w:r w:rsidRPr="00C87A44">
        <w:rPr>
          <w:color w:val="000000"/>
          <w:shd w:val="clear" w:color="auto" w:fill="FFFFFF"/>
        </w:rPr>
        <w:t>Thompson, G., &amp; Harbaugh, A. G. (2013). A preliminary analysis of teacher perceptions of the effects of NAPLAN on pedagogy and curriculum.</w:t>
      </w:r>
      <w:r w:rsidRPr="00F52CA3">
        <w:rPr>
          <w:color w:val="000000"/>
          <w:shd w:val="clear" w:color="auto" w:fill="FFFFFF"/>
        </w:rPr>
        <w:t xml:space="preserve"> </w:t>
      </w:r>
      <w:r w:rsidRPr="00C87A44">
        <w:rPr>
          <w:i/>
          <w:iCs/>
          <w:color w:val="000000"/>
          <w:shd w:val="clear" w:color="auto" w:fill="FFFFFF"/>
        </w:rPr>
        <w:t>The Australian Educational Researcher</w:t>
      </w:r>
      <w:r w:rsidRPr="00C87A44">
        <w:rPr>
          <w:color w:val="000000"/>
          <w:shd w:val="clear" w:color="auto" w:fill="FFFFFF"/>
        </w:rPr>
        <w:t>,</w:t>
      </w:r>
      <w:r w:rsidRPr="00F52CA3">
        <w:rPr>
          <w:color w:val="000000"/>
          <w:shd w:val="clear" w:color="auto" w:fill="FFFFFF"/>
        </w:rPr>
        <w:t xml:space="preserve"> </w:t>
      </w:r>
      <w:r w:rsidRPr="00C87A44">
        <w:rPr>
          <w:i/>
          <w:iCs/>
          <w:color w:val="000000"/>
          <w:shd w:val="clear" w:color="auto" w:fill="FFFFFF"/>
        </w:rPr>
        <w:t>40</w:t>
      </w:r>
      <w:r w:rsidRPr="00C87A44">
        <w:rPr>
          <w:color w:val="000000"/>
          <w:shd w:val="clear" w:color="auto" w:fill="FFFFFF"/>
        </w:rPr>
        <w:t>(3), 299-314.</w:t>
      </w:r>
    </w:p>
    <w:p w14:paraId="4C50970B" w14:textId="45F44E23" w:rsidR="000B4CA1" w:rsidRPr="00F52CA3" w:rsidRDefault="000B4CA1" w:rsidP="00F52CA3">
      <w:pPr>
        <w:spacing w:after="120"/>
        <w:ind w:left="567" w:hanging="567"/>
        <w:rPr>
          <w:color w:val="000000"/>
          <w:shd w:val="clear" w:color="auto" w:fill="FFFFFF"/>
        </w:rPr>
      </w:pPr>
      <w:r w:rsidRPr="00F52CA3">
        <w:rPr>
          <w:color w:val="000000"/>
          <w:shd w:val="clear" w:color="auto" w:fill="FFFFFF"/>
        </w:rPr>
        <w:t xml:space="preserve">United Nations. (1989). </w:t>
      </w:r>
      <w:r w:rsidRPr="00F52CA3">
        <w:rPr>
          <w:i/>
          <w:iCs/>
          <w:color w:val="000000"/>
          <w:shd w:val="clear" w:color="auto" w:fill="FFFFFF"/>
        </w:rPr>
        <w:t>United Nations convention on the rights of the child</w:t>
      </w:r>
      <w:r w:rsidRPr="00F52CA3">
        <w:rPr>
          <w:color w:val="000000"/>
          <w:shd w:val="clear" w:color="auto" w:fill="FFFFFF"/>
        </w:rPr>
        <w:t xml:space="preserve">. United Nations Treaty Collection Vo. 1577. https://treaties.un.org/Pages/ViewDetails.aspx?src=IND&amp;mtdsg_no=IV-11&amp;chapter=4 </w:t>
      </w:r>
    </w:p>
    <w:p w14:paraId="012C5596" w14:textId="5D449836" w:rsidR="00AC3CAE" w:rsidRPr="00F52CA3" w:rsidRDefault="00AC3CAE" w:rsidP="00F52CA3">
      <w:pPr>
        <w:spacing w:after="120"/>
        <w:ind w:left="567" w:hanging="567"/>
        <w:rPr>
          <w:sz w:val="13"/>
          <w:szCs w:val="13"/>
        </w:rPr>
      </w:pPr>
      <w:r w:rsidRPr="00F52CA3">
        <w:rPr>
          <w:color w:val="000000"/>
          <w:shd w:val="clear" w:color="auto" w:fill="FFFFFF"/>
        </w:rPr>
        <w:lastRenderedPageBreak/>
        <w:t xml:space="preserve">Walker, T. (2018). </w:t>
      </w:r>
      <w:r w:rsidRPr="00F52CA3">
        <w:rPr>
          <w:i/>
          <w:iCs/>
          <w:color w:val="000000"/>
          <w:shd w:val="clear" w:color="auto" w:fill="FFFFFF"/>
        </w:rPr>
        <w:t>Teacher burnout or demoralization? What's the difference and why it matters.</w:t>
      </w:r>
      <w:r w:rsidRPr="00F52CA3">
        <w:rPr>
          <w:color w:val="000000"/>
          <w:shd w:val="clear" w:color="auto" w:fill="FFFFFF"/>
        </w:rPr>
        <w:t xml:space="preserve"> </w:t>
      </w:r>
      <w:hyperlink r:id="rId16" w:history="1">
        <w:r w:rsidRPr="00F52CA3">
          <w:rPr>
            <w:color w:val="000000"/>
            <w:shd w:val="clear" w:color="auto" w:fill="FFFFFF"/>
          </w:rPr>
          <w:t>https://www.nea.org/advocating-for-change/new-from-nea/teacher-burnout-or-demoralization-whats-difference-and-why-it</w:t>
        </w:r>
      </w:hyperlink>
      <w:r w:rsidRPr="00F52CA3">
        <w:rPr>
          <w:sz w:val="13"/>
          <w:szCs w:val="13"/>
        </w:rPr>
        <w:t>)</w:t>
      </w:r>
    </w:p>
    <w:p w14:paraId="18A52554" w14:textId="22196FD0" w:rsidR="00C87A44" w:rsidRPr="00F52CA3" w:rsidRDefault="00C87A44" w:rsidP="00F52CA3">
      <w:pPr>
        <w:spacing w:after="120"/>
        <w:ind w:left="567" w:hanging="567"/>
        <w:rPr>
          <w:color w:val="000000"/>
          <w:shd w:val="clear" w:color="auto" w:fill="FFFFFF"/>
        </w:rPr>
      </w:pPr>
      <w:proofErr w:type="spellStart"/>
      <w:r w:rsidRPr="00F52CA3">
        <w:rPr>
          <w:color w:val="000000"/>
          <w:shd w:val="clear" w:color="auto" w:fill="FFFFFF"/>
        </w:rPr>
        <w:t>Zeichner</w:t>
      </w:r>
      <w:proofErr w:type="spellEnd"/>
      <w:r w:rsidRPr="00F52CA3">
        <w:rPr>
          <w:color w:val="000000"/>
          <w:shd w:val="clear" w:color="auto" w:fill="FFFFFF"/>
        </w:rPr>
        <w:t xml:space="preserve">, K., Payne, K. A., &amp; </w:t>
      </w:r>
      <w:proofErr w:type="spellStart"/>
      <w:r w:rsidRPr="00F52CA3">
        <w:rPr>
          <w:color w:val="000000"/>
          <w:shd w:val="clear" w:color="auto" w:fill="FFFFFF"/>
        </w:rPr>
        <w:t>Brayko</w:t>
      </w:r>
      <w:proofErr w:type="spellEnd"/>
      <w:r w:rsidRPr="00F52CA3">
        <w:rPr>
          <w:color w:val="000000"/>
          <w:shd w:val="clear" w:color="auto" w:fill="FFFFFF"/>
        </w:rPr>
        <w:t xml:space="preserve">, K. (2015). Democratizing teacher education. </w:t>
      </w:r>
      <w:r w:rsidRPr="00F52CA3">
        <w:rPr>
          <w:i/>
          <w:iCs/>
          <w:color w:val="000000"/>
          <w:shd w:val="clear" w:color="auto" w:fill="FFFFFF"/>
        </w:rPr>
        <w:t>Journal of Teacher Education, 66</w:t>
      </w:r>
      <w:r w:rsidRPr="00F52CA3">
        <w:rPr>
          <w:color w:val="000000"/>
          <w:shd w:val="clear" w:color="auto" w:fill="FFFFFF"/>
        </w:rPr>
        <w:t>(2), 122-135.</w:t>
      </w:r>
    </w:p>
    <w:p w14:paraId="1B668207" w14:textId="4C2C5F26" w:rsidR="00C87A44" w:rsidRPr="00F52CA3" w:rsidRDefault="00C87A44" w:rsidP="00F52CA3">
      <w:pPr>
        <w:spacing w:after="120"/>
        <w:ind w:left="567" w:hanging="567"/>
        <w:rPr>
          <w:color w:val="000000"/>
          <w:shd w:val="clear" w:color="auto" w:fill="FFFFFF"/>
        </w:rPr>
      </w:pPr>
      <w:proofErr w:type="spellStart"/>
      <w:r w:rsidRPr="00F52CA3">
        <w:rPr>
          <w:color w:val="000000"/>
          <w:shd w:val="clear" w:color="auto" w:fill="FFFFFF"/>
        </w:rPr>
        <w:t>Zeichner</w:t>
      </w:r>
      <w:proofErr w:type="spellEnd"/>
      <w:r w:rsidRPr="00F52CA3">
        <w:rPr>
          <w:color w:val="000000"/>
          <w:shd w:val="clear" w:color="auto" w:fill="FFFFFF"/>
        </w:rPr>
        <w:t xml:space="preserve">, K. (2021). Critical </w:t>
      </w:r>
      <w:r w:rsidR="0012210B" w:rsidRPr="00F52CA3">
        <w:rPr>
          <w:color w:val="000000"/>
          <w:shd w:val="clear" w:color="auto" w:fill="FFFFFF"/>
        </w:rPr>
        <w:t>unresolved and understudied issues in clinical teacher educatio</w:t>
      </w:r>
      <w:r w:rsidRPr="00F52CA3">
        <w:rPr>
          <w:color w:val="000000"/>
          <w:shd w:val="clear" w:color="auto" w:fill="FFFFFF"/>
        </w:rPr>
        <w:t xml:space="preserve">n. </w:t>
      </w:r>
      <w:r w:rsidRPr="00F52CA3">
        <w:rPr>
          <w:i/>
          <w:iCs/>
          <w:color w:val="000000"/>
          <w:shd w:val="clear" w:color="auto" w:fill="FFFFFF"/>
        </w:rPr>
        <w:t>Peabody Journal of Education, 96</w:t>
      </w:r>
      <w:r w:rsidRPr="00F52CA3">
        <w:rPr>
          <w:color w:val="000000"/>
          <w:shd w:val="clear" w:color="auto" w:fill="FFFFFF"/>
        </w:rPr>
        <w:t>(1), 1-7.</w:t>
      </w:r>
    </w:p>
    <w:p w14:paraId="0054477F" w14:textId="77777777" w:rsidR="00C87A44" w:rsidRPr="00F52CA3" w:rsidRDefault="00C87A44" w:rsidP="00782E34">
      <w:pPr>
        <w:ind w:left="567" w:hanging="567"/>
        <w:rPr>
          <w:color w:val="000000"/>
          <w:shd w:val="clear" w:color="auto" w:fill="FFFFFF"/>
        </w:rPr>
      </w:pPr>
    </w:p>
    <w:sectPr w:rsidR="00C87A44" w:rsidRPr="00F52CA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8C7F18" w14:textId="77777777" w:rsidR="00923E48" w:rsidRDefault="00923E48" w:rsidP="0081511A">
      <w:r>
        <w:separator/>
      </w:r>
    </w:p>
  </w:endnote>
  <w:endnote w:type="continuationSeparator" w:id="0">
    <w:p w14:paraId="2DFF93CE" w14:textId="77777777" w:rsidR="00923E48" w:rsidRDefault="00923E48" w:rsidP="00815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34412178"/>
      <w:docPartObj>
        <w:docPartGallery w:val="Page Numbers (Bottom of Page)"/>
        <w:docPartUnique/>
      </w:docPartObj>
    </w:sdtPr>
    <w:sdtEndPr>
      <w:rPr>
        <w:rStyle w:val="PageNumber"/>
      </w:rPr>
    </w:sdtEndPr>
    <w:sdtContent>
      <w:p w14:paraId="637F8ABA" w14:textId="4434C7DE" w:rsidR="0081511A" w:rsidRDefault="0081511A" w:rsidP="004D40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2604D3B" w14:textId="77777777" w:rsidR="0081511A" w:rsidRDefault="0081511A" w:rsidP="008151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67007948"/>
      <w:docPartObj>
        <w:docPartGallery w:val="Page Numbers (Bottom of Page)"/>
        <w:docPartUnique/>
      </w:docPartObj>
    </w:sdtPr>
    <w:sdtEndPr>
      <w:rPr>
        <w:rStyle w:val="PageNumber"/>
      </w:rPr>
    </w:sdtEndPr>
    <w:sdtContent>
      <w:p w14:paraId="7E58EDBC" w14:textId="41C82F44" w:rsidR="0081511A" w:rsidRDefault="0081511A" w:rsidP="004D40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010C4C0" w14:textId="77777777" w:rsidR="0081511A" w:rsidRDefault="0081511A" w:rsidP="0081511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7DE0FC" w14:textId="77777777" w:rsidR="00923E48" w:rsidRDefault="00923E48" w:rsidP="0081511A">
      <w:r>
        <w:separator/>
      </w:r>
    </w:p>
  </w:footnote>
  <w:footnote w:type="continuationSeparator" w:id="0">
    <w:p w14:paraId="2C5CDE89" w14:textId="77777777" w:rsidR="00923E48" w:rsidRDefault="00923E48" w:rsidP="008151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D67A2"/>
    <w:multiLevelType w:val="hybridMultilevel"/>
    <w:tmpl w:val="04E04EB6"/>
    <w:lvl w:ilvl="0" w:tplc="08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F71049"/>
    <w:multiLevelType w:val="hybridMultilevel"/>
    <w:tmpl w:val="4AB4686E"/>
    <w:lvl w:ilvl="0" w:tplc="2372503A">
      <w:numFmt w:val="bullet"/>
      <w:lvlText w:val=""/>
      <w:lvlJc w:val="left"/>
      <w:pPr>
        <w:ind w:left="1800" w:hanging="144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93A20"/>
    <w:multiLevelType w:val="hybridMultilevel"/>
    <w:tmpl w:val="45785FCA"/>
    <w:lvl w:ilvl="0" w:tplc="F7285250">
      <w:numFmt w:val="bullet"/>
      <w:lvlText w:val="-"/>
      <w:lvlJc w:val="left"/>
      <w:pPr>
        <w:ind w:left="720" w:hanging="360"/>
      </w:pPr>
      <w:rPr>
        <w:rFonts w:ascii="Arial" w:eastAsia="Times New Roman" w:hAnsi="Arial" w:cs="Arial" w:hint="default"/>
        <w:b w:val="0"/>
        <w:bCs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437439"/>
    <w:multiLevelType w:val="hybridMultilevel"/>
    <w:tmpl w:val="02E8D29E"/>
    <w:lvl w:ilvl="0" w:tplc="DF94D2E8">
      <w:start w:val="1"/>
      <w:numFmt w:val="decimal"/>
      <w:lvlText w:val="%1."/>
      <w:lvlJc w:val="left"/>
      <w:pPr>
        <w:ind w:left="773" w:hanging="360"/>
      </w:pPr>
      <w:rPr>
        <w:rFonts w:ascii="Calibri" w:eastAsiaTheme="minorHAnsi" w:hAnsi="Calibri" w:cs="Calibri" w:hint="default"/>
        <w:b w:val="0"/>
        <w:bCs w:val="0"/>
        <w:sz w:val="24"/>
      </w:rPr>
    </w:lvl>
    <w:lvl w:ilvl="1" w:tplc="08090019" w:tentative="1">
      <w:start w:val="1"/>
      <w:numFmt w:val="lowerLetter"/>
      <w:lvlText w:val="%2."/>
      <w:lvlJc w:val="left"/>
      <w:pPr>
        <w:ind w:left="1493" w:hanging="360"/>
      </w:pPr>
    </w:lvl>
    <w:lvl w:ilvl="2" w:tplc="0809001B" w:tentative="1">
      <w:start w:val="1"/>
      <w:numFmt w:val="lowerRoman"/>
      <w:lvlText w:val="%3."/>
      <w:lvlJc w:val="right"/>
      <w:pPr>
        <w:ind w:left="2213" w:hanging="180"/>
      </w:pPr>
    </w:lvl>
    <w:lvl w:ilvl="3" w:tplc="0809000F" w:tentative="1">
      <w:start w:val="1"/>
      <w:numFmt w:val="decimal"/>
      <w:lvlText w:val="%4."/>
      <w:lvlJc w:val="left"/>
      <w:pPr>
        <w:ind w:left="2933" w:hanging="360"/>
      </w:pPr>
    </w:lvl>
    <w:lvl w:ilvl="4" w:tplc="08090019" w:tentative="1">
      <w:start w:val="1"/>
      <w:numFmt w:val="lowerLetter"/>
      <w:lvlText w:val="%5."/>
      <w:lvlJc w:val="left"/>
      <w:pPr>
        <w:ind w:left="3653" w:hanging="360"/>
      </w:pPr>
    </w:lvl>
    <w:lvl w:ilvl="5" w:tplc="0809001B" w:tentative="1">
      <w:start w:val="1"/>
      <w:numFmt w:val="lowerRoman"/>
      <w:lvlText w:val="%6."/>
      <w:lvlJc w:val="right"/>
      <w:pPr>
        <w:ind w:left="4373" w:hanging="180"/>
      </w:pPr>
    </w:lvl>
    <w:lvl w:ilvl="6" w:tplc="0809000F" w:tentative="1">
      <w:start w:val="1"/>
      <w:numFmt w:val="decimal"/>
      <w:lvlText w:val="%7."/>
      <w:lvlJc w:val="left"/>
      <w:pPr>
        <w:ind w:left="5093" w:hanging="360"/>
      </w:pPr>
    </w:lvl>
    <w:lvl w:ilvl="7" w:tplc="08090019" w:tentative="1">
      <w:start w:val="1"/>
      <w:numFmt w:val="lowerLetter"/>
      <w:lvlText w:val="%8."/>
      <w:lvlJc w:val="left"/>
      <w:pPr>
        <w:ind w:left="5813" w:hanging="360"/>
      </w:pPr>
    </w:lvl>
    <w:lvl w:ilvl="8" w:tplc="0809001B" w:tentative="1">
      <w:start w:val="1"/>
      <w:numFmt w:val="lowerRoman"/>
      <w:lvlText w:val="%9."/>
      <w:lvlJc w:val="right"/>
      <w:pPr>
        <w:ind w:left="6533" w:hanging="180"/>
      </w:pPr>
    </w:lvl>
  </w:abstractNum>
  <w:abstractNum w:abstractNumId="4" w15:restartNumberingAfterBreak="0">
    <w:nsid w:val="0FC94E10"/>
    <w:multiLevelType w:val="hybridMultilevel"/>
    <w:tmpl w:val="1682D814"/>
    <w:lvl w:ilvl="0" w:tplc="F7285250">
      <w:numFmt w:val="bullet"/>
      <w:lvlText w:val="-"/>
      <w:lvlJc w:val="left"/>
      <w:pPr>
        <w:ind w:left="1080" w:hanging="360"/>
      </w:pPr>
      <w:rPr>
        <w:rFonts w:ascii="Arial" w:eastAsia="Times New Roman" w:hAnsi="Arial" w:cs="Arial" w:hint="default"/>
        <w:sz w:val="24"/>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2976552"/>
    <w:multiLevelType w:val="hybridMultilevel"/>
    <w:tmpl w:val="934E8CE8"/>
    <w:lvl w:ilvl="0" w:tplc="E8A6E206">
      <w:start w:val="1"/>
      <w:numFmt w:val="decimal"/>
      <w:lvlText w:val="%1."/>
      <w:lvlJc w:val="left"/>
      <w:pPr>
        <w:ind w:left="720" w:hanging="360"/>
      </w:pPr>
      <w:rPr>
        <w:rFonts w:ascii="Calibri" w:eastAsiaTheme="minorHAnsi" w:hAnsi="Calibri" w:cs="Calibr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28576D"/>
    <w:multiLevelType w:val="hybridMultilevel"/>
    <w:tmpl w:val="A40A83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E6AEB"/>
    <w:multiLevelType w:val="hybridMultilevel"/>
    <w:tmpl w:val="1316B808"/>
    <w:lvl w:ilvl="0" w:tplc="F7285250">
      <w:numFmt w:val="bullet"/>
      <w:lvlText w:val="-"/>
      <w:lvlJc w:val="left"/>
      <w:pPr>
        <w:ind w:left="1080" w:hanging="360"/>
      </w:pPr>
      <w:rPr>
        <w:rFonts w:ascii="Arial" w:eastAsia="Times New Roman" w:hAnsi="Arial" w:cs="Aria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562A9F"/>
    <w:multiLevelType w:val="hybridMultilevel"/>
    <w:tmpl w:val="82522218"/>
    <w:lvl w:ilvl="0" w:tplc="3A566648">
      <w:start w:val="1"/>
      <w:numFmt w:val="bullet"/>
      <w:lvlText w:val="•"/>
      <w:lvlJc w:val="left"/>
      <w:pPr>
        <w:tabs>
          <w:tab w:val="num" w:pos="720"/>
        </w:tabs>
        <w:ind w:left="720" w:hanging="360"/>
      </w:pPr>
      <w:rPr>
        <w:rFonts w:ascii="Arial" w:hAnsi="Arial" w:hint="default"/>
      </w:rPr>
    </w:lvl>
    <w:lvl w:ilvl="1" w:tplc="3CB65E04">
      <w:start w:val="12"/>
      <w:numFmt w:val="bullet"/>
      <w:lvlText w:val="•"/>
      <w:lvlJc w:val="left"/>
      <w:pPr>
        <w:tabs>
          <w:tab w:val="num" w:pos="1440"/>
        </w:tabs>
        <w:ind w:left="1440" w:hanging="360"/>
      </w:pPr>
      <w:rPr>
        <w:rFonts w:ascii="Arial" w:hAnsi="Arial" w:hint="default"/>
      </w:rPr>
    </w:lvl>
    <w:lvl w:ilvl="2" w:tplc="4A46C01C" w:tentative="1">
      <w:start w:val="1"/>
      <w:numFmt w:val="bullet"/>
      <w:lvlText w:val="•"/>
      <w:lvlJc w:val="left"/>
      <w:pPr>
        <w:tabs>
          <w:tab w:val="num" w:pos="2160"/>
        </w:tabs>
        <w:ind w:left="2160" w:hanging="360"/>
      </w:pPr>
      <w:rPr>
        <w:rFonts w:ascii="Arial" w:hAnsi="Arial" w:hint="default"/>
      </w:rPr>
    </w:lvl>
    <w:lvl w:ilvl="3" w:tplc="98687A16" w:tentative="1">
      <w:start w:val="1"/>
      <w:numFmt w:val="bullet"/>
      <w:lvlText w:val="•"/>
      <w:lvlJc w:val="left"/>
      <w:pPr>
        <w:tabs>
          <w:tab w:val="num" w:pos="2880"/>
        </w:tabs>
        <w:ind w:left="2880" w:hanging="360"/>
      </w:pPr>
      <w:rPr>
        <w:rFonts w:ascii="Arial" w:hAnsi="Arial" w:hint="default"/>
      </w:rPr>
    </w:lvl>
    <w:lvl w:ilvl="4" w:tplc="20467734" w:tentative="1">
      <w:start w:val="1"/>
      <w:numFmt w:val="bullet"/>
      <w:lvlText w:val="•"/>
      <w:lvlJc w:val="left"/>
      <w:pPr>
        <w:tabs>
          <w:tab w:val="num" w:pos="3600"/>
        </w:tabs>
        <w:ind w:left="3600" w:hanging="360"/>
      </w:pPr>
      <w:rPr>
        <w:rFonts w:ascii="Arial" w:hAnsi="Arial" w:hint="default"/>
      </w:rPr>
    </w:lvl>
    <w:lvl w:ilvl="5" w:tplc="6C521C40" w:tentative="1">
      <w:start w:val="1"/>
      <w:numFmt w:val="bullet"/>
      <w:lvlText w:val="•"/>
      <w:lvlJc w:val="left"/>
      <w:pPr>
        <w:tabs>
          <w:tab w:val="num" w:pos="4320"/>
        </w:tabs>
        <w:ind w:left="4320" w:hanging="360"/>
      </w:pPr>
      <w:rPr>
        <w:rFonts w:ascii="Arial" w:hAnsi="Arial" w:hint="default"/>
      </w:rPr>
    </w:lvl>
    <w:lvl w:ilvl="6" w:tplc="07CA18A6" w:tentative="1">
      <w:start w:val="1"/>
      <w:numFmt w:val="bullet"/>
      <w:lvlText w:val="•"/>
      <w:lvlJc w:val="left"/>
      <w:pPr>
        <w:tabs>
          <w:tab w:val="num" w:pos="5040"/>
        </w:tabs>
        <w:ind w:left="5040" w:hanging="360"/>
      </w:pPr>
      <w:rPr>
        <w:rFonts w:ascii="Arial" w:hAnsi="Arial" w:hint="default"/>
      </w:rPr>
    </w:lvl>
    <w:lvl w:ilvl="7" w:tplc="2018B88C" w:tentative="1">
      <w:start w:val="1"/>
      <w:numFmt w:val="bullet"/>
      <w:lvlText w:val="•"/>
      <w:lvlJc w:val="left"/>
      <w:pPr>
        <w:tabs>
          <w:tab w:val="num" w:pos="5760"/>
        </w:tabs>
        <w:ind w:left="5760" w:hanging="360"/>
      </w:pPr>
      <w:rPr>
        <w:rFonts w:ascii="Arial" w:hAnsi="Arial" w:hint="default"/>
      </w:rPr>
    </w:lvl>
    <w:lvl w:ilvl="8" w:tplc="64CEC54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A9E4855"/>
    <w:multiLevelType w:val="hybridMultilevel"/>
    <w:tmpl w:val="3F90F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2166B0"/>
    <w:multiLevelType w:val="hybridMultilevel"/>
    <w:tmpl w:val="8C78539E"/>
    <w:lvl w:ilvl="0" w:tplc="E8A6E206">
      <w:start w:val="1"/>
      <w:numFmt w:val="decimal"/>
      <w:lvlText w:val="%1."/>
      <w:lvlJc w:val="left"/>
      <w:pPr>
        <w:ind w:left="720" w:hanging="360"/>
      </w:pPr>
      <w:rPr>
        <w:rFonts w:ascii="Calibri" w:eastAsiaTheme="minorHAnsi" w:hAnsi="Calibri" w:cs="Calibr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344640"/>
    <w:multiLevelType w:val="hybridMultilevel"/>
    <w:tmpl w:val="86085C16"/>
    <w:lvl w:ilvl="0" w:tplc="F7285250">
      <w:numFmt w:val="bullet"/>
      <w:lvlText w:val="-"/>
      <w:lvlJc w:val="left"/>
      <w:pPr>
        <w:ind w:left="1853" w:hanging="360"/>
      </w:pPr>
      <w:rPr>
        <w:rFonts w:ascii="Arial" w:eastAsia="Times New Roman" w:hAnsi="Arial" w:cs="Arial" w:hint="default"/>
        <w:sz w:val="24"/>
        <w:szCs w:val="24"/>
      </w:rPr>
    </w:lvl>
    <w:lvl w:ilvl="1" w:tplc="08090003" w:tentative="1">
      <w:start w:val="1"/>
      <w:numFmt w:val="bullet"/>
      <w:lvlText w:val="o"/>
      <w:lvlJc w:val="left"/>
      <w:pPr>
        <w:ind w:left="2213" w:hanging="360"/>
      </w:pPr>
      <w:rPr>
        <w:rFonts w:ascii="Courier New" w:hAnsi="Courier New" w:cs="Courier New" w:hint="default"/>
      </w:rPr>
    </w:lvl>
    <w:lvl w:ilvl="2" w:tplc="08090005" w:tentative="1">
      <w:start w:val="1"/>
      <w:numFmt w:val="bullet"/>
      <w:lvlText w:val=""/>
      <w:lvlJc w:val="left"/>
      <w:pPr>
        <w:ind w:left="2933" w:hanging="360"/>
      </w:pPr>
      <w:rPr>
        <w:rFonts w:ascii="Wingdings" w:hAnsi="Wingdings" w:hint="default"/>
      </w:rPr>
    </w:lvl>
    <w:lvl w:ilvl="3" w:tplc="08090001" w:tentative="1">
      <w:start w:val="1"/>
      <w:numFmt w:val="bullet"/>
      <w:lvlText w:val=""/>
      <w:lvlJc w:val="left"/>
      <w:pPr>
        <w:ind w:left="3653" w:hanging="360"/>
      </w:pPr>
      <w:rPr>
        <w:rFonts w:ascii="Symbol" w:hAnsi="Symbol" w:hint="default"/>
      </w:rPr>
    </w:lvl>
    <w:lvl w:ilvl="4" w:tplc="08090003" w:tentative="1">
      <w:start w:val="1"/>
      <w:numFmt w:val="bullet"/>
      <w:lvlText w:val="o"/>
      <w:lvlJc w:val="left"/>
      <w:pPr>
        <w:ind w:left="4373" w:hanging="360"/>
      </w:pPr>
      <w:rPr>
        <w:rFonts w:ascii="Courier New" w:hAnsi="Courier New" w:cs="Courier New" w:hint="default"/>
      </w:rPr>
    </w:lvl>
    <w:lvl w:ilvl="5" w:tplc="08090005" w:tentative="1">
      <w:start w:val="1"/>
      <w:numFmt w:val="bullet"/>
      <w:lvlText w:val=""/>
      <w:lvlJc w:val="left"/>
      <w:pPr>
        <w:ind w:left="5093" w:hanging="360"/>
      </w:pPr>
      <w:rPr>
        <w:rFonts w:ascii="Wingdings" w:hAnsi="Wingdings" w:hint="default"/>
      </w:rPr>
    </w:lvl>
    <w:lvl w:ilvl="6" w:tplc="08090001" w:tentative="1">
      <w:start w:val="1"/>
      <w:numFmt w:val="bullet"/>
      <w:lvlText w:val=""/>
      <w:lvlJc w:val="left"/>
      <w:pPr>
        <w:ind w:left="5813" w:hanging="360"/>
      </w:pPr>
      <w:rPr>
        <w:rFonts w:ascii="Symbol" w:hAnsi="Symbol" w:hint="default"/>
      </w:rPr>
    </w:lvl>
    <w:lvl w:ilvl="7" w:tplc="08090003" w:tentative="1">
      <w:start w:val="1"/>
      <w:numFmt w:val="bullet"/>
      <w:lvlText w:val="o"/>
      <w:lvlJc w:val="left"/>
      <w:pPr>
        <w:ind w:left="6533" w:hanging="360"/>
      </w:pPr>
      <w:rPr>
        <w:rFonts w:ascii="Courier New" w:hAnsi="Courier New" w:cs="Courier New" w:hint="default"/>
      </w:rPr>
    </w:lvl>
    <w:lvl w:ilvl="8" w:tplc="08090005" w:tentative="1">
      <w:start w:val="1"/>
      <w:numFmt w:val="bullet"/>
      <w:lvlText w:val=""/>
      <w:lvlJc w:val="left"/>
      <w:pPr>
        <w:ind w:left="7253" w:hanging="360"/>
      </w:pPr>
      <w:rPr>
        <w:rFonts w:ascii="Wingdings" w:hAnsi="Wingdings" w:hint="default"/>
      </w:rPr>
    </w:lvl>
  </w:abstractNum>
  <w:abstractNum w:abstractNumId="12" w15:restartNumberingAfterBreak="0">
    <w:nsid w:val="237C73DD"/>
    <w:multiLevelType w:val="hybridMultilevel"/>
    <w:tmpl w:val="56B61A16"/>
    <w:lvl w:ilvl="0" w:tplc="F7285250">
      <w:numFmt w:val="bullet"/>
      <w:lvlText w:val="-"/>
      <w:lvlJc w:val="left"/>
      <w:pPr>
        <w:ind w:left="1080" w:hanging="360"/>
      </w:pPr>
      <w:rPr>
        <w:rFonts w:ascii="Arial" w:eastAsia="Times New Roman" w:hAnsi="Arial" w:cs="Aria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A761A2"/>
    <w:multiLevelType w:val="hybridMultilevel"/>
    <w:tmpl w:val="E06AF26E"/>
    <w:lvl w:ilvl="0" w:tplc="E8A6E206">
      <w:start w:val="1"/>
      <w:numFmt w:val="decimal"/>
      <w:lvlText w:val="%1."/>
      <w:lvlJc w:val="left"/>
      <w:pPr>
        <w:ind w:left="720" w:hanging="360"/>
      </w:pPr>
      <w:rPr>
        <w:rFonts w:ascii="Calibri" w:eastAsiaTheme="minorHAnsi" w:hAnsi="Calibri" w:cs="Calibr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247FA5"/>
    <w:multiLevelType w:val="hybridMultilevel"/>
    <w:tmpl w:val="74F2F1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671E51"/>
    <w:multiLevelType w:val="hybridMultilevel"/>
    <w:tmpl w:val="63289076"/>
    <w:lvl w:ilvl="0" w:tplc="F37C613A">
      <w:start w:val="1"/>
      <w:numFmt w:val="none"/>
      <w:lvlText w:val="1."/>
      <w:lvlJc w:val="left"/>
      <w:pPr>
        <w:ind w:left="720" w:hanging="360"/>
      </w:pPr>
      <w:rPr>
        <w:rFonts w:ascii="Arial" w:hAnsi="Arial" w:hint="default"/>
        <w:b w:val="0"/>
        <w:i w:val="0"/>
        <w:sz w:val="1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256581"/>
    <w:multiLevelType w:val="hybridMultilevel"/>
    <w:tmpl w:val="80B6317E"/>
    <w:lvl w:ilvl="0" w:tplc="DF94D2E8">
      <w:start w:val="1"/>
      <w:numFmt w:val="decimal"/>
      <w:lvlText w:val="%1."/>
      <w:lvlJc w:val="left"/>
      <w:pPr>
        <w:ind w:left="720" w:hanging="360"/>
      </w:pPr>
      <w:rPr>
        <w:rFonts w:ascii="Calibri" w:eastAsiaTheme="minorHAnsi" w:hAnsi="Calibri" w:cs="Calibri" w:hint="default"/>
        <w:b w:val="0"/>
        <w:bCs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963513"/>
    <w:multiLevelType w:val="hybridMultilevel"/>
    <w:tmpl w:val="BE6837D0"/>
    <w:lvl w:ilvl="0" w:tplc="B910385A">
      <w:start w:val="1"/>
      <w:numFmt w:val="bullet"/>
      <w:lvlText w:val="•"/>
      <w:lvlJc w:val="left"/>
      <w:pPr>
        <w:tabs>
          <w:tab w:val="num" w:pos="720"/>
        </w:tabs>
        <w:ind w:left="720" w:hanging="360"/>
      </w:pPr>
      <w:rPr>
        <w:rFonts w:ascii="Arial" w:hAnsi="Arial" w:hint="default"/>
      </w:rPr>
    </w:lvl>
    <w:lvl w:ilvl="1" w:tplc="52DC19AE" w:tentative="1">
      <w:start w:val="1"/>
      <w:numFmt w:val="bullet"/>
      <w:lvlText w:val="•"/>
      <w:lvlJc w:val="left"/>
      <w:pPr>
        <w:tabs>
          <w:tab w:val="num" w:pos="1440"/>
        </w:tabs>
        <w:ind w:left="1440" w:hanging="360"/>
      </w:pPr>
      <w:rPr>
        <w:rFonts w:ascii="Arial" w:hAnsi="Arial" w:hint="default"/>
      </w:rPr>
    </w:lvl>
    <w:lvl w:ilvl="2" w:tplc="ACEED9B6" w:tentative="1">
      <w:start w:val="1"/>
      <w:numFmt w:val="bullet"/>
      <w:lvlText w:val="•"/>
      <w:lvlJc w:val="left"/>
      <w:pPr>
        <w:tabs>
          <w:tab w:val="num" w:pos="2160"/>
        </w:tabs>
        <w:ind w:left="2160" w:hanging="360"/>
      </w:pPr>
      <w:rPr>
        <w:rFonts w:ascii="Arial" w:hAnsi="Arial" w:hint="default"/>
      </w:rPr>
    </w:lvl>
    <w:lvl w:ilvl="3" w:tplc="CC78AD4C" w:tentative="1">
      <w:start w:val="1"/>
      <w:numFmt w:val="bullet"/>
      <w:lvlText w:val="•"/>
      <w:lvlJc w:val="left"/>
      <w:pPr>
        <w:tabs>
          <w:tab w:val="num" w:pos="2880"/>
        </w:tabs>
        <w:ind w:left="2880" w:hanging="360"/>
      </w:pPr>
      <w:rPr>
        <w:rFonts w:ascii="Arial" w:hAnsi="Arial" w:hint="default"/>
      </w:rPr>
    </w:lvl>
    <w:lvl w:ilvl="4" w:tplc="DEE8E748" w:tentative="1">
      <w:start w:val="1"/>
      <w:numFmt w:val="bullet"/>
      <w:lvlText w:val="•"/>
      <w:lvlJc w:val="left"/>
      <w:pPr>
        <w:tabs>
          <w:tab w:val="num" w:pos="3600"/>
        </w:tabs>
        <w:ind w:left="3600" w:hanging="360"/>
      </w:pPr>
      <w:rPr>
        <w:rFonts w:ascii="Arial" w:hAnsi="Arial" w:hint="default"/>
      </w:rPr>
    </w:lvl>
    <w:lvl w:ilvl="5" w:tplc="3E66453C" w:tentative="1">
      <w:start w:val="1"/>
      <w:numFmt w:val="bullet"/>
      <w:lvlText w:val="•"/>
      <w:lvlJc w:val="left"/>
      <w:pPr>
        <w:tabs>
          <w:tab w:val="num" w:pos="4320"/>
        </w:tabs>
        <w:ind w:left="4320" w:hanging="360"/>
      </w:pPr>
      <w:rPr>
        <w:rFonts w:ascii="Arial" w:hAnsi="Arial" w:hint="default"/>
      </w:rPr>
    </w:lvl>
    <w:lvl w:ilvl="6" w:tplc="9B8AAA28" w:tentative="1">
      <w:start w:val="1"/>
      <w:numFmt w:val="bullet"/>
      <w:lvlText w:val="•"/>
      <w:lvlJc w:val="left"/>
      <w:pPr>
        <w:tabs>
          <w:tab w:val="num" w:pos="5040"/>
        </w:tabs>
        <w:ind w:left="5040" w:hanging="360"/>
      </w:pPr>
      <w:rPr>
        <w:rFonts w:ascii="Arial" w:hAnsi="Arial" w:hint="default"/>
      </w:rPr>
    </w:lvl>
    <w:lvl w:ilvl="7" w:tplc="320E99D2" w:tentative="1">
      <w:start w:val="1"/>
      <w:numFmt w:val="bullet"/>
      <w:lvlText w:val="•"/>
      <w:lvlJc w:val="left"/>
      <w:pPr>
        <w:tabs>
          <w:tab w:val="num" w:pos="5760"/>
        </w:tabs>
        <w:ind w:left="5760" w:hanging="360"/>
      </w:pPr>
      <w:rPr>
        <w:rFonts w:ascii="Arial" w:hAnsi="Arial" w:hint="default"/>
      </w:rPr>
    </w:lvl>
    <w:lvl w:ilvl="8" w:tplc="83524BF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B98669B"/>
    <w:multiLevelType w:val="hybridMultilevel"/>
    <w:tmpl w:val="46303432"/>
    <w:lvl w:ilvl="0" w:tplc="E8A6E206">
      <w:start w:val="1"/>
      <w:numFmt w:val="decimal"/>
      <w:lvlText w:val="%1."/>
      <w:lvlJc w:val="left"/>
      <w:pPr>
        <w:ind w:left="1440" w:hanging="360"/>
      </w:pPr>
      <w:rPr>
        <w:rFonts w:ascii="Calibri" w:eastAsiaTheme="minorHAnsi" w:hAnsi="Calibri" w:cs="Calibri" w:hint="default"/>
        <w:sz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438A3B16"/>
    <w:multiLevelType w:val="hybridMultilevel"/>
    <w:tmpl w:val="EAD801B0"/>
    <w:lvl w:ilvl="0" w:tplc="E8A6E206">
      <w:start w:val="1"/>
      <w:numFmt w:val="decimal"/>
      <w:lvlText w:val="%1."/>
      <w:lvlJc w:val="left"/>
      <w:pPr>
        <w:ind w:left="1440" w:hanging="360"/>
      </w:pPr>
      <w:rPr>
        <w:rFonts w:ascii="Calibri" w:eastAsiaTheme="minorHAnsi" w:hAnsi="Calibri" w:cs="Calibri" w:hint="default"/>
        <w:sz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4AF60DE1"/>
    <w:multiLevelType w:val="hybridMultilevel"/>
    <w:tmpl w:val="337C6B0E"/>
    <w:lvl w:ilvl="0" w:tplc="DF94D2E8">
      <w:start w:val="1"/>
      <w:numFmt w:val="decimal"/>
      <w:lvlText w:val="%1."/>
      <w:lvlJc w:val="left"/>
      <w:pPr>
        <w:ind w:left="720" w:hanging="360"/>
      </w:pPr>
      <w:rPr>
        <w:rFonts w:ascii="Calibri" w:eastAsiaTheme="minorHAnsi" w:hAnsi="Calibri" w:cs="Calibri" w:hint="default"/>
        <w:b w:val="0"/>
        <w:bCs w:val="0"/>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814F25"/>
    <w:multiLevelType w:val="hybridMultilevel"/>
    <w:tmpl w:val="1D0EF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23F7C"/>
    <w:multiLevelType w:val="hybridMultilevel"/>
    <w:tmpl w:val="2F52B1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F7767E"/>
    <w:multiLevelType w:val="hybridMultilevel"/>
    <w:tmpl w:val="D71E3ECC"/>
    <w:lvl w:ilvl="0" w:tplc="276471A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4" w15:restartNumberingAfterBreak="0">
    <w:nsid w:val="501A39FD"/>
    <w:multiLevelType w:val="hybridMultilevel"/>
    <w:tmpl w:val="D85CC0E0"/>
    <w:lvl w:ilvl="0" w:tplc="DF94D2E8">
      <w:start w:val="1"/>
      <w:numFmt w:val="decimal"/>
      <w:lvlText w:val="%1."/>
      <w:lvlJc w:val="left"/>
      <w:pPr>
        <w:ind w:left="720" w:hanging="360"/>
      </w:pPr>
      <w:rPr>
        <w:rFonts w:ascii="Calibri" w:eastAsiaTheme="minorHAnsi" w:hAnsi="Calibri" w:cs="Calibri" w:hint="default"/>
        <w:b w:val="0"/>
        <w:bCs w:val="0"/>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F21C4F"/>
    <w:multiLevelType w:val="hybridMultilevel"/>
    <w:tmpl w:val="7BB66922"/>
    <w:lvl w:ilvl="0" w:tplc="E8A6E206">
      <w:start w:val="1"/>
      <w:numFmt w:val="decimal"/>
      <w:lvlText w:val="%1."/>
      <w:lvlJc w:val="left"/>
      <w:pPr>
        <w:ind w:left="1440" w:hanging="360"/>
      </w:pPr>
      <w:rPr>
        <w:rFonts w:ascii="Calibri" w:eastAsiaTheme="minorHAnsi" w:hAnsi="Calibri" w:cs="Calibri" w:hint="default"/>
        <w:sz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56D044A3"/>
    <w:multiLevelType w:val="hybridMultilevel"/>
    <w:tmpl w:val="DE0C1CC2"/>
    <w:lvl w:ilvl="0" w:tplc="8A880CC4">
      <w:numFmt w:val="bullet"/>
      <w:lvlText w:val="-"/>
      <w:lvlJc w:val="left"/>
      <w:pPr>
        <w:ind w:left="720" w:hanging="360"/>
      </w:pPr>
      <w:rPr>
        <w:rFonts w:ascii="Arial" w:eastAsia="Times New Roman"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38164A"/>
    <w:multiLevelType w:val="hybridMultilevel"/>
    <w:tmpl w:val="B0288D9E"/>
    <w:lvl w:ilvl="0" w:tplc="D5BC3C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4B7153"/>
    <w:multiLevelType w:val="hybridMultilevel"/>
    <w:tmpl w:val="A7DC53C6"/>
    <w:lvl w:ilvl="0" w:tplc="F7285250">
      <w:numFmt w:val="bullet"/>
      <w:lvlText w:val="-"/>
      <w:lvlJc w:val="left"/>
      <w:pPr>
        <w:ind w:left="1080" w:hanging="360"/>
      </w:pPr>
      <w:rPr>
        <w:rFonts w:ascii="Arial" w:eastAsia="Times New Roman" w:hAnsi="Arial" w:cs="Aria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7E6FD7"/>
    <w:multiLevelType w:val="hybridMultilevel"/>
    <w:tmpl w:val="B6068224"/>
    <w:lvl w:ilvl="0" w:tplc="E8A6E206">
      <w:start w:val="1"/>
      <w:numFmt w:val="decimal"/>
      <w:lvlText w:val="%1."/>
      <w:lvlJc w:val="left"/>
      <w:pPr>
        <w:ind w:left="720" w:hanging="360"/>
      </w:pPr>
      <w:rPr>
        <w:rFonts w:ascii="Calibri" w:eastAsiaTheme="minorHAnsi" w:hAnsi="Calibri" w:cs="Calibr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AAA7183"/>
    <w:multiLevelType w:val="hybridMultilevel"/>
    <w:tmpl w:val="0126646A"/>
    <w:lvl w:ilvl="0" w:tplc="3516D3C6">
      <w:start w:val="1"/>
      <w:numFmt w:val="lowerRoman"/>
      <w:lvlText w:val="(%1)"/>
      <w:lvlJc w:val="left"/>
      <w:pPr>
        <w:ind w:left="1080" w:hanging="720"/>
      </w:pPr>
      <w:rPr>
        <w:rFonts w:ascii="Calibri" w:eastAsiaTheme="minorHAnsi" w:hAnsi="Calibri" w:cs="Calibr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D27432"/>
    <w:multiLevelType w:val="hybridMultilevel"/>
    <w:tmpl w:val="1EE20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697871"/>
    <w:multiLevelType w:val="hybridMultilevel"/>
    <w:tmpl w:val="CD7A58B2"/>
    <w:lvl w:ilvl="0" w:tplc="F7285250">
      <w:numFmt w:val="bullet"/>
      <w:lvlText w:val="-"/>
      <w:lvlJc w:val="left"/>
      <w:pPr>
        <w:ind w:left="1080" w:hanging="360"/>
      </w:pPr>
      <w:rPr>
        <w:rFonts w:ascii="Arial" w:eastAsia="Times New Roman" w:hAnsi="Arial" w:cs="Aria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2554D6"/>
    <w:multiLevelType w:val="hybridMultilevel"/>
    <w:tmpl w:val="C1BAB276"/>
    <w:lvl w:ilvl="0" w:tplc="F7285250">
      <w:numFmt w:val="bullet"/>
      <w:lvlText w:val="-"/>
      <w:lvlJc w:val="left"/>
      <w:pPr>
        <w:ind w:left="1133" w:hanging="360"/>
      </w:pPr>
      <w:rPr>
        <w:rFonts w:ascii="Arial" w:eastAsia="Times New Roman" w:hAnsi="Arial" w:cs="Arial" w:hint="default"/>
        <w:sz w:val="24"/>
        <w:szCs w:val="24"/>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4" w15:restartNumberingAfterBreak="0">
    <w:nsid w:val="67C65F59"/>
    <w:multiLevelType w:val="hybridMultilevel"/>
    <w:tmpl w:val="49104646"/>
    <w:lvl w:ilvl="0" w:tplc="E8A6E206">
      <w:start w:val="1"/>
      <w:numFmt w:val="decimal"/>
      <w:lvlText w:val="%1."/>
      <w:lvlJc w:val="left"/>
      <w:pPr>
        <w:ind w:left="1440" w:hanging="360"/>
      </w:pPr>
      <w:rPr>
        <w:rFonts w:ascii="Calibri" w:eastAsiaTheme="minorHAnsi" w:hAnsi="Calibri" w:cs="Calibri" w:hint="default"/>
        <w:sz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69D6176F"/>
    <w:multiLevelType w:val="hybridMultilevel"/>
    <w:tmpl w:val="60FAB202"/>
    <w:lvl w:ilvl="0" w:tplc="E8A6E206">
      <w:start w:val="1"/>
      <w:numFmt w:val="decimal"/>
      <w:lvlText w:val="%1."/>
      <w:lvlJc w:val="left"/>
      <w:pPr>
        <w:ind w:left="720" w:hanging="360"/>
      </w:pPr>
      <w:rPr>
        <w:rFonts w:ascii="Calibri" w:eastAsiaTheme="minorHAnsi" w:hAnsi="Calibri" w:cs="Calibr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2A901ED"/>
    <w:multiLevelType w:val="hybridMultilevel"/>
    <w:tmpl w:val="069E2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510E31"/>
    <w:multiLevelType w:val="hybridMultilevel"/>
    <w:tmpl w:val="7EA8652E"/>
    <w:lvl w:ilvl="0" w:tplc="B9C422E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5FB5FFB"/>
    <w:multiLevelType w:val="hybridMultilevel"/>
    <w:tmpl w:val="F4366F4A"/>
    <w:lvl w:ilvl="0" w:tplc="F7285250">
      <w:numFmt w:val="bullet"/>
      <w:lvlText w:val="-"/>
      <w:lvlJc w:val="left"/>
      <w:pPr>
        <w:ind w:left="1800" w:hanging="360"/>
      </w:pPr>
      <w:rPr>
        <w:rFonts w:ascii="Arial" w:eastAsia="Times New Roman" w:hAnsi="Arial" w:cs="Arial" w:hint="default"/>
        <w:sz w:val="24"/>
        <w:szCs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B7B66D6"/>
    <w:multiLevelType w:val="hybridMultilevel"/>
    <w:tmpl w:val="B9627240"/>
    <w:lvl w:ilvl="0" w:tplc="F7285250">
      <w:numFmt w:val="bullet"/>
      <w:lvlText w:val="-"/>
      <w:lvlJc w:val="left"/>
      <w:pPr>
        <w:ind w:left="1080" w:hanging="360"/>
      </w:pPr>
      <w:rPr>
        <w:rFonts w:ascii="Arial" w:eastAsia="Times New Roman" w:hAnsi="Arial" w:cs="Aria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38335E"/>
    <w:multiLevelType w:val="hybridMultilevel"/>
    <w:tmpl w:val="AA16B3BC"/>
    <w:lvl w:ilvl="0" w:tplc="DF94D2E8">
      <w:start w:val="1"/>
      <w:numFmt w:val="decimal"/>
      <w:lvlText w:val="%1."/>
      <w:lvlJc w:val="left"/>
      <w:pPr>
        <w:ind w:left="720" w:hanging="360"/>
      </w:pPr>
      <w:rPr>
        <w:rFonts w:ascii="Calibri" w:eastAsiaTheme="minorHAnsi" w:hAnsi="Calibri" w:cs="Calibri" w:hint="default"/>
        <w:b w:val="0"/>
        <w:bCs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CDA0CA6"/>
    <w:multiLevelType w:val="hybridMultilevel"/>
    <w:tmpl w:val="ECBEF9F0"/>
    <w:lvl w:ilvl="0" w:tplc="F7285250">
      <w:numFmt w:val="bullet"/>
      <w:lvlText w:val="-"/>
      <w:lvlJc w:val="left"/>
      <w:pPr>
        <w:ind w:left="1800" w:hanging="360"/>
      </w:pPr>
      <w:rPr>
        <w:rFonts w:ascii="Arial" w:eastAsia="Times New Roman" w:hAnsi="Arial" w:cs="Arial" w:hint="default"/>
        <w:sz w:val="24"/>
        <w:szCs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3"/>
  </w:num>
  <w:num w:numId="2">
    <w:abstractNumId w:val="36"/>
  </w:num>
  <w:num w:numId="3">
    <w:abstractNumId w:val="31"/>
  </w:num>
  <w:num w:numId="4">
    <w:abstractNumId w:val="27"/>
  </w:num>
  <w:num w:numId="5">
    <w:abstractNumId w:val="6"/>
  </w:num>
  <w:num w:numId="6">
    <w:abstractNumId w:val="21"/>
  </w:num>
  <w:num w:numId="7">
    <w:abstractNumId w:val="37"/>
  </w:num>
  <w:num w:numId="8">
    <w:abstractNumId w:val="30"/>
  </w:num>
  <w:num w:numId="9">
    <w:abstractNumId w:val="22"/>
  </w:num>
  <w:num w:numId="10">
    <w:abstractNumId w:val="9"/>
  </w:num>
  <w:num w:numId="11">
    <w:abstractNumId w:val="1"/>
  </w:num>
  <w:num w:numId="12">
    <w:abstractNumId w:val="0"/>
  </w:num>
  <w:num w:numId="13">
    <w:abstractNumId w:val="14"/>
  </w:num>
  <w:num w:numId="14">
    <w:abstractNumId w:val="13"/>
  </w:num>
  <w:num w:numId="15">
    <w:abstractNumId w:val="5"/>
  </w:num>
  <w:num w:numId="16">
    <w:abstractNumId w:val="35"/>
  </w:num>
  <w:num w:numId="17">
    <w:abstractNumId w:val="34"/>
  </w:num>
  <w:num w:numId="18">
    <w:abstractNumId w:val="19"/>
  </w:num>
  <w:num w:numId="19">
    <w:abstractNumId w:val="20"/>
  </w:num>
  <w:num w:numId="20">
    <w:abstractNumId w:val="18"/>
  </w:num>
  <w:num w:numId="21">
    <w:abstractNumId w:val="25"/>
  </w:num>
  <w:num w:numId="22">
    <w:abstractNumId w:val="15"/>
  </w:num>
  <w:num w:numId="23">
    <w:abstractNumId w:val="10"/>
  </w:num>
  <w:num w:numId="24">
    <w:abstractNumId w:val="29"/>
  </w:num>
  <w:num w:numId="25">
    <w:abstractNumId w:val="24"/>
  </w:num>
  <w:num w:numId="26">
    <w:abstractNumId w:val="16"/>
  </w:num>
  <w:num w:numId="27">
    <w:abstractNumId w:val="4"/>
  </w:num>
  <w:num w:numId="28">
    <w:abstractNumId w:val="7"/>
  </w:num>
  <w:num w:numId="29">
    <w:abstractNumId w:val="38"/>
  </w:num>
  <w:num w:numId="30">
    <w:abstractNumId w:val="40"/>
  </w:num>
  <w:num w:numId="31">
    <w:abstractNumId w:val="8"/>
  </w:num>
  <w:num w:numId="32">
    <w:abstractNumId w:val="2"/>
  </w:num>
  <w:num w:numId="33">
    <w:abstractNumId w:val="17"/>
  </w:num>
  <w:num w:numId="34">
    <w:abstractNumId w:val="32"/>
  </w:num>
  <w:num w:numId="35">
    <w:abstractNumId w:val="11"/>
  </w:num>
  <w:num w:numId="36">
    <w:abstractNumId w:val="12"/>
  </w:num>
  <w:num w:numId="37">
    <w:abstractNumId w:val="41"/>
  </w:num>
  <w:num w:numId="38">
    <w:abstractNumId w:val="28"/>
  </w:num>
  <w:num w:numId="39">
    <w:abstractNumId w:val="33"/>
  </w:num>
  <w:num w:numId="40">
    <w:abstractNumId w:val="39"/>
  </w:num>
  <w:num w:numId="41">
    <w:abstractNumId w:val="3"/>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114"/>
    <w:rsid w:val="00002B6F"/>
    <w:rsid w:val="0001214E"/>
    <w:rsid w:val="00052058"/>
    <w:rsid w:val="0006060E"/>
    <w:rsid w:val="000B0B80"/>
    <w:rsid w:val="000B4CA1"/>
    <w:rsid w:val="000C5BED"/>
    <w:rsid w:val="000D7D85"/>
    <w:rsid w:val="000F7B67"/>
    <w:rsid w:val="0012210B"/>
    <w:rsid w:val="00137246"/>
    <w:rsid w:val="001B5574"/>
    <w:rsid w:val="001D2C30"/>
    <w:rsid w:val="001E3979"/>
    <w:rsid w:val="00220CCE"/>
    <w:rsid w:val="00274669"/>
    <w:rsid w:val="00295661"/>
    <w:rsid w:val="00295985"/>
    <w:rsid w:val="00305760"/>
    <w:rsid w:val="00351BE2"/>
    <w:rsid w:val="00370ABB"/>
    <w:rsid w:val="00370ED0"/>
    <w:rsid w:val="0038262C"/>
    <w:rsid w:val="003C2B1F"/>
    <w:rsid w:val="003F0C62"/>
    <w:rsid w:val="003F779F"/>
    <w:rsid w:val="00432EB1"/>
    <w:rsid w:val="00480E69"/>
    <w:rsid w:val="00480F2B"/>
    <w:rsid w:val="00482A9E"/>
    <w:rsid w:val="004A4A7E"/>
    <w:rsid w:val="004C6CEF"/>
    <w:rsid w:val="00503BFB"/>
    <w:rsid w:val="00505B8E"/>
    <w:rsid w:val="005106E9"/>
    <w:rsid w:val="005316D7"/>
    <w:rsid w:val="00563F30"/>
    <w:rsid w:val="005976B0"/>
    <w:rsid w:val="005B539F"/>
    <w:rsid w:val="005C52FE"/>
    <w:rsid w:val="00615191"/>
    <w:rsid w:val="00636207"/>
    <w:rsid w:val="00637186"/>
    <w:rsid w:val="006C3B0A"/>
    <w:rsid w:val="007147B6"/>
    <w:rsid w:val="007312B2"/>
    <w:rsid w:val="007757FD"/>
    <w:rsid w:val="00782E34"/>
    <w:rsid w:val="007B4840"/>
    <w:rsid w:val="007D35E8"/>
    <w:rsid w:val="007D7867"/>
    <w:rsid w:val="007F2188"/>
    <w:rsid w:val="007F4D97"/>
    <w:rsid w:val="0080066A"/>
    <w:rsid w:val="008036BA"/>
    <w:rsid w:val="0081511A"/>
    <w:rsid w:val="00830D10"/>
    <w:rsid w:val="00831ACF"/>
    <w:rsid w:val="008873A2"/>
    <w:rsid w:val="00893CD4"/>
    <w:rsid w:val="008D20D0"/>
    <w:rsid w:val="008E34C5"/>
    <w:rsid w:val="008E4273"/>
    <w:rsid w:val="008F0A8B"/>
    <w:rsid w:val="00923E48"/>
    <w:rsid w:val="009421BC"/>
    <w:rsid w:val="00944319"/>
    <w:rsid w:val="00981A1F"/>
    <w:rsid w:val="009E36BA"/>
    <w:rsid w:val="00A2051A"/>
    <w:rsid w:val="00A34A66"/>
    <w:rsid w:val="00AC02A1"/>
    <w:rsid w:val="00AC335C"/>
    <w:rsid w:val="00AC3CAE"/>
    <w:rsid w:val="00B054ED"/>
    <w:rsid w:val="00B65785"/>
    <w:rsid w:val="00B825D5"/>
    <w:rsid w:val="00BB1A7D"/>
    <w:rsid w:val="00C03C7F"/>
    <w:rsid w:val="00C1753B"/>
    <w:rsid w:val="00C811C2"/>
    <w:rsid w:val="00C86B5C"/>
    <w:rsid w:val="00C87A44"/>
    <w:rsid w:val="00C9775E"/>
    <w:rsid w:val="00CA00BA"/>
    <w:rsid w:val="00CD0119"/>
    <w:rsid w:val="00CD1B73"/>
    <w:rsid w:val="00CD7577"/>
    <w:rsid w:val="00CE2209"/>
    <w:rsid w:val="00CF5DC0"/>
    <w:rsid w:val="00D3557C"/>
    <w:rsid w:val="00D71953"/>
    <w:rsid w:val="00DC5832"/>
    <w:rsid w:val="00DE13D1"/>
    <w:rsid w:val="00DF4920"/>
    <w:rsid w:val="00E1032B"/>
    <w:rsid w:val="00E1176A"/>
    <w:rsid w:val="00E21712"/>
    <w:rsid w:val="00E344EF"/>
    <w:rsid w:val="00E532F3"/>
    <w:rsid w:val="00E77599"/>
    <w:rsid w:val="00EA1114"/>
    <w:rsid w:val="00F04351"/>
    <w:rsid w:val="00F11514"/>
    <w:rsid w:val="00F1208D"/>
    <w:rsid w:val="00F52CA3"/>
    <w:rsid w:val="00F64F7F"/>
    <w:rsid w:val="00FD4FAE"/>
    <w:rsid w:val="00FF5D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CABF1"/>
  <w15:chartTrackingRefBased/>
  <w15:docId w15:val="{E0D5E7DD-7763-0744-B3AA-2B481379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A44"/>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3F0C6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825D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114"/>
    <w:pPr>
      <w:ind w:left="720"/>
      <w:contextualSpacing/>
    </w:pPr>
  </w:style>
  <w:style w:type="paragraph" w:styleId="NormalWeb">
    <w:name w:val="Normal (Web)"/>
    <w:basedOn w:val="Normal"/>
    <w:uiPriority w:val="99"/>
    <w:unhideWhenUsed/>
    <w:rsid w:val="00EA1114"/>
    <w:pPr>
      <w:spacing w:before="100" w:beforeAutospacing="1" w:after="100" w:afterAutospacing="1"/>
    </w:pPr>
  </w:style>
  <w:style w:type="character" w:customStyle="1" w:styleId="apple-converted-space">
    <w:name w:val="apple-converted-space"/>
    <w:basedOn w:val="DefaultParagraphFont"/>
    <w:rsid w:val="00EA1114"/>
  </w:style>
  <w:style w:type="paragraph" w:styleId="Footer">
    <w:name w:val="footer"/>
    <w:basedOn w:val="Normal"/>
    <w:link w:val="FooterChar"/>
    <w:uiPriority w:val="99"/>
    <w:unhideWhenUsed/>
    <w:rsid w:val="0081511A"/>
    <w:pPr>
      <w:tabs>
        <w:tab w:val="center" w:pos="4680"/>
        <w:tab w:val="right" w:pos="9360"/>
      </w:tabs>
    </w:pPr>
  </w:style>
  <w:style w:type="character" w:customStyle="1" w:styleId="FooterChar">
    <w:name w:val="Footer Char"/>
    <w:basedOn w:val="DefaultParagraphFont"/>
    <w:link w:val="Footer"/>
    <w:uiPriority w:val="99"/>
    <w:rsid w:val="0081511A"/>
  </w:style>
  <w:style w:type="character" w:styleId="PageNumber">
    <w:name w:val="page number"/>
    <w:basedOn w:val="DefaultParagraphFont"/>
    <w:uiPriority w:val="99"/>
    <w:semiHidden/>
    <w:unhideWhenUsed/>
    <w:rsid w:val="0081511A"/>
  </w:style>
  <w:style w:type="character" w:customStyle="1" w:styleId="hlfld-contribauthor">
    <w:name w:val="hlfld-contribauthor"/>
    <w:basedOn w:val="DefaultParagraphFont"/>
    <w:rsid w:val="00D3557C"/>
  </w:style>
  <w:style w:type="character" w:customStyle="1" w:styleId="nlmgiven-names">
    <w:name w:val="nlm_given-names"/>
    <w:basedOn w:val="DefaultParagraphFont"/>
    <w:rsid w:val="00D3557C"/>
  </w:style>
  <w:style w:type="character" w:customStyle="1" w:styleId="nlmyear">
    <w:name w:val="nlm_year"/>
    <w:basedOn w:val="DefaultParagraphFont"/>
    <w:rsid w:val="00D3557C"/>
  </w:style>
  <w:style w:type="character" w:customStyle="1" w:styleId="nlmpublisher-name">
    <w:name w:val="nlm_publisher-name"/>
    <w:basedOn w:val="DefaultParagraphFont"/>
    <w:rsid w:val="00D3557C"/>
  </w:style>
  <w:style w:type="character" w:styleId="Hyperlink">
    <w:name w:val="Hyperlink"/>
    <w:basedOn w:val="DefaultParagraphFont"/>
    <w:uiPriority w:val="99"/>
    <w:unhideWhenUsed/>
    <w:rsid w:val="00D3557C"/>
    <w:rPr>
      <w:color w:val="0000FF"/>
      <w:u w:val="single"/>
    </w:rPr>
  </w:style>
  <w:style w:type="character" w:customStyle="1" w:styleId="googlescholar-container">
    <w:name w:val="googlescholar-container"/>
    <w:basedOn w:val="DefaultParagraphFont"/>
    <w:rsid w:val="00D3557C"/>
  </w:style>
  <w:style w:type="character" w:customStyle="1" w:styleId="nlmchapter-title">
    <w:name w:val="nlm_chapter-title"/>
    <w:basedOn w:val="DefaultParagraphFont"/>
    <w:rsid w:val="00052058"/>
  </w:style>
  <w:style w:type="character" w:customStyle="1" w:styleId="nlmfpage">
    <w:name w:val="nlm_fpage"/>
    <w:basedOn w:val="DefaultParagraphFont"/>
    <w:rsid w:val="00052058"/>
  </w:style>
  <w:style w:type="character" w:customStyle="1" w:styleId="nlmlpage">
    <w:name w:val="nlm_lpage"/>
    <w:basedOn w:val="DefaultParagraphFont"/>
    <w:rsid w:val="00052058"/>
  </w:style>
  <w:style w:type="character" w:customStyle="1" w:styleId="ref-lnk">
    <w:name w:val="ref-lnk"/>
    <w:basedOn w:val="DefaultParagraphFont"/>
    <w:rsid w:val="008F0A8B"/>
  </w:style>
  <w:style w:type="character" w:styleId="CommentReference">
    <w:name w:val="annotation reference"/>
    <w:basedOn w:val="DefaultParagraphFont"/>
    <w:uiPriority w:val="99"/>
    <w:semiHidden/>
    <w:unhideWhenUsed/>
    <w:rsid w:val="00DE13D1"/>
    <w:rPr>
      <w:sz w:val="16"/>
      <w:szCs w:val="16"/>
    </w:rPr>
  </w:style>
  <w:style w:type="paragraph" w:styleId="CommentText">
    <w:name w:val="annotation text"/>
    <w:basedOn w:val="Normal"/>
    <w:link w:val="CommentTextChar"/>
    <w:uiPriority w:val="99"/>
    <w:semiHidden/>
    <w:unhideWhenUsed/>
    <w:rsid w:val="00DE13D1"/>
    <w:rPr>
      <w:sz w:val="20"/>
      <w:szCs w:val="20"/>
    </w:rPr>
  </w:style>
  <w:style w:type="character" w:customStyle="1" w:styleId="CommentTextChar">
    <w:name w:val="Comment Text Char"/>
    <w:basedOn w:val="DefaultParagraphFont"/>
    <w:link w:val="CommentText"/>
    <w:uiPriority w:val="99"/>
    <w:semiHidden/>
    <w:rsid w:val="00DE13D1"/>
    <w:rPr>
      <w:sz w:val="20"/>
      <w:szCs w:val="20"/>
    </w:rPr>
  </w:style>
  <w:style w:type="paragraph" w:styleId="CommentSubject">
    <w:name w:val="annotation subject"/>
    <w:basedOn w:val="CommentText"/>
    <w:next w:val="CommentText"/>
    <w:link w:val="CommentSubjectChar"/>
    <w:uiPriority w:val="99"/>
    <w:semiHidden/>
    <w:unhideWhenUsed/>
    <w:rsid w:val="00DE13D1"/>
    <w:rPr>
      <w:b/>
      <w:bCs/>
    </w:rPr>
  </w:style>
  <w:style w:type="character" w:customStyle="1" w:styleId="CommentSubjectChar">
    <w:name w:val="Comment Subject Char"/>
    <w:basedOn w:val="CommentTextChar"/>
    <w:link w:val="CommentSubject"/>
    <w:uiPriority w:val="99"/>
    <w:semiHidden/>
    <w:rsid w:val="00DE13D1"/>
    <w:rPr>
      <w:b/>
      <w:bCs/>
      <w:sz w:val="20"/>
      <w:szCs w:val="20"/>
    </w:rPr>
  </w:style>
  <w:style w:type="paragraph" w:styleId="Revision">
    <w:name w:val="Revision"/>
    <w:hidden/>
    <w:uiPriority w:val="99"/>
    <w:semiHidden/>
    <w:rsid w:val="00370ABB"/>
  </w:style>
  <w:style w:type="character" w:customStyle="1" w:styleId="Heading1Char">
    <w:name w:val="Heading 1 Char"/>
    <w:basedOn w:val="DefaultParagraphFont"/>
    <w:link w:val="Heading1"/>
    <w:uiPriority w:val="9"/>
    <w:rsid w:val="003F0C62"/>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BB1A7D"/>
    <w:rPr>
      <w:color w:val="605E5C"/>
      <w:shd w:val="clear" w:color="auto" w:fill="E1DFDD"/>
    </w:rPr>
  </w:style>
  <w:style w:type="character" w:customStyle="1" w:styleId="nlmarticle-title">
    <w:name w:val="nlm_article-title"/>
    <w:basedOn w:val="DefaultParagraphFont"/>
    <w:rsid w:val="00295661"/>
  </w:style>
  <w:style w:type="paragraph" w:customStyle="1" w:styleId="paragraph">
    <w:name w:val="paragraph"/>
    <w:basedOn w:val="Normal"/>
    <w:rsid w:val="000B4CA1"/>
    <w:pPr>
      <w:spacing w:before="100" w:beforeAutospacing="1" w:after="100" w:afterAutospacing="1"/>
    </w:pPr>
  </w:style>
  <w:style w:type="character" w:customStyle="1" w:styleId="normaltextrun">
    <w:name w:val="normaltextrun"/>
    <w:basedOn w:val="DefaultParagraphFont"/>
    <w:rsid w:val="000B4CA1"/>
  </w:style>
  <w:style w:type="character" w:customStyle="1" w:styleId="eop">
    <w:name w:val="eop"/>
    <w:basedOn w:val="DefaultParagraphFont"/>
    <w:rsid w:val="000B4CA1"/>
  </w:style>
  <w:style w:type="character" w:styleId="FollowedHyperlink">
    <w:name w:val="FollowedHyperlink"/>
    <w:basedOn w:val="DefaultParagraphFont"/>
    <w:uiPriority w:val="99"/>
    <w:semiHidden/>
    <w:unhideWhenUsed/>
    <w:rsid w:val="000B4CA1"/>
    <w:rPr>
      <w:color w:val="954F72" w:themeColor="followedHyperlink"/>
      <w:u w:val="single"/>
    </w:rPr>
  </w:style>
  <w:style w:type="character" w:customStyle="1" w:styleId="Heading2Char">
    <w:name w:val="Heading 2 Char"/>
    <w:basedOn w:val="DefaultParagraphFont"/>
    <w:link w:val="Heading2"/>
    <w:uiPriority w:val="9"/>
    <w:semiHidden/>
    <w:rsid w:val="00B825D5"/>
    <w:rPr>
      <w:rFonts w:asciiTheme="majorHAnsi" w:eastAsiaTheme="majorEastAsia" w:hAnsiTheme="majorHAnsi" w:cstheme="majorBidi"/>
      <w:color w:val="2F5496"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00666">
      <w:bodyDiv w:val="1"/>
      <w:marLeft w:val="0"/>
      <w:marRight w:val="0"/>
      <w:marTop w:val="0"/>
      <w:marBottom w:val="0"/>
      <w:divBdr>
        <w:top w:val="none" w:sz="0" w:space="0" w:color="auto"/>
        <w:left w:val="none" w:sz="0" w:space="0" w:color="auto"/>
        <w:bottom w:val="none" w:sz="0" w:space="0" w:color="auto"/>
        <w:right w:val="none" w:sz="0" w:space="0" w:color="auto"/>
      </w:divBdr>
      <w:divsChild>
        <w:div w:id="550195402">
          <w:marLeft w:val="0"/>
          <w:marRight w:val="0"/>
          <w:marTop w:val="0"/>
          <w:marBottom w:val="0"/>
          <w:divBdr>
            <w:top w:val="none" w:sz="0" w:space="0" w:color="auto"/>
            <w:left w:val="none" w:sz="0" w:space="0" w:color="auto"/>
            <w:bottom w:val="none" w:sz="0" w:space="0" w:color="auto"/>
            <w:right w:val="none" w:sz="0" w:space="0" w:color="auto"/>
          </w:divBdr>
          <w:divsChild>
            <w:div w:id="1582376606">
              <w:marLeft w:val="0"/>
              <w:marRight w:val="0"/>
              <w:marTop w:val="0"/>
              <w:marBottom w:val="0"/>
              <w:divBdr>
                <w:top w:val="none" w:sz="0" w:space="0" w:color="auto"/>
                <w:left w:val="none" w:sz="0" w:space="0" w:color="auto"/>
                <w:bottom w:val="none" w:sz="0" w:space="0" w:color="auto"/>
                <w:right w:val="none" w:sz="0" w:space="0" w:color="auto"/>
              </w:divBdr>
              <w:divsChild>
                <w:div w:id="14455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0102">
      <w:bodyDiv w:val="1"/>
      <w:marLeft w:val="0"/>
      <w:marRight w:val="0"/>
      <w:marTop w:val="0"/>
      <w:marBottom w:val="0"/>
      <w:divBdr>
        <w:top w:val="none" w:sz="0" w:space="0" w:color="auto"/>
        <w:left w:val="none" w:sz="0" w:space="0" w:color="auto"/>
        <w:bottom w:val="none" w:sz="0" w:space="0" w:color="auto"/>
        <w:right w:val="none" w:sz="0" w:space="0" w:color="auto"/>
      </w:divBdr>
    </w:div>
    <w:div w:id="27873315">
      <w:bodyDiv w:val="1"/>
      <w:marLeft w:val="0"/>
      <w:marRight w:val="0"/>
      <w:marTop w:val="0"/>
      <w:marBottom w:val="0"/>
      <w:divBdr>
        <w:top w:val="none" w:sz="0" w:space="0" w:color="auto"/>
        <w:left w:val="none" w:sz="0" w:space="0" w:color="auto"/>
        <w:bottom w:val="none" w:sz="0" w:space="0" w:color="auto"/>
        <w:right w:val="none" w:sz="0" w:space="0" w:color="auto"/>
      </w:divBdr>
    </w:div>
    <w:div w:id="27875940">
      <w:bodyDiv w:val="1"/>
      <w:marLeft w:val="0"/>
      <w:marRight w:val="0"/>
      <w:marTop w:val="0"/>
      <w:marBottom w:val="0"/>
      <w:divBdr>
        <w:top w:val="none" w:sz="0" w:space="0" w:color="auto"/>
        <w:left w:val="none" w:sz="0" w:space="0" w:color="auto"/>
        <w:bottom w:val="none" w:sz="0" w:space="0" w:color="auto"/>
        <w:right w:val="none" w:sz="0" w:space="0" w:color="auto"/>
      </w:divBdr>
    </w:div>
    <w:div w:id="32657644">
      <w:bodyDiv w:val="1"/>
      <w:marLeft w:val="0"/>
      <w:marRight w:val="0"/>
      <w:marTop w:val="0"/>
      <w:marBottom w:val="0"/>
      <w:divBdr>
        <w:top w:val="none" w:sz="0" w:space="0" w:color="auto"/>
        <w:left w:val="none" w:sz="0" w:space="0" w:color="auto"/>
        <w:bottom w:val="none" w:sz="0" w:space="0" w:color="auto"/>
        <w:right w:val="none" w:sz="0" w:space="0" w:color="auto"/>
      </w:divBdr>
    </w:div>
    <w:div w:id="116530213">
      <w:bodyDiv w:val="1"/>
      <w:marLeft w:val="0"/>
      <w:marRight w:val="0"/>
      <w:marTop w:val="0"/>
      <w:marBottom w:val="0"/>
      <w:divBdr>
        <w:top w:val="none" w:sz="0" w:space="0" w:color="auto"/>
        <w:left w:val="none" w:sz="0" w:space="0" w:color="auto"/>
        <w:bottom w:val="none" w:sz="0" w:space="0" w:color="auto"/>
        <w:right w:val="none" w:sz="0" w:space="0" w:color="auto"/>
      </w:divBdr>
      <w:divsChild>
        <w:div w:id="960527846">
          <w:marLeft w:val="446"/>
          <w:marRight w:val="0"/>
          <w:marTop w:val="200"/>
          <w:marBottom w:val="0"/>
          <w:divBdr>
            <w:top w:val="none" w:sz="0" w:space="0" w:color="auto"/>
            <w:left w:val="none" w:sz="0" w:space="0" w:color="auto"/>
            <w:bottom w:val="none" w:sz="0" w:space="0" w:color="auto"/>
            <w:right w:val="none" w:sz="0" w:space="0" w:color="auto"/>
          </w:divBdr>
        </w:div>
        <w:div w:id="625239611">
          <w:marLeft w:val="446"/>
          <w:marRight w:val="0"/>
          <w:marTop w:val="240"/>
          <w:marBottom w:val="0"/>
          <w:divBdr>
            <w:top w:val="none" w:sz="0" w:space="0" w:color="auto"/>
            <w:left w:val="none" w:sz="0" w:space="0" w:color="auto"/>
            <w:bottom w:val="none" w:sz="0" w:space="0" w:color="auto"/>
            <w:right w:val="none" w:sz="0" w:space="0" w:color="auto"/>
          </w:divBdr>
        </w:div>
        <w:div w:id="1092357019">
          <w:marLeft w:val="1526"/>
          <w:marRight w:val="0"/>
          <w:marTop w:val="0"/>
          <w:marBottom w:val="0"/>
          <w:divBdr>
            <w:top w:val="none" w:sz="0" w:space="0" w:color="auto"/>
            <w:left w:val="none" w:sz="0" w:space="0" w:color="auto"/>
            <w:bottom w:val="none" w:sz="0" w:space="0" w:color="auto"/>
            <w:right w:val="none" w:sz="0" w:space="0" w:color="auto"/>
          </w:divBdr>
        </w:div>
        <w:div w:id="561526164">
          <w:marLeft w:val="1526"/>
          <w:marRight w:val="0"/>
          <w:marTop w:val="0"/>
          <w:marBottom w:val="0"/>
          <w:divBdr>
            <w:top w:val="none" w:sz="0" w:space="0" w:color="auto"/>
            <w:left w:val="none" w:sz="0" w:space="0" w:color="auto"/>
            <w:bottom w:val="none" w:sz="0" w:space="0" w:color="auto"/>
            <w:right w:val="none" w:sz="0" w:space="0" w:color="auto"/>
          </w:divBdr>
        </w:div>
      </w:divsChild>
    </w:div>
    <w:div w:id="131410172">
      <w:bodyDiv w:val="1"/>
      <w:marLeft w:val="0"/>
      <w:marRight w:val="0"/>
      <w:marTop w:val="0"/>
      <w:marBottom w:val="0"/>
      <w:divBdr>
        <w:top w:val="none" w:sz="0" w:space="0" w:color="auto"/>
        <w:left w:val="none" w:sz="0" w:space="0" w:color="auto"/>
        <w:bottom w:val="none" w:sz="0" w:space="0" w:color="auto"/>
        <w:right w:val="none" w:sz="0" w:space="0" w:color="auto"/>
      </w:divBdr>
    </w:div>
    <w:div w:id="150368147">
      <w:bodyDiv w:val="1"/>
      <w:marLeft w:val="0"/>
      <w:marRight w:val="0"/>
      <w:marTop w:val="0"/>
      <w:marBottom w:val="0"/>
      <w:divBdr>
        <w:top w:val="none" w:sz="0" w:space="0" w:color="auto"/>
        <w:left w:val="none" w:sz="0" w:space="0" w:color="auto"/>
        <w:bottom w:val="none" w:sz="0" w:space="0" w:color="auto"/>
        <w:right w:val="none" w:sz="0" w:space="0" w:color="auto"/>
      </w:divBdr>
      <w:divsChild>
        <w:div w:id="1438405067">
          <w:marLeft w:val="0"/>
          <w:marRight w:val="0"/>
          <w:marTop w:val="0"/>
          <w:marBottom w:val="0"/>
          <w:divBdr>
            <w:top w:val="none" w:sz="0" w:space="0" w:color="auto"/>
            <w:left w:val="none" w:sz="0" w:space="0" w:color="auto"/>
            <w:bottom w:val="none" w:sz="0" w:space="0" w:color="auto"/>
            <w:right w:val="none" w:sz="0" w:space="0" w:color="auto"/>
          </w:divBdr>
          <w:divsChild>
            <w:div w:id="1060634843">
              <w:marLeft w:val="0"/>
              <w:marRight w:val="0"/>
              <w:marTop w:val="0"/>
              <w:marBottom w:val="0"/>
              <w:divBdr>
                <w:top w:val="none" w:sz="0" w:space="0" w:color="auto"/>
                <w:left w:val="none" w:sz="0" w:space="0" w:color="auto"/>
                <w:bottom w:val="none" w:sz="0" w:space="0" w:color="auto"/>
                <w:right w:val="none" w:sz="0" w:space="0" w:color="auto"/>
              </w:divBdr>
              <w:divsChild>
                <w:div w:id="112231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882510">
      <w:bodyDiv w:val="1"/>
      <w:marLeft w:val="0"/>
      <w:marRight w:val="0"/>
      <w:marTop w:val="0"/>
      <w:marBottom w:val="0"/>
      <w:divBdr>
        <w:top w:val="none" w:sz="0" w:space="0" w:color="auto"/>
        <w:left w:val="none" w:sz="0" w:space="0" w:color="auto"/>
        <w:bottom w:val="none" w:sz="0" w:space="0" w:color="auto"/>
        <w:right w:val="none" w:sz="0" w:space="0" w:color="auto"/>
      </w:divBdr>
      <w:divsChild>
        <w:div w:id="1114137247">
          <w:marLeft w:val="0"/>
          <w:marRight w:val="0"/>
          <w:marTop w:val="0"/>
          <w:marBottom w:val="0"/>
          <w:divBdr>
            <w:top w:val="none" w:sz="0" w:space="0" w:color="auto"/>
            <w:left w:val="none" w:sz="0" w:space="0" w:color="auto"/>
            <w:bottom w:val="none" w:sz="0" w:space="0" w:color="auto"/>
            <w:right w:val="none" w:sz="0" w:space="0" w:color="auto"/>
          </w:divBdr>
          <w:divsChild>
            <w:div w:id="447893194">
              <w:marLeft w:val="0"/>
              <w:marRight w:val="0"/>
              <w:marTop w:val="0"/>
              <w:marBottom w:val="0"/>
              <w:divBdr>
                <w:top w:val="none" w:sz="0" w:space="0" w:color="auto"/>
                <w:left w:val="none" w:sz="0" w:space="0" w:color="auto"/>
                <w:bottom w:val="none" w:sz="0" w:space="0" w:color="auto"/>
                <w:right w:val="none" w:sz="0" w:space="0" w:color="auto"/>
              </w:divBdr>
              <w:divsChild>
                <w:div w:id="41485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951534">
      <w:bodyDiv w:val="1"/>
      <w:marLeft w:val="0"/>
      <w:marRight w:val="0"/>
      <w:marTop w:val="0"/>
      <w:marBottom w:val="0"/>
      <w:divBdr>
        <w:top w:val="none" w:sz="0" w:space="0" w:color="auto"/>
        <w:left w:val="none" w:sz="0" w:space="0" w:color="auto"/>
        <w:bottom w:val="none" w:sz="0" w:space="0" w:color="auto"/>
        <w:right w:val="none" w:sz="0" w:space="0" w:color="auto"/>
      </w:divBdr>
    </w:div>
    <w:div w:id="348337454">
      <w:bodyDiv w:val="1"/>
      <w:marLeft w:val="0"/>
      <w:marRight w:val="0"/>
      <w:marTop w:val="0"/>
      <w:marBottom w:val="0"/>
      <w:divBdr>
        <w:top w:val="none" w:sz="0" w:space="0" w:color="auto"/>
        <w:left w:val="none" w:sz="0" w:space="0" w:color="auto"/>
        <w:bottom w:val="none" w:sz="0" w:space="0" w:color="auto"/>
        <w:right w:val="none" w:sz="0" w:space="0" w:color="auto"/>
      </w:divBdr>
      <w:divsChild>
        <w:div w:id="1326863315">
          <w:marLeft w:val="0"/>
          <w:marRight w:val="0"/>
          <w:marTop w:val="0"/>
          <w:marBottom w:val="0"/>
          <w:divBdr>
            <w:top w:val="none" w:sz="0" w:space="0" w:color="auto"/>
            <w:left w:val="none" w:sz="0" w:space="0" w:color="auto"/>
            <w:bottom w:val="none" w:sz="0" w:space="0" w:color="auto"/>
            <w:right w:val="none" w:sz="0" w:space="0" w:color="auto"/>
          </w:divBdr>
        </w:div>
        <w:div w:id="1650861066">
          <w:marLeft w:val="0"/>
          <w:marRight w:val="0"/>
          <w:marTop w:val="0"/>
          <w:marBottom w:val="0"/>
          <w:divBdr>
            <w:top w:val="none" w:sz="0" w:space="0" w:color="auto"/>
            <w:left w:val="none" w:sz="0" w:space="0" w:color="auto"/>
            <w:bottom w:val="none" w:sz="0" w:space="0" w:color="auto"/>
            <w:right w:val="none" w:sz="0" w:space="0" w:color="auto"/>
          </w:divBdr>
        </w:div>
      </w:divsChild>
    </w:div>
    <w:div w:id="366875504">
      <w:bodyDiv w:val="1"/>
      <w:marLeft w:val="0"/>
      <w:marRight w:val="0"/>
      <w:marTop w:val="0"/>
      <w:marBottom w:val="0"/>
      <w:divBdr>
        <w:top w:val="none" w:sz="0" w:space="0" w:color="auto"/>
        <w:left w:val="none" w:sz="0" w:space="0" w:color="auto"/>
        <w:bottom w:val="none" w:sz="0" w:space="0" w:color="auto"/>
        <w:right w:val="none" w:sz="0" w:space="0" w:color="auto"/>
      </w:divBdr>
    </w:div>
    <w:div w:id="383455584">
      <w:bodyDiv w:val="1"/>
      <w:marLeft w:val="0"/>
      <w:marRight w:val="0"/>
      <w:marTop w:val="0"/>
      <w:marBottom w:val="0"/>
      <w:divBdr>
        <w:top w:val="none" w:sz="0" w:space="0" w:color="auto"/>
        <w:left w:val="none" w:sz="0" w:space="0" w:color="auto"/>
        <w:bottom w:val="none" w:sz="0" w:space="0" w:color="auto"/>
        <w:right w:val="none" w:sz="0" w:space="0" w:color="auto"/>
      </w:divBdr>
      <w:divsChild>
        <w:div w:id="592974409">
          <w:marLeft w:val="0"/>
          <w:marRight w:val="0"/>
          <w:marTop w:val="0"/>
          <w:marBottom w:val="0"/>
          <w:divBdr>
            <w:top w:val="none" w:sz="0" w:space="0" w:color="auto"/>
            <w:left w:val="none" w:sz="0" w:space="0" w:color="auto"/>
            <w:bottom w:val="none" w:sz="0" w:space="0" w:color="auto"/>
            <w:right w:val="none" w:sz="0" w:space="0" w:color="auto"/>
          </w:divBdr>
          <w:divsChild>
            <w:div w:id="213346730">
              <w:marLeft w:val="0"/>
              <w:marRight w:val="0"/>
              <w:marTop w:val="0"/>
              <w:marBottom w:val="0"/>
              <w:divBdr>
                <w:top w:val="none" w:sz="0" w:space="0" w:color="auto"/>
                <w:left w:val="none" w:sz="0" w:space="0" w:color="auto"/>
                <w:bottom w:val="none" w:sz="0" w:space="0" w:color="auto"/>
                <w:right w:val="none" w:sz="0" w:space="0" w:color="auto"/>
              </w:divBdr>
              <w:divsChild>
                <w:div w:id="1086340344">
                  <w:marLeft w:val="0"/>
                  <w:marRight w:val="0"/>
                  <w:marTop w:val="0"/>
                  <w:marBottom w:val="0"/>
                  <w:divBdr>
                    <w:top w:val="none" w:sz="0" w:space="0" w:color="auto"/>
                    <w:left w:val="none" w:sz="0" w:space="0" w:color="auto"/>
                    <w:bottom w:val="none" w:sz="0" w:space="0" w:color="auto"/>
                    <w:right w:val="none" w:sz="0" w:space="0" w:color="auto"/>
                  </w:divBdr>
                </w:div>
              </w:divsChild>
            </w:div>
            <w:div w:id="2061400513">
              <w:marLeft w:val="0"/>
              <w:marRight w:val="0"/>
              <w:marTop w:val="0"/>
              <w:marBottom w:val="0"/>
              <w:divBdr>
                <w:top w:val="none" w:sz="0" w:space="0" w:color="auto"/>
                <w:left w:val="none" w:sz="0" w:space="0" w:color="auto"/>
                <w:bottom w:val="none" w:sz="0" w:space="0" w:color="auto"/>
                <w:right w:val="none" w:sz="0" w:space="0" w:color="auto"/>
              </w:divBdr>
              <w:divsChild>
                <w:div w:id="144645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878409">
      <w:bodyDiv w:val="1"/>
      <w:marLeft w:val="0"/>
      <w:marRight w:val="0"/>
      <w:marTop w:val="0"/>
      <w:marBottom w:val="0"/>
      <w:divBdr>
        <w:top w:val="none" w:sz="0" w:space="0" w:color="auto"/>
        <w:left w:val="none" w:sz="0" w:space="0" w:color="auto"/>
        <w:bottom w:val="none" w:sz="0" w:space="0" w:color="auto"/>
        <w:right w:val="none" w:sz="0" w:space="0" w:color="auto"/>
      </w:divBdr>
      <w:divsChild>
        <w:div w:id="110829374">
          <w:marLeft w:val="0"/>
          <w:marRight w:val="0"/>
          <w:marTop w:val="0"/>
          <w:marBottom w:val="0"/>
          <w:divBdr>
            <w:top w:val="none" w:sz="0" w:space="0" w:color="auto"/>
            <w:left w:val="none" w:sz="0" w:space="0" w:color="auto"/>
            <w:bottom w:val="none" w:sz="0" w:space="0" w:color="auto"/>
            <w:right w:val="none" w:sz="0" w:space="0" w:color="auto"/>
          </w:divBdr>
          <w:divsChild>
            <w:div w:id="1715735138">
              <w:marLeft w:val="0"/>
              <w:marRight w:val="0"/>
              <w:marTop w:val="0"/>
              <w:marBottom w:val="0"/>
              <w:divBdr>
                <w:top w:val="none" w:sz="0" w:space="0" w:color="auto"/>
                <w:left w:val="none" w:sz="0" w:space="0" w:color="auto"/>
                <w:bottom w:val="none" w:sz="0" w:space="0" w:color="auto"/>
                <w:right w:val="none" w:sz="0" w:space="0" w:color="auto"/>
              </w:divBdr>
              <w:divsChild>
                <w:div w:id="159080828">
                  <w:marLeft w:val="0"/>
                  <w:marRight w:val="0"/>
                  <w:marTop w:val="0"/>
                  <w:marBottom w:val="0"/>
                  <w:divBdr>
                    <w:top w:val="none" w:sz="0" w:space="0" w:color="auto"/>
                    <w:left w:val="none" w:sz="0" w:space="0" w:color="auto"/>
                    <w:bottom w:val="none" w:sz="0" w:space="0" w:color="auto"/>
                    <w:right w:val="none" w:sz="0" w:space="0" w:color="auto"/>
                  </w:divBdr>
                </w:div>
              </w:divsChild>
            </w:div>
            <w:div w:id="1002322071">
              <w:marLeft w:val="0"/>
              <w:marRight w:val="0"/>
              <w:marTop w:val="0"/>
              <w:marBottom w:val="0"/>
              <w:divBdr>
                <w:top w:val="none" w:sz="0" w:space="0" w:color="auto"/>
                <w:left w:val="none" w:sz="0" w:space="0" w:color="auto"/>
                <w:bottom w:val="none" w:sz="0" w:space="0" w:color="auto"/>
                <w:right w:val="none" w:sz="0" w:space="0" w:color="auto"/>
              </w:divBdr>
              <w:divsChild>
                <w:div w:id="1462965644">
                  <w:marLeft w:val="0"/>
                  <w:marRight w:val="0"/>
                  <w:marTop w:val="0"/>
                  <w:marBottom w:val="0"/>
                  <w:divBdr>
                    <w:top w:val="none" w:sz="0" w:space="0" w:color="auto"/>
                    <w:left w:val="none" w:sz="0" w:space="0" w:color="auto"/>
                    <w:bottom w:val="none" w:sz="0" w:space="0" w:color="auto"/>
                    <w:right w:val="none" w:sz="0" w:space="0" w:color="auto"/>
                  </w:divBdr>
                </w:div>
              </w:divsChild>
            </w:div>
            <w:div w:id="887691839">
              <w:marLeft w:val="0"/>
              <w:marRight w:val="0"/>
              <w:marTop w:val="0"/>
              <w:marBottom w:val="0"/>
              <w:divBdr>
                <w:top w:val="none" w:sz="0" w:space="0" w:color="auto"/>
                <w:left w:val="none" w:sz="0" w:space="0" w:color="auto"/>
                <w:bottom w:val="none" w:sz="0" w:space="0" w:color="auto"/>
                <w:right w:val="none" w:sz="0" w:space="0" w:color="auto"/>
              </w:divBdr>
              <w:divsChild>
                <w:div w:id="26890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26303">
      <w:bodyDiv w:val="1"/>
      <w:marLeft w:val="0"/>
      <w:marRight w:val="0"/>
      <w:marTop w:val="0"/>
      <w:marBottom w:val="0"/>
      <w:divBdr>
        <w:top w:val="none" w:sz="0" w:space="0" w:color="auto"/>
        <w:left w:val="none" w:sz="0" w:space="0" w:color="auto"/>
        <w:bottom w:val="none" w:sz="0" w:space="0" w:color="auto"/>
        <w:right w:val="none" w:sz="0" w:space="0" w:color="auto"/>
      </w:divBdr>
    </w:div>
    <w:div w:id="655181796">
      <w:bodyDiv w:val="1"/>
      <w:marLeft w:val="0"/>
      <w:marRight w:val="0"/>
      <w:marTop w:val="0"/>
      <w:marBottom w:val="0"/>
      <w:divBdr>
        <w:top w:val="none" w:sz="0" w:space="0" w:color="auto"/>
        <w:left w:val="none" w:sz="0" w:space="0" w:color="auto"/>
        <w:bottom w:val="none" w:sz="0" w:space="0" w:color="auto"/>
        <w:right w:val="none" w:sz="0" w:space="0" w:color="auto"/>
      </w:divBdr>
    </w:div>
    <w:div w:id="718437364">
      <w:bodyDiv w:val="1"/>
      <w:marLeft w:val="0"/>
      <w:marRight w:val="0"/>
      <w:marTop w:val="0"/>
      <w:marBottom w:val="0"/>
      <w:divBdr>
        <w:top w:val="none" w:sz="0" w:space="0" w:color="auto"/>
        <w:left w:val="none" w:sz="0" w:space="0" w:color="auto"/>
        <w:bottom w:val="none" w:sz="0" w:space="0" w:color="auto"/>
        <w:right w:val="none" w:sz="0" w:space="0" w:color="auto"/>
      </w:divBdr>
    </w:div>
    <w:div w:id="877552159">
      <w:bodyDiv w:val="1"/>
      <w:marLeft w:val="0"/>
      <w:marRight w:val="0"/>
      <w:marTop w:val="0"/>
      <w:marBottom w:val="0"/>
      <w:divBdr>
        <w:top w:val="none" w:sz="0" w:space="0" w:color="auto"/>
        <w:left w:val="none" w:sz="0" w:space="0" w:color="auto"/>
        <w:bottom w:val="none" w:sz="0" w:space="0" w:color="auto"/>
        <w:right w:val="none" w:sz="0" w:space="0" w:color="auto"/>
      </w:divBdr>
    </w:div>
    <w:div w:id="957838539">
      <w:bodyDiv w:val="1"/>
      <w:marLeft w:val="0"/>
      <w:marRight w:val="0"/>
      <w:marTop w:val="0"/>
      <w:marBottom w:val="0"/>
      <w:divBdr>
        <w:top w:val="none" w:sz="0" w:space="0" w:color="auto"/>
        <w:left w:val="none" w:sz="0" w:space="0" w:color="auto"/>
        <w:bottom w:val="none" w:sz="0" w:space="0" w:color="auto"/>
        <w:right w:val="none" w:sz="0" w:space="0" w:color="auto"/>
      </w:divBdr>
    </w:div>
    <w:div w:id="1080368771">
      <w:bodyDiv w:val="1"/>
      <w:marLeft w:val="0"/>
      <w:marRight w:val="0"/>
      <w:marTop w:val="0"/>
      <w:marBottom w:val="0"/>
      <w:divBdr>
        <w:top w:val="none" w:sz="0" w:space="0" w:color="auto"/>
        <w:left w:val="none" w:sz="0" w:space="0" w:color="auto"/>
        <w:bottom w:val="none" w:sz="0" w:space="0" w:color="auto"/>
        <w:right w:val="none" w:sz="0" w:space="0" w:color="auto"/>
      </w:divBdr>
    </w:div>
    <w:div w:id="1090395901">
      <w:bodyDiv w:val="1"/>
      <w:marLeft w:val="0"/>
      <w:marRight w:val="0"/>
      <w:marTop w:val="0"/>
      <w:marBottom w:val="0"/>
      <w:divBdr>
        <w:top w:val="none" w:sz="0" w:space="0" w:color="auto"/>
        <w:left w:val="none" w:sz="0" w:space="0" w:color="auto"/>
        <w:bottom w:val="none" w:sz="0" w:space="0" w:color="auto"/>
        <w:right w:val="none" w:sz="0" w:space="0" w:color="auto"/>
      </w:divBdr>
    </w:div>
    <w:div w:id="1164541696">
      <w:bodyDiv w:val="1"/>
      <w:marLeft w:val="0"/>
      <w:marRight w:val="0"/>
      <w:marTop w:val="0"/>
      <w:marBottom w:val="0"/>
      <w:divBdr>
        <w:top w:val="none" w:sz="0" w:space="0" w:color="auto"/>
        <w:left w:val="none" w:sz="0" w:space="0" w:color="auto"/>
        <w:bottom w:val="none" w:sz="0" w:space="0" w:color="auto"/>
        <w:right w:val="none" w:sz="0" w:space="0" w:color="auto"/>
      </w:divBdr>
      <w:divsChild>
        <w:div w:id="609364406">
          <w:marLeft w:val="0"/>
          <w:marRight w:val="0"/>
          <w:marTop w:val="0"/>
          <w:marBottom w:val="0"/>
          <w:divBdr>
            <w:top w:val="none" w:sz="0" w:space="0" w:color="auto"/>
            <w:left w:val="none" w:sz="0" w:space="0" w:color="auto"/>
            <w:bottom w:val="none" w:sz="0" w:space="0" w:color="auto"/>
            <w:right w:val="none" w:sz="0" w:space="0" w:color="auto"/>
          </w:divBdr>
          <w:divsChild>
            <w:div w:id="1998459219">
              <w:marLeft w:val="0"/>
              <w:marRight w:val="0"/>
              <w:marTop w:val="0"/>
              <w:marBottom w:val="0"/>
              <w:divBdr>
                <w:top w:val="none" w:sz="0" w:space="0" w:color="auto"/>
                <w:left w:val="none" w:sz="0" w:space="0" w:color="auto"/>
                <w:bottom w:val="none" w:sz="0" w:space="0" w:color="auto"/>
                <w:right w:val="none" w:sz="0" w:space="0" w:color="auto"/>
              </w:divBdr>
              <w:divsChild>
                <w:div w:id="37165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083117">
      <w:bodyDiv w:val="1"/>
      <w:marLeft w:val="0"/>
      <w:marRight w:val="0"/>
      <w:marTop w:val="0"/>
      <w:marBottom w:val="0"/>
      <w:divBdr>
        <w:top w:val="none" w:sz="0" w:space="0" w:color="auto"/>
        <w:left w:val="none" w:sz="0" w:space="0" w:color="auto"/>
        <w:bottom w:val="none" w:sz="0" w:space="0" w:color="auto"/>
        <w:right w:val="none" w:sz="0" w:space="0" w:color="auto"/>
      </w:divBdr>
    </w:div>
    <w:div w:id="1569223617">
      <w:bodyDiv w:val="1"/>
      <w:marLeft w:val="0"/>
      <w:marRight w:val="0"/>
      <w:marTop w:val="0"/>
      <w:marBottom w:val="0"/>
      <w:divBdr>
        <w:top w:val="none" w:sz="0" w:space="0" w:color="auto"/>
        <w:left w:val="none" w:sz="0" w:space="0" w:color="auto"/>
        <w:bottom w:val="none" w:sz="0" w:space="0" w:color="auto"/>
        <w:right w:val="none" w:sz="0" w:space="0" w:color="auto"/>
      </w:divBdr>
      <w:divsChild>
        <w:div w:id="71900929">
          <w:marLeft w:val="446"/>
          <w:marRight w:val="0"/>
          <w:marTop w:val="320"/>
          <w:marBottom w:val="0"/>
          <w:divBdr>
            <w:top w:val="none" w:sz="0" w:space="0" w:color="auto"/>
            <w:left w:val="none" w:sz="0" w:space="0" w:color="auto"/>
            <w:bottom w:val="none" w:sz="0" w:space="0" w:color="auto"/>
            <w:right w:val="none" w:sz="0" w:space="0" w:color="auto"/>
          </w:divBdr>
        </w:div>
        <w:div w:id="2361660">
          <w:marLeft w:val="446"/>
          <w:marRight w:val="0"/>
          <w:marTop w:val="320"/>
          <w:marBottom w:val="0"/>
          <w:divBdr>
            <w:top w:val="none" w:sz="0" w:space="0" w:color="auto"/>
            <w:left w:val="none" w:sz="0" w:space="0" w:color="auto"/>
            <w:bottom w:val="none" w:sz="0" w:space="0" w:color="auto"/>
            <w:right w:val="none" w:sz="0" w:space="0" w:color="auto"/>
          </w:divBdr>
        </w:div>
      </w:divsChild>
    </w:div>
    <w:div w:id="1573006953">
      <w:bodyDiv w:val="1"/>
      <w:marLeft w:val="0"/>
      <w:marRight w:val="0"/>
      <w:marTop w:val="0"/>
      <w:marBottom w:val="0"/>
      <w:divBdr>
        <w:top w:val="none" w:sz="0" w:space="0" w:color="auto"/>
        <w:left w:val="none" w:sz="0" w:space="0" w:color="auto"/>
        <w:bottom w:val="none" w:sz="0" w:space="0" w:color="auto"/>
        <w:right w:val="none" w:sz="0" w:space="0" w:color="auto"/>
      </w:divBdr>
    </w:div>
    <w:div w:id="1615402466">
      <w:bodyDiv w:val="1"/>
      <w:marLeft w:val="0"/>
      <w:marRight w:val="0"/>
      <w:marTop w:val="0"/>
      <w:marBottom w:val="0"/>
      <w:divBdr>
        <w:top w:val="none" w:sz="0" w:space="0" w:color="auto"/>
        <w:left w:val="none" w:sz="0" w:space="0" w:color="auto"/>
        <w:bottom w:val="none" w:sz="0" w:space="0" w:color="auto"/>
        <w:right w:val="none" w:sz="0" w:space="0" w:color="auto"/>
      </w:divBdr>
      <w:divsChild>
        <w:div w:id="1926760024">
          <w:marLeft w:val="0"/>
          <w:marRight w:val="0"/>
          <w:marTop w:val="0"/>
          <w:marBottom w:val="0"/>
          <w:divBdr>
            <w:top w:val="none" w:sz="0" w:space="0" w:color="auto"/>
            <w:left w:val="none" w:sz="0" w:space="0" w:color="auto"/>
            <w:bottom w:val="none" w:sz="0" w:space="0" w:color="auto"/>
            <w:right w:val="none" w:sz="0" w:space="0" w:color="auto"/>
          </w:divBdr>
          <w:divsChild>
            <w:div w:id="2003267653">
              <w:marLeft w:val="0"/>
              <w:marRight w:val="0"/>
              <w:marTop w:val="0"/>
              <w:marBottom w:val="0"/>
              <w:divBdr>
                <w:top w:val="none" w:sz="0" w:space="0" w:color="auto"/>
                <w:left w:val="none" w:sz="0" w:space="0" w:color="auto"/>
                <w:bottom w:val="none" w:sz="0" w:space="0" w:color="auto"/>
                <w:right w:val="none" w:sz="0" w:space="0" w:color="auto"/>
              </w:divBdr>
              <w:divsChild>
                <w:div w:id="197154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354220">
      <w:bodyDiv w:val="1"/>
      <w:marLeft w:val="0"/>
      <w:marRight w:val="0"/>
      <w:marTop w:val="0"/>
      <w:marBottom w:val="0"/>
      <w:divBdr>
        <w:top w:val="none" w:sz="0" w:space="0" w:color="auto"/>
        <w:left w:val="none" w:sz="0" w:space="0" w:color="auto"/>
        <w:bottom w:val="none" w:sz="0" w:space="0" w:color="auto"/>
        <w:right w:val="none" w:sz="0" w:space="0" w:color="auto"/>
      </w:divBdr>
    </w:div>
    <w:div w:id="1704594643">
      <w:bodyDiv w:val="1"/>
      <w:marLeft w:val="0"/>
      <w:marRight w:val="0"/>
      <w:marTop w:val="0"/>
      <w:marBottom w:val="0"/>
      <w:divBdr>
        <w:top w:val="none" w:sz="0" w:space="0" w:color="auto"/>
        <w:left w:val="none" w:sz="0" w:space="0" w:color="auto"/>
        <w:bottom w:val="none" w:sz="0" w:space="0" w:color="auto"/>
        <w:right w:val="none" w:sz="0" w:space="0" w:color="auto"/>
      </w:divBdr>
    </w:div>
    <w:div w:id="1806191091">
      <w:bodyDiv w:val="1"/>
      <w:marLeft w:val="0"/>
      <w:marRight w:val="0"/>
      <w:marTop w:val="0"/>
      <w:marBottom w:val="0"/>
      <w:divBdr>
        <w:top w:val="none" w:sz="0" w:space="0" w:color="auto"/>
        <w:left w:val="none" w:sz="0" w:space="0" w:color="auto"/>
        <w:bottom w:val="none" w:sz="0" w:space="0" w:color="auto"/>
        <w:right w:val="none" w:sz="0" w:space="0" w:color="auto"/>
      </w:divBdr>
    </w:div>
    <w:div w:id="1838299460">
      <w:bodyDiv w:val="1"/>
      <w:marLeft w:val="0"/>
      <w:marRight w:val="0"/>
      <w:marTop w:val="0"/>
      <w:marBottom w:val="0"/>
      <w:divBdr>
        <w:top w:val="none" w:sz="0" w:space="0" w:color="auto"/>
        <w:left w:val="none" w:sz="0" w:space="0" w:color="auto"/>
        <w:bottom w:val="none" w:sz="0" w:space="0" w:color="auto"/>
        <w:right w:val="none" w:sz="0" w:space="0" w:color="auto"/>
      </w:divBdr>
    </w:div>
    <w:div w:id="1962226683">
      <w:bodyDiv w:val="1"/>
      <w:marLeft w:val="0"/>
      <w:marRight w:val="0"/>
      <w:marTop w:val="0"/>
      <w:marBottom w:val="0"/>
      <w:divBdr>
        <w:top w:val="none" w:sz="0" w:space="0" w:color="auto"/>
        <w:left w:val="none" w:sz="0" w:space="0" w:color="auto"/>
        <w:bottom w:val="none" w:sz="0" w:space="0" w:color="auto"/>
        <w:right w:val="none" w:sz="0" w:space="0" w:color="auto"/>
      </w:divBdr>
    </w:div>
    <w:div w:id="1977711403">
      <w:bodyDiv w:val="1"/>
      <w:marLeft w:val="0"/>
      <w:marRight w:val="0"/>
      <w:marTop w:val="0"/>
      <w:marBottom w:val="0"/>
      <w:divBdr>
        <w:top w:val="none" w:sz="0" w:space="0" w:color="auto"/>
        <w:left w:val="none" w:sz="0" w:space="0" w:color="auto"/>
        <w:bottom w:val="none" w:sz="0" w:space="0" w:color="auto"/>
        <w:right w:val="none" w:sz="0" w:space="0" w:color="auto"/>
      </w:divBdr>
    </w:div>
    <w:div w:id="1977837063">
      <w:bodyDiv w:val="1"/>
      <w:marLeft w:val="0"/>
      <w:marRight w:val="0"/>
      <w:marTop w:val="0"/>
      <w:marBottom w:val="0"/>
      <w:divBdr>
        <w:top w:val="none" w:sz="0" w:space="0" w:color="auto"/>
        <w:left w:val="none" w:sz="0" w:space="0" w:color="auto"/>
        <w:bottom w:val="none" w:sz="0" w:space="0" w:color="auto"/>
        <w:right w:val="none" w:sz="0" w:space="0" w:color="auto"/>
      </w:divBdr>
    </w:div>
    <w:div w:id="2066250002">
      <w:bodyDiv w:val="1"/>
      <w:marLeft w:val="0"/>
      <w:marRight w:val="0"/>
      <w:marTop w:val="0"/>
      <w:marBottom w:val="0"/>
      <w:divBdr>
        <w:top w:val="none" w:sz="0" w:space="0" w:color="auto"/>
        <w:left w:val="none" w:sz="0" w:space="0" w:color="auto"/>
        <w:bottom w:val="none" w:sz="0" w:space="0" w:color="auto"/>
        <w:right w:val="none" w:sz="0" w:space="0" w:color="auto"/>
      </w:divBdr>
    </w:div>
    <w:div w:id="2075857929">
      <w:bodyDiv w:val="1"/>
      <w:marLeft w:val="0"/>
      <w:marRight w:val="0"/>
      <w:marTop w:val="0"/>
      <w:marBottom w:val="0"/>
      <w:divBdr>
        <w:top w:val="none" w:sz="0" w:space="0" w:color="auto"/>
        <w:left w:val="none" w:sz="0" w:space="0" w:color="auto"/>
        <w:bottom w:val="none" w:sz="0" w:space="0" w:color="auto"/>
        <w:right w:val="none" w:sz="0" w:space="0" w:color="auto"/>
      </w:divBdr>
    </w:div>
    <w:div w:id="211775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hdl.voced.edu.au/10707/14420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doi.org/10.1080/0969594X.2011.59297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ea.org/advocating-for-change/new-from-nea/teacher-burnout-or-demoralization-whats-difference-and-why-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dutech.com.au/matsiti/wp-content/uploads/2020/06/MATSITI-2016-Project-Evaluation-Final-Report.pdf" TargetMode="External"/><Relationship Id="rId5" Type="http://schemas.openxmlformats.org/officeDocument/2006/relationships/footnotes" Target="footnotes.xml"/><Relationship Id="rId15" Type="http://schemas.openxmlformats.org/officeDocument/2006/relationships/hyperlink" Target="https://doi.org/10.1007/s13384-021-00434-y" TargetMode="External"/><Relationship Id="rId10" Type="http://schemas.openxmlformats.org/officeDocument/2006/relationships/hyperlink" Target="https://doi.org/10.1080/03054985.2020.1842182" TargetMode="External"/><Relationship Id="rId4" Type="http://schemas.openxmlformats.org/officeDocument/2006/relationships/webSettings" Target="webSettings.xml"/><Relationship Id="rId9" Type="http://schemas.openxmlformats.org/officeDocument/2006/relationships/hyperlink" Target="https://doi.org/10.1080/1359866X.2019.1651822" TargetMode="External"/><Relationship Id="rId14" Type="http://schemas.openxmlformats.org/officeDocument/2006/relationships/hyperlink" Target="http://www.acen.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6215</Words>
  <Characters>35429</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ASpland</dc:creator>
  <cp:keywords/>
  <dc:description/>
  <cp:lastModifiedBy>GARNER,Kate</cp:lastModifiedBy>
  <cp:revision>2</cp:revision>
  <cp:lastPrinted>2021-07-12T04:11:00Z</cp:lastPrinted>
  <dcterms:created xsi:type="dcterms:W3CDTF">2021-07-19T03:20:00Z</dcterms:created>
  <dcterms:modified xsi:type="dcterms:W3CDTF">2021-07-19T03:20:00Z</dcterms:modified>
</cp:coreProperties>
</file>