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A6F26" w14:textId="77777777" w:rsidR="00E1168B" w:rsidRPr="001B2D30" w:rsidRDefault="003E7682" w:rsidP="001B2D30">
      <w:pPr>
        <w:pStyle w:val="Title"/>
        <w:spacing w:line="240" w:lineRule="auto"/>
        <w:rPr>
          <w:color w:val="0070C0"/>
          <w:sz w:val="36"/>
          <w:szCs w:val="36"/>
        </w:rPr>
      </w:pPr>
      <w:r w:rsidRPr="001B2D30">
        <w:rPr>
          <w:color w:val="0070C0"/>
          <w:sz w:val="36"/>
          <w:szCs w:val="36"/>
        </w:rPr>
        <w:t>Quality Initial Teacher Education</w:t>
      </w:r>
      <w:r w:rsidR="00F208F2" w:rsidRPr="001B2D30">
        <w:rPr>
          <w:color w:val="0070C0"/>
          <w:sz w:val="36"/>
          <w:szCs w:val="36"/>
        </w:rPr>
        <w:t xml:space="preserve"> Review</w:t>
      </w:r>
      <w:r w:rsidR="003927CE" w:rsidRPr="001B2D30">
        <w:rPr>
          <w:color w:val="0070C0"/>
          <w:sz w:val="36"/>
          <w:szCs w:val="36"/>
        </w:rPr>
        <w:t xml:space="preserve"> </w:t>
      </w:r>
    </w:p>
    <w:p w14:paraId="61E7108F" w14:textId="49F01231" w:rsidR="00E1168B" w:rsidRDefault="00E1168B" w:rsidP="001B2D30">
      <w:pPr>
        <w:pStyle w:val="Heading2"/>
        <w:shd w:val="clear" w:color="auto" w:fill="FFFFFF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E11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following is a short-form response informed by my personal experience in First Nations education both as a classroom teacher and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more recently </w:t>
      </w:r>
      <w:r w:rsidRPr="00E11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teacher education on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what is </w:t>
      </w:r>
      <w:r w:rsidRPr="00E1168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ITE program at University of Sydney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I have</w:t>
      </w:r>
      <w:r w:rsidRPr="00E11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work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ed</w:t>
      </w:r>
      <w:r w:rsidRPr="00E11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 a tutor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</w:t>
      </w:r>
      <w:r w:rsidRPr="00E1168B">
        <w:rPr>
          <w:rFonts w:ascii="Arial" w:hAnsi="Arial" w:cs="Arial"/>
          <w:color w:val="auto"/>
          <w:sz w:val="24"/>
          <w:szCs w:val="24"/>
        </w:rPr>
        <w:t>Aboriginal Education: Secondary Schools</w:t>
      </w:r>
      <w:r>
        <w:rPr>
          <w:rFonts w:ascii="Arial" w:hAnsi="Arial" w:cs="Arial"/>
          <w:color w:val="auto"/>
          <w:sz w:val="24"/>
          <w:szCs w:val="24"/>
        </w:rPr>
        <w:t xml:space="preserve"> for the last three years.</w:t>
      </w:r>
    </w:p>
    <w:p w14:paraId="0EF9F45A" w14:textId="77777777" w:rsidR="001B2D30" w:rsidRDefault="001B2D30" w:rsidP="001B2D30">
      <w:pPr>
        <w:spacing w:line="240" w:lineRule="auto"/>
        <w:rPr>
          <w:sz w:val="24"/>
          <w:szCs w:val="28"/>
        </w:rPr>
      </w:pPr>
    </w:p>
    <w:p w14:paraId="329C420A" w14:textId="63DDDBA4" w:rsidR="005F4A73" w:rsidRPr="001B2D30" w:rsidRDefault="00E1168B" w:rsidP="001B2D30">
      <w:pPr>
        <w:spacing w:line="240" w:lineRule="auto"/>
        <w:rPr>
          <w:sz w:val="24"/>
          <w:szCs w:val="28"/>
        </w:rPr>
      </w:pPr>
      <w:r w:rsidRPr="001B2D30">
        <w:rPr>
          <w:sz w:val="24"/>
          <w:szCs w:val="28"/>
        </w:rPr>
        <w:t xml:space="preserve">Disappointed but not </w:t>
      </w:r>
      <w:r w:rsidR="00CC1C96" w:rsidRPr="001B2D30">
        <w:rPr>
          <w:sz w:val="24"/>
          <w:szCs w:val="28"/>
        </w:rPr>
        <w:t xml:space="preserve">really </w:t>
      </w:r>
      <w:r w:rsidRPr="001B2D30">
        <w:rPr>
          <w:sz w:val="24"/>
          <w:szCs w:val="28"/>
        </w:rPr>
        <w:t xml:space="preserve">surprised that this ‘quality’ review has so little information or interest in First Nations education </w:t>
      </w:r>
      <w:r w:rsidR="00CC1C96" w:rsidRPr="001B2D30">
        <w:rPr>
          <w:sz w:val="24"/>
          <w:szCs w:val="28"/>
        </w:rPr>
        <w:t xml:space="preserve">for all Australian school students. As such it continues </w:t>
      </w:r>
      <w:r w:rsidR="001A6FE2">
        <w:rPr>
          <w:sz w:val="24"/>
          <w:szCs w:val="28"/>
        </w:rPr>
        <w:t>to operate the</w:t>
      </w:r>
      <w:r w:rsidR="00CC1C96" w:rsidRPr="001B2D30">
        <w:rPr>
          <w:sz w:val="24"/>
          <w:szCs w:val="28"/>
        </w:rPr>
        <w:t xml:space="preserve"> </w:t>
      </w:r>
      <w:r w:rsidR="00CC1C96" w:rsidRPr="001B2D30">
        <w:rPr>
          <w:i/>
          <w:iCs/>
          <w:sz w:val="24"/>
          <w:szCs w:val="28"/>
        </w:rPr>
        <w:t>hidden curriculum</w:t>
      </w:r>
      <w:r w:rsidR="00CC1C96" w:rsidRPr="001B2D30">
        <w:rPr>
          <w:sz w:val="24"/>
          <w:szCs w:val="28"/>
        </w:rPr>
        <w:t xml:space="preserve"> that seeks to erase First Nations cultures, people and concerns from </w:t>
      </w:r>
      <w:r w:rsidR="001B2D30">
        <w:rPr>
          <w:sz w:val="24"/>
          <w:szCs w:val="28"/>
        </w:rPr>
        <w:t xml:space="preserve">the </w:t>
      </w:r>
      <w:r w:rsidR="00CC1C96" w:rsidRPr="001B2D30">
        <w:rPr>
          <w:sz w:val="24"/>
          <w:szCs w:val="28"/>
        </w:rPr>
        <w:t>Australian school curriculum</w:t>
      </w:r>
      <w:r w:rsidR="001B2D30" w:rsidRPr="001B2D30">
        <w:rPr>
          <w:sz w:val="24"/>
          <w:szCs w:val="28"/>
        </w:rPr>
        <w:t xml:space="preserve">. Something </w:t>
      </w:r>
      <w:r w:rsidR="001B2D30">
        <w:rPr>
          <w:sz w:val="24"/>
          <w:szCs w:val="28"/>
        </w:rPr>
        <w:t xml:space="preserve">that </w:t>
      </w:r>
      <w:r w:rsidR="001B2D30" w:rsidRPr="001B2D30">
        <w:rPr>
          <w:sz w:val="24"/>
          <w:szCs w:val="28"/>
        </w:rPr>
        <w:t>we teach to pre-service teachers</w:t>
      </w:r>
      <w:r w:rsidR="001B2D30">
        <w:rPr>
          <w:sz w:val="24"/>
          <w:szCs w:val="28"/>
        </w:rPr>
        <w:t>.</w:t>
      </w:r>
      <w:r w:rsidR="001B2D30" w:rsidRPr="001B2D30">
        <w:rPr>
          <w:sz w:val="24"/>
          <w:szCs w:val="28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38"/>
        <w:gridCol w:w="4912"/>
        <w:gridCol w:w="4815"/>
      </w:tblGrid>
      <w:tr w:rsidR="00CC1C96" w:rsidRPr="001B2D30" w14:paraId="185AB2C9" w14:textId="77777777" w:rsidTr="006D0FBE">
        <w:tc>
          <w:tcPr>
            <w:tcW w:w="5250" w:type="dxa"/>
            <w:gridSpan w:val="2"/>
          </w:tcPr>
          <w:p w14:paraId="265A67B5" w14:textId="2BE17706" w:rsidR="00CC1C96" w:rsidRPr="001B2D30" w:rsidRDefault="001B2D30" w:rsidP="00326065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Motto for this review</w:t>
            </w:r>
          </w:p>
        </w:tc>
        <w:tc>
          <w:tcPr>
            <w:tcW w:w="4815" w:type="dxa"/>
          </w:tcPr>
          <w:p w14:paraId="75494EA3" w14:textId="17F88C8F" w:rsidR="00CC1C96" w:rsidRPr="001B2D30" w:rsidRDefault="00CC1C96" w:rsidP="00BC41B8">
            <w:pPr>
              <w:spacing w:line="240" w:lineRule="auto"/>
              <w:ind w:firstLine="11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BC41B8" w:rsidRPr="001B2D30" w14:paraId="358636A1" w14:textId="77777777" w:rsidTr="006D0FBE">
        <w:tc>
          <w:tcPr>
            <w:tcW w:w="5250" w:type="dxa"/>
            <w:gridSpan w:val="2"/>
          </w:tcPr>
          <w:p w14:paraId="1B8AA697" w14:textId="77777777" w:rsidR="001A6FE2" w:rsidRDefault="001A6FE2" w:rsidP="001B2D30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32"/>
                <w:szCs w:val="32"/>
              </w:rPr>
            </w:pPr>
          </w:p>
          <w:p w14:paraId="0B55CE1E" w14:textId="77777777" w:rsidR="001A6FE2" w:rsidRDefault="001A6FE2" w:rsidP="001B2D30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70C0"/>
                <w:sz w:val="32"/>
                <w:szCs w:val="32"/>
              </w:rPr>
            </w:pPr>
          </w:p>
          <w:p w14:paraId="6E65D4C1" w14:textId="75D0F950" w:rsidR="00BC41B8" w:rsidRPr="001B2D30" w:rsidRDefault="00BC41B8" w:rsidP="001A6FE2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B2D30">
              <w:rPr>
                <w:rFonts w:asciiTheme="minorHAnsi" w:hAnsiTheme="minorHAnsi"/>
                <w:b/>
                <w:bCs/>
                <w:color w:val="0070C0"/>
                <w:sz w:val="32"/>
                <w:szCs w:val="32"/>
              </w:rPr>
              <w:t>Teachers and school leaders are the largest in-school influence on student outcomes.</w:t>
            </w:r>
          </w:p>
        </w:tc>
        <w:tc>
          <w:tcPr>
            <w:tcW w:w="4815" w:type="dxa"/>
          </w:tcPr>
          <w:p w14:paraId="24FF1352" w14:textId="77777777" w:rsidR="00DD67B1" w:rsidRPr="00DD67B1" w:rsidRDefault="00DD67B1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 w:rsidRPr="00DD67B1">
              <w:rPr>
                <w:rFonts w:asciiTheme="minorHAnsi" w:hAnsiTheme="minorHAnsi"/>
                <w:sz w:val="24"/>
                <w:szCs w:val="24"/>
              </w:rPr>
              <w:t xml:space="preserve">With few exceptions, </w:t>
            </w:r>
            <w:r w:rsidR="00BC41B8" w:rsidRPr="00DD67B1">
              <w:rPr>
                <w:rFonts w:asciiTheme="minorHAnsi" w:hAnsiTheme="minorHAnsi"/>
                <w:sz w:val="24"/>
                <w:szCs w:val="24"/>
              </w:rPr>
              <w:t xml:space="preserve">outcomes for </w:t>
            </w:r>
            <w:r w:rsidR="001B2D30" w:rsidRPr="00DD67B1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="00BC41B8" w:rsidRPr="00DD67B1">
              <w:rPr>
                <w:rFonts w:asciiTheme="minorHAnsi" w:hAnsiTheme="minorHAnsi"/>
                <w:sz w:val="24"/>
                <w:szCs w:val="24"/>
              </w:rPr>
              <w:t xml:space="preserve"> students (and productive links to </w:t>
            </w:r>
            <w:r w:rsidR="001B2D30" w:rsidRPr="00DD67B1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="00BC41B8" w:rsidRPr="00DD67B1">
              <w:rPr>
                <w:rFonts w:asciiTheme="minorHAnsi" w:hAnsiTheme="minorHAnsi"/>
                <w:sz w:val="24"/>
                <w:szCs w:val="24"/>
              </w:rPr>
              <w:t xml:space="preserve"> communities) still languish. </w:t>
            </w:r>
          </w:p>
          <w:p w14:paraId="38A8D574" w14:textId="77777777" w:rsidR="00DD67B1" w:rsidRPr="00DD67B1" w:rsidRDefault="00DD67B1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</w:p>
          <w:p w14:paraId="539FD39E" w14:textId="14CFD2C1" w:rsidR="00BC41B8" w:rsidRPr="001B2D30" w:rsidRDefault="001A6FE2" w:rsidP="00BC41B8">
            <w:pPr>
              <w:spacing w:line="240" w:lineRule="auto"/>
              <w:ind w:firstLine="11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Hard evidence</w:t>
            </w:r>
            <w:r w:rsidR="00BC41B8" w:rsidRPr="00DD67B1">
              <w:rPr>
                <w:rFonts w:asciiTheme="minorHAnsi" w:hAnsiTheme="minorHAnsi"/>
                <w:sz w:val="24"/>
                <w:szCs w:val="24"/>
              </w:rPr>
              <w:t xml:space="preserve"> that teachers and school leaders are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in general </w:t>
            </w:r>
            <w:r w:rsidR="00326065" w:rsidRPr="00DD67B1">
              <w:rPr>
                <w:rFonts w:asciiTheme="minorHAnsi" w:hAnsiTheme="minorHAnsi"/>
                <w:sz w:val="24"/>
                <w:szCs w:val="24"/>
              </w:rPr>
              <w:t xml:space="preserve">still </w:t>
            </w:r>
            <w:r w:rsidR="00BC41B8" w:rsidRPr="00DD67B1">
              <w:rPr>
                <w:rFonts w:asciiTheme="minorHAnsi" w:hAnsiTheme="minorHAnsi"/>
                <w:sz w:val="24"/>
                <w:szCs w:val="24"/>
              </w:rPr>
              <w:t xml:space="preserve">failing </w:t>
            </w:r>
            <w:r w:rsidR="001B2D30" w:rsidRPr="00DD67B1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="00BC41B8" w:rsidRPr="00DD67B1">
              <w:rPr>
                <w:rFonts w:asciiTheme="minorHAnsi" w:hAnsiTheme="minorHAnsi"/>
                <w:sz w:val="24"/>
                <w:szCs w:val="24"/>
              </w:rPr>
              <w:t xml:space="preserve"> student and communities</w:t>
            </w:r>
            <w:r w:rsidR="00DD67B1" w:rsidRPr="00DD67B1">
              <w:rPr>
                <w:rFonts w:asciiTheme="minorHAnsi" w:hAnsiTheme="minorHAnsi"/>
                <w:sz w:val="24"/>
                <w:szCs w:val="24"/>
              </w:rPr>
              <w:t xml:space="preserve"> and all Australian students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4A73" w:rsidRPr="001B2D30" w14:paraId="74E04C72" w14:textId="77777777" w:rsidTr="006D0FBE">
        <w:tc>
          <w:tcPr>
            <w:tcW w:w="338" w:type="dxa"/>
          </w:tcPr>
          <w:p w14:paraId="355D5B6B" w14:textId="77777777" w:rsidR="005F4A73" w:rsidRPr="001B2D30" w:rsidRDefault="005F4A73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12" w:type="dxa"/>
          </w:tcPr>
          <w:p w14:paraId="5988DAA2" w14:textId="1AEEF1F0" w:rsidR="005F4A73" w:rsidRPr="001B2D30" w:rsidRDefault="00CC1C96" w:rsidP="00CC1C96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b/>
                <w:bCs/>
                <w:sz w:val="24"/>
                <w:szCs w:val="24"/>
              </w:rPr>
              <w:t>Terms of Reference</w:t>
            </w:r>
          </w:p>
        </w:tc>
        <w:tc>
          <w:tcPr>
            <w:tcW w:w="4815" w:type="dxa"/>
          </w:tcPr>
          <w:p w14:paraId="72384C9E" w14:textId="2D126772" w:rsidR="005F4A73" w:rsidRPr="001B2D30" w:rsidRDefault="001B2D30" w:rsidP="001B2D30">
            <w:pPr>
              <w:spacing w:line="240" w:lineRule="auto"/>
              <w:ind w:firstLine="11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First Nations</w:t>
            </w:r>
            <w:r w:rsidRPr="001B2D3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Education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Responses</w:t>
            </w:r>
          </w:p>
        </w:tc>
      </w:tr>
      <w:tr w:rsidR="00326065" w:rsidRPr="001B2D30" w14:paraId="53FBB2B2" w14:textId="77777777" w:rsidTr="006D0FBE">
        <w:tc>
          <w:tcPr>
            <w:tcW w:w="338" w:type="dxa"/>
            <w:vMerge w:val="restart"/>
          </w:tcPr>
          <w:p w14:paraId="78EA9D58" w14:textId="248ADD50" w:rsidR="00326065" w:rsidRPr="001B2D30" w:rsidRDefault="00326065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4912" w:type="dxa"/>
            <w:vMerge w:val="restart"/>
          </w:tcPr>
          <w:p w14:paraId="5BA33785" w14:textId="42354C30" w:rsidR="00326065" w:rsidRPr="001B2D30" w:rsidRDefault="00326065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B2D30">
              <w:rPr>
                <w:rFonts w:asciiTheme="minorHAnsi" w:hAnsiTheme="minorHAnsi"/>
                <w:sz w:val="24"/>
                <w:szCs w:val="24"/>
              </w:rPr>
              <w:t>..</w:t>
            </w:r>
            <w:proofErr w:type="gramEnd"/>
            <w:r w:rsidRPr="001B2D30">
              <w:rPr>
                <w:rFonts w:asciiTheme="minorHAnsi" w:hAnsiTheme="minorHAnsi"/>
                <w:sz w:val="24"/>
                <w:szCs w:val="24"/>
              </w:rPr>
              <w:t>that ITE curriculum is evidence based and all future teachers are equipped to implement evidence-based teaching practices?</w:t>
            </w:r>
          </w:p>
        </w:tc>
        <w:tc>
          <w:tcPr>
            <w:tcW w:w="4815" w:type="dxa"/>
          </w:tcPr>
          <w:p w14:paraId="1F95E194" w14:textId="381C6ABA" w:rsidR="00326065" w:rsidRPr="001B2D30" w:rsidRDefault="00326065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 xml:space="preserve">Compulsory Indigenous Education unit for all ITE students PLUS </w:t>
            </w:r>
            <w:r w:rsidR="001B2D30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Pr="001B2D30">
              <w:rPr>
                <w:rFonts w:asciiTheme="minorHAnsi" w:hAnsiTheme="minorHAnsi"/>
                <w:sz w:val="24"/>
                <w:szCs w:val="24"/>
              </w:rPr>
              <w:t xml:space="preserve"> perspectives in other units including all STEM areas.</w:t>
            </w:r>
          </w:p>
        </w:tc>
      </w:tr>
      <w:tr w:rsidR="00326065" w:rsidRPr="001B2D30" w14:paraId="7D80423C" w14:textId="77777777" w:rsidTr="006D0FBE">
        <w:tc>
          <w:tcPr>
            <w:tcW w:w="338" w:type="dxa"/>
            <w:vMerge/>
          </w:tcPr>
          <w:p w14:paraId="742DB204" w14:textId="77777777" w:rsidR="00326065" w:rsidRPr="001B2D30" w:rsidRDefault="00326065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12" w:type="dxa"/>
            <w:vMerge/>
          </w:tcPr>
          <w:p w14:paraId="181336EC" w14:textId="77777777" w:rsidR="00326065" w:rsidRPr="001B2D30" w:rsidRDefault="00326065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42EABC4" w14:textId="62804CC3" w:rsidR="00326065" w:rsidRPr="001B2D30" w:rsidRDefault="00326065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Provide materials and experiences on building awareness and appropriate responses arising from the intersection of education outcomes with mental health issues esp. inter-generational trauma.</w:t>
            </w:r>
          </w:p>
        </w:tc>
      </w:tr>
      <w:tr w:rsidR="005F4A73" w:rsidRPr="001B2D30" w14:paraId="35B6DCCB" w14:textId="77777777" w:rsidTr="006D0FBE">
        <w:tc>
          <w:tcPr>
            <w:tcW w:w="338" w:type="dxa"/>
          </w:tcPr>
          <w:p w14:paraId="7A033EE3" w14:textId="7E591722" w:rsidR="005F4A73" w:rsidRPr="001B2D30" w:rsidRDefault="00BC41B8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14:paraId="69907DB4" w14:textId="7692A8BE" w:rsidR="005F4A73" w:rsidRPr="001B2D30" w:rsidRDefault="005F4A73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ITE students are getting the practical experience they need before they start their teaching careers</w:t>
            </w:r>
          </w:p>
        </w:tc>
        <w:tc>
          <w:tcPr>
            <w:tcW w:w="4815" w:type="dxa"/>
          </w:tcPr>
          <w:p w14:paraId="67334A50" w14:textId="1759E0E2" w:rsidR="005F4A73" w:rsidRPr="001B2D30" w:rsidRDefault="0088564C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 xml:space="preserve">Strengths and weaknesses of host schools’ practice with respect to </w:t>
            </w:r>
            <w:r w:rsidR="001B2D30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="001E56BF" w:rsidRPr="001B2D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B2D30">
              <w:rPr>
                <w:rFonts w:asciiTheme="minorHAnsi" w:hAnsiTheme="minorHAnsi"/>
                <w:sz w:val="24"/>
                <w:szCs w:val="24"/>
              </w:rPr>
              <w:t>student</w:t>
            </w:r>
            <w:r w:rsidR="006D0FBE">
              <w:rPr>
                <w:rFonts w:asciiTheme="minorHAnsi" w:hAnsiTheme="minorHAnsi"/>
                <w:sz w:val="24"/>
                <w:szCs w:val="24"/>
              </w:rPr>
              <w:t>s</w:t>
            </w:r>
            <w:r w:rsidRPr="001B2D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D0FBE">
              <w:rPr>
                <w:rFonts w:asciiTheme="minorHAnsi" w:hAnsiTheme="minorHAnsi"/>
                <w:sz w:val="24"/>
                <w:szCs w:val="24"/>
              </w:rPr>
              <w:t xml:space="preserve">and education </w:t>
            </w:r>
            <w:r w:rsidR="001E56BF" w:rsidRPr="001B2D30">
              <w:rPr>
                <w:rFonts w:asciiTheme="minorHAnsi" w:hAnsiTheme="minorHAnsi"/>
                <w:sz w:val="24"/>
                <w:szCs w:val="24"/>
              </w:rPr>
              <w:t>outcomes to be available</w:t>
            </w:r>
          </w:p>
        </w:tc>
      </w:tr>
      <w:tr w:rsidR="005F4A73" w:rsidRPr="001B2D30" w14:paraId="1E392E0A" w14:textId="77777777" w:rsidTr="006D0FBE">
        <w:tc>
          <w:tcPr>
            <w:tcW w:w="338" w:type="dxa"/>
          </w:tcPr>
          <w:p w14:paraId="434129A5" w14:textId="3AD961B9" w:rsidR="005F4A73" w:rsidRPr="001B2D30" w:rsidRDefault="00BC41B8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14:paraId="35E766E0" w14:textId="44C3E44B" w:rsidR="005F4A73" w:rsidRPr="001B2D30" w:rsidRDefault="005F4A73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Teaching Performance Assessment</w:t>
            </w:r>
          </w:p>
        </w:tc>
        <w:tc>
          <w:tcPr>
            <w:tcW w:w="4815" w:type="dxa"/>
          </w:tcPr>
          <w:p w14:paraId="0962613E" w14:textId="6B03F8BA" w:rsidR="005F4A73" w:rsidRPr="001B2D30" w:rsidRDefault="00BC41B8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 xml:space="preserve">Supervising teachers </w:t>
            </w:r>
            <w:r w:rsidR="006D0FBE">
              <w:rPr>
                <w:rFonts w:asciiTheme="minorHAnsi" w:hAnsiTheme="minorHAnsi"/>
                <w:sz w:val="24"/>
                <w:szCs w:val="24"/>
              </w:rPr>
              <w:t>cognisant of</w:t>
            </w:r>
            <w:r w:rsidRPr="001B2D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B2D30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Pr="001B2D30">
              <w:rPr>
                <w:rFonts w:asciiTheme="minorHAnsi" w:hAnsiTheme="minorHAnsi"/>
                <w:sz w:val="24"/>
                <w:szCs w:val="24"/>
              </w:rPr>
              <w:t xml:space="preserve"> education issues and successful practices</w:t>
            </w:r>
            <w:r w:rsidR="007C4E19">
              <w:rPr>
                <w:rFonts w:asciiTheme="minorHAnsi" w:hAnsiTheme="minorHAnsi"/>
                <w:sz w:val="24"/>
                <w:szCs w:val="24"/>
              </w:rPr>
              <w:t>. Again, this focuses on all students</w:t>
            </w:r>
            <w:r w:rsidR="006D0FB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F4A73" w:rsidRPr="001B2D30" w14:paraId="3918EEDD" w14:textId="77777777" w:rsidTr="006D0FBE">
        <w:tc>
          <w:tcPr>
            <w:tcW w:w="338" w:type="dxa"/>
          </w:tcPr>
          <w:p w14:paraId="12A7F70C" w14:textId="4086BF1D" w:rsidR="005F4A73" w:rsidRPr="001B2D30" w:rsidRDefault="00BC41B8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14:paraId="50BD50CA" w14:textId="3CE72DE3" w:rsidR="005F4A73" w:rsidRPr="001B2D30" w:rsidRDefault="007C4E19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</w:t>
            </w:r>
            <w:r w:rsidR="005F4A73" w:rsidRPr="001B2D30">
              <w:rPr>
                <w:rFonts w:asciiTheme="minorHAnsi" w:hAnsiTheme="minorHAnsi"/>
                <w:sz w:val="24"/>
                <w:szCs w:val="24"/>
              </w:rPr>
              <w:t>leading teachers, principals and schools play a greater role in supporting the development of ITE students?</w:t>
            </w:r>
          </w:p>
        </w:tc>
        <w:tc>
          <w:tcPr>
            <w:tcW w:w="4815" w:type="dxa"/>
          </w:tcPr>
          <w:p w14:paraId="09D12F86" w14:textId="1A3DFB44" w:rsidR="005F4A73" w:rsidRPr="001B2D30" w:rsidRDefault="007C4E19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Recognise and work to m</w:t>
            </w:r>
            <w:r w:rsidR="001E56BF" w:rsidRPr="001B2D30">
              <w:rPr>
                <w:rFonts w:asciiTheme="minorHAnsi" w:hAnsiTheme="minorHAnsi"/>
                <w:sz w:val="24"/>
                <w:szCs w:val="24"/>
              </w:rPr>
              <w:t xml:space="preserve">inimise the transmission of negative expectations for </w:t>
            </w:r>
            <w:r w:rsidR="001B2D30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="001E56BF" w:rsidRPr="001B2D30">
              <w:rPr>
                <w:rFonts w:asciiTheme="minorHAnsi" w:hAnsiTheme="minorHAnsi"/>
                <w:sz w:val="24"/>
                <w:szCs w:val="24"/>
              </w:rPr>
              <w:t xml:space="preserve"> student outcomes and other aspects of the hidden curriculum to ITE students</w:t>
            </w:r>
          </w:p>
        </w:tc>
      </w:tr>
      <w:tr w:rsidR="00BC41B8" w:rsidRPr="001B2D30" w14:paraId="46099466" w14:textId="77777777" w:rsidTr="006D0FBE">
        <w:tc>
          <w:tcPr>
            <w:tcW w:w="338" w:type="dxa"/>
            <w:vMerge w:val="restart"/>
          </w:tcPr>
          <w:p w14:paraId="0C905D32" w14:textId="0C5E8B43" w:rsidR="00BC41B8" w:rsidRPr="001B2D30" w:rsidRDefault="00BC41B8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912" w:type="dxa"/>
            <w:vMerge w:val="restart"/>
          </w:tcPr>
          <w:p w14:paraId="1953F087" w14:textId="7DA815AD" w:rsidR="00BC41B8" w:rsidRPr="001B2D30" w:rsidRDefault="007C4E19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..</w:t>
            </w:r>
            <w:proofErr w:type="gramEnd"/>
            <w:r w:rsidR="00BC41B8" w:rsidRPr="001B2D30">
              <w:rPr>
                <w:rFonts w:asciiTheme="minorHAnsi" w:hAnsiTheme="minorHAnsi"/>
                <w:sz w:val="24"/>
                <w:szCs w:val="24"/>
              </w:rPr>
              <w:t>ongoing professional development and support of teachers?</w:t>
            </w:r>
          </w:p>
        </w:tc>
        <w:tc>
          <w:tcPr>
            <w:tcW w:w="4815" w:type="dxa"/>
          </w:tcPr>
          <w:p w14:paraId="443F28B6" w14:textId="3D2ABF89" w:rsidR="00BC41B8" w:rsidRPr="001B2D30" w:rsidRDefault="00BC41B8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 w:rsidRPr="001B2D30">
              <w:rPr>
                <w:rFonts w:asciiTheme="minorHAnsi" w:hAnsiTheme="minorHAnsi"/>
                <w:sz w:val="24"/>
                <w:szCs w:val="24"/>
              </w:rPr>
              <w:t xml:space="preserve">Maximise learning from Country and other </w:t>
            </w:r>
            <w:r w:rsidR="001B2D30">
              <w:rPr>
                <w:rFonts w:asciiTheme="minorHAnsi" w:hAnsiTheme="minorHAnsi"/>
                <w:sz w:val="24"/>
                <w:szCs w:val="24"/>
              </w:rPr>
              <w:t>First Nations</w:t>
            </w:r>
            <w:r w:rsidRPr="001B2D30">
              <w:rPr>
                <w:rFonts w:asciiTheme="minorHAnsi" w:hAnsiTheme="minorHAnsi"/>
                <w:sz w:val="24"/>
                <w:szCs w:val="24"/>
              </w:rPr>
              <w:t xml:space="preserve"> community-led </w:t>
            </w:r>
            <w:r w:rsidR="007C4E19">
              <w:rPr>
                <w:rFonts w:asciiTheme="minorHAnsi" w:hAnsiTheme="minorHAnsi"/>
                <w:sz w:val="24"/>
                <w:szCs w:val="24"/>
              </w:rPr>
              <w:t>PD</w:t>
            </w:r>
            <w:r w:rsidRPr="001B2D3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BC41B8" w:rsidRPr="001B2D30" w14:paraId="5FEE6D68" w14:textId="77777777" w:rsidTr="006D0FBE">
        <w:tc>
          <w:tcPr>
            <w:tcW w:w="338" w:type="dxa"/>
            <w:vMerge/>
          </w:tcPr>
          <w:p w14:paraId="788EF56D" w14:textId="77777777" w:rsidR="00BC41B8" w:rsidRPr="001B2D30" w:rsidRDefault="00BC41B8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12" w:type="dxa"/>
            <w:vMerge/>
          </w:tcPr>
          <w:p w14:paraId="1F6A57C7" w14:textId="77777777" w:rsidR="00BC41B8" w:rsidRPr="001B2D30" w:rsidRDefault="00BC41B8" w:rsidP="005F4A73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DB62676" w14:textId="029AC7F6" w:rsidR="00BC41B8" w:rsidRPr="001B2D30" w:rsidRDefault="007C4E19" w:rsidP="00BC41B8">
            <w:pPr>
              <w:spacing w:line="240" w:lineRule="auto"/>
              <w:ind w:firstLine="1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ITE students to be equipped to value and support the </w:t>
            </w:r>
            <w:r w:rsidR="00BC41B8" w:rsidRPr="001B2D30">
              <w:rPr>
                <w:rFonts w:asciiTheme="minorHAnsi" w:hAnsiTheme="minorHAnsi"/>
                <w:sz w:val="24"/>
                <w:szCs w:val="24"/>
              </w:rPr>
              <w:t xml:space="preserve">inclusion of local FN language and cultural revival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programs </w:t>
            </w:r>
          </w:p>
        </w:tc>
      </w:tr>
    </w:tbl>
    <w:p w14:paraId="588EBA68" w14:textId="77777777" w:rsidR="001B2D30" w:rsidRDefault="001B2D30" w:rsidP="001B2D30">
      <w:pPr>
        <w:rPr>
          <w:rFonts w:asciiTheme="minorHAnsi" w:hAnsiTheme="minorHAnsi"/>
          <w:sz w:val="22"/>
        </w:rPr>
      </w:pPr>
    </w:p>
    <w:p w14:paraId="63D62A17" w14:textId="77777777" w:rsidR="005F4A73" w:rsidRPr="005F4A73" w:rsidRDefault="005F4A73" w:rsidP="005F4A73">
      <w:pPr>
        <w:rPr>
          <w:rFonts w:asciiTheme="minorHAnsi" w:hAnsiTheme="minorHAnsi"/>
          <w:sz w:val="22"/>
        </w:rPr>
      </w:pPr>
    </w:p>
    <w:sectPr w:rsidR="005F4A73" w:rsidRPr="005F4A73" w:rsidSect="00F036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90799" w14:textId="77777777" w:rsidR="008B565E" w:rsidRDefault="008B565E" w:rsidP="00CE4558">
      <w:pPr>
        <w:spacing w:after="0" w:line="240" w:lineRule="auto"/>
      </w:pPr>
      <w:r>
        <w:separator/>
      </w:r>
    </w:p>
  </w:endnote>
  <w:endnote w:type="continuationSeparator" w:id="0">
    <w:p w14:paraId="4F53B81D" w14:textId="77777777" w:rsidR="008B565E" w:rsidRDefault="008B565E" w:rsidP="00CE4558">
      <w:pPr>
        <w:spacing w:after="0" w:line="240" w:lineRule="auto"/>
      </w:pPr>
      <w:r>
        <w:continuationSeparator/>
      </w:r>
    </w:p>
  </w:endnote>
  <w:endnote w:type="continuationNotice" w:id="1">
    <w:p w14:paraId="5E092EA8" w14:textId="77777777" w:rsidR="008B565E" w:rsidRDefault="008B5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B07BA" w14:textId="77777777" w:rsidR="00690847" w:rsidRDefault="00690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D513" w14:textId="77777777" w:rsidR="00690847" w:rsidRDefault="00690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0D3D7" w14:textId="77777777" w:rsidR="00690847" w:rsidRDefault="00690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E7C6C" w14:textId="77777777" w:rsidR="008B565E" w:rsidRDefault="008B565E" w:rsidP="00CE4558">
      <w:pPr>
        <w:spacing w:after="0" w:line="240" w:lineRule="auto"/>
      </w:pPr>
      <w:r>
        <w:separator/>
      </w:r>
    </w:p>
  </w:footnote>
  <w:footnote w:type="continuationSeparator" w:id="0">
    <w:p w14:paraId="683D3CEB" w14:textId="77777777" w:rsidR="008B565E" w:rsidRDefault="008B565E" w:rsidP="00CE4558">
      <w:pPr>
        <w:spacing w:after="0" w:line="240" w:lineRule="auto"/>
      </w:pPr>
      <w:r>
        <w:continuationSeparator/>
      </w:r>
    </w:p>
  </w:footnote>
  <w:footnote w:type="continuationNotice" w:id="1">
    <w:p w14:paraId="72A46D6E" w14:textId="77777777" w:rsidR="008B565E" w:rsidRDefault="008B5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6920C" w14:textId="77777777" w:rsidR="00690847" w:rsidRDefault="00690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8E16E" w14:textId="428ABF56" w:rsidR="00690847" w:rsidRDefault="00690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3FFCF" w14:textId="77777777" w:rsidR="00690847" w:rsidRDefault="00690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E71"/>
    <w:multiLevelType w:val="hybridMultilevel"/>
    <w:tmpl w:val="289C4BC4"/>
    <w:lvl w:ilvl="0" w:tplc="F5E01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27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6A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6E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2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0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6D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C0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D8402A"/>
    <w:multiLevelType w:val="hybridMultilevel"/>
    <w:tmpl w:val="81C0253E"/>
    <w:lvl w:ilvl="0" w:tplc="040C9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01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E3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D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00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28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6D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68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4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BD1E63"/>
    <w:multiLevelType w:val="hybridMultilevel"/>
    <w:tmpl w:val="C50CCF5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30411"/>
    <w:multiLevelType w:val="hybridMultilevel"/>
    <w:tmpl w:val="84320A6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47317D"/>
    <w:multiLevelType w:val="hybridMultilevel"/>
    <w:tmpl w:val="9B8A9BE8"/>
    <w:lvl w:ilvl="0" w:tplc="8CBA4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22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304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E5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8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8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D65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9A3435"/>
    <w:multiLevelType w:val="hybridMultilevel"/>
    <w:tmpl w:val="45FAE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72D59"/>
    <w:multiLevelType w:val="hybridMultilevel"/>
    <w:tmpl w:val="BF6E628E"/>
    <w:lvl w:ilvl="0" w:tplc="CD781F54">
      <w:start w:val="1"/>
      <w:numFmt w:val="decimal"/>
      <w:lvlText w:val="%1."/>
      <w:lvlJc w:val="left"/>
      <w:pPr>
        <w:ind w:left="720" w:hanging="360"/>
      </w:pPr>
      <w:rPr>
        <w:color w:val="44546A" w:themeColor="text2"/>
      </w:rPr>
    </w:lvl>
    <w:lvl w:ilvl="1" w:tplc="0C090017">
      <w:start w:val="1"/>
      <w:numFmt w:val="lowerLetter"/>
      <w:lvlText w:val="%2)"/>
      <w:lvlJc w:val="left"/>
      <w:pPr>
        <w:ind w:left="1800" w:hanging="720"/>
      </w:pPr>
      <w:rPr>
        <w:rFonts w:hint="default"/>
        <w:color w:val="44546A" w:themeColor="text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1E0"/>
    <w:multiLevelType w:val="hybridMultilevel"/>
    <w:tmpl w:val="75BE8B72"/>
    <w:lvl w:ilvl="0" w:tplc="CD781F54">
      <w:start w:val="1"/>
      <w:numFmt w:val="decimal"/>
      <w:lvlText w:val="%1."/>
      <w:lvlJc w:val="left"/>
      <w:pPr>
        <w:ind w:left="720" w:hanging="360"/>
      </w:pPr>
      <w:rPr>
        <w:color w:val="44546A" w:themeColor="text2"/>
      </w:rPr>
    </w:lvl>
    <w:lvl w:ilvl="1" w:tplc="0C090017">
      <w:start w:val="1"/>
      <w:numFmt w:val="lowerLetter"/>
      <w:lvlText w:val="%2)"/>
      <w:lvlJc w:val="left"/>
      <w:pPr>
        <w:ind w:left="1800" w:hanging="720"/>
      </w:pPr>
      <w:rPr>
        <w:rFonts w:hint="default"/>
        <w:color w:val="44546A" w:themeColor="text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E31E1"/>
    <w:multiLevelType w:val="hybridMultilevel"/>
    <w:tmpl w:val="776E4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25395E"/>
    <w:multiLevelType w:val="hybridMultilevel"/>
    <w:tmpl w:val="0590CB98"/>
    <w:lvl w:ilvl="0" w:tplc="295AC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EA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A5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27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A9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F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C9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6B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06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9C3E4F"/>
    <w:multiLevelType w:val="hybridMultilevel"/>
    <w:tmpl w:val="70F02036"/>
    <w:lvl w:ilvl="0" w:tplc="CD781F54">
      <w:start w:val="1"/>
      <w:numFmt w:val="decimal"/>
      <w:lvlText w:val="%1."/>
      <w:lvlJc w:val="left"/>
      <w:pPr>
        <w:ind w:left="720" w:hanging="360"/>
      </w:pPr>
      <w:rPr>
        <w:color w:val="44546A" w:themeColor="text2"/>
      </w:rPr>
    </w:lvl>
    <w:lvl w:ilvl="1" w:tplc="FD24D20A">
      <w:start w:val="1"/>
      <w:numFmt w:val="upperRoman"/>
      <w:lvlText w:val="%2."/>
      <w:lvlJc w:val="left"/>
      <w:pPr>
        <w:ind w:left="1800" w:hanging="720"/>
      </w:pPr>
      <w:rPr>
        <w:rFonts w:hint="default"/>
        <w:color w:val="44546A" w:themeColor="text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B1ECE"/>
    <w:multiLevelType w:val="hybridMultilevel"/>
    <w:tmpl w:val="F6D8679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D0E26"/>
    <w:multiLevelType w:val="hybridMultilevel"/>
    <w:tmpl w:val="0F9C420C"/>
    <w:lvl w:ilvl="0" w:tplc="A126BD06">
      <w:start w:val="1"/>
      <w:numFmt w:val="bullet"/>
      <w:lvlText w:val=""/>
      <w:lvlJc w:val="left"/>
      <w:pPr>
        <w:ind w:left="2992" w:hanging="360"/>
      </w:pPr>
      <w:rPr>
        <w:rFonts w:ascii="Symbol" w:hAnsi="Symbol" w:hint="default"/>
        <w:color w:val="44546A" w:themeColor="text2"/>
      </w:rPr>
    </w:lvl>
    <w:lvl w:ilvl="1" w:tplc="0C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3" w15:restartNumberingAfterBreak="0">
    <w:nsid w:val="31F071DF"/>
    <w:multiLevelType w:val="hybridMultilevel"/>
    <w:tmpl w:val="A78EA1C8"/>
    <w:lvl w:ilvl="0" w:tplc="DB2A9C0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F3E33"/>
    <w:multiLevelType w:val="hybridMultilevel"/>
    <w:tmpl w:val="E50A72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CA54BD"/>
    <w:multiLevelType w:val="hybridMultilevel"/>
    <w:tmpl w:val="2FD6A312"/>
    <w:lvl w:ilvl="0" w:tplc="81AAF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CC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CE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49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E4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29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D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4A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87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B82D72"/>
    <w:multiLevelType w:val="hybridMultilevel"/>
    <w:tmpl w:val="34A896D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CA53BD"/>
    <w:multiLevelType w:val="hybridMultilevel"/>
    <w:tmpl w:val="8070B4B8"/>
    <w:lvl w:ilvl="0" w:tplc="CD781F54">
      <w:start w:val="1"/>
      <w:numFmt w:val="decimal"/>
      <w:lvlText w:val="%1."/>
      <w:lvlJc w:val="left"/>
      <w:pPr>
        <w:ind w:left="360" w:hanging="360"/>
      </w:pPr>
      <w:rPr>
        <w:color w:val="44546A" w:themeColor="text2"/>
      </w:rPr>
    </w:lvl>
    <w:lvl w:ilvl="1" w:tplc="0C090017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44546A" w:themeColor="text2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A50883"/>
    <w:multiLevelType w:val="hybridMultilevel"/>
    <w:tmpl w:val="A78A04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44546A" w:themeColor="text2"/>
      </w:rPr>
    </w:lvl>
    <w:lvl w:ilvl="1" w:tplc="0C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9" w15:restartNumberingAfterBreak="0">
    <w:nsid w:val="60B0185C"/>
    <w:multiLevelType w:val="hybridMultilevel"/>
    <w:tmpl w:val="A78A0482"/>
    <w:lvl w:ilvl="0" w:tplc="0C09000F">
      <w:start w:val="1"/>
      <w:numFmt w:val="decimal"/>
      <w:lvlText w:val="%1."/>
      <w:lvlJc w:val="left"/>
      <w:pPr>
        <w:ind w:left="2992" w:hanging="360"/>
      </w:pPr>
      <w:rPr>
        <w:rFonts w:hint="default"/>
        <w:color w:val="44546A" w:themeColor="text2"/>
      </w:rPr>
    </w:lvl>
    <w:lvl w:ilvl="1" w:tplc="0C09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20" w15:restartNumberingAfterBreak="0">
    <w:nsid w:val="6F5153DD"/>
    <w:multiLevelType w:val="hybridMultilevel"/>
    <w:tmpl w:val="227C54E4"/>
    <w:lvl w:ilvl="0" w:tplc="3796E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B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24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05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85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0E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0A6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8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C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19"/>
  </w:num>
  <w:num w:numId="6">
    <w:abstractNumId w:val="8"/>
  </w:num>
  <w:num w:numId="7">
    <w:abstractNumId w:val="15"/>
  </w:num>
  <w:num w:numId="8">
    <w:abstractNumId w:val="1"/>
  </w:num>
  <w:num w:numId="9">
    <w:abstractNumId w:val="4"/>
  </w:num>
  <w:num w:numId="10">
    <w:abstractNumId w:val="20"/>
  </w:num>
  <w:num w:numId="11">
    <w:abstractNumId w:val="9"/>
  </w:num>
  <w:num w:numId="12">
    <w:abstractNumId w:val="0"/>
  </w:num>
  <w:num w:numId="13">
    <w:abstractNumId w:val="13"/>
  </w:num>
  <w:num w:numId="14">
    <w:abstractNumId w:val="17"/>
  </w:num>
  <w:num w:numId="15">
    <w:abstractNumId w:val="7"/>
  </w:num>
  <w:num w:numId="16">
    <w:abstractNumId w:val="6"/>
  </w:num>
  <w:num w:numId="17">
    <w:abstractNumId w:val="13"/>
  </w:num>
  <w:num w:numId="18">
    <w:abstractNumId w:val="14"/>
  </w:num>
  <w:num w:numId="19">
    <w:abstractNumId w:val="16"/>
  </w:num>
  <w:num w:numId="20">
    <w:abstractNumId w:val="11"/>
  </w:num>
  <w:num w:numId="21">
    <w:abstractNumId w:val="2"/>
  </w:num>
  <w:num w:numId="22">
    <w:abstractNumId w:val="3"/>
  </w:num>
  <w:num w:numId="23">
    <w:abstractNumId w:val="13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F1"/>
    <w:rsid w:val="000006BF"/>
    <w:rsid w:val="00007DDA"/>
    <w:rsid w:val="0001356B"/>
    <w:rsid w:val="00021C81"/>
    <w:rsid w:val="00032E8D"/>
    <w:rsid w:val="00033067"/>
    <w:rsid w:val="0003525D"/>
    <w:rsid w:val="00054B72"/>
    <w:rsid w:val="00064DC3"/>
    <w:rsid w:val="00071127"/>
    <w:rsid w:val="000714A5"/>
    <w:rsid w:val="000752C2"/>
    <w:rsid w:val="000821A6"/>
    <w:rsid w:val="000922BD"/>
    <w:rsid w:val="00092AD0"/>
    <w:rsid w:val="000A1436"/>
    <w:rsid w:val="000A70E7"/>
    <w:rsid w:val="000B651A"/>
    <w:rsid w:val="000B7926"/>
    <w:rsid w:val="000C503C"/>
    <w:rsid w:val="000D1064"/>
    <w:rsid w:val="000D708E"/>
    <w:rsid w:val="000E2BDE"/>
    <w:rsid w:val="000F37F0"/>
    <w:rsid w:val="001003E2"/>
    <w:rsid w:val="00100AC7"/>
    <w:rsid w:val="00100C5E"/>
    <w:rsid w:val="00105234"/>
    <w:rsid w:val="00105318"/>
    <w:rsid w:val="00113052"/>
    <w:rsid w:val="00124707"/>
    <w:rsid w:val="0013319C"/>
    <w:rsid w:val="00145BC2"/>
    <w:rsid w:val="00151E85"/>
    <w:rsid w:val="001522BF"/>
    <w:rsid w:val="00157903"/>
    <w:rsid w:val="00157D1D"/>
    <w:rsid w:val="00159AD5"/>
    <w:rsid w:val="00161965"/>
    <w:rsid w:val="00162C3A"/>
    <w:rsid w:val="00166445"/>
    <w:rsid w:val="001717C8"/>
    <w:rsid w:val="00186403"/>
    <w:rsid w:val="001901EB"/>
    <w:rsid w:val="001903E4"/>
    <w:rsid w:val="00194ED0"/>
    <w:rsid w:val="0019750E"/>
    <w:rsid w:val="001A390C"/>
    <w:rsid w:val="001A3A0A"/>
    <w:rsid w:val="001A6FE2"/>
    <w:rsid w:val="001B2D30"/>
    <w:rsid w:val="001B370A"/>
    <w:rsid w:val="001B6C74"/>
    <w:rsid w:val="001D5CA7"/>
    <w:rsid w:val="001E1569"/>
    <w:rsid w:val="001E529E"/>
    <w:rsid w:val="001E56BF"/>
    <w:rsid w:val="001E7862"/>
    <w:rsid w:val="00202FE0"/>
    <w:rsid w:val="0020339F"/>
    <w:rsid w:val="002033DD"/>
    <w:rsid w:val="0020610E"/>
    <w:rsid w:val="00212437"/>
    <w:rsid w:val="00217ECB"/>
    <w:rsid w:val="00221DFC"/>
    <w:rsid w:val="00224FEC"/>
    <w:rsid w:val="00227D96"/>
    <w:rsid w:val="00235A9A"/>
    <w:rsid w:val="00235F59"/>
    <w:rsid w:val="00237C63"/>
    <w:rsid w:val="002457D8"/>
    <w:rsid w:val="00254A54"/>
    <w:rsid w:val="00274C65"/>
    <w:rsid w:val="00275F9E"/>
    <w:rsid w:val="00281040"/>
    <w:rsid w:val="00286A4B"/>
    <w:rsid w:val="00293BF9"/>
    <w:rsid w:val="002963D8"/>
    <w:rsid w:val="002A470C"/>
    <w:rsid w:val="002D0691"/>
    <w:rsid w:val="002D68F9"/>
    <w:rsid w:val="002E1607"/>
    <w:rsid w:val="002F6223"/>
    <w:rsid w:val="00314F4D"/>
    <w:rsid w:val="003157BE"/>
    <w:rsid w:val="00326065"/>
    <w:rsid w:val="003277AA"/>
    <w:rsid w:val="00327F72"/>
    <w:rsid w:val="00331345"/>
    <w:rsid w:val="00334368"/>
    <w:rsid w:val="003366EE"/>
    <w:rsid w:val="003403F4"/>
    <w:rsid w:val="00342F65"/>
    <w:rsid w:val="0035544C"/>
    <w:rsid w:val="0036118F"/>
    <w:rsid w:val="00364B10"/>
    <w:rsid w:val="003814D2"/>
    <w:rsid w:val="00386BDE"/>
    <w:rsid w:val="003927CE"/>
    <w:rsid w:val="003A37D0"/>
    <w:rsid w:val="003B05B5"/>
    <w:rsid w:val="003B0EBF"/>
    <w:rsid w:val="003B2F93"/>
    <w:rsid w:val="003B38D1"/>
    <w:rsid w:val="003C1DB0"/>
    <w:rsid w:val="003C7AB2"/>
    <w:rsid w:val="003D3105"/>
    <w:rsid w:val="003E7682"/>
    <w:rsid w:val="003E7805"/>
    <w:rsid w:val="003F0AAD"/>
    <w:rsid w:val="003F4A37"/>
    <w:rsid w:val="003F6DB0"/>
    <w:rsid w:val="004030D8"/>
    <w:rsid w:val="00410FC2"/>
    <w:rsid w:val="00411796"/>
    <w:rsid w:val="004125D9"/>
    <w:rsid w:val="00416B00"/>
    <w:rsid w:val="00421B55"/>
    <w:rsid w:val="00425B9C"/>
    <w:rsid w:val="00434583"/>
    <w:rsid w:val="004359CE"/>
    <w:rsid w:val="004364A2"/>
    <w:rsid w:val="004365B6"/>
    <w:rsid w:val="0044226D"/>
    <w:rsid w:val="004474C0"/>
    <w:rsid w:val="00450985"/>
    <w:rsid w:val="0045570B"/>
    <w:rsid w:val="004568F1"/>
    <w:rsid w:val="0046187C"/>
    <w:rsid w:val="0046229B"/>
    <w:rsid w:val="004646F5"/>
    <w:rsid w:val="00471D76"/>
    <w:rsid w:val="00481E87"/>
    <w:rsid w:val="004837CB"/>
    <w:rsid w:val="004913DC"/>
    <w:rsid w:val="004A2271"/>
    <w:rsid w:val="004A7410"/>
    <w:rsid w:val="004B3053"/>
    <w:rsid w:val="004B319D"/>
    <w:rsid w:val="004B71C2"/>
    <w:rsid w:val="004C0207"/>
    <w:rsid w:val="004C2664"/>
    <w:rsid w:val="004C2F9B"/>
    <w:rsid w:val="004D24A4"/>
    <w:rsid w:val="00505E43"/>
    <w:rsid w:val="005149E4"/>
    <w:rsid w:val="00520850"/>
    <w:rsid w:val="00522EBB"/>
    <w:rsid w:val="00532DCF"/>
    <w:rsid w:val="005444CF"/>
    <w:rsid w:val="00552D29"/>
    <w:rsid w:val="005652B1"/>
    <w:rsid w:val="00565616"/>
    <w:rsid w:val="00571F70"/>
    <w:rsid w:val="005876CD"/>
    <w:rsid w:val="00590CFD"/>
    <w:rsid w:val="005931CB"/>
    <w:rsid w:val="005979AA"/>
    <w:rsid w:val="005B1C6C"/>
    <w:rsid w:val="005C432E"/>
    <w:rsid w:val="005C5126"/>
    <w:rsid w:val="005D53ED"/>
    <w:rsid w:val="005E3611"/>
    <w:rsid w:val="005E4111"/>
    <w:rsid w:val="005F4A73"/>
    <w:rsid w:val="006022C8"/>
    <w:rsid w:val="00610614"/>
    <w:rsid w:val="00610CA1"/>
    <w:rsid w:val="00611CC3"/>
    <w:rsid w:val="00620373"/>
    <w:rsid w:val="00620EC3"/>
    <w:rsid w:val="006234BC"/>
    <w:rsid w:val="00631A22"/>
    <w:rsid w:val="00631A3F"/>
    <w:rsid w:val="00632DDB"/>
    <w:rsid w:val="00633E3B"/>
    <w:rsid w:val="006422FD"/>
    <w:rsid w:val="00665C4B"/>
    <w:rsid w:val="006676A9"/>
    <w:rsid w:val="00671899"/>
    <w:rsid w:val="00683FEF"/>
    <w:rsid w:val="006840C4"/>
    <w:rsid w:val="00690847"/>
    <w:rsid w:val="00697441"/>
    <w:rsid w:val="006A2AD8"/>
    <w:rsid w:val="006B2AF5"/>
    <w:rsid w:val="006C6309"/>
    <w:rsid w:val="006D0FBE"/>
    <w:rsid w:val="006D1CF3"/>
    <w:rsid w:val="006D357B"/>
    <w:rsid w:val="006E1DF2"/>
    <w:rsid w:val="006E6803"/>
    <w:rsid w:val="006F42A6"/>
    <w:rsid w:val="007014C3"/>
    <w:rsid w:val="007042A3"/>
    <w:rsid w:val="007063B2"/>
    <w:rsid w:val="00712AAC"/>
    <w:rsid w:val="007215D0"/>
    <w:rsid w:val="0072608F"/>
    <w:rsid w:val="007268ED"/>
    <w:rsid w:val="00731E02"/>
    <w:rsid w:val="00735169"/>
    <w:rsid w:val="007351F2"/>
    <w:rsid w:val="00744AC3"/>
    <w:rsid w:val="007475A8"/>
    <w:rsid w:val="00747C00"/>
    <w:rsid w:val="00756966"/>
    <w:rsid w:val="00771EEC"/>
    <w:rsid w:val="00784972"/>
    <w:rsid w:val="00784C0D"/>
    <w:rsid w:val="00784E6B"/>
    <w:rsid w:val="007926A2"/>
    <w:rsid w:val="007A04BF"/>
    <w:rsid w:val="007A27E8"/>
    <w:rsid w:val="007B5283"/>
    <w:rsid w:val="007B65E1"/>
    <w:rsid w:val="007C4E19"/>
    <w:rsid w:val="007D1A71"/>
    <w:rsid w:val="007D1DFC"/>
    <w:rsid w:val="007D2221"/>
    <w:rsid w:val="007D43F1"/>
    <w:rsid w:val="007D4C07"/>
    <w:rsid w:val="007E63A4"/>
    <w:rsid w:val="007F2F67"/>
    <w:rsid w:val="0080066F"/>
    <w:rsid w:val="008049E4"/>
    <w:rsid w:val="00805D41"/>
    <w:rsid w:val="008103B7"/>
    <w:rsid w:val="008161F2"/>
    <w:rsid w:val="0082400C"/>
    <w:rsid w:val="008302A4"/>
    <w:rsid w:val="008339F1"/>
    <w:rsid w:val="008414DD"/>
    <w:rsid w:val="008416F1"/>
    <w:rsid w:val="00843D88"/>
    <w:rsid w:val="00853C59"/>
    <w:rsid w:val="0085421C"/>
    <w:rsid w:val="008728B9"/>
    <w:rsid w:val="00873F37"/>
    <w:rsid w:val="00881619"/>
    <w:rsid w:val="008850F1"/>
    <w:rsid w:val="0088564C"/>
    <w:rsid w:val="00885F15"/>
    <w:rsid w:val="00893A23"/>
    <w:rsid w:val="008A0814"/>
    <w:rsid w:val="008B565E"/>
    <w:rsid w:val="008C0881"/>
    <w:rsid w:val="008C395C"/>
    <w:rsid w:val="008C50CD"/>
    <w:rsid w:val="008D6BEC"/>
    <w:rsid w:val="008E1D59"/>
    <w:rsid w:val="008E5079"/>
    <w:rsid w:val="008F0CAB"/>
    <w:rsid w:val="008F2A7B"/>
    <w:rsid w:val="00904141"/>
    <w:rsid w:val="00910DC7"/>
    <w:rsid w:val="00911178"/>
    <w:rsid w:val="00920E45"/>
    <w:rsid w:val="00922B79"/>
    <w:rsid w:val="00925729"/>
    <w:rsid w:val="0092625D"/>
    <w:rsid w:val="009344E4"/>
    <w:rsid w:val="00947802"/>
    <w:rsid w:val="009501EA"/>
    <w:rsid w:val="00950C87"/>
    <w:rsid w:val="00951E47"/>
    <w:rsid w:val="00952D90"/>
    <w:rsid w:val="0095344B"/>
    <w:rsid w:val="00954B59"/>
    <w:rsid w:val="00956BDD"/>
    <w:rsid w:val="009575D7"/>
    <w:rsid w:val="00964B32"/>
    <w:rsid w:val="00972F35"/>
    <w:rsid w:val="00973079"/>
    <w:rsid w:val="009A142C"/>
    <w:rsid w:val="009A32FC"/>
    <w:rsid w:val="009A69D2"/>
    <w:rsid w:val="009B3CAC"/>
    <w:rsid w:val="009B5789"/>
    <w:rsid w:val="009C0137"/>
    <w:rsid w:val="009D2002"/>
    <w:rsid w:val="009D5BBE"/>
    <w:rsid w:val="009E685C"/>
    <w:rsid w:val="009F3F39"/>
    <w:rsid w:val="00A00D3C"/>
    <w:rsid w:val="00A00F03"/>
    <w:rsid w:val="00A0216D"/>
    <w:rsid w:val="00A10210"/>
    <w:rsid w:val="00A13BF1"/>
    <w:rsid w:val="00A14A4F"/>
    <w:rsid w:val="00A1783E"/>
    <w:rsid w:val="00A27A3E"/>
    <w:rsid w:val="00A30B40"/>
    <w:rsid w:val="00A32D9F"/>
    <w:rsid w:val="00A33821"/>
    <w:rsid w:val="00A35F44"/>
    <w:rsid w:val="00A410C8"/>
    <w:rsid w:val="00A427AB"/>
    <w:rsid w:val="00A45C74"/>
    <w:rsid w:val="00A5718C"/>
    <w:rsid w:val="00A5748F"/>
    <w:rsid w:val="00A81891"/>
    <w:rsid w:val="00A84C38"/>
    <w:rsid w:val="00A85B92"/>
    <w:rsid w:val="00A96AD5"/>
    <w:rsid w:val="00AA3C39"/>
    <w:rsid w:val="00AB2D86"/>
    <w:rsid w:val="00AB2E84"/>
    <w:rsid w:val="00AC13CE"/>
    <w:rsid w:val="00AD5A5B"/>
    <w:rsid w:val="00AE2897"/>
    <w:rsid w:val="00AE4B53"/>
    <w:rsid w:val="00AE54AF"/>
    <w:rsid w:val="00AF4BB3"/>
    <w:rsid w:val="00B01F78"/>
    <w:rsid w:val="00B03004"/>
    <w:rsid w:val="00B05658"/>
    <w:rsid w:val="00B1032C"/>
    <w:rsid w:val="00B20AD7"/>
    <w:rsid w:val="00B22983"/>
    <w:rsid w:val="00B32EDD"/>
    <w:rsid w:val="00B33ABC"/>
    <w:rsid w:val="00B368DC"/>
    <w:rsid w:val="00B4291D"/>
    <w:rsid w:val="00B469F1"/>
    <w:rsid w:val="00B5083B"/>
    <w:rsid w:val="00B606D0"/>
    <w:rsid w:val="00B639CE"/>
    <w:rsid w:val="00B6492C"/>
    <w:rsid w:val="00B6598B"/>
    <w:rsid w:val="00B73E93"/>
    <w:rsid w:val="00B74308"/>
    <w:rsid w:val="00B83FF5"/>
    <w:rsid w:val="00B95473"/>
    <w:rsid w:val="00BA0312"/>
    <w:rsid w:val="00BA2DDB"/>
    <w:rsid w:val="00BB0DEA"/>
    <w:rsid w:val="00BB47BF"/>
    <w:rsid w:val="00BC41B8"/>
    <w:rsid w:val="00BD5B8B"/>
    <w:rsid w:val="00BD6A89"/>
    <w:rsid w:val="00BE30D5"/>
    <w:rsid w:val="00BE6452"/>
    <w:rsid w:val="00BE6D09"/>
    <w:rsid w:val="00BE6F91"/>
    <w:rsid w:val="00BF48BD"/>
    <w:rsid w:val="00BF5648"/>
    <w:rsid w:val="00C04267"/>
    <w:rsid w:val="00C0471A"/>
    <w:rsid w:val="00C15BA1"/>
    <w:rsid w:val="00C229D4"/>
    <w:rsid w:val="00C26917"/>
    <w:rsid w:val="00C321BE"/>
    <w:rsid w:val="00C32D4B"/>
    <w:rsid w:val="00C353CE"/>
    <w:rsid w:val="00C37F05"/>
    <w:rsid w:val="00C43972"/>
    <w:rsid w:val="00C5082C"/>
    <w:rsid w:val="00C5294B"/>
    <w:rsid w:val="00C62CC2"/>
    <w:rsid w:val="00C75B5D"/>
    <w:rsid w:val="00C93998"/>
    <w:rsid w:val="00C96C24"/>
    <w:rsid w:val="00CA4986"/>
    <w:rsid w:val="00CB0856"/>
    <w:rsid w:val="00CB0B38"/>
    <w:rsid w:val="00CB4731"/>
    <w:rsid w:val="00CC1C96"/>
    <w:rsid w:val="00CC64E9"/>
    <w:rsid w:val="00CD09D8"/>
    <w:rsid w:val="00CD1231"/>
    <w:rsid w:val="00CD269A"/>
    <w:rsid w:val="00CD765C"/>
    <w:rsid w:val="00CE1208"/>
    <w:rsid w:val="00CE4558"/>
    <w:rsid w:val="00CF4D50"/>
    <w:rsid w:val="00CF6614"/>
    <w:rsid w:val="00D0690C"/>
    <w:rsid w:val="00D15DDB"/>
    <w:rsid w:val="00D31407"/>
    <w:rsid w:val="00D32451"/>
    <w:rsid w:val="00D3438F"/>
    <w:rsid w:val="00D407AB"/>
    <w:rsid w:val="00D5287D"/>
    <w:rsid w:val="00D57E85"/>
    <w:rsid w:val="00D63848"/>
    <w:rsid w:val="00D638DC"/>
    <w:rsid w:val="00D64ACB"/>
    <w:rsid w:val="00D67910"/>
    <w:rsid w:val="00D72881"/>
    <w:rsid w:val="00D728BE"/>
    <w:rsid w:val="00D73294"/>
    <w:rsid w:val="00D75774"/>
    <w:rsid w:val="00D901DB"/>
    <w:rsid w:val="00D9099B"/>
    <w:rsid w:val="00D917D2"/>
    <w:rsid w:val="00DA01BB"/>
    <w:rsid w:val="00DA2D4C"/>
    <w:rsid w:val="00DA72A0"/>
    <w:rsid w:val="00DB62C5"/>
    <w:rsid w:val="00DB6932"/>
    <w:rsid w:val="00DC46F1"/>
    <w:rsid w:val="00DC6E07"/>
    <w:rsid w:val="00DD39DA"/>
    <w:rsid w:val="00DD67B1"/>
    <w:rsid w:val="00DE057E"/>
    <w:rsid w:val="00DE1B96"/>
    <w:rsid w:val="00DE593A"/>
    <w:rsid w:val="00DE664D"/>
    <w:rsid w:val="00DE7535"/>
    <w:rsid w:val="00DF2150"/>
    <w:rsid w:val="00E0160E"/>
    <w:rsid w:val="00E059B1"/>
    <w:rsid w:val="00E1168B"/>
    <w:rsid w:val="00E16573"/>
    <w:rsid w:val="00E176C7"/>
    <w:rsid w:val="00E24D3C"/>
    <w:rsid w:val="00E33437"/>
    <w:rsid w:val="00E43563"/>
    <w:rsid w:val="00E5363D"/>
    <w:rsid w:val="00E54E1D"/>
    <w:rsid w:val="00E57B98"/>
    <w:rsid w:val="00E57C6B"/>
    <w:rsid w:val="00E60A23"/>
    <w:rsid w:val="00E636CD"/>
    <w:rsid w:val="00E64588"/>
    <w:rsid w:val="00E725EA"/>
    <w:rsid w:val="00E76415"/>
    <w:rsid w:val="00E83434"/>
    <w:rsid w:val="00E86022"/>
    <w:rsid w:val="00E94122"/>
    <w:rsid w:val="00EA1B5F"/>
    <w:rsid w:val="00EB7168"/>
    <w:rsid w:val="00EB7A91"/>
    <w:rsid w:val="00ED6D2F"/>
    <w:rsid w:val="00EE0C1D"/>
    <w:rsid w:val="00EE20B6"/>
    <w:rsid w:val="00EE3524"/>
    <w:rsid w:val="00EE4CE9"/>
    <w:rsid w:val="00EE61C7"/>
    <w:rsid w:val="00F0361D"/>
    <w:rsid w:val="00F04B85"/>
    <w:rsid w:val="00F04F6C"/>
    <w:rsid w:val="00F07B5F"/>
    <w:rsid w:val="00F20082"/>
    <w:rsid w:val="00F20419"/>
    <w:rsid w:val="00F208F2"/>
    <w:rsid w:val="00F32CBF"/>
    <w:rsid w:val="00F36F53"/>
    <w:rsid w:val="00F542EC"/>
    <w:rsid w:val="00F54C01"/>
    <w:rsid w:val="00F54FB2"/>
    <w:rsid w:val="00F568A3"/>
    <w:rsid w:val="00F6681C"/>
    <w:rsid w:val="00F670AE"/>
    <w:rsid w:val="00F716CF"/>
    <w:rsid w:val="00F81A4B"/>
    <w:rsid w:val="00F86568"/>
    <w:rsid w:val="00F866CE"/>
    <w:rsid w:val="00F92763"/>
    <w:rsid w:val="00F931FE"/>
    <w:rsid w:val="00F93F81"/>
    <w:rsid w:val="00F968E8"/>
    <w:rsid w:val="00FA0250"/>
    <w:rsid w:val="00FA0447"/>
    <w:rsid w:val="00FA06AB"/>
    <w:rsid w:val="00FA0F6C"/>
    <w:rsid w:val="00FA317D"/>
    <w:rsid w:val="00FA664A"/>
    <w:rsid w:val="00FB2033"/>
    <w:rsid w:val="00FB4D74"/>
    <w:rsid w:val="00FD181A"/>
    <w:rsid w:val="00FD7027"/>
    <w:rsid w:val="00FE0489"/>
    <w:rsid w:val="00FE1BA0"/>
    <w:rsid w:val="014D2D16"/>
    <w:rsid w:val="017942D5"/>
    <w:rsid w:val="01B3B682"/>
    <w:rsid w:val="01B4E477"/>
    <w:rsid w:val="01B8A31D"/>
    <w:rsid w:val="01EEC9A5"/>
    <w:rsid w:val="02AD1AB4"/>
    <w:rsid w:val="05552021"/>
    <w:rsid w:val="056D7955"/>
    <w:rsid w:val="066CC5C0"/>
    <w:rsid w:val="06C68EEE"/>
    <w:rsid w:val="07AABEC5"/>
    <w:rsid w:val="0806A17A"/>
    <w:rsid w:val="08E10254"/>
    <w:rsid w:val="0A82238B"/>
    <w:rsid w:val="0AC1CCF8"/>
    <w:rsid w:val="0C5D9D59"/>
    <w:rsid w:val="0D70B83C"/>
    <w:rsid w:val="0DB76DED"/>
    <w:rsid w:val="0E646E6B"/>
    <w:rsid w:val="0EC38C2F"/>
    <w:rsid w:val="0EE9349E"/>
    <w:rsid w:val="0F20C3B1"/>
    <w:rsid w:val="0F42FDCC"/>
    <w:rsid w:val="0FA3BE67"/>
    <w:rsid w:val="109A2640"/>
    <w:rsid w:val="10A97E7E"/>
    <w:rsid w:val="10DE0533"/>
    <w:rsid w:val="11794C50"/>
    <w:rsid w:val="11E7308E"/>
    <w:rsid w:val="126CBCBB"/>
    <w:rsid w:val="12E313A7"/>
    <w:rsid w:val="13016443"/>
    <w:rsid w:val="1342E69F"/>
    <w:rsid w:val="13F06659"/>
    <w:rsid w:val="1437E87E"/>
    <w:rsid w:val="145A7F6F"/>
    <w:rsid w:val="14911A34"/>
    <w:rsid w:val="15D3B8DF"/>
    <w:rsid w:val="15EF16E3"/>
    <w:rsid w:val="184F80AB"/>
    <w:rsid w:val="19E3FBF9"/>
    <w:rsid w:val="1A0D1A98"/>
    <w:rsid w:val="1A8C90C2"/>
    <w:rsid w:val="1AB86F71"/>
    <w:rsid w:val="1B78E3A6"/>
    <w:rsid w:val="1D337030"/>
    <w:rsid w:val="1D3AD91C"/>
    <w:rsid w:val="1E08F683"/>
    <w:rsid w:val="1E0B639F"/>
    <w:rsid w:val="1E2CE7C6"/>
    <w:rsid w:val="1EAB4743"/>
    <w:rsid w:val="1EC67CE4"/>
    <w:rsid w:val="1FD7C7EF"/>
    <w:rsid w:val="207212DF"/>
    <w:rsid w:val="210DBF4A"/>
    <w:rsid w:val="2122B8C7"/>
    <w:rsid w:val="23E8814C"/>
    <w:rsid w:val="23F878FB"/>
    <w:rsid w:val="2486C08E"/>
    <w:rsid w:val="267277C8"/>
    <w:rsid w:val="26A956A4"/>
    <w:rsid w:val="2855D46C"/>
    <w:rsid w:val="28846379"/>
    <w:rsid w:val="28C153C2"/>
    <w:rsid w:val="2936D3FB"/>
    <w:rsid w:val="29619BE3"/>
    <w:rsid w:val="2A177605"/>
    <w:rsid w:val="2A4F82D0"/>
    <w:rsid w:val="2AA00222"/>
    <w:rsid w:val="2B28C110"/>
    <w:rsid w:val="2BB34666"/>
    <w:rsid w:val="2C7ED134"/>
    <w:rsid w:val="2C9C3B58"/>
    <w:rsid w:val="2CDB8B6B"/>
    <w:rsid w:val="2D72FFCF"/>
    <w:rsid w:val="2D809ECC"/>
    <w:rsid w:val="2DAE387B"/>
    <w:rsid w:val="2E410E84"/>
    <w:rsid w:val="2E43B523"/>
    <w:rsid w:val="2EE975E7"/>
    <w:rsid w:val="2F26DE86"/>
    <w:rsid w:val="2FA3212F"/>
    <w:rsid w:val="300B41FB"/>
    <w:rsid w:val="31107296"/>
    <w:rsid w:val="31B67511"/>
    <w:rsid w:val="31E6DF47"/>
    <w:rsid w:val="31F3F6D1"/>
    <w:rsid w:val="31F6AF44"/>
    <w:rsid w:val="335F6FB1"/>
    <w:rsid w:val="33875753"/>
    <w:rsid w:val="35B25D48"/>
    <w:rsid w:val="36FAB3FC"/>
    <w:rsid w:val="3700B9B8"/>
    <w:rsid w:val="372E5A45"/>
    <w:rsid w:val="3793372C"/>
    <w:rsid w:val="37A7FE58"/>
    <w:rsid w:val="37F23B32"/>
    <w:rsid w:val="386A256D"/>
    <w:rsid w:val="389DDF77"/>
    <w:rsid w:val="3A05F5CE"/>
    <w:rsid w:val="3A634E25"/>
    <w:rsid w:val="3A7065AF"/>
    <w:rsid w:val="3B0D7C90"/>
    <w:rsid w:val="3D5C50EC"/>
    <w:rsid w:val="3DD49F74"/>
    <w:rsid w:val="3DE0FD97"/>
    <w:rsid w:val="3DE8D429"/>
    <w:rsid w:val="402FAC3F"/>
    <w:rsid w:val="403EBC07"/>
    <w:rsid w:val="40D9ABA8"/>
    <w:rsid w:val="412FE51F"/>
    <w:rsid w:val="421A5953"/>
    <w:rsid w:val="43352127"/>
    <w:rsid w:val="4392E9BD"/>
    <w:rsid w:val="443A7247"/>
    <w:rsid w:val="443CE835"/>
    <w:rsid w:val="44A2B856"/>
    <w:rsid w:val="45012C31"/>
    <w:rsid w:val="452EBA1E"/>
    <w:rsid w:val="45399C01"/>
    <w:rsid w:val="459EDD8F"/>
    <w:rsid w:val="45D47689"/>
    <w:rsid w:val="45D8BFCA"/>
    <w:rsid w:val="45E5D754"/>
    <w:rsid w:val="46CB5079"/>
    <w:rsid w:val="48100879"/>
    <w:rsid w:val="48808E33"/>
    <w:rsid w:val="48F80278"/>
    <w:rsid w:val="49189507"/>
    <w:rsid w:val="49747425"/>
    <w:rsid w:val="4A11C813"/>
    <w:rsid w:val="4A7AEABA"/>
    <w:rsid w:val="4A7E6A1D"/>
    <w:rsid w:val="4B0C1689"/>
    <w:rsid w:val="4C3D7A75"/>
    <w:rsid w:val="4DB60ADF"/>
    <w:rsid w:val="4DF71057"/>
    <w:rsid w:val="4E2001AD"/>
    <w:rsid w:val="4E21FC0D"/>
    <w:rsid w:val="4EB1ED2E"/>
    <w:rsid w:val="4EC8BC6B"/>
    <w:rsid w:val="4ED665B2"/>
    <w:rsid w:val="4F651599"/>
    <w:rsid w:val="502E5E86"/>
    <w:rsid w:val="504DBD8F"/>
    <w:rsid w:val="507A2045"/>
    <w:rsid w:val="5100934E"/>
    <w:rsid w:val="52470F46"/>
    <w:rsid w:val="532FE317"/>
    <w:rsid w:val="53B1C107"/>
    <w:rsid w:val="54E290B7"/>
    <w:rsid w:val="556D160D"/>
    <w:rsid w:val="55B59A3D"/>
    <w:rsid w:val="574F9EEE"/>
    <w:rsid w:val="581417CB"/>
    <w:rsid w:val="584494AD"/>
    <w:rsid w:val="58B99D32"/>
    <w:rsid w:val="59B292D5"/>
    <w:rsid w:val="5A275ED3"/>
    <w:rsid w:val="5BC32F34"/>
    <w:rsid w:val="5BDB8D48"/>
    <w:rsid w:val="5BE8407A"/>
    <w:rsid w:val="5C1C30A1"/>
    <w:rsid w:val="5C225192"/>
    <w:rsid w:val="5DACAD58"/>
    <w:rsid w:val="5EA88FA7"/>
    <w:rsid w:val="5EE5673A"/>
    <w:rsid w:val="5EFACFF6"/>
    <w:rsid w:val="5F09DFBE"/>
    <w:rsid w:val="5FD891BA"/>
    <w:rsid w:val="603C6063"/>
    <w:rsid w:val="60A5B01F"/>
    <w:rsid w:val="6203B50C"/>
    <w:rsid w:val="629CD2D7"/>
    <w:rsid w:val="63347A25"/>
    <w:rsid w:val="63523C0F"/>
    <w:rsid w:val="63929876"/>
    <w:rsid w:val="63B8D85D"/>
    <w:rsid w:val="63DCA0C7"/>
    <w:rsid w:val="6457FC26"/>
    <w:rsid w:val="65828CBA"/>
    <w:rsid w:val="65A09019"/>
    <w:rsid w:val="66515CEB"/>
    <w:rsid w:val="66597DD1"/>
    <w:rsid w:val="665B11E6"/>
    <w:rsid w:val="666D48DC"/>
    <w:rsid w:val="66750391"/>
    <w:rsid w:val="66A5260D"/>
    <w:rsid w:val="66B5BFA0"/>
    <w:rsid w:val="67745A68"/>
    <w:rsid w:val="68FDA679"/>
    <w:rsid w:val="698959C4"/>
    <w:rsid w:val="6A1E014C"/>
    <w:rsid w:val="6A5AD8DF"/>
    <w:rsid w:val="6A65ED93"/>
    <w:rsid w:val="6B389AA3"/>
    <w:rsid w:val="6B61D8B7"/>
    <w:rsid w:val="6B9E48D4"/>
    <w:rsid w:val="6C0F0754"/>
    <w:rsid w:val="6C816762"/>
    <w:rsid w:val="6C9823E2"/>
    <w:rsid w:val="6CBA3638"/>
    <w:rsid w:val="6CBC0CF0"/>
    <w:rsid w:val="6CD4585B"/>
    <w:rsid w:val="6CD8D641"/>
    <w:rsid w:val="6CDBC9DA"/>
    <w:rsid w:val="6F1BB566"/>
    <w:rsid w:val="6F3D59CA"/>
    <w:rsid w:val="6FB0AAFF"/>
    <w:rsid w:val="70AEBC5F"/>
    <w:rsid w:val="717EC5AE"/>
    <w:rsid w:val="71E68F41"/>
    <w:rsid w:val="728D609C"/>
    <w:rsid w:val="729103FF"/>
    <w:rsid w:val="729DF658"/>
    <w:rsid w:val="72A3BE76"/>
    <w:rsid w:val="72B4C777"/>
    <w:rsid w:val="73DC64DE"/>
    <w:rsid w:val="748B7632"/>
    <w:rsid w:val="756EFD08"/>
    <w:rsid w:val="75EFCB2F"/>
    <w:rsid w:val="763B4B35"/>
    <w:rsid w:val="774C270A"/>
    <w:rsid w:val="779C6047"/>
    <w:rsid w:val="78191126"/>
    <w:rsid w:val="783CA868"/>
    <w:rsid w:val="7884DCB9"/>
    <w:rsid w:val="7909688C"/>
    <w:rsid w:val="79387598"/>
    <w:rsid w:val="793EB101"/>
    <w:rsid w:val="79A27D7E"/>
    <w:rsid w:val="7A0EE249"/>
    <w:rsid w:val="7AF41105"/>
    <w:rsid w:val="7B1C9711"/>
    <w:rsid w:val="7B8D798E"/>
    <w:rsid w:val="7BF6A855"/>
    <w:rsid w:val="7E5F88CB"/>
    <w:rsid w:val="7F2FBA42"/>
    <w:rsid w:val="7F6FF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C3A9F8"/>
  <w15:chartTrackingRefBased/>
  <w15:docId w15:val="{9598D2B9-53E2-4496-BDFF-7F7EF88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F1"/>
    <w:pPr>
      <w:spacing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DEA"/>
    <w:pPr>
      <w:outlineLvl w:val="0"/>
    </w:pPr>
    <w:rPr>
      <w:rFonts w:asciiTheme="minorHAnsi" w:hAnsiTheme="minorHAnsi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Content descriptions,L,Report subheading,bullet point list,Bullet point,List Paragraph Number,Bulletr List Paragraph,FooterText,List Paragraph2,List Paragraph21,Listeafsnit1,numbered,列出段落,列"/>
    <w:basedOn w:val="Normal"/>
    <w:link w:val="ListParagraphChar"/>
    <w:uiPriority w:val="34"/>
    <w:qFormat/>
    <w:rsid w:val="007D43F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L Char,Report subheading Char,bullet point list Char,Bullet point Char,List Paragraph Number Char,Bulletr List Paragraph Char,FooterText Char"/>
    <w:basedOn w:val="DefaultParagraphFont"/>
    <w:link w:val="ListParagraph"/>
    <w:uiPriority w:val="34"/>
    <w:rsid w:val="007D43F1"/>
    <w:rPr>
      <w:rFonts w:ascii="Arial" w:hAnsi="Arial"/>
      <w:sz w:val="20"/>
    </w:rPr>
  </w:style>
  <w:style w:type="paragraph" w:customStyle="1" w:styleId="Default">
    <w:name w:val="Default"/>
    <w:rsid w:val="007D4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0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00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04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1B96"/>
    <w:rPr>
      <w:color w:val="0070C0"/>
      <w:u w:val="single"/>
    </w:rPr>
  </w:style>
  <w:style w:type="paragraph" w:styleId="Revision">
    <w:name w:val="Revision"/>
    <w:hidden/>
    <w:uiPriority w:val="99"/>
    <w:semiHidden/>
    <w:rsid w:val="00161965"/>
    <w:pPr>
      <w:spacing w:after="0" w:line="240" w:lineRule="auto"/>
    </w:pPr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55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55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5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9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4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690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47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0DEA"/>
    <w:pPr>
      <w:jc w:val="center"/>
    </w:pPr>
    <w:rPr>
      <w:rFonts w:asciiTheme="minorHAnsi" w:hAnsiTheme="minorHAnsi"/>
      <w:b/>
      <w:bCs/>
      <w:color w:val="4472C4" w:themeColor="accent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B0DEA"/>
    <w:rPr>
      <w:b/>
      <w:bCs/>
      <w:color w:val="4472C4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0DEA"/>
    <w:rPr>
      <w:b/>
      <w:bCs/>
    </w:rPr>
  </w:style>
  <w:style w:type="table" w:styleId="TableGrid">
    <w:name w:val="Table Grid"/>
    <w:basedOn w:val="TableNormal"/>
    <w:uiPriority w:val="39"/>
    <w:rsid w:val="005F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116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1952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38186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358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523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41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07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797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390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77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4309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890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1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25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E7ACAD-C513-484F-93D4-BF5CE4B515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75794802E1BE743BE3C35F149D082C4" ma:contentTypeVersion="" ma:contentTypeDescription="PDMS Document Site Content Type" ma:contentTypeScope="" ma:versionID="72b48269453c15ab2bcba55d1f0bd4aa">
  <xsd:schema xmlns:xsd="http://www.w3.org/2001/XMLSchema" xmlns:xs="http://www.w3.org/2001/XMLSchema" xmlns:p="http://schemas.microsoft.com/office/2006/metadata/properties" xmlns:ns2="3EE7ACAD-C513-484F-93D4-BF5CE4B5153D" targetNamespace="http://schemas.microsoft.com/office/2006/metadata/properties" ma:root="true" ma:fieldsID="56f4721407eda288904888f9c2767267" ns2:_="">
    <xsd:import namespace="3EE7ACAD-C513-484F-93D4-BF5CE4B5153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ACAD-C513-484F-93D4-BF5CE4B5153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71B89-1DCA-47E7-A533-3A192F4B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B951F-799A-4A7B-BFA5-FB3064205CCE}">
  <ds:schemaRefs>
    <ds:schemaRef ds:uri="http://schemas.microsoft.com/office/2006/metadata/properties"/>
    <ds:schemaRef ds:uri="http://schemas.microsoft.com/office/infopath/2007/PartnerControls"/>
    <ds:schemaRef ds:uri="3EE7ACAD-C513-484F-93D4-BF5CE4B5153D"/>
  </ds:schemaRefs>
</ds:datastoreItem>
</file>

<file path=customXml/itemProps3.xml><?xml version="1.0" encoding="utf-8"?>
<ds:datastoreItem xmlns:ds="http://schemas.openxmlformats.org/officeDocument/2006/customXml" ds:itemID="{AE5C523D-565E-4DDC-B01C-FFCC7E84F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27BE4-1D4C-495B-A33C-DEA01F4D0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ACAD-C513-484F-93D4-BF5CE4B51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https://www.aitsl.edu.au/docs/default-source/initial-teacher-education-resources/eag-operational-principles.pdf?sfvrsn=b90cfd3c_12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SEARSON,Penny</dc:creator>
  <cp:keywords/>
  <dc:description/>
  <cp:lastModifiedBy>GARNER,Kate</cp:lastModifiedBy>
  <cp:revision>2</cp:revision>
  <cp:lastPrinted>2021-03-15T03:49:00Z</cp:lastPrinted>
  <dcterms:created xsi:type="dcterms:W3CDTF">2021-07-21T00:47:00Z</dcterms:created>
  <dcterms:modified xsi:type="dcterms:W3CDTF">2021-07-21T00:47:00Z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0x010100266966F133664895A6EE3632470D45F500A75794802E1BE743BE3C35F149D082C4</vt:lpwstr>
  </property>
</Properties>
</file>