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6CE6E" w14:textId="504D546E" w:rsidR="00E4675C" w:rsidRDefault="0012726A" w:rsidP="0012726A">
      <w:pPr>
        <w:rPr>
          <w:rFonts w:ascii="SansaSoft Pro SemiBold" w:hAnsi="SansaSoft Pro SemiBold" w:cs="Arial"/>
          <w:sz w:val="44"/>
          <w:szCs w:val="44"/>
        </w:rPr>
      </w:pPr>
      <w:bookmarkStart w:id="0" w:name="_GoBack"/>
      <w:bookmarkEnd w:id="0"/>
      <w:r>
        <w:rPr>
          <w:noProof/>
          <w:lang w:eastAsia="en-AU"/>
        </w:rPr>
        <w:drawing>
          <wp:anchor distT="0" distB="0" distL="114300" distR="114300" simplePos="0" relativeHeight="251661312" behindDoc="1" locked="0" layoutInCell="1" allowOverlap="1" wp14:anchorId="30B02998" wp14:editId="127FC0CF">
            <wp:simplePos x="0" y="0"/>
            <wp:positionH relativeFrom="column">
              <wp:posOffset>-709409</wp:posOffset>
            </wp:positionH>
            <wp:positionV relativeFrom="paragraph">
              <wp:posOffset>-1165225</wp:posOffset>
            </wp:positionV>
            <wp:extent cx="7623425" cy="10782582"/>
            <wp:effectExtent l="0" t="0" r="0" b="0"/>
            <wp:wrapNone/>
            <wp:docPr id="3" name="Picture 3" descr="NCSEHE and Curtin University Logo.&#10;Submission ot the 2020 Review of the Disability Standards for Education 2005."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ReviewoftheDisabilityStandardsforEducation-Submission-Cover.jpg"/>
                    <pic:cNvPicPr/>
                  </pic:nvPicPr>
                  <pic:blipFill>
                    <a:blip r:embed="rId11">
                      <a:extLst>
                        <a:ext uri="{28A0092B-C50C-407E-A947-70E740481C1C}">
                          <a14:useLocalDpi xmlns:a14="http://schemas.microsoft.com/office/drawing/2010/main" val="0"/>
                        </a:ext>
                      </a:extLst>
                    </a:blip>
                    <a:stretch>
                      <a:fillRect/>
                    </a:stretch>
                  </pic:blipFill>
                  <pic:spPr>
                    <a:xfrm>
                      <a:off x="0" y="0"/>
                      <a:ext cx="7623425" cy="10782582"/>
                    </a:xfrm>
                    <a:prstGeom prst="rect">
                      <a:avLst/>
                    </a:prstGeom>
                  </pic:spPr>
                </pic:pic>
              </a:graphicData>
            </a:graphic>
            <wp14:sizeRelH relativeFrom="page">
              <wp14:pctWidth>0</wp14:pctWidth>
            </wp14:sizeRelH>
            <wp14:sizeRelV relativeFrom="page">
              <wp14:pctHeight>0</wp14:pctHeight>
            </wp14:sizeRelV>
          </wp:anchor>
        </w:drawing>
      </w:r>
      <w:r w:rsidR="00F67102">
        <w:br w:type="page"/>
      </w:r>
    </w:p>
    <w:p w14:paraId="12CA0D96" w14:textId="77777777" w:rsidR="006B2AC7" w:rsidRDefault="006B2AC7" w:rsidP="00607239">
      <w:pPr>
        <w:pStyle w:val="Header"/>
        <w:spacing w:before="480"/>
        <w:jc w:val="center"/>
        <w:rPr>
          <w:rFonts w:ascii="SansaSoft Pro SemiBold" w:hAnsi="SansaSoft Pro SemiBold" w:cs="Arial"/>
          <w:sz w:val="44"/>
          <w:szCs w:val="44"/>
        </w:rPr>
      </w:pPr>
    </w:p>
    <w:p w14:paraId="36D99D05" w14:textId="44A86282" w:rsidR="00655EE1" w:rsidRPr="00F2542D" w:rsidRDefault="00AA2E3A" w:rsidP="00607239">
      <w:pPr>
        <w:pStyle w:val="Header"/>
        <w:spacing w:before="1080" w:after="600"/>
        <w:jc w:val="center"/>
        <w:rPr>
          <w:rFonts w:ascii="SansaSoft Pro SemiBold" w:hAnsi="SansaSoft Pro SemiBold" w:cs="Arial"/>
          <w:sz w:val="44"/>
          <w:szCs w:val="44"/>
        </w:rPr>
      </w:pPr>
      <w:r w:rsidRPr="00F2542D">
        <w:rPr>
          <w:rFonts w:ascii="SansaSoft Pro SemiBold" w:hAnsi="SansaSoft Pro SemiBold" w:cs="Arial"/>
          <w:sz w:val="44"/>
          <w:szCs w:val="44"/>
        </w:rPr>
        <w:t>Submission to</w:t>
      </w:r>
      <w:r w:rsidR="001E3914" w:rsidRPr="00F2542D">
        <w:rPr>
          <w:rFonts w:ascii="SansaSoft Pro SemiBold" w:hAnsi="SansaSoft Pro SemiBold" w:cs="Arial"/>
          <w:sz w:val="44"/>
          <w:szCs w:val="44"/>
        </w:rPr>
        <w:t xml:space="preserve"> the</w:t>
      </w:r>
      <w:r w:rsidR="001E3914" w:rsidRPr="00F2542D">
        <w:rPr>
          <w:rFonts w:ascii="SansaSoft Pro SemiBold" w:hAnsi="SansaSoft Pro SemiBold" w:cs="Arial"/>
          <w:i/>
          <w:iCs/>
          <w:sz w:val="44"/>
          <w:szCs w:val="44"/>
        </w:rPr>
        <w:t xml:space="preserve"> 2020 Review of the Disability Standards for Education 2005</w:t>
      </w:r>
    </w:p>
    <w:p w14:paraId="48F17BC2" w14:textId="75F7AD5C" w:rsidR="006B2AC7" w:rsidRDefault="006B2AC7" w:rsidP="00607239">
      <w:pPr>
        <w:pStyle w:val="Header"/>
        <w:spacing w:after="1800"/>
        <w:jc w:val="center"/>
      </w:pPr>
      <w:r w:rsidRPr="006B2AC7">
        <w:t>September 2020</w:t>
      </w:r>
    </w:p>
    <w:p w14:paraId="35794041" w14:textId="5FD6A7D5" w:rsidR="006B2AC7" w:rsidRPr="006B2AC7" w:rsidRDefault="006B2AC7" w:rsidP="006B2AC7">
      <w:pPr>
        <w:rPr>
          <w:b/>
        </w:rPr>
      </w:pPr>
      <w:r w:rsidRPr="006B2AC7">
        <w:rPr>
          <w:b/>
        </w:rPr>
        <w:t>Submission prepared by:</w:t>
      </w:r>
    </w:p>
    <w:p w14:paraId="07A2D236" w14:textId="77777777" w:rsidR="006B2AC7" w:rsidRPr="006B2AC7" w:rsidRDefault="006B2AC7" w:rsidP="006B2AC7"/>
    <w:p w14:paraId="0C6717DE" w14:textId="77777777" w:rsidR="006B2AC7" w:rsidRPr="006B2AC7" w:rsidRDefault="006B2AC7" w:rsidP="006B2AC7">
      <w:r w:rsidRPr="006B2AC7">
        <w:t>The National Centre for Student Equity in Higher Education (NCSEHE)</w:t>
      </w:r>
    </w:p>
    <w:p w14:paraId="6A0B669A" w14:textId="77777777" w:rsidR="006B2AC7" w:rsidRPr="006B2AC7" w:rsidRDefault="006B2AC7" w:rsidP="006B2AC7"/>
    <w:p w14:paraId="13125CA4" w14:textId="6771251F" w:rsidR="00BC65CF" w:rsidRDefault="007C6307" w:rsidP="00607239">
      <w:pPr>
        <w:spacing w:after="1080" w:line="276" w:lineRule="auto"/>
        <w:rPr>
          <w:rFonts w:cs="Arial"/>
          <w:color w:val="212121"/>
          <w:sz w:val="18"/>
          <w:szCs w:val="18"/>
          <w:lang w:val="en-GB"/>
        </w:rPr>
      </w:pPr>
      <w:r>
        <w:t>This submission has been pre</w:t>
      </w:r>
      <w:r w:rsidR="00BC65CF">
        <w:t xml:space="preserve">pared by Dr Paul Koshy, Dr Catherine Drane, Dr Nicole Crawford and </w:t>
      </w:r>
      <w:r>
        <w:t xml:space="preserve">Mr Matt Brett on behalf of the </w:t>
      </w:r>
      <w:r w:rsidR="00BC65CF">
        <w:t>NCSEHE</w:t>
      </w:r>
      <w:r>
        <w:t>.</w:t>
      </w:r>
    </w:p>
    <w:p w14:paraId="45FE19A9" w14:textId="32CA39A6" w:rsidR="006B2AC7" w:rsidRPr="00C941E0" w:rsidRDefault="006B2AC7" w:rsidP="006B2AC7">
      <w:pPr>
        <w:kinsoku w:val="0"/>
        <w:overflowPunct w:val="0"/>
        <w:autoSpaceDE w:val="0"/>
        <w:autoSpaceDN w:val="0"/>
        <w:adjustRightInd w:val="0"/>
        <w:ind w:left="40"/>
        <w:rPr>
          <w:rFonts w:cs="Arial"/>
          <w:color w:val="212121"/>
          <w:sz w:val="18"/>
          <w:szCs w:val="18"/>
          <w:lang w:val="en-GB"/>
        </w:rPr>
      </w:pPr>
      <w:r w:rsidRPr="00C941E0">
        <w:rPr>
          <w:rFonts w:cs="Arial"/>
          <w:color w:val="212121"/>
          <w:sz w:val="18"/>
          <w:szCs w:val="18"/>
          <w:lang w:val="en-GB"/>
        </w:rPr>
        <w:t>National Centre for Student Equity in Higher Education</w:t>
      </w:r>
    </w:p>
    <w:p w14:paraId="402B429C" w14:textId="504834CF" w:rsidR="006B2AC7" w:rsidRPr="00C01B19" w:rsidRDefault="00C01B19" w:rsidP="006B2AC7">
      <w:pPr>
        <w:kinsoku w:val="0"/>
        <w:overflowPunct w:val="0"/>
        <w:autoSpaceDE w:val="0"/>
        <w:autoSpaceDN w:val="0"/>
        <w:adjustRightInd w:val="0"/>
        <w:spacing w:before="49"/>
        <w:ind w:left="39"/>
        <w:rPr>
          <w:rStyle w:val="Hyperlink"/>
          <w:rFonts w:cs="Arial"/>
          <w:sz w:val="18"/>
          <w:szCs w:val="18"/>
          <w:lang w:val="en-GB"/>
        </w:rPr>
      </w:pPr>
      <w:r>
        <w:rPr>
          <w:rFonts w:cs="Arial"/>
          <w:sz w:val="18"/>
          <w:szCs w:val="18"/>
          <w:lang w:val="en-GB"/>
        </w:rPr>
        <w:fldChar w:fldCharType="begin"/>
      </w:r>
      <w:r>
        <w:rPr>
          <w:rFonts w:cs="Arial"/>
          <w:sz w:val="18"/>
          <w:szCs w:val="18"/>
          <w:lang w:val="en-GB"/>
        </w:rPr>
        <w:instrText xml:space="preserve"> HYPERLINK "https://www.ncsehe.edu.au/" \o "mailto:ncsehe@curtin.edu.au" </w:instrText>
      </w:r>
      <w:r>
        <w:rPr>
          <w:rFonts w:cs="Arial"/>
          <w:sz w:val="18"/>
          <w:szCs w:val="18"/>
          <w:lang w:val="en-GB"/>
        </w:rPr>
        <w:fldChar w:fldCharType="separate"/>
      </w:r>
      <w:proofErr w:type="spellStart"/>
      <w:r w:rsidR="006B2AC7" w:rsidRPr="00C01B19">
        <w:rPr>
          <w:rStyle w:val="Hyperlink"/>
          <w:rFonts w:cs="Arial"/>
          <w:sz w:val="18"/>
          <w:szCs w:val="18"/>
          <w:lang w:val="en-GB"/>
        </w:rPr>
        <w:t>ncsehe.edu.au</w:t>
      </w:r>
      <w:proofErr w:type="spellEnd"/>
    </w:p>
    <w:p w14:paraId="56A728D2" w14:textId="5FB7605C" w:rsidR="006B2AC7" w:rsidRPr="00C941E0" w:rsidRDefault="00C01B19" w:rsidP="006B2AC7">
      <w:pPr>
        <w:kinsoku w:val="0"/>
        <w:overflowPunct w:val="0"/>
        <w:autoSpaceDE w:val="0"/>
        <w:autoSpaceDN w:val="0"/>
        <w:adjustRightInd w:val="0"/>
        <w:spacing w:before="49"/>
        <w:ind w:left="39"/>
        <w:rPr>
          <w:rFonts w:cs="Arial"/>
          <w:color w:val="212121"/>
          <w:sz w:val="18"/>
          <w:szCs w:val="18"/>
          <w:lang w:val="en-GB"/>
        </w:rPr>
      </w:pPr>
      <w:r>
        <w:rPr>
          <w:rFonts w:cs="Arial"/>
          <w:sz w:val="18"/>
          <w:szCs w:val="18"/>
          <w:lang w:val="en-GB"/>
        </w:rPr>
        <w:fldChar w:fldCharType="end"/>
      </w:r>
      <w:r w:rsidR="006B2AC7" w:rsidRPr="00C941E0">
        <w:rPr>
          <w:rFonts w:cs="Arial"/>
          <w:color w:val="212121"/>
          <w:sz w:val="18"/>
          <w:szCs w:val="18"/>
          <w:lang w:val="en-GB"/>
        </w:rPr>
        <w:t>Tel: +61 8 9266 1573</w:t>
      </w:r>
    </w:p>
    <w:p w14:paraId="65D5EB6F" w14:textId="5A751AEF" w:rsidR="006B2AC7" w:rsidRPr="00C941E0" w:rsidRDefault="006B2AC7" w:rsidP="006B2AC7">
      <w:pPr>
        <w:kinsoku w:val="0"/>
        <w:overflowPunct w:val="0"/>
        <w:autoSpaceDE w:val="0"/>
        <w:autoSpaceDN w:val="0"/>
        <w:adjustRightInd w:val="0"/>
        <w:ind w:left="40" w:right="5748" w:hanging="1"/>
        <w:rPr>
          <w:rFonts w:cs="Arial"/>
          <w:color w:val="212121"/>
          <w:sz w:val="18"/>
          <w:szCs w:val="18"/>
          <w:lang w:val="en-GB"/>
        </w:rPr>
      </w:pPr>
      <w:r w:rsidRPr="00C941E0">
        <w:rPr>
          <w:rFonts w:cs="Arial"/>
          <w:color w:val="212121"/>
          <w:sz w:val="18"/>
          <w:szCs w:val="18"/>
          <w:lang w:val="en-GB"/>
        </w:rPr>
        <w:t xml:space="preserve">Email: </w:t>
      </w:r>
      <w:hyperlink r:id="rId12" w:tooltip="mailto:ncsehe@curtin.edu.au" w:history="1">
        <w:r w:rsidRPr="00CA68AC">
          <w:rPr>
            <w:rFonts w:cs="Arial"/>
            <w:color w:val="B79000" w:themeColor="accent2" w:themeShade="BF"/>
            <w:sz w:val="18"/>
            <w:szCs w:val="18"/>
            <w:u w:val="single"/>
            <w:lang w:val="en-GB"/>
          </w:rPr>
          <w:t>ncsehe@curtin.edu.au</w:t>
        </w:r>
      </w:hyperlink>
      <w:r w:rsidRPr="00CA68AC">
        <w:rPr>
          <w:rFonts w:cs="Arial"/>
          <w:color w:val="B79000" w:themeColor="accent2" w:themeShade="BF"/>
          <w:sz w:val="18"/>
          <w:szCs w:val="18"/>
          <w:lang w:val="en-GB"/>
        </w:rPr>
        <w:t xml:space="preserve"> </w:t>
      </w:r>
    </w:p>
    <w:p w14:paraId="5AB5F7C9" w14:textId="77777777" w:rsidR="006B2AC7" w:rsidRPr="00C941E0" w:rsidRDefault="006B2AC7" w:rsidP="006B2AC7">
      <w:pPr>
        <w:kinsoku w:val="0"/>
        <w:overflowPunct w:val="0"/>
        <w:autoSpaceDE w:val="0"/>
        <w:autoSpaceDN w:val="0"/>
        <w:adjustRightInd w:val="0"/>
        <w:spacing w:before="49"/>
        <w:ind w:left="39" w:right="5272"/>
        <w:rPr>
          <w:rFonts w:cs="Arial"/>
          <w:color w:val="212121"/>
          <w:sz w:val="18"/>
          <w:szCs w:val="18"/>
          <w:lang w:val="en-GB"/>
        </w:rPr>
      </w:pPr>
      <w:r w:rsidRPr="00C941E0">
        <w:rPr>
          <w:rFonts w:cs="Arial"/>
          <w:color w:val="212121"/>
          <w:sz w:val="18"/>
          <w:szCs w:val="18"/>
          <w:lang w:val="en-GB"/>
        </w:rPr>
        <w:t xml:space="preserve">Technology Park, Enterprise Unit 4 (Building 602) </w:t>
      </w:r>
    </w:p>
    <w:p w14:paraId="11EFBA88" w14:textId="77777777" w:rsidR="006B2AC7" w:rsidRPr="00C941E0" w:rsidRDefault="006B2AC7" w:rsidP="006B2AC7">
      <w:pPr>
        <w:kinsoku w:val="0"/>
        <w:overflowPunct w:val="0"/>
        <w:autoSpaceDE w:val="0"/>
        <w:autoSpaceDN w:val="0"/>
        <w:adjustRightInd w:val="0"/>
        <w:spacing w:before="49"/>
        <w:ind w:left="39" w:right="5272"/>
        <w:rPr>
          <w:rFonts w:cs="Arial"/>
          <w:color w:val="212121"/>
          <w:sz w:val="18"/>
          <w:szCs w:val="18"/>
          <w:lang w:val="en-GB"/>
        </w:rPr>
      </w:pPr>
      <w:r w:rsidRPr="00C941E0">
        <w:rPr>
          <w:rFonts w:cs="Arial"/>
          <w:color w:val="212121"/>
          <w:sz w:val="18"/>
          <w:szCs w:val="18"/>
          <w:lang w:val="en-GB"/>
        </w:rPr>
        <w:t xml:space="preserve">9 De </w:t>
      </w:r>
      <w:proofErr w:type="spellStart"/>
      <w:r w:rsidRPr="00C941E0">
        <w:rPr>
          <w:rFonts w:cs="Arial"/>
          <w:color w:val="212121"/>
          <w:sz w:val="18"/>
          <w:szCs w:val="18"/>
          <w:lang w:val="en-GB"/>
        </w:rPr>
        <w:t>Laeter</w:t>
      </w:r>
      <w:proofErr w:type="spellEnd"/>
      <w:r w:rsidRPr="00C941E0">
        <w:rPr>
          <w:rFonts w:cs="Arial"/>
          <w:color w:val="212121"/>
          <w:sz w:val="18"/>
          <w:szCs w:val="18"/>
          <w:lang w:val="en-GB"/>
        </w:rPr>
        <w:t xml:space="preserve"> Way Bentley WA 6102</w:t>
      </w:r>
    </w:p>
    <w:p w14:paraId="341E9192" w14:textId="1E7324D1" w:rsidR="006B2AC7" w:rsidRDefault="006B2AC7" w:rsidP="00607239">
      <w:pPr>
        <w:kinsoku w:val="0"/>
        <w:overflowPunct w:val="0"/>
        <w:autoSpaceDE w:val="0"/>
        <w:autoSpaceDN w:val="0"/>
        <w:adjustRightInd w:val="0"/>
        <w:spacing w:after="720"/>
        <w:ind w:left="40"/>
      </w:pPr>
      <w:r w:rsidRPr="00C941E0">
        <w:rPr>
          <w:rFonts w:cs="Arial"/>
          <w:color w:val="212121"/>
          <w:sz w:val="18"/>
          <w:szCs w:val="18"/>
          <w:lang w:val="en-GB"/>
        </w:rPr>
        <w:t>GPO Box U1987 Perth WA 6845</w:t>
      </w:r>
    </w:p>
    <w:p w14:paraId="34862B04" w14:textId="28343747" w:rsidR="00C941E0" w:rsidRDefault="00122F03" w:rsidP="00C941E0">
      <w:pPr>
        <w:pStyle w:val="Default"/>
        <w:ind w:left="156"/>
        <w:rPr>
          <w:b/>
          <w:bCs/>
          <w:color w:val="1F1F1F"/>
          <w:sz w:val="16"/>
          <w:szCs w:val="16"/>
        </w:rPr>
      </w:pPr>
      <w:r w:rsidRPr="00C941E0">
        <w:rPr>
          <w:b/>
          <w:bCs/>
          <w:noProof/>
          <w:color w:val="B79000" w:themeColor="accent2" w:themeShade="BF"/>
          <w:sz w:val="16"/>
          <w:szCs w:val="16"/>
          <w:lang w:eastAsia="en-AU"/>
        </w:rPr>
        <mc:AlternateContent>
          <mc:Choice Requires="wps">
            <w:drawing>
              <wp:anchor distT="0" distB="0" distL="114300" distR="114300" simplePos="0" relativeHeight="251660288" behindDoc="1" locked="0" layoutInCell="1" allowOverlap="1" wp14:anchorId="38D640C1" wp14:editId="1FE95ED7">
                <wp:simplePos x="0" y="0"/>
                <wp:positionH relativeFrom="column">
                  <wp:posOffset>-899</wp:posOffset>
                </wp:positionH>
                <wp:positionV relativeFrom="paragraph">
                  <wp:posOffset>24907</wp:posOffset>
                </wp:positionV>
                <wp:extent cx="6163945" cy="1530849"/>
                <wp:effectExtent l="0" t="0" r="27305" b="12700"/>
                <wp:wrapNone/>
                <wp:docPr id="7" name="Rectangle 7" title="Decoration"/>
                <wp:cNvGraphicFramePr/>
                <a:graphic xmlns:a="http://schemas.openxmlformats.org/drawingml/2006/main">
                  <a:graphicData uri="http://schemas.microsoft.com/office/word/2010/wordprocessingShape">
                    <wps:wsp>
                      <wps:cNvSpPr/>
                      <wps:spPr>
                        <a:xfrm>
                          <a:off x="0" y="0"/>
                          <a:ext cx="6163945" cy="1530849"/>
                        </a:xfrm>
                        <a:prstGeom prst="rect">
                          <a:avLst/>
                        </a:prstGeom>
                        <a:noFill/>
                        <a:ln>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B50AF02" id="Rectangle 7" o:spid="_x0000_s1026" alt="Title: Decoration" style="position:absolute;margin-left:-.05pt;margin-top:1.95pt;width:485.35pt;height:1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" filled="f" strokecolor="#b79000 [2405]" strokeweight="2pt"/>
            </w:pict>
          </mc:Fallback>
        </mc:AlternateContent>
      </w:r>
    </w:p>
    <w:p w14:paraId="421B94E0" w14:textId="6B8DA880" w:rsidR="00C941E0" w:rsidRPr="00122F03" w:rsidRDefault="00C941E0" w:rsidP="00C941E0">
      <w:pPr>
        <w:pStyle w:val="Default"/>
        <w:ind w:left="156"/>
        <w:rPr>
          <w:rFonts w:ascii="Arial" w:hAnsi="Arial" w:cs="Arial"/>
          <w:color w:val="1F1F1F"/>
          <w:sz w:val="18"/>
          <w:szCs w:val="18"/>
        </w:rPr>
      </w:pPr>
      <w:r w:rsidRPr="00122F03">
        <w:rPr>
          <w:rFonts w:ascii="Arial" w:hAnsi="Arial" w:cs="Arial"/>
          <w:b/>
          <w:bCs/>
          <w:color w:val="1F1F1F"/>
          <w:sz w:val="18"/>
          <w:szCs w:val="18"/>
        </w:rPr>
        <w:t xml:space="preserve">DISCLAIMER </w:t>
      </w:r>
    </w:p>
    <w:p w14:paraId="0F601B6A" w14:textId="74B9B032" w:rsidR="00C941E0" w:rsidRPr="00122F03" w:rsidRDefault="00C941E0" w:rsidP="00C941E0">
      <w:pPr>
        <w:pStyle w:val="Default"/>
        <w:ind w:left="156"/>
        <w:rPr>
          <w:rFonts w:ascii="Arial" w:hAnsi="Arial" w:cs="Arial"/>
          <w:color w:val="1F1F1F"/>
          <w:sz w:val="18"/>
          <w:szCs w:val="18"/>
        </w:rPr>
      </w:pPr>
      <w:r w:rsidRPr="00122F03">
        <w:rPr>
          <w:rFonts w:ascii="Arial" w:hAnsi="Arial" w:cs="Arial"/>
          <w:color w:val="1F1F1F"/>
          <w:sz w:val="18"/>
          <w:szCs w:val="18"/>
        </w:rPr>
        <w:t xml:space="preserve">Information in this publication is correct at the time of release but may be subject to change. This material does not purport to constitute legal or professional advice. </w:t>
      </w:r>
    </w:p>
    <w:p w14:paraId="750863EF" w14:textId="77777777" w:rsidR="00C941E0" w:rsidRPr="00122F03" w:rsidRDefault="00C941E0" w:rsidP="00C941E0">
      <w:pPr>
        <w:pStyle w:val="Default"/>
        <w:ind w:left="156"/>
        <w:rPr>
          <w:rFonts w:ascii="Arial" w:hAnsi="Arial" w:cs="Arial"/>
          <w:color w:val="1F1F1F"/>
          <w:sz w:val="18"/>
          <w:szCs w:val="18"/>
        </w:rPr>
      </w:pPr>
    </w:p>
    <w:p w14:paraId="5DEEAB07" w14:textId="3FAD3BEC" w:rsidR="00C941E0" w:rsidRPr="00122F03" w:rsidRDefault="00C941E0" w:rsidP="00C941E0">
      <w:pPr>
        <w:pStyle w:val="Default"/>
        <w:ind w:left="156"/>
        <w:rPr>
          <w:rFonts w:ascii="Arial" w:hAnsi="Arial" w:cs="Arial"/>
          <w:sz w:val="18"/>
          <w:szCs w:val="18"/>
        </w:rPr>
      </w:pPr>
      <w:r w:rsidRPr="00122F03">
        <w:rPr>
          <w:rFonts w:ascii="Arial" w:hAnsi="Arial" w:cs="Arial"/>
          <w:color w:val="1F1F1F"/>
          <w:sz w:val="18"/>
          <w:szCs w:val="18"/>
        </w:rPr>
        <w:t xml:space="preserve">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w:t>
      </w:r>
      <w:r w:rsidR="00122F03">
        <w:rPr>
          <w:rFonts w:ascii="Arial" w:hAnsi="Arial" w:cs="Arial"/>
          <w:color w:val="1F1F1F"/>
          <w:sz w:val="18"/>
          <w:szCs w:val="18"/>
        </w:rPr>
        <w:br/>
      </w:r>
      <w:r w:rsidRPr="00122F03">
        <w:rPr>
          <w:rFonts w:ascii="Arial" w:hAnsi="Arial" w:cs="Arial"/>
          <w:color w:val="1F1F1F"/>
          <w:sz w:val="18"/>
          <w:szCs w:val="18"/>
        </w:rPr>
        <w:t>result directly or indirectly from the use of this publication.</w:t>
      </w:r>
    </w:p>
    <w:p w14:paraId="32897D64" w14:textId="1CB8BC2E" w:rsidR="00832593" w:rsidRDefault="00832593" w:rsidP="001354AD">
      <w:pPr>
        <w:jc w:val="center"/>
      </w:pPr>
      <w:r>
        <w:br w:type="page"/>
      </w:r>
    </w:p>
    <w:sdt>
      <w:sdtPr>
        <w:rPr>
          <w:rFonts w:ascii="Arial" w:eastAsiaTheme="minorHAnsi" w:hAnsi="Arial" w:cstheme="minorBidi"/>
          <w:b/>
          <w:bCs w:val="0"/>
          <w:color w:val="auto"/>
          <w:sz w:val="22"/>
          <w:szCs w:val="22"/>
          <w:lang w:val="en-AU" w:eastAsia="en-US"/>
        </w:rPr>
        <w:id w:val="2022051908"/>
        <w:docPartObj>
          <w:docPartGallery w:val="Table of Contents"/>
          <w:docPartUnique/>
        </w:docPartObj>
      </w:sdtPr>
      <w:sdtEndPr>
        <w:rPr>
          <w:rFonts w:eastAsia="Times New Roman" w:cs="Times New Roman"/>
          <w:b w:val="0"/>
          <w:noProof/>
          <w:szCs w:val="24"/>
          <w:lang w:eastAsia="en-GB"/>
        </w:rPr>
      </w:sdtEndPr>
      <w:sdtContent>
        <w:p w14:paraId="5C605938" w14:textId="6C7A67C8" w:rsidR="00A22F24" w:rsidRPr="0008034B" w:rsidRDefault="00A22F24" w:rsidP="007B7B14">
          <w:pPr>
            <w:pStyle w:val="TOCHeading"/>
            <w:spacing w:line="360" w:lineRule="auto"/>
            <w:rPr>
              <w:rStyle w:val="Heading1Char"/>
            </w:rPr>
          </w:pPr>
          <w:r w:rsidRPr="0008034B">
            <w:rPr>
              <w:rStyle w:val="Heading1Char"/>
            </w:rPr>
            <w:t>Contents</w:t>
          </w:r>
          <w:r w:rsidR="008C2D31" w:rsidRPr="0008034B">
            <w:rPr>
              <w:rStyle w:val="Heading1Char"/>
            </w:rPr>
            <w:br/>
          </w:r>
        </w:p>
        <w:p w14:paraId="0472B8E6" w14:textId="300516E9" w:rsidR="00D03BF8" w:rsidRDefault="00D03BF8">
          <w:pPr>
            <w:pStyle w:val="TOC1"/>
            <w:rPr>
              <w:rFonts w:asciiTheme="minorHAnsi" w:hAnsiTheme="minorHAnsi" w:cstheme="minorBidi"/>
            </w:rPr>
          </w:pPr>
          <w:r>
            <w:fldChar w:fldCharType="begin"/>
          </w:r>
          <w:r>
            <w:instrText xml:space="preserve"> TOC \h \z \t "Heading 1,1" </w:instrText>
          </w:r>
          <w:r>
            <w:fldChar w:fldCharType="separate"/>
          </w:r>
          <w:hyperlink w:anchor="_Toc57283819" w:history="1">
            <w:r w:rsidRPr="00D20FCD">
              <w:rPr>
                <w:rStyle w:val="Hyperlink"/>
              </w:rPr>
              <w:t>Introduction</w:t>
            </w:r>
            <w:r>
              <w:rPr>
                <w:webHidden/>
              </w:rPr>
              <w:tab/>
            </w:r>
            <w:r>
              <w:rPr>
                <w:webHidden/>
              </w:rPr>
              <w:fldChar w:fldCharType="begin"/>
            </w:r>
            <w:r>
              <w:rPr>
                <w:webHidden/>
              </w:rPr>
              <w:instrText xml:space="preserve"> PAGEREF _Toc57283819 \h </w:instrText>
            </w:r>
            <w:r>
              <w:rPr>
                <w:webHidden/>
              </w:rPr>
            </w:r>
            <w:r>
              <w:rPr>
                <w:webHidden/>
              </w:rPr>
              <w:fldChar w:fldCharType="separate"/>
            </w:r>
            <w:r w:rsidR="00722E58">
              <w:rPr>
                <w:webHidden/>
              </w:rPr>
              <w:t>4</w:t>
            </w:r>
            <w:r>
              <w:rPr>
                <w:webHidden/>
              </w:rPr>
              <w:fldChar w:fldCharType="end"/>
            </w:r>
          </w:hyperlink>
        </w:p>
        <w:p w14:paraId="402C0B93" w14:textId="71D96033" w:rsidR="00D03BF8" w:rsidRDefault="00E97D84">
          <w:pPr>
            <w:pStyle w:val="TOC1"/>
            <w:rPr>
              <w:rFonts w:asciiTheme="minorHAnsi" w:hAnsiTheme="minorHAnsi" w:cstheme="minorBidi"/>
            </w:rPr>
          </w:pPr>
          <w:hyperlink w:anchor="_Toc57283820" w:history="1">
            <w:r w:rsidR="00D03BF8" w:rsidRPr="00D20FCD">
              <w:rPr>
                <w:rStyle w:val="Hyperlink"/>
              </w:rPr>
              <w:t>Disability in Australian Higher Education</w:t>
            </w:r>
            <w:r w:rsidR="00D03BF8">
              <w:rPr>
                <w:webHidden/>
              </w:rPr>
              <w:tab/>
            </w:r>
            <w:r w:rsidR="00D03BF8">
              <w:rPr>
                <w:webHidden/>
              </w:rPr>
              <w:fldChar w:fldCharType="begin"/>
            </w:r>
            <w:r w:rsidR="00D03BF8">
              <w:rPr>
                <w:webHidden/>
              </w:rPr>
              <w:instrText xml:space="preserve"> PAGEREF _Toc57283820 \h </w:instrText>
            </w:r>
            <w:r w:rsidR="00D03BF8">
              <w:rPr>
                <w:webHidden/>
              </w:rPr>
            </w:r>
            <w:r w:rsidR="00D03BF8">
              <w:rPr>
                <w:webHidden/>
              </w:rPr>
              <w:fldChar w:fldCharType="separate"/>
            </w:r>
            <w:r w:rsidR="00722E58">
              <w:rPr>
                <w:webHidden/>
              </w:rPr>
              <w:t>5</w:t>
            </w:r>
            <w:r w:rsidR="00D03BF8">
              <w:rPr>
                <w:webHidden/>
              </w:rPr>
              <w:fldChar w:fldCharType="end"/>
            </w:r>
          </w:hyperlink>
        </w:p>
        <w:p w14:paraId="74C4CCD5" w14:textId="7F0328E8" w:rsidR="00D03BF8" w:rsidRDefault="00E97D84">
          <w:pPr>
            <w:pStyle w:val="TOC1"/>
            <w:rPr>
              <w:rFonts w:asciiTheme="minorHAnsi" w:hAnsiTheme="minorHAnsi" w:cstheme="minorBidi"/>
            </w:rPr>
          </w:pPr>
          <w:hyperlink w:anchor="_Toc57283821" w:history="1">
            <w:r w:rsidR="00D03BF8" w:rsidRPr="00D20FCD">
              <w:rPr>
                <w:rStyle w:val="Hyperlink"/>
              </w:rPr>
              <w:t>Defining Disability</w:t>
            </w:r>
            <w:r w:rsidR="00D03BF8">
              <w:rPr>
                <w:webHidden/>
              </w:rPr>
              <w:tab/>
            </w:r>
            <w:r w:rsidR="00D03BF8">
              <w:rPr>
                <w:webHidden/>
              </w:rPr>
              <w:fldChar w:fldCharType="begin"/>
            </w:r>
            <w:r w:rsidR="00D03BF8">
              <w:rPr>
                <w:webHidden/>
              </w:rPr>
              <w:instrText xml:space="preserve"> PAGEREF _Toc57283821 \h </w:instrText>
            </w:r>
            <w:r w:rsidR="00D03BF8">
              <w:rPr>
                <w:webHidden/>
              </w:rPr>
            </w:r>
            <w:r w:rsidR="00D03BF8">
              <w:rPr>
                <w:webHidden/>
              </w:rPr>
              <w:fldChar w:fldCharType="separate"/>
            </w:r>
            <w:r w:rsidR="00722E58">
              <w:rPr>
                <w:webHidden/>
              </w:rPr>
              <w:t>5</w:t>
            </w:r>
            <w:r w:rsidR="00D03BF8">
              <w:rPr>
                <w:webHidden/>
              </w:rPr>
              <w:fldChar w:fldCharType="end"/>
            </w:r>
          </w:hyperlink>
        </w:p>
        <w:p w14:paraId="3CF2FDB1" w14:textId="75668751" w:rsidR="00D03BF8" w:rsidRDefault="00E97D84">
          <w:pPr>
            <w:pStyle w:val="TOC1"/>
            <w:rPr>
              <w:rFonts w:asciiTheme="minorHAnsi" w:hAnsiTheme="minorHAnsi" w:cstheme="minorBidi"/>
            </w:rPr>
          </w:pPr>
          <w:hyperlink w:anchor="_Toc57283822" w:history="1">
            <w:r w:rsidR="00D03BF8" w:rsidRPr="00D20FCD">
              <w:rPr>
                <w:rStyle w:val="Hyperlink"/>
              </w:rPr>
              <w:t>Identification of Disability</w:t>
            </w:r>
            <w:r w:rsidR="00D03BF8">
              <w:rPr>
                <w:webHidden/>
              </w:rPr>
              <w:tab/>
            </w:r>
            <w:r w:rsidR="00D03BF8">
              <w:rPr>
                <w:webHidden/>
              </w:rPr>
              <w:fldChar w:fldCharType="begin"/>
            </w:r>
            <w:r w:rsidR="00D03BF8">
              <w:rPr>
                <w:webHidden/>
              </w:rPr>
              <w:instrText xml:space="preserve"> PAGEREF _Toc57283822 \h </w:instrText>
            </w:r>
            <w:r w:rsidR="00D03BF8">
              <w:rPr>
                <w:webHidden/>
              </w:rPr>
            </w:r>
            <w:r w:rsidR="00D03BF8">
              <w:rPr>
                <w:webHidden/>
              </w:rPr>
              <w:fldChar w:fldCharType="separate"/>
            </w:r>
            <w:r w:rsidR="00722E58">
              <w:rPr>
                <w:webHidden/>
              </w:rPr>
              <w:t>6</w:t>
            </w:r>
            <w:r w:rsidR="00D03BF8">
              <w:rPr>
                <w:webHidden/>
              </w:rPr>
              <w:fldChar w:fldCharType="end"/>
            </w:r>
          </w:hyperlink>
        </w:p>
        <w:p w14:paraId="50FB41F2" w14:textId="431FF0CA" w:rsidR="00D03BF8" w:rsidRDefault="00E97D84">
          <w:pPr>
            <w:pStyle w:val="TOC1"/>
            <w:rPr>
              <w:rFonts w:asciiTheme="minorHAnsi" w:hAnsiTheme="minorHAnsi" w:cstheme="minorBidi"/>
            </w:rPr>
          </w:pPr>
          <w:hyperlink w:anchor="_Toc57283823" w:history="1">
            <w:r w:rsidR="00D03BF8" w:rsidRPr="00D20FCD">
              <w:rPr>
                <w:rStyle w:val="Hyperlink"/>
              </w:rPr>
              <w:t>Key Issues in Creating and Enforcing Standards in Higher Education</w:t>
            </w:r>
            <w:r w:rsidR="00D03BF8">
              <w:rPr>
                <w:webHidden/>
              </w:rPr>
              <w:tab/>
            </w:r>
            <w:r w:rsidR="00D03BF8">
              <w:rPr>
                <w:webHidden/>
              </w:rPr>
              <w:fldChar w:fldCharType="begin"/>
            </w:r>
            <w:r w:rsidR="00D03BF8">
              <w:rPr>
                <w:webHidden/>
              </w:rPr>
              <w:instrText xml:space="preserve"> PAGEREF _Toc57283823 \h </w:instrText>
            </w:r>
            <w:r w:rsidR="00D03BF8">
              <w:rPr>
                <w:webHidden/>
              </w:rPr>
            </w:r>
            <w:r w:rsidR="00D03BF8">
              <w:rPr>
                <w:webHidden/>
              </w:rPr>
              <w:fldChar w:fldCharType="separate"/>
            </w:r>
            <w:r w:rsidR="00722E58">
              <w:rPr>
                <w:webHidden/>
              </w:rPr>
              <w:t>7</w:t>
            </w:r>
            <w:r w:rsidR="00D03BF8">
              <w:rPr>
                <w:webHidden/>
              </w:rPr>
              <w:fldChar w:fldCharType="end"/>
            </w:r>
          </w:hyperlink>
        </w:p>
        <w:p w14:paraId="521DC82A" w14:textId="387A90EE" w:rsidR="00D03BF8" w:rsidRDefault="00E97D84">
          <w:pPr>
            <w:pStyle w:val="TOC1"/>
            <w:rPr>
              <w:rFonts w:asciiTheme="minorHAnsi" w:hAnsiTheme="minorHAnsi" w:cstheme="minorBidi"/>
            </w:rPr>
          </w:pPr>
          <w:hyperlink w:anchor="_Toc57283824" w:history="1">
            <w:r w:rsidR="00D03BF8" w:rsidRPr="00D20FCD">
              <w:rPr>
                <w:rStyle w:val="Hyperlink"/>
              </w:rPr>
              <w:t>References</w:t>
            </w:r>
            <w:r w:rsidR="00D03BF8">
              <w:rPr>
                <w:webHidden/>
              </w:rPr>
              <w:tab/>
            </w:r>
            <w:r w:rsidR="00D03BF8">
              <w:rPr>
                <w:webHidden/>
              </w:rPr>
              <w:fldChar w:fldCharType="begin"/>
            </w:r>
            <w:r w:rsidR="00D03BF8">
              <w:rPr>
                <w:webHidden/>
              </w:rPr>
              <w:instrText xml:space="preserve"> PAGEREF _Toc57283824 \h </w:instrText>
            </w:r>
            <w:r w:rsidR="00D03BF8">
              <w:rPr>
                <w:webHidden/>
              </w:rPr>
            </w:r>
            <w:r w:rsidR="00D03BF8">
              <w:rPr>
                <w:webHidden/>
              </w:rPr>
              <w:fldChar w:fldCharType="separate"/>
            </w:r>
            <w:r w:rsidR="00722E58">
              <w:rPr>
                <w:webHidden/>
              </w:rPr>
              <w:t>12</w:t>
            </w:r>
            <w:r w:rsidR="00D03BF8">
              <w:rPr>
                <w:webHidden/>
              </w:rPr>
              <w:fldChar w:fldCharType="end"/>
            </w:r>
          </w:hyperlink>
        </w:p>
        <w:p w14:paraId="372A5EA2" w14:textId="0CB5B78A" w:rsidR="00A22F24" w:rsidRDefault="00D03BF8" w:rsidP="007B7B14">
          <w:pPr>
            <w:spacing w:line="360" w:lineRule="auto"/>
          </w:pPr>
          <w:r>
            <w:rPr>
              <w:rFonts w:eastAsiaTheme="minorEastAsia" w:cs="Arial"/>
              <w:noProof/>
              <w:szCs w:val="22"/>
              <w:lang w:eastAsia="en-AU"/>
            </w:rPr>
            <w:fldChar w:fldCharType="end"/>
          </w:r>
        </w:p>
      </w:sdtContent>
    </w:sdt>
    <w:p w14:paraId="6F7D2F4F" w14:textId="516C3B83" w:rsidR="00C472C8" w:rsidRDefault="00C472C8">
      <w:pPr>
        <w:rPr>
          <w:rFonts w:eastAsiaTheme="minorEastAsia"/>
          <w:lang w:val="en-US" w:eastAsia="ja-JP"/>
        </w:rPr>
      </w:pPr>
      <w:r>
        <w:rPr>
          <w:lang w:val="en-US" w:eastAsia="ja-JP"/>
        </w:rPr>
        <w:br w:type="page"/>
      </w:r>
    </w:p>
    <w:p w14:paraId="33C2E105" w14:textId="3F7532B9" w:rsidR="003C7920" w:rsidRDefault="007958AF" w:rsidP="00835EDF">
      <w:pPr>
        <w:pStyle w:val="Heading1"/>
        <w:spacing w:after="240"/>
      </w:pPr>
      <w:bookmarkStart w:id="1" w:name="_Toc450307732"/>
      <w:bookmarkStart w:id="2" w:name="_Toc57283819"/>
      <w:r>
        <w:lastRenderedPageBreak/>
        <w:t>Introduction</w:t>
      </w:r>
      <w:bookmarkEnd w:id="1"/>
      <w:bookmarkEnd w:id="2"/>
    </w:p>
    <w:p w14:paraId="43155832" w14:textId="5ADFDA38" w:rsidR="00827D9A" w:rsidRDefault="000C7140" w:rsidP="00710CEA">
      <w:pPr>
        <w:spacing w:after="120" w:line="360" w:lineRule="auto"/>
        <w:rPr>
          <w:rFonts w:cs="Arial"/>
          <w:color w:val="000000" w:themeColor="text1"/>
          <w:szCs w:val="22"/>
        </w:rPr>
      </w:pPr>
      <w:bookmarkStart w:id="3" w:name="_Toc450741137"/>
      <w:r w:rsidRPr="006020BD">
        <w:rPr>
          <w:rFonts w:cs="Arial"/>
          <w:color w:val="000000" w:themeColor="text1"/>
          <w:szCs w:val="22"/>
        </w:rPr>
        <w:t>The National Centre for Student Equity in Higher Education (NCSEHE) is a research and policy centre funded by the Australian Government Department of Education, Skills and Employment (DESE)</w:t>
      </w:r>
      <w:r w:rsidR="007E4479">
        <w:rPr>
          <w:rFonts w:cs="Arial"/>
          <w:color w:val="000000" w:themeColor="text1"/>
          <w:szCs w:val="22"/>
        </w:rPr>
        <w:t>,</w:t>
      </w:r>
      <w:r w:rsidRPr="006020BD">
        <w:rPr>
          <w:rFonts w:cs="Arial"/>
          <w:color w:val="000000" w:themeColor="text1"/>
          <w:szCs w:val="22"/>
        </w:rPr>
        <w:t xml:space="preserve"> </w:t>
      </w:r>
      <w:r w:rsidR="00C03129">
        <w:rPr>
          <w:rFonts w:cs="Arial"/>
          <w:color w:val="000000" w:themeColor="text1"/>
          <w:szCs w:val="22"/>
        </w:rPr>
        <w:t xml:space="preserve">and </w:t>
      </w:r>
      <w:r w:rsidRPr="006020BD">
        <w:rPr>
          <w:rFonts w:cs="Arial"/>
          <w:color w:val="000000" w:themeColor="text1"/>
          <w:szCs w:val="22"/>
        </w:rPr>
        <w:t xml:space="preserve">based at Curtin University. </w:t>
      </w:r>
      <w:r w:rsidR="00CF3A6F">
        <w:rPr>
          <w:rFonts w:cs="Arial"/>
          <w:color w:val="000000" w:themeColor="text1"/>
          <w:szCs w:val="22"/>
        </w:rPr>
        <w:t>It</w:t>
      </w:r>
      <w:r w:rsidRPr="006020BD">
        <w:rPr>
          <w:rFonts w:cs="Arial"/>
          <w:color w:val="000000" w:themeColor="text1"/>
          <w:szCs w:val="22"/>
        </w:rPr>
        <w:t xml:space="preserve"> provides national leadership in student equity in higher education, connecting research, policy</w:t>
      </w:r>
      <w:r w:rsidR="00AA720D">
        <w:rPr>
          <w:rFonts w:cs="Arial"/>
          <w:color w:val="000000" w:themeColor="text1"/>
          <w:szCs w:val="22"/>
        </w:rPr>
        <w:t>,</w:t>
      </w:r>
      <w:r w:rsidRPr="006020BD">
        <w:rPr>
          <w:rFonts w:cs="Arial"/>
          <w:color w:val="000000" w:themeColor="text1"/>
          <w:szCs w:val="22"/>
        </w:rPr>
        <w:t xml:space="preserve"> and practice</w:t>
      </w:r>
      <w:r w:rsidR="00AE1C38">
        <w:rPr>
          <w:rFonts w:cs="Arial"/>
          <w:color w:val="000000" w:themeColor="text1"/>
          <w:szCs w:val="22"/>
        </w:rPr>
        <w:t>,</w:t>
      </w:r>
      <w:r w:rsidRPr="006020BD">
        <w:rPr>
          <w:rFonts w:cs="Arial"/>
          <w:color w:val="000000" w:themeColor="text1"/>
          <w:szCs w:val="22"/>
        </w:rPr>
        <w:t xml:space="preserve"> to improve higher education participation and success for marginalised and disadvantaged people.</w:t>
      </w:r>
      <w:r w:rsidR="0058667F">
        <w:rPr>
          <w:rFonts w:cs="Arial"/>
          <w:color w:val="000000" w:themeColor="text1"/>
          <w:szCs w:val="22"/>
        </w:rPr>
        <w:t xml:space="preserve"> </w:t>
      </w:r>
    </w:p>
    <w:p w14:paraId="0D1BED0E" w14:textId="21F792BA" w:rsidR="00827D9A" w:rsidRDefault="00D23350" w:rsidP="00710CEA">
      <w:pPr>
        <w:spacing w:after="120" w:line="360" w:lineRule="auto"/>
        <w:rPr>
          <w:rFonts w:cs="Arial"/>
          <w:color w:val="000000" w:themeColor="text1"/>
          <w:szCs w:val="22"/>
        </w:rPr>
      </w:pPr>
      <w:r w:rsidRPr="007B7B14">
        <w:rPr>
          <w:rFonts w:cs="Arial"/>
          <w:iCs/>
          <w:szCs w:val="22"/>
        </w:rPr>
        <w:t xml:space="preserve">The NCSEHE would like to thank the DESE for this opportunity to provide </w:t>
      </w:r>
      <w:r>
        <w:rPr>
          <w:rFonts w:cs="Arial"/>
          <w:iCs/>
          <w:szCs w:val="22"/>
        </w:rPr>
        <w:t xml:space="preserve">a </w:t>
      </w:r>
      <w:r w:rsidR="003418FA">
        <w:rPr>
          <w:rFonts w:cs="Arial"/>
          <w:iCs/>
          <w:szCs w:val="22"/>
        </w:rPr>
        <w:t>submission</w:t>
      </w:r>
      <w:r>
        <w:rPr>
          <w:rFonts w:cs="Arial"/>
          <w:iCs/>
          <w:szCs w:val="22"/>
        </w:rPr>
        <w:t xml:space="preserve"> to</w:t>
      </w:r>
      <w:r w:rsidRPr="007B7B14">
        <w:rPr>
          <w:rFonts w:cs="Arial"/>
          <w:iCs/>
          <w:szCs w:val="22"/>
        </w:rPr>
        <w:t xml:space="preserve"> </w:t>
      </w:r>
      <w:r>
        <w:rPr>
          <w:rFonts w:cs="Arial"/>
          <w:iCs/>
          <w:szCs w:val="22"/>
        </w:rPr>
        <w:t xml:space="preserve">the </w:t>
      </w:r>
      <w:r w:rsidRPr="000862D3">
        <w:rPr>
          <w:rFonts w:cs="Arial"/>
          <w:i/>
          <w:szCs w:val="22"/>
        </w:rPr>
        <w:t>2020 Review of the Disability Standards for Education 2005</w:t>
      </w:r>
      <w:r>
        <w:rPr>
          <w:rFonts w:cs="Arial"/>
          <w:i/>
          <w:szCs w:val="22"/>
        </w:rPr>
        <w:t xml:space="preserve">. </w:t>
      </w:r>
    </w:p>
    <w:p w14:paraId="4C277508" w14:textId="6346E3F7" w:rsidR="00B64C9D" w:rsidRPr="00827D9A" w:rsidRDefault="00D23350" w:rsidP="00710CEA">
      <w:pPr>
        <w:spacing w:after="120" w:line="360" w:lineRule="auto"/>
        <w:rPr>
          <w:rFonts w:cs="Arial"/>
          <w:color w:val="000000" w:themeColor="text1"/>
          <w:szCs w:val="22"/>
        </w:rPr>
      </w:pPr>
      <w:r w:rsidRPr="00FD0453">
        <w:rPr>
          <w:rFonts w:cs="Arial"/>
          <w:iCs/>
          <w:szCs w:val="22"/>
        </w:rPr>
        <w:t>Th</w:t>
      </w:r>
      <w:r w:rsidR="003418FA">
        <w:rPr>
          <w:rFonts w:cs="Arial"/>
          <w:iCs/>
          <w:szCs w:val="22"/>
        </w:rPr>
        <w:t>is</w:t>
      </w:r>
      <w:r w:rsidRPr="00FD0453">
        <w:rPr>
          <w:rFonts w:cs="Arial"/>
          <w:iCs/>
          <w:szCs w:val="22"/>
        </w:rPr>
        <w:t xml:space="preserve"> </w:t>
      </w:r>
      <w:r w:rsidR="003418FA">
        <w:rPr>
          <w:rFonts w:cs="Arial"/>
          <w:iCs/>
          <w:szCs w:val="22"/>
        </w:rPr>
        <w:t>submission</w:t>
      </w:r>
      <w:r w:rsidRPr="00FD0453">
        <w:rPr>
          <w:rFonts w:cs="Arial"/>
          <w:iCs/>
          <w:szCs w:val="22"/>
        </w:rPr>
        <w:t xml:space="preserve"> draws on the </w:t>
      </w:r>
      <w:r w:rsidRPr="001B59D8">
        <w:rPr>
          <w:rFonts w:cs="Arial"/>
          <w:iCs/>
          <w:szCs w:val="22"/>
        </w:rPr>
        <w:t>NCSEHE</w:t>
      </w:r>
      <w:r w:rsidR="00676A55" w:rsidRPr="001B59D8">
        <w:rPr>
          <w:rFonts w:cs="Arial"/>
          <w:iCs/>
          <w:szCs w:val="22"/>
        </w:rPr>
        <w:t>’s</w:t>
      </w:r>
      <w:r w:rsidRPr="001B59D8">
        <w:rPr>
          <w:rFonts w:cs="Arial"/>
          <w:iCs/>
          <w:szCs w:val="22"/>
        </w:rPr>
        <w:t xml:space="preserve"> </w:t>
      </w:r>
      <w:hyperlink r:id="rId13" w:tooltip="Discussion Paper on the 2020 Review of the Disability Standards for Education 2005" w:history="1">
        <w:r w:rsidR="00DB0C74" w:rsidRPr="00435A07">
          <w:rPr>
            <w:rStyle w:val="Hyperlink"/>
            <w:rFonts w:cs="Arial"/>
            <w:i/>
            <w:szCs w:val="22"/>
          </w:rPr>
          <w:t>D</w:t>
        </w:r>
        <w:r w:rsidRPr="00435A07">
          <w:rPr>
            <w:rStyle w:val="Hyperlink"/>
            <w:rFonts w:cs="Arial"/>
            <w:i/>
            <w:szCs w:val="22"/>
          </w:rPr>
          <w:t xml:space="preserve">iscussion </w:t>
        </w:r>
        <w:r w:rsidR="00DB0C74" w:rsidRPr="00435A07">
          <w:rPr>
            <w:rStyle w:val="Hyperlink"/>
            <w:rFonts w:cs="Arial"/>
            <w:i/>
            <w:szCs w:val="22"/>
          </w:rPr>
          <w:t>P</w:t>
        </w:r>
        <w:r w:rsidRPr="00435A07">
          <w:rPr>
            <w:rStyle w:val="Hyperlink"/>
            <w:rFonts w:cs="Arial"/>
            <w:i/>
            <w:szCs w:val="22"/>
          </w:rPr>
          <w:t xml:space="preserve">aper on </w:t>
        </w:r>
        <w:r w:rsidR="00AA720D" w:rsidRPr="00435A07">
          <w:rPr>
            <w:rStyle w:val="Hyperlink"/>
            <w:rFonts w:cs="Arial"/>
            <w:i/>
            <w:szCs w:val="22"/>
          </w:rPr>
          <w:t>the 2020 Review of the Disability Standards for Education 2005</w:t>
        </w:r>
      </w:hyperlink>
      <w:r w:rsidR="00CA18EB" w:rsidRPr="00435A07">
        <w:rPr>
          <w:rFonts w:cs="Arial"/>
          <w:i/>
          <w:szCs w:val="22"/>
        </w:rPr>
        <w:t xml:space="preserve"> </w:t>
      </w:r>
      <w:r w:rsidRPr="00FD0453">
        <w:rPr>
          <w:rFonts w:cs="Arial"/>
          <w:iCs/>
          <w:szCs w:val="22"/>
        </w:rPr>
        <w:t>(</w:t>
      </w:r>
      <w:r w:rsidRPr="00FD0453">
        <w:rPr>
          <w:rFonts w:cs="Arial"/>
          <w:szCs w:val="22"/>
        </w:rPr>
        <w:t>National Centre for Student Equity in Higher Education, 2020a).</w:t>
      </w:r>
      <w:r w:rsidR="00727041">
        <w:rPr>
          <w:rFonts w:cs="Arial"/>
          <w:szCs w:val="22"/>
        </w:rPr>
        <w:t xml:space="preserve"> Th</w:t>
      </w:r>
      <w:r w:rsidR="00A4759C">
        <w:rPr>
          <w:rFonts w:cs="Arial"/>
          <w:szCs w:val="22"/>
        </w:rPr>
        <w:t>e</w:t>
      </w:r>
      <w:r w:rsidR="00727041">
        <w:rPr>
          <w:rFonts w:cs="Arial"/>
          <w:szCs w:val="22"/>
        </w:rPr>
        <w:t xml:space="preserve"> </w:t>
      </w:r>
      <w:r w:rsidR="00A4759C">
        <w:rPr>
          <w:rFonts w:cs="Arial"/>
          <w:szCs w:val="22"/>
        </w:rPr>
        <w:t xml:space="preserve">discussion </w:t>
      </w:r>
      <w:r w:rsidR="00536C5A">
        <w:rPr>
          <w:rFonts w:cs="Arial"/>
          <w:szCs w:val="22"/>
        </w:rPr>
        <w:t xml:space="preserve">paper </w:t>
      </w:r>
      <w:r w:rsidR="00727041">
        <w:rPr>
          <w:rFonts w:cs="Arial"/>
          <w:szCs w:val="22"/>
        </w:rPr>
        <w:t xml:space="preserve">should be consulted for an expanded </w:t>
      </w:r>
      <w:r w:rsidR="00AA720D">
        <w:rPr>
          <w:rFonts w:cs="Arial"/>
          <w:szCs w:val="22"/>
        </w:rPr>
        <w:t>briefing</w:t>
      </w:r>
      <w:r w:rsidR="00727041">
        <w:rPr>
          <w:rFonts w:cs="Arial"/>
          <w:szCs w:val="22"/>
        </w:rPr>
        <w:t xml:space="preserve"> of the issues </w:t>
      </w:r>
      <w:r w:rsidR="00AE1C38">
        <w:rPr>
          <w:rFonts w:cs="Arial"/>
          <w:szCs w:val="22"/>
        </w:rPr>
        <w:t>addressed</w:t>
      </w:r>
      <w:r w:rsidR="00DC4972">
        <w:rPr>
          <w:rFonts w:cs="Arial"/>
          <w:szCs w:val="22"/>
        </w:rPr>
        <w:t xml:space="preserve"> </w:t>
      </w:r>
      <w:r w:rsidR="00E10872">
        <w:rPr>
          <w:rFonts w:cs="Arial"/>
          <w:szCs w:val="22"/>
        </w:rPr>
        <w:t xml:space="preserve">here </w:t>
      </w:r>
      <w:r w:rsidR="00DC4972">
        <w:rPr>
          <w:rFonts w:cs="Arial"/>
          <w:szCs w:val="22"/>
        </w:rPr>
        <w:t xml:space="preserve">in relation to the Disability Standards </w:t>
      </w:r>
      <w:r w:rsidR="00570810">
        <w:rPr>
          <w:rFonts w:cs="Arial"/>
          <w:szCs w:val="22"/>
        </w:rPr>
        <w:t>for</w:t>
      </w:r>
      <w:r w:rsidR="00DC4972">
        <w:rPr>
          <w:rFonts w:cs="Arial"/>
          <w:szCs w:val="22"/>
        </w:rPr>
        <w:t xml:space="preserve"> Education (</w:t>
      </w:r>
      <w:r w:rsidR="001F42DE">
        <w:rPr>
          <w:rFonts w:cs="Arial"/>
          <w:szCs w:val="22"/>
        </w:rPr>
        <w:t>“the Standards”</w:t>
      </w:r>
      <w:r w:rsidR="00DC4972">
        <w:rPr>
          <w:rFonts w:cs="Arial"/>
          <w:szCs w:val="22"/>
        </w:rPr>
        <w:t>).</w:t>
      </w:r>
      <w:r w:rsidR="00727041">
        <w:rPr>
          <w:rFonts w:cs="Arial"/>
          <w:szCs w:val="22"/>
        </w:rPr>
        <w:t xml:space="preserve"> </w:t>
      </w:r>
    </w:p>
    <w:p w14:paraId="0F5B516C" w14:textId="4CD8F3AC" w:rsidR="00374CC9" w:rsidRDefault="00E56015" w:rsidP="00710CEA">
      <w:pPr>
        <w:spacing w:after="120" w:line="360" w:lineRule="auto"/>
        <w:rPr>
          <w:rFonts w:cs="Arial"/>
          <w:iCs/>
          <w:szCs w:val="22"/>
        </w:rPr>
      </w:pPr>
      <w:r>
        <w:rPr>
          <w:rFonts w:cs="Arial"/>
          <w:iCs/>
          <w:szCs w:val="22"/>
        </w:rPr>
        <w:t>The NCSEHE endorses an approach to higher education policy that is grounded in inclusive participation.</w:t>
      </w:r>
      <w:r w:rsidR="004E33BB">
        <w:rPr>
          <w:rFonts w:cs="Arial"/>
          <w:iCs/>
          <w:szCs w:val="22"/>
        </w:rPr>
        <w:t xml:space="preserve"> </w:t>
      </w:r>
      <w:r w:rsidRPr="007B7B14">
        <w:rPr>
          <w:rFonts w:cs="Arial"/>
          <w:iCs/>
          <w:szCs w:val="22"/>
        </w:rPr>
        <w:t xml:space="preserve">In February 2019, </w:t>
      </w:r>
      <w:r w:rsidR="00B9148E">
        <w:rPr>
          <w:rFonts w:cs="Arial"/>
          <w:iCs/>
          <w:szCs w:val="22"/>
        </w:rPr>
        <w:t>it</w:t>
      </w:r>
      <w:r>
        <w:rPr>
          <w:rFonts w:cs="Arial"/>
          <w:iCs/>
          <w:szCs w:val="22"/>
        </w:rPr>
        <w:t xml:space="preserve"> </w:t>
      </w:r>
      <w:r w:rsidRPr="007B7B14">
        <w:rPr>
          <w:rFonts w:cs="Arial"/>
          <w:iCs/>
          <w:szCs w:val="22"/>
        </w:rPr>
        <w:t xml:space="preserve">released a report outlining a series of principles for equity policy over the </w:t>
      </w:r>
      <w:r w:rsidRPr="00BD1D01">
        <w:rPr>
          <w:rFonts w:cs="Arial"/>
          <w:iCs/>
          <w:szCs w:val="22"/>
        </w:rPr>
        <w:t>next decade</w:t>
      </w:r>
      <w:r w:rsidR="0092208F">
        <w:rPr>
          <w:rFonts w:cs="Arial"/>
          <w:iCs/>
          <w:szCs w:val="22"/>
        </w:rPr>
        <w:t>,</w:t>
      </w:r>
      <w:r w:rsidRPr="00BD1D01">
        <w:rPr>
          <w:rFonts w:cs="Arial"/>
          <w:iCs/>
          <w:szCs w:val="22"/>
        </w:rPr>
        <w:t xml:space="preserve"> </w:t>
      </w:r>
      <w:r w:rsidRPr="00BD1D01">
        <w:rPr>
          <w:rFonts w:cs="Arial"/>
          <w:i/>
          <w:iCs/>
          <w:szCs w:val="22"/>
        </w:rPr>
        <w:t>The Best Chance for All</w:t>
      </w:r>
      <w:r w:rsidR="004525D3">
        <w:rPr>
          <w:rFonts w:cs="Arial"/>
          <w:i/>
          <w:iCs/>
          <w:szCs w:val="22"/>
        </w:rPr>
        <w:t>: Student Equity 2030</w:t>
      </w:r>
      <w:r w:rsidR="004525D3">
        <w:rPr>
          <w:rFonts w:cs="Arial"/>
          <w:szCs w:val="22"/>
        </w:rPr>
        <w:t xml:space="preserve"> (Zacharias &amp; Brett, 2019)</w:t>
      </w:r>
      <w:r w:rsidRPr="00BD1D01">
        <w:rPr>
          <w:rFonts w:cs="Arial"/>
          <w:noProof/>
          <w:szCs w:val="22"/>
        </w:rPr>
        <w:t>.</w:t>
      </w:r>
      <w:r w:rsidRPr="00BD1D01">
        <w:rPr>
          <w:rFonts w:cs="Arial"/>
          <w:iCs/>
          <w:szCs w:val="22"/>
        </w:rPr>
        <w:t xml:space="preserve"> </w:t>
      </w:r>
      <w:r>
        <w:rPr>
          <w:rFonts w:cs="Arial"/>
          <w:szCs w:val="22"/>
        </w:rPr>
        <w:t xml:space="preserve">This vision is underpinned by an understanding </w:t>
      </w:r>
      <w:r>
        <w:rPr>
          <w:rFonts w:cs="Arial"/>
          <w:iCs/>
          <w:szCs w:val="22"/>
        </w:rPr>
        <w:t>that</w:t>
      </w:r>
      <w:r w:rsidRPr="007B7B14">
        <w:rPr>
          <w:rFonts w:cs="Arial"/>
          <w:iCs/>
          <w:szCs w:val="22"/>
        </w:rPr>
        <w:t xml:space="preserve"> all people</w:t>
      </w:r>
      <w:r>
        <w:rPr>
          <w:rFonts w:cs="Arial"/>
          <w:iCs/>
          <w:szCs w:val="22"/>
        </w:rPr>
        <w:t xml:space="preserve"> in Australia</w:t>
      </w:r>
      <w:r w:rsidRPr="007B7B14">
        <w:rPr>
          <w:rFonts w:cs="Arial"/>
          <w:iCs/>
          <w:szCs w:val="22"/>
        </w:rPr>
        <w:t>, who</w:t>
      </w:r>
      <w:r>
        <w:rPr>
          <w:rFonts w:cs="Arial"/>
          <w:iCs/>
          <w:szCs w:val="22"/>
        </w:rPr>
        <w:t>m</w:t>
      </w:r>
      <w:r w:rsidRPr="007B7B14">
        <w:rPr>
          <w:rFonts w:cs="Arial"/>
          <w:iCs/>
          <w:szCs w:val="22"/>
        </w:rPr>
        <w:t xml:space="preserve">ever and wherever they are, </w:t>
      </w:r>
      <w:r>
        <w:rPr>
          <w:rFonts w:cs="Arial"/>
          <w:iCs/>
          <w:szCs w:val="22"/>
        </w:rPr>
        <w:t xml:space="preserve">are provided with the opportunity to </w:t>
      </w:r>
      <w:r w:rsidRPr="007B7B14">
        <w:rPr>
          <w:rFonts w:cs="Arial"/>
          <w:iCs/>
          <w:noProof/>
          <w:szCs w:val="22"/>
        </w:rPr>
        <w:t>successfully engage in beneficial and lifelong learning</w:t>
      </w:r>
      <w:r w:rsidR="00470886">
        <w:rPr>
          <w:rFonts w:cs="Arial"/>
          <w:iCs/>
          <w:noProof/>
          <w:szCs w:val="22"/>
        </w:rPr>
        <w:t xml:space="preserve"> </w:t>
      </w:r>
      <w:r w:rsidR="00252E01">
        <w:rPr>
          <w:rFonts w:cs="Arial"/>
          <w:iCs/>
          <w:noProof/>
          <w:szCs w:val="22"/>
        </w:rPr>
        <w:t>in a</w:t>
      </w:r>
      <w:r w:rsidR="00470886">
        <w:rPr>
          <w:rFonts w:cs="Arial"/>
          <w:iCs/>
          <w:noProof/>
          <w:szCs w:val="22"/>
        </w:rPr>
        <w:t xml:space="preserve"> higher education</w:t>
      </w:r>
      <w:r w:rsidR="00252E01">
        <w:rPr>
          <w:rFonts w:cs="Arial"/>
          <w:iCs/>
          <w:noProof/>
          <w:szCs w:val="22"/>
        </w:rPr>
        <w:t xml:space="preserve"> system that is responsive to its community, inclusive, and accountable</w:t>
      </w:r>
      <w:r w:rsidR="000135F1">
        <w:rPr>
          <w:rFonts w:cs="Arial"/>
          <w:iCs/>
          <w:noProof/>
          <w:szCs w:val="22"/>
        </w:rPr>
        <w:t>.</w:t>
      </w:r>
      <w:r w:rsidRPr="007B7B14">
        <w:rPr>
          <w:rFonts w:cs="Arial"/>
          <w:iCs/>
          <w:szCs w:val="22"/>
        </w:rPr>
        <w:t xml:space="preserve"> </w:t>
      </w:r>
    </w:p>
    <w:p w14:paraId="3B45F516" w14:textId="314D3E26" w:rsidR="003D5789" w:rsidRDefault="00374CC9" w:rsidP="00710CEA">
      <w:pPr>
        <w:spacing w:after="120" w:line="360" w:lineRule="auto"/>
        <w:rPr>
          <w:rFonts w:cs="Arial"/>
          <w:iCs/>
          <w:szCs w:val="22"/>
        </w:rPr>
      </w:pPr>
      <w:r w:rsidRPr="00374CC9">
        <w:rPr>
          <w:rFonts w:cs="Arial"/>
          <w:iCs/>
          <w:szCs w:val="22"/>
        </w:rPr>
        <w:t xml:space="preserve">Based on </w:t>
      </w:r>
      <w:r w:rsidR="00A4759C">
        <w:rPr>
          <w:rFonts w:cs="Arial"/>
          <w:iCs/>
          <w:szCs w:val="22"/>
        </w:rPr>
        <w:t xml:space="preserve">NCSEHE </w:t>
      </w:r>
      <w:r w:rsidRPr="00374CC9">
        <w:rPr>
          <w:rFonts w:cs="Arial"/>
          <w:iCs/>
          <w:szCs w:val="22"/>
        </w:rPr>
        <w:t>research and policy work</w:t>
      </w:r>
      <w:r w:rsidR="00A4759C">
        <w:rPr>
          <w:rFonts w:cs="Arial"/>
          <w:iCs/>
          <w:szCs w:val="22"/>
        </w:rPr>
        <w:t>,</w:t>
      </w:r>
      <w:r w:rsidRPr="00374CC9">
        <w:rPr>
          <w:rFonts w:cs="Arial"/>
          <w:iCs/>
          <w:szCs w:val="22"/>
        </w:rPr>
        <w:t xml:space="preserve"> </w:t>
      </w:r>
      <w:r w:rsidR="00A4759C">
        <w:rPr>
          <w:rFonts w:cs="Arial"/>
          <w:iCs/>
          <w:szCs w:val="22"/>
        </w:rPr>
        <w:t xml:space="preserve">and </w:t>
      </w:r>
      <w:r w:rsidR="00AA720D">
        <w:rPr>
          <w:rFonts w:cs="Arial"/>
          <w:iCs/>
          <w:szCs w:val="22"/>
        </w:rPr>
        <w:t xml:space="preserve">in </w:t>
      </w:r>
      <w:r w:rsidRPr="00374CC9">
        <w:rPr>
          <w:rFonts w:cs="Arial"/>
          <w:iCs/>
          <w:szCs w:val="22"/>
        </w:rPr>
        <w:t xml:space="preserve">consultation with equity stakeholders in Australian higher education, the NCSEHE proposes </w:t>
      </w:r>
      <w:r w:rsidR="00BC65CF">
        <w:rPr>
          <w:rFonts w:cs="Arial"/>
          <w:b/>
          <w:bCs/>
          <w:iCs/>
          <w:szCs w:val="22"/>
        </w:rPr>
        <w:t>10</w:t>
      </w:r>
      <w:r w:rsidR="00BC65CF" w:rsidRPr="00374CC9">
        <w:rPr>
          <w:rFonts w:cs="Arial"/>
          <w:b/>
          <w:bCs/>
          <w:iCs/>
          <w:szCs w:val="22"/>
        </w:rPr>
        <w:t xml:space="preserve"> </w:t>
      </w:r>
      <w:r w:rsidRPr="00374CC9">
        <w:rPr>
          <w:rFonts w:cs="Arial"/>
          <w:b/>
          <w:bCs/>
          <w:iCs/>
          <w:szCs w:val="22"/>
        </w:rPr>
        <w:t>recommendations</w:t>
      </w:r>
      <w:r w:rsidRPr="00374CC9">
        <w:rPr>
          <w:rFonts w:cs="Arial"/>
          <w:iCs/>
          <w:szCs w:val="22"/>
        </w:rPr>
        <w:t xml:space="preserve"> to increase the relevance and impact of the </w:t>
      </w:r>
      <w:r w:rsidR="005F1DDC">
        <w:rPr>
          <w:rFonts w:cs="Arial"/>
          <w:iCs/>
          <w:szCs w:val="22"/>
        </w:rPr>
        <w:t>S</w:t>
      </w:r>
      <w:r w:rsidR="00327863">
        <w:rPr>
          <w:rFonts w:cs="Arial"/>
          <w:iCs/>
          <w:szCs w:val="22"/>
        </w:rPr>
        <w:t>tandards</w:t>
      </w:r>
      <w:r w:rsidRPr="00374CC9">
        <w:rPr>
          <w:rFonts w:cs="Arial"/>
          <w:iCs/>
          <w:szCs w:val="22"/>
        </w:rPr>
        <w:t>.</w:t>
      </w:r>
    </w:p>
    <w:p w14:paraId="764843AD" w14:textId="77777777" w:rsidR="00A92321" w:rsidRDefault="00A92321">
      <w:pPr>
        <w:spacing w:after="120" w:line="360" w:lineRule="auto"/>
        <w:rPr>
          <w:rFonts w:ascii="SansaSoft Pro SemiBold" w:eastAsiaTheme="majorEastAsia" w:hAnsi="SansaSoft Pro SemiBold" w:cstheme="majorBidi"/>
          <w:b/>
          <w:bCs/>
          <w:color w:val="B58C0A"/>
          <w:sz w:val="28"/>
          <w:szCs w:val="28"/>
        </w:rPr>
      </w:pPr>
      <w:r>
        <w:br w:type="page"/>
      </w:r>
    </w:p>
    <w:p w14:paraId="65F6A321" w14:textId="6FADB6BC" w:rsidR="0084499E" w:rsidRDefault="0084499E" w:rsidP="00835EDF">
      <w:pPr>
        <w:pStyle w:val="Heading1"/>
        <w:spacing w:after="240"/>
      </w:pPr>
      <w:bookmarkStart w:id="4" w:name="_Toc57283820"/>
      <w:r w:rsidRPr="0084499E">
        <w:lastRenderedPageBreak/>
        <w:t>Disability in</w:t>
      </w:r>
      <w:r w:rsidR="002C447A">
        <w:t xml:space="preserve"> Australian</w:t>
      </w:r>
      <w:r w:rsidRPr="0084499E">
        <w:t xml:space="preserve"> Higher Education</w:t>
      </w:r>
      <w:bookmarkEnd w:id="4"/>
    </w:p>
    <w:p w14:paraId="70D96AE1" w14:textId="4E76B4C4" w:rsidR="00DB617F" w:rsidRDefault="00DB617F" w:rsidP="00DB617F">
      <w:pPr>
        <w:spacing w:after="120" w:line="360" w:lineRule="auto"/>
        <w:rPr>
          <w:rFonts w:cs="Arial"/>
          <w:szCs w:val="22"/>
        </w:rPr>
      </w:pPr>
      <w:r>
        <w:rPr>
          <w:rFonts w:cs="Arial"/>
          <w:szCs w:val="22"/>
        </w:rPr>
        <w:t xml:space="preserve">The NCSEHE </w:t>
      </w:r>
      <w:r w:rsidR="00A03DBE">
        <w:rPr>
          <w:rFonts w:cs="Arial"/>
          <w:szCs w:val="22"/>
        </w:rPr>
        <w:t>contends</w:t>
      </w:r>
      <w:r w:rsidR="00C21441">
        <w:rPr>
          <w:rFonts w:cs="Arial"/>
          <w:szCs w:val="22"/>
        </w:rPr>
        <w:t xml:space="preserve"> </w:t>
      </w:r>
      <w:r>
        <w:rPr>
          <w:rFonts w:cs="Arial"/>
          <w:szCs w:val="22"/>
        </w:rPr>
        <w:t>that</w:t>
      </w:r>
      <w:r w:rsidRPr="000F26ED">
        <w:rPr>
          <w:rFonts w:cs="Arial"/>
          <w:szCs w:val="22"/>
        </w:rPr>
        <w:t xml:space="preserve"> responsibility </w:t>
      </w:r>
      <w:r>
        <w:rPr>
          <w:rFonts w:cs="Arial"/>
          <w:szCs w:val="22"/>
        </w:rPr>
        <w:t>for</w:t>
      </w:r>
      <w:r w:rsidRPr="000F26ED">
        <w:rPr>
          <w:rFonts w:cs="Arial"/>
          <w:szCs w:val="22"/>
        </w:rPr>
        <w:t xml:space="preserve"> complying with the </w:t>
      </w:r>
      <w:r w:rsidR="00327863">
        <w:rPr>
          <w:rFonts w:cs="Arial"/>
          <w:szCs w:val="22"/>
        </w:rPr>
        <w:t>Standards</w:t>
      </w:r>
      <w:r w:rsidR="00AD2B35">
        <w:rPr>
          <w:rFonts w:cs="Arial"/>
          <w:szCs w:val="22"/>
        </w:rPr>
        <w:t xml:space="preserve"> </w:t>
      </w:r>
      <w:r>
        <w:rPr>
          <w:rFonts w:cs="Arial"/>
          <w:szCs w:val="22"/>
        </w:rPr>
        <w:t>should lie with</w:t>
      </w:r>
      <w:r w:rsidRPr="000F26ED">
        <w:rPr>
          <w:rFonts w:cs="Arial"/>
          <w:szCs w:val="22"/>
        </w:rPr>
        <w:t xml:space="preserve"> institutions</w:t>
      </w:r>
      <w:r w:rsidR="00C43AC2">
        <w:rPr>
          <w:rFonts w:cs="Arial"/>
          <w:szCs w:val="22"/>
        </w:rPr>
        <w:t>.</w:t>
      </w:r>
      <w:r w:rsidRPr="000F26ED">
        <w:rPr>
          <w:rFonts w:cs="Arial"/>
          <w:szCs w:val="22"/>
        </w:rPr>
        <w:t xml:space="preserve"> </w:t>
      </w:r>
      <w:r w:rsidR="00C43AC2">
        <w:rPr>
          <w:rFonts w:cs="Arial"/>
          <w:szCs w:val="22"/>
        </w:rPr>
        <w:t>C</w:t>
      </w:r>
      <w:r>
        <w:rPr>
          <w:rFonts w:cs="Arial"/>
          <w:szCs w:val="22"/>
        </w:rPr>
        <w:t xml:space="preserve">ompliance </w:t>
      </w:r>
      <w:r w:rsidR="00C43AC2">
        <w:rPr>
          <w:rFonts w:cs="Arial"/>
          <w:szCs w:val="22"/>
        </w:rPr>
        <w:t>with</w:t>
      </w:r>
      <w:r w:rsidR="00456EE6">
        <w:rPr>
          <w:rFonts w:cs="Arial"/>
          <w:szCs w:val="22"/>
        </w:rPr>
        <w:t xml:space="preserve"> the </w:t>
      </w:r>
      <w:r w:rsidR="00AD2B35">
        <w:rPr>
          <w:rFonts w:cs="Arial"/>
          <w:szCs w:val="22"/>
        </w:rPr>
        <w:t>S</w:t>
      </w:r>
      <w:r w:rsidR="00456EE6">
        <w:rPr>
          <w:rFonts w:cs="Arial"/>
          <w:szCs w:val="22"/>
        </w:rPr>
        <w:t xml:space="preserve">tandards </w:t>
      </w:r>
      <w:r>
        <w:rPr>
          <w:rFonts w:cs="Arial"/>
          <w:szCs w:val="22"/>
        </w:rPr>
        <w:t xml:space="preserve">should </w:t>
      </w:r>
      <w:r w:rsidRPr="000F26ED">
        <w:rPr>
          <w:rFonts w:cs="Arial"/>
          <w:szCs w:val="22"/>
        </w:rPr>
        <w:t xml:space="preserve">be proactive rather than reactive </w:t>
      </w:r>
      <w:r w:rsidR="00456EE6">
        <w:rPr>
          <w:rFonts w:cs="Arial"/>
          <w:szCs w:val="22"/>
        </w:rPr>
        <w:t xml:space="preserve">and </w:t>
      </w:r>
      <w:r w:rsidRPr="000F26ED">
        <w:rPr>
          <w:rFonts w:cs="Arial"/>
          <w:szCs w:val="22"/>
        </w:rPr>
        <w:t>include a whole-of-institution approach to disability that considers an institution’s culture and environment.</w:t>
      </w:r>
      <w:r>
        <w:rPr>
          <w:rFonts w:cs="Arial"/>
          <w:szCs w:val="22"/>
        </w:rPr>
        <w:t xml:space="preserve"> </w:t>
      </w:r>
    </w:p>
    <w:p w14:paraId="71EAD9CD" w14:textId="290EB4F4" w:rsidR="004A4756" w:rsidRDefault="00DB617F" w:rsidP="00C25F1A">
      <w:pPr>
        <w:spacing w:after="120" w:line="360" w:lineRule="auto"/>
        <w:rPr>
          <w:rFonts w:cs="Arial"/>
          <w:szCs w:val="22"/>
        </w:rPr>
      </w:pPr>
      <w:r>
        <w:rPr>
          <w:rFonts w:cs="Arial"/>
          <w:szCs w:val="22"/>
        </w:rPr>
        <w:t>However, while institutional responses can be induced through structural approaches, t</w:t>
      </w:r>
      <w:r w:rsidRPr="006B64F7">
        <w:rPr>
          <w:rFonts w:cs="Arial"/>
          <w:szCs w:val="22"/>
        </w:rPr>
        <w:t>here is</w:t>
      </w:r>
      <w:r>
        <w:rPr>
          <w:rFonts w:cs="Arial"/>
          <w:szCs w:val="22"/>
        </w:rPr>
        <w:t xml:space="preserve"> presently</w:t>
      </w:r>
      <w:r w:rsidRPr="006B64F7">
        <w:rPr>
          <w:rFonts w:cs="Arial"/>
          <w:szCs w:val="22"/>
        </w:rPr>
        <w:t xml:space="preserve"> no mechanism to ensure that </w:t>
      </w:r>
      <w:r>
        <w:rPr>
          <w:rFonts w:cs="Arial"/>
          <w:szCs w:val="22"/>
        </w:rPr>
        <w:t>higher education providers</w:t>
      </w:r>
      <w:r w:rsidRPr="006B64F7">
        <w:rPr>
          <w:rFonts w:cs="Arial"/>
          <w:szCs w:val="22"/>
        </w:rPr>
        <w:t xml:space="preserve"> comply with the </w:t>
      </w:r>
      <w:r w:rsidR="002E3301">
        <w:rPr>
          <w:rFonts w:cs="Arial"/>
          <w:szCs w:val="22"/>
        </w:rPr>
        <w:t>Standards</w:t>
      </w:r>
      <w:r>
        <w:rPr>
          <w:rFonts w:cs="Arial"/>
          <w:szCs w:val="22"/>
        </w:rPr>
        <w:t xml:space="preserve">. </w:t>
      </w:r>
      <w:r w:rsidR="00172BA6">
        <w:rPr>
          <w:rFonts w:cs="Arial"/>
          <w:szCs w:val="22"/>
        </w:rPr>
        <w:t>In a</w:t>
      </w:r>
      <w:r w:rsidR="00187E73">
        <w:rPr>
          <w:rFonts w:cs="Arial"/>
          <w:szCs w:val="22"/>
        </w:rPr>
        <w:t xml:space="preserve"> recent</w:t>
      </w:r>
      <w:r w:rsidR="0056485B">
        <w:rPr>
          <w:rFonts w:cs="Arial"/>
          <w:szCs w:val="22"/>
        </w:rPr>
        <w:t xml:space="preserve"> </w:t>
      </w:r>
      <w:r w:rsidR="00172BA6">
        <w:rPr>
          <w:rFonts w:cs="Arial"/>
          <w:szCs w:val="22"/>
        </w:rPr>
        <w:t xml:space="preserve">NCSEHE-funded </w:t>
      </w:r>
      <w:r w:rsidR="0056485B">
        <w:rPr>
          <w:rFonts w:cs="Arial"/>
          <w:szCs w:val="22"/>
        </w:rPr>
        <w:t>study</w:t>
      </w:r>
      <w:r w:rsidR="00172BA6">
        <w:rPr>
          <w:rFonts w:cs="Arial"/>
          <w:szCs w:val="22"/>
        </w:rPr>
        <w:t xml:space="preserve">, Naylor </w:t>
      </w:r>
      <w:r w:rsidR="00BC65CF">
        <w:rPr>
          <w:rFonts w:cs="Arial"/>
          <w:szCs w:val="22"/>
        </w:rPr>
        <w:t xml:space="preserve">and </w:t>
      </w:r>
      <w:r w:rsidR="00C760F9">
        <w:rPr>
          <w:rFonts w:cs="Arial"/>
          <w:szCs w:val="22"/>
        </w:rPr>
        <w:t xml:space="preserve">Mifsud (2019) examined </w:t>
      </w:r>
      <w:r w:rsidR="00C42086">
        <w:rPr>
          <w:rFonts w:cs="Arial"/>
          <w:szCs w:val="22"/>
        </w:rPr>
        <w:t>institutional cultural responses to structural inequality</w:t>
      </w:r>
      <w:r w:rsidR="009702EC">
        <w:rPr>
          <w:rFonts w:cs="Arial"/>
          <w:szCs w:val="22"/>
        </w:rPr>
        <w:t xml:space="preserve"> and identified</w:t>
      </w:r>
      <w:r w:rsidR="00671C47">
        <w:rPr>
          <w:rFonts w:cs="Arial"/>
          <w:szCs w:val="22"/>
        </w:rPr>
        <w:t xml:space="preserve"> </w:t>
      </w:r>
      <w:r w:rsidR="00891F82">
        <w:rPr>
          <w:rFonts w:cs="Arial"/>
          <w:i/>
          <w:iCs/>
          <w:szCs w:val="22"/>
        </w:rPr>
        <w:t>Structurally Enabling</w:t>
      </w:r>
      <w:r w:rsidR="00891F82">
        <w:rPr>
          <w:rFonts w:cs="Arial"/>
          <w:szCs w:val="22"/>
        </w:rPr>
        <w:t xml:space="preserve"> approach</w:t>
      </w:r>
      <w:r w:rsidR="00671C47">
        <w:rPr>
          <w:rFonts w:cs="Arial"/>
          <w:szCs w:val="22"/>
        </w:rPr>
        <w:t>es</w:t>
      </w:r>
      <w:r w:rsidR="009234C5">
        <w:rPr>
          <w:rFonts w:cs="Arial"/>
          <w:szCs w:val="22"/>
        </w:rPr>
        <w:t xml:space="preserve"> as critical. Th</w:t>
      </w:r>
      <w:r w:rsidR="00671C47">
        <w:rPr>
          <w:rFonts w:cs="Arial"/>
          <w:szCs w:val="22"/>
        </w:rPr>
        <w:t>ese approaches involve an</w:t>
      </w:r>
      <w:r w:rsidR="00AF3AE4">
        <w:rPr>
          <w:rFonts w:cs="Arial"/>
          <w:szCs w:val="22"/>
        </w:rPr>
        <w:t xml:space="preserve"> institution recognis</w:t>
      </w:r>
      <w:r w:rsidR="00671C47">
        <w:rPr>
          <w:rFonts w:cs="Arial"/>
          <w:szCs w:val="22"/>
        </w:rPr>
        <w:t>ing</w:t>
      </w:r>
      <w:r w:rsidR="00AF3AE4">
        <w:rPr>
          <w:rFonts w:cs="Arial"/>
          <w:szCs w:val="22"/>
        </w:rPr>
        <w:t xml:space="preserve"> that processes which inhibit the ability of students </w:t>
      </w:r>
      <w:r w:rsidR="00456EE6">
        <w:rPr>
          <w:rFonts w:cs="Arial"/>
          <w:szCs w:val="22"/>
        </w:rPr>
        <w:t xml:space="preserve">to </w:t>
      </w:r>
      <w:r w:rsidR="00AF3AE4">
        <w:rPr>
          <w:rFonts w:cs="Arial"/>
          <w:szCs w:val="22"/>
        </w:rPr>
        <w:t>navigate the institution can be changed</w:t>
      </w:r>
      <w:r w:rsidR="0027473E">
        <w:rPr>
          <w:rFonts w:cs="Arial"/>
          <w:szCs w:val="22"/>
        </w:rPr>
        <w:t>, ensuring that institutional engagement with students is as flexible and responsive as possible</w:t>
      </w:r>
      <w:r w:rsidR="00671C47">
        <w:rPr>
          <w:rFonts w:cs="Arial"/>
          <w:szCs w:val="22"/>
        </w:rPr>
        <w:t>.</w:t>
      </w:r>
      <w:r w:rsidR="00C25F1A">
        <w:rPr>
          <w:rFonts w:cs="Arial"/>
          <w:szCs w:val="22"/>
        </w:rPr>
        <w:t xml:space="preserve"> </w:t>
      </w:r>
      <w:r w:rsidR="004A4756">
        <w:rPr>
          <w:rFonts w:cs="Arial"/>
          <w:szCs w:val="22"/>
        </w:rPr>
        <w:t>T</w:t>
      </w:r>
      <w:r w:rsidR="00C25F1A">
        <w:rPr>
          <w:rFonts w:cs="Arial"/>
          <w:szCs w:val="22"/>
        </w:rPr>
        <w:t>hey f</w:t>
      </w:r>
      <w:r w:rsidR="004D69FD">
        <w:rPr>
          <w:rFonts w:cs="Arial"/>
          <w:szCs w:val="22"/>
        </w:rPr>
        <w:t>oun</w:t>
      </w:r>
      <w:r w:rsidR="00C25F1A">
        <w:rPr>
          <w:rFonts w:cs="Arial"/>
          <w:szCs w:val="22"/>
        </w:rPr>
        <w:t xml:space="preserve">d that </w:t>
      </w:r>
      <w:r w:rsidR="006C0D51">
        <w:rPr>
          <w:rFonts w:cs="Arial"/>
          <w:szCs w:val="22"/>
        </w:rPr>
        <w:t>“</w:t>
      </w:r>
      <w:r w:rsidR="00187E73" w:rsidRPr="00187E73">
        <w:rPr>
          <w:rFonts w:cs="Arial"/>
          <w:szCs w:val="22"/>
        </w:rPr>
        <w:t>structurally enabling approaches were most widespread and developed in the disability space</w:t>
      </w:r>
      <w:r w:rsidR="006C0D51">
        <w:rPr>
          <w:rFonts w:cs="Arial"/>
          <w:szCs w:val="22"/>
        </w:rPr>
        <w:t>” and note</w:t>
      </w:r>
      <w:r w:rsidR="004D69FD">
        <w:rPr>
          <w:rFonts w:cs="Arial"/>
          <w:szCs w:val="22"/>
        </w:rPr>
        <w:t>d</w:t>
      </w:r>
      <w:r w:rsidR="006C0D51">
        <w:rPr>
          <w:rFonts w:cs="Arial"/>
          <w:szCs w:val="22"/>
        </w:rPr>
        <w:t xml:space="preserve"> that the expectation around performance that flows from a structural approach to disability</w:t>
      </w:r>
      <w:r w:rsidR="00B61936">
        <w:rPr>
          <w:rFonts w:cs="Arial"/>
          <w:szCs w:val="22"/>
        </w:rPr>
        <w:t xml:space="preserve"> </w:t>
      </w:r>
      <w:r w:rsidR="00445516">
        <w:rPr>
          <w:rFonts w:cs="Arial"/>
          <w:szCs w:val="22"/>
        </w:rPr>
        <w:t>helped</w:t>
      </w:r>
      <w:r w:rsidR="006C0D51">
        <w:rPr>
          <w:rFonts w:cs="Arial"/>
          <w:szCs w:val="22"/>
        </w:rPr>
        <w:t xml:space="preserve"> foster institutional adoption </w:t>
      </w:r>
      <w:r w:rsidR="004346FC">
        <w:rPr>
          <w:rFonts w:cs="Arial"/>
          <w:szCs w:val="22"/>
        </w:rPr>
        <w:t>(</w:t>
      </w:r>
      <w:r w:rsidR="00BF7BDC">
        <w:rPr>
          <w:rFonts w:cs="Arial"/>
          <w:szCs w:val="22"/>
        </w:rPr>
        <w:t xml:space="preserve">Naylor &amp; Mifsud, 2019, </w:t>
      </w:r>
      <w:r w:rsidR="004346FC">
        <w:rPr>
          <w:rFonts w:cs="Arial"/>
          <w:szCs w:val="22"/>
        </w:rPr>
        <w:t>p.</w:t>
      </w:r>
      <w:r w:rsidR="00BC65CF">
        <w:rPr>
          <w:rFonts w:cs="Arial"/>
          <w:szCs w:val="22"/>
        </w:rPr>
        <w:t xml:space="preserve"> </w:t>
      </w:r>
      <w:r w:rsidR="004346FC">
        <w:rPr>
          <w:rFonts w:cs="Arial"/>
          <w:szCs w:val="22"/>
        </w:rPr>
        <w:t>42)</w:t>
      </w:r>
      <w:r w:rsidR="006C0D51">
        <w:rPr>
          <w:rFonts w:cs="Arial"/>
          <w:szCs w:val="22"/>
        </w:rPr>
        <w:t>.</w:t>
      </w:r>
      <w:r w:rsidR="00187E73" w:rsidRPr="00187E73">
        <w:rPr>
          <w:rFonts w:cs="Arial"/>
          <w:szCs w:val="22"/>
        </w:rPr>
        <w:t xml:space="preserve"> </w:t>
      </w:r>
    </w:p>
    <w:p w14:paraId="06B6C350" w14:textId="4A24C7E0" w:rsidR="00DB617F" w:rsidRDefault="008871ED" w:rsidP="007B1E24">
      <w:pPr>
        <w:spacing w:after="240" w:line="360" w:lineRule="auto"/>
        <w:rPr>
          <w:rFonts w:cs="Arial"/>
          <w:szCs w:val="22"/>
        </w:rPr>
      </w:pPr>
      <w:r>
        <w:rPr>
          <w:rFonts w:cs="Arial"/>
          <w:szCs w:val="22"/>
        </w:rPr>
        <w:t>T</w:t>
      </w:r>
      <w:r w:rsidR="004A4756">
        <w:rPr>
          <w:rFonts w:cs="Arial"/>
          <w:szCs w:val="22"/>
        </w:rPr>
        <w:t xml:space="preserve">his reflects the influence of the </w:t>
      </w:r>
      <w:r w:rsidR="00327863">
        <w:rPr>
          <w:rFonts w:cs="Arial"/>
          <w:szCs w:val="22"/>
        </w:rPr>
        <w:t>Standards</w:t>
      </w:r>
      <w:r w:rsidR="004A4756">
        <w:rPr>
          <w:rFonts w:cs="Arial"/>
          <w:szCs w:val="22"/>
        </w:rPr>
        <w:t xml:space="preserve">, yet it is also noticeable </w:t>
      </w:r>
      <w:r w:rsidR="002C6B35">
        <w:rPr>
          <w:rFonts w:cs="Arial"/>
          <w:szCs w:val="22"/>
        </w:rPr>
        <w:t>from the evidence proffered below and in our accompanying Discussion Paper that</w:t>
      </w:r>
      <w:r w:rsidR="00586201">
        <w:rPr>
          <w:rFonts w:cs="Arial"/>
          <w:szCs w:val="22"/>
        </w:rPr>
        <w:t xml:space="preserve"> the </w:t>
      </w:r>
      <w:r>
        <w:rPr>
          <w:rFonts w:cs="Arial"/>
          <w:szCs w:val="22"/>
        </w:rPr>
        <w:t>Standards</w:t>
      </w:r>
      <w:r w:rsidR="00586201">
        <w:rPr>
          <w:rFonts w:cs="Arial"/>
          <w:szCs w:val="22"/>
        </w:rPr>
        <w:t xml:space="preserve"> </w:t>
      </w:r>
      <w:r>
        <w:rPr>
          <w:rFonts w:cs="Arial"/>
          <w:szCs w:val="22"/>
        </w:rPr>
        <w:t>are</w:t>
      </w:r>
      <w:r w:rsidR="00586201">
        <w:rPr>
          <w:rFonts w:cs="Arial"/>
          <w:szCs w:val="22"/>
        </w:rPr>
        <w:t xml:space="preserve"> not wholly integrated into </w:t>
      </w:r>
      <w:r w:rsidR="00B431D9">
        <w:rPr>
          <w:rFonts w:cs="Arial"/>
          <w:szCs w:val="22"/>
        </w:rPr>
        <w:t xml:space="preserve">the administrative processes of Australian higher education providers. </w:t>
      </w:r>
      <w:r w:rsidR="009D6C76">
        <w:rPr>
          <w:rFonts w:cs="Arial"/>
          <w:szCs w:val="22"/>
        </w:rPr>
        <w:t>For this reason, t</w:t>
      </w:r>
      <w:r w:rsidR="001A15DE">
        <w:rPr>
          <w:rFonts w:cs="Arial"/>
          <w:szCs w:val="22"/>
        </w:rPr>
        <w:t xml:space="preserve">he NCSEHE’s first recommendation is that the Review consider options for establishing the position of </w:t>
      </w:r>
      <w:r w:rsidR="001A15DE" w:rsidRPr="002711B6">
        <w:rPr>
          <w:rFonts w:cs="Arial"/>
          <w:b/>
          <w:bCs/>
          <w:szCs w:val="22"/>
        </w:rPr>
        <w:t>Disability Education Commissioner</w:t>
      </w:r>
      <w:r w:rsidR="00B431D9">
        <w:rPr>
          <w:rFonts w:cs="Arial"/>
          <w:szCs w:val="22"/>
        </w:rPr>
        <w:t>,</w:t>
      </w:r>
      <w:r w:rsidR="001A15DE">
        <w:rPr>
          <w:rFonts w:cs="Arial"/>
          <w:szCs w:val="22"/>
        </w:rPr>
        <w:t xml:space="preserve"> </w:t>
      </w:r>
      <w:r w:rsidR="00B431D9">
        <w:rPr>
          <w:rFonts w:cs="Arial"/>
          <w:szCs w:val="22"/>
        </w:rPr>
        <w:t>with</w:t>
      </w:r>
      <w:r w:rsidR="001A15DE">
        <w:rPr>
          <w:rFonts w:cs="Arial"/>
          <w:szCs w:val="22"/>
        </w:rPr>
        <w:t xml:space="preserve"> </w:t>
      </w:r>
      <w:r w:rsidR="007A3282">
        <w:rPr>
          <w:rFonts w:cs="Arial"/>
          <w:szCs w:val="22"/>
        </w:rPr>
        <w:t xml:space="preserve">responsibility </w:t>
      </w:r>
      <w:r w:rsidR="001A15DE">
        <w:rPr>
          <w:rFonts w:cs="Arial"/>
          <w:szCs w:val="22"/>
        </w:rPr>
        <w:t>for the development, implementation</w:t>
      </w:r>
      <w:r w:rsidR="00230F4E">
        <w:rPr>
          <w:rFonts w:cs="Arial"/>
          <w:szCs w:val="22"/>
        </w:rPr>
        <w:t>,</w:t>
      </w:r>
      <w:r w:rsidR="001A15DE">
        <w:rPr>
          <w:rFonts w:cs="Arial"/>
          <w:szCs w:val="22"/>
        </w:rPr>
        <w:t xml:space="preserve"> and evaluation of the </w:t>
      </w:r>
      <w:r w:rsidR="00327863">
        <w:rPr>
          <w:rFonts w:cs="Arial"/>
          <w:szCs w:val="22"/>
        </w:rPr>
        <w:t>Standards</w:t>
      </w:r>
      <w:r w:rsidR="001A15DE">
        <w:rPr>
          <w:rFonts w:cs="Arial"/>
          <w:szCs w:val="22"/>
        </w:rPr>
        <w:t xml:space="preserve">, </w:t>
      </w:r>
      <w:r w:rsidR="004772DB">
        <w:rPr>
          <w:rFonts w:cs="Arial"/>
          <w:szCs w:val="22"/>
        </w:rPr>
        <w:t xml:space="preserve">in conjunction with an assessment of </w:t>
      </w:r>
      <w:r w:rsidR="001A15DE">
        <w:rPr>
          <w:rFonts w:cs="Arial"/>
          <w:szCs w:val="22"/>
        </w:rPr>
        <w:t xml:space="preserve">other disability policy initiatives in Australian education. </w:t>
      </w:r>
    </w:p>
    <w:p w14:paraId="0014BEE9" w14:textId="2F2AFC7F"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Recommendation 1:</w:t>
      </w:r>
      <w:r w:rsidRPr="005E04A3">
        <w:rPr>
          <w:rFonts w:cs="Arial"/>
          <w:szCs w:val="22"/>
        </w:rPr>
        <w:t xml:space="preserve"> That the position of Disability Education Commissioner be established through the Standards, to have responsibility for the implementation of the Standards and other disability policy initiatives, across all settings in Australian education.</w:t>
      </w:r>
    </w:p>
    <w:p w14:paraId="6C5B6510" w14:textId="04B70705" w:rsidR="003F0E6B" w:rsidRDefault="003F0E6B" w:rsidP="00835EDF">
      <w:pPr>
        <w:pStyle w:val="Heading1"/>
        <w:spacing w:after="240"/>
      </w:pPr>
      <w:bookmarkStart w:id="5" w:name="_Toc57283821"/>
      <w:r>
        <w:t>Defini</w:t>
      </w:r>
      <w:r w:rsidR="00B7712A">
        <w:t>ng</w:t>
      </w:r>
      <w:r>
        <w:t xml:space="preserve"> Disability</w:t>
      </w:r>
      <w:bookmarkEnd w:id="5"/>
    </w:p>
    <w:p w14:paraId="5D7D0A03" w14:textId="4BD09BD7" w:rsidR="007C4594" w:rsidRDefault="00182BE1" w:rsidP="00182BE1">
      <w:pPr>
        <w:spacing w:after="120" w:line="360" w:lineRule="auto"/>
        <w:rPr>
          <w:rFonts w:cs="Arial"/>
          <w:szCs w:val="22"/>
        </w:rPr>
      </w:pPr>
      <w:r w:rsidRPr="00D63DFE">
        <w:rPr>
          <w:rFonts w:cs="Arial"/>
          <w:szCs w:val="22"/>
        </w:rPr>
        <w:t xml:space="preserve">The disability classifications utilised </w:t>
      </w:r>
      <w:r w:rsidR="0040530B">
        <w:rPr>
          <w:rFonts w:cs="Arial"/>
          <w:szCs w:val="22"/>
        </w:rPr>
        <w:t>in higher education</w:t>
      </w:r>
      <w:r w:rsidRPr="00D63DFE">
        <w:rPr>
          <w:rFonts w:cs="Arial"/>
          <w:szCs w:val="22"/>
        </w:rPr>
        <w:t xml:space="preserve"> are somewhat simplistic and based on a medical model of disability, which fails to capture the complexities and diversit</w:t>
      </w:r>
      <w:r w:rsidR="00BC3243">
        <w:rPr>
          <w:rFonts w:cs="Arial"/>
          <w:szCs w:val="22"/>
        </w:rPr>
        <w:t>y</w:t>
      </w:r>
      <w:r w:rsidRPr="00D63DFE">
        <w:rPr>
          <w:rFonts w:cs="Arial"/>
          <w:szCs w:val="22"/>
        </w:rPr>
        <w:t xml:space="preserve"> of disability</w:t>
      </w:r>
      <w:r w:rsidR="00046201">
        <w:rPr>
          <w:rFonts w:cs="Arial"/>
          <w:szCs w:val="22"/>
        </w:rPr>
        <w:t xml:space="preserve"> </w:t>
      </w:r>
      <w:r w:rsidR="00046201" w:rsidRPr="00D63DFE">
        <w:rPr>
          <w:rFonts w:cs="Arial"/>
          <w:szCs w:val="22"/>
        </w:rPr>
        <w:t>(Brett, 2016)</w:t>
      </w:r>
      <w:r w:rsidR="00F13611">
        <w:rPr>
          <w:rFonts w:cs="Arial"/>
          <w:szCs w:val="22"/>
        </w:rPr>
        <w:t xml:space="preserve">. </w:t>
      </w:r>
      <w:r w:rsidRPr="00D63DFE">
        <w:rPr>
          <w:rFonts w:cs="Arial"/>
          <w:szCs w:val="22"/>
        </w:rPr>
        <w:t>The medical model</w:t>
      </w:r>
      <w:r w:rsidR="006D2C2A">
        <w:rPr>
          <w:rFonts w:cs="Arial"/>
          <w:szCs w:val="22"/>
        </w:rPr>
        <w:t xml:space="preserve"> also</w:t>
      </w:r>
      <w:r w:rsidRPr="00D63DFE">
        <w:rPr>
          <w:rFonts w:cs="Arial"/>
          <w:szCs w:val="22"/>
        </w:rPr>
        <w:t xml:space="preserve"> tends to place impairment at the core of the problem</w:t>
      </w:r>
      <w:r w:rsidR="006D2C2A">
        <w:rPr>
          <w:rFonts w:cs="Arial"/>
          <w:szCs w:val="22"/>
        </w:rPr>
        <w:t xml:space="preserve"> </w:t>
      </w:r>
      <w:r w:rsidR="00BC65CF">
        <w:rPr>
          <w:rFonts w:cs="Arial"/>
          <w:szCs w:val="22"/>
        </w:rPr>
        <w:t>—</w:t>
      </w:r>
      <w:r w:rsidR="00BC65CF" w:rsidRPr="00D63DFE">
        <w:rPr>
          <w:rFonts w:cs="Arial"/>
          <w:szCs w:val="22"/>
        </w:rPr>
        <w:t xml:space="preserve"> </w:t>
      </w:r>
      <w:r w:rsidR="00BE40A6">
        <w:rPr>
          <w:rFonts w:cs="Arial"/>
          <w:szCs w:val="22"/>
        </w:rPr>
        <w:t>requiring</w:t>
      </w:r>
      <w:r w:rsidRPr="00D63DFE">
        <w:rPr>
          <w:rFonts w:cs="Arial"/>
          <w:szCs w:val="22"/>
        </w:rPr>
        <w:t xml:space="preserve"> </w:t>
      </w:r>
      <w:r w:rsidR="00BE40A6">
        <w:rPr>
          <w:rFonts w:cs="Arial"/>
          <w:szCs w:val="22"/>
        </w:rPr>
        <w:t>a “</w:t>
      </w:r>
      <w:r w:rsidRPr="00D63DFE">
        <w:rPr>
          <w:rFonts w:cs="Arial"/>
          <w:szCs w:val="22"/>
        </w:rPr>
        <w:t>fix</w:t>
      </w:r>
      <w:r w:rsidR="00BE40A6">
        <w:rPr>
          <w:rFonts w:cs="Arial"/>
          <w:szCs w:val="22"/>
        </w:rPr>
        <w:t xml:space="preserve"> or cure”</w:t>
      </w:r>
      <w:r w:rsidRPr="00D63DFE">
        <w:rPr>
          <w:rFonts w:cs="Arial"/>
          <w:szCs w:val="22"/>
        </w:rPr>
        <w:t xml:space="preserve"> </w:t>
      </w:r>
      <w:r w:rsidR="00BE40A6">
        <w:rPr>
          <w:rFonts w:cs="Arial"/>
          <w:szCs w:val="22"/>
        </w:rPr>
        <w:t>for</w:t>
      </w:r>
      <w:r w:rsidRPr="00D63DFE">
        <w:rPr>
          <w:rFonts w:cs="Arial"/>
          <w:szCs w:val="22"/>
        </w:rPr>
        <w:t xml:space="preserve"> the individual. </w:t>
      </w:r>
    </w:p>
    <w:p w14:paraId="3F4C0174" w14:textId="0F92ADC0" w:rsidR="00D63DFE" w:rsidRDefault="007C4594" w:rsidP="007B1E24">
      <w:pPr>
        <w:spacing w:after="240" w:line="360" w:lineRule="auto"/>
      </w:pPr>
      <w:r>
        <w:rPr>
          <w:rFonts w:cs="Arial"/>
          <w:szCs w:val="22"/>
        </w:rPr>
        <w:t>The NCSEHE advocates for a</w:t>
      </w:r>
      <w:r w:rsidR="00182BE1" w:rsidRPr="00D63DFE">
        <w:rPr>
          <w:rFonts w:cs="Arial"/>
          <w:szCs w:val="22"/>
        </w:rPr>
        <w:t xml:space="preserve"> social model of disability, </w:t>
      </w:r>
      <w:r>
        <w:rPr>
          <w:rFonts w:cs="Arial"/>
          <w:szCs w:val="22"/>
        </w:rPr>
        <w:t>where</w:t>
      </w:r>
      <w:r w:rsidR="00182BE1" w:rsidRPr="00D63DFE">
        <w:rPr>
          <w:rFonts w:cs="Arial"/>
          <w:szCs w:val="22"/>
        </w:rPr>
        <w:t xml:space="preserve"> </w:t>
      </w:r>
      <w:r>
        <w:rPr>
          <w:rFonts w:cs="Arial"/>
          <w:szCs w:val="22"/>
        </w:rPr>
        <w:t>a</w:t>
      </w:r>
      <w:r w:rsidR="00182BE1" w:rsidRPr="00D63DFE">
        <w:rPr>
          <w:rFonts w:cs="Arial"/>
          <w:szCs w:val="22"/>
        </w:rPr>
        <w:t xml:space="preserve"> broader understanding of disability shift</w:t>
      </w:r>
      <w:r>
        <w:rPr>
          <w:rFonts w:cs="Arial"/>
          <w:szCs w:val="22"/>
        </w:rPr>
        <w:t>s the</w:t>
      </w:r>
      <w:r w:rsidR="00182BE1" w:rsidRPr="00D63DFE">
        <w:rPr>
          <w:rFonts w:cs="Arial"/>
          <w:szCs w:val="22"/>
        </w:rPr>
        <w:t xml:space="preserve"> emphasis </w:t>
      </w:r>
      <w:r w:rsidR="00B51E03">
        <w:rPr>
          <w:rFonts w:cs="Arial"/>
          <w:szCs w:val="22"/>
        </w:rPr>
        <w:t xml:space="preserve">to making social structures more equitable </w:t>
      </w:r>
      <w:r w:rsidR="00902F24">
        <w:rPr>
          <w:rFonts w:cs="Arial"/>
          <w:szCs w:val="22"/>
        </w:rPr>
        <w:t xml:space="preserve">and removing systemic barriers to participation, rather than a single focus on </w:t>
      </w:r>
      <w:r w:rsidR="00E218BA">
        <w:rPr>
          <w:rFonts w:cs="Arial"/>
          <w:szCs w:val="22"/>
        </w:rPr>
        <w:t>“</w:t>
      </w:r>
      <w:r w:rsidR="00182BE1" w:rsidRPr="00D63DFE">
        <w:rPr>
          <w:rFonts w:cs="Arial"/>
          <w:szCs w:val="22"/>
        </w:rPr>
        <w:t>impair</w:t>
      </w:r>
      <w:r w:rsidR="00793A35">
        <w:rPr>
          <w:rFonts w:cs="Arial"/>
          <w:szCs w:val="22"/>
        </w:rPr>
        <w:t>ment”.</w:t>
      </w:r>
      <w:r w:rsidR="00182BE1" w:rsidRPr="00D63DFE">
        <w:rPr>
          <w:rFonts w:cs="Arial"/>
          <w:szCs w:val="22"/>
        </w:rPr>
        <w:t xml:space="preserve"> </w:t>
      </w:r>
      <w:r w:rsidR="00F9766D">
        <w:rPr>
          <w:rFonts w:cs="Arial"/>
          <w:szCs w:val="22"/>
        </w:rPr>
        <w:t xml:space="preserve">This </w:t>
      </w:r>
      <w:r w:rsidR="00182BE1" w:rsidRPr="00D63DFE">
        <w:rPr>
          <w:rFonts w:cs="Arial"/>
          <w:szCs w:val="22"/>
        </w:rPr>
        <w:t>places policy a</w:t>
      </w:r>
      <w:r w:rsidR="00F9766D">
        <w:rPr>
          <w:rFonts w:cs="Arial"/>
          <w:szCs w:val="22"/>
        </w:rPr>
        <w:t>t</w:t>
      </w:r>
      <w:r w:rsidR="00182BE1" w:rsidRPr="00D63DFE">
        <w:rPr>
          <w:rFonts w:cs="Arial"/>
          <w:szCs w:val="22"/>
        </w:rPr>
        <w:t xml:space="preserve"> the centre </w:t>
      </w:r>
      <w:r w:rsidR="00182BE1" w:rsidRPr="00D63DFE">
        <w:rPr>
          <w:rFonts w:cs="Arial"/>
          <w:szCs w:val="22"/>
        </w:rPr>
        <w:lastRenderedPageBreak/>
        <w:t>of intervention</w:t>
      </w:r>
      <w:r w:rsidR="006629E2">
        <w:rPr>
          <w:rFonts w:cs="Arial"/>
          <w:szCs w:val="22"/>
        </w:rPr>
        <w:t>s</w:t>
      </w:r>
      <w:r w:rsidR="00182BE1" w:rsidRPr="00D63DFE">
        <w:rPr>
          <w:rFonts w:cs="Arial"/>
          <w:szCs w:val="22"/>
        </w:rPr>
        <w:t xml:space="preserve"> to mitigate disadvantage, with inclusion being the responsibility of institutions,</w:t>
      </w:r>
      <w:r w:rsidR="00F9766D">
        <w:rPr>
          <w:rFonts w:cs="Arial"/>
          <w:szCs w:val="22"/>
        </w:rPr>
        <w:t xml:space="preserve"> and</w:t>
      </w:r>
      <w:r w:rsidR="00182BE1" w:rsidRPr="00D63DFE">
        <w:rPr>
          <w:rFonts w:cs="Arial"/>
          <w:szCs w:val="22"/>
        </w:rPr>
        <w:t xml:space="preserve"> reflecting principles of </w:t>
      </w:r>
      <w:r w:rsidR="00613131">
        <w:rPr>
          <w:rFonts w:cs="Arial"/>
          <w:szCs w:val="22"/>
        </w:rPr>
        <w:t>u</w:t>
      </w:r>
      <w:r w:rsidR="00182BE1" w:rsidRPr="00D63DFE">
        <w:rPr>
          <w:rFonts w:cs="Arial"/>
          <w:szCs w:val="22"/>
        </w:rPr>
        <w:t xml:space="preserve">niversal </w:t>
      </w:r>
      <w:r w:rsidR="00613131">
        <w:rPr>
          <w:rFonts w:cs="Arial"/>
          <w:szCs w:val="22"/>
        </w:rPr>
        <w:t>d</w:t>
      </w:r>
      <w:r w:rsidR="00182BE1" w:rsidRPr="00D63DFE">
        <w:rPr>
          <w:rFonts w:cs="Arial"/>
          <w:szCs w:val="22"/>
        </w:rPr>
        <w:t xml:space="preserve">esign (Brett, 2016). While </w:t>
      </w:r>
      <w:r w:rsidR="00F9766D">
        <w:rPr>
          <w:rFonts w:cs="Arial"/>
          <w:szCs w:val="22"/>
        </w:rPr>
        <w:t xml:space="preserve">the </w:t>
      </w:r>
      <w:r w:rsidR="00182BE1" w:rsidRPr="00D63DFE">
        <w:rPr>
          <w:rFonts w:cs="Arial"/>
          <w:szCs w:val="22"/>
        </w:rPr>
        <w:t>identification of medicalised disability offer</w:t>
      </w:r>
      <w:r w:rsidR="00F9766D">
        <w:rPr>
          <w:rFonts w:cs="Arial"/>
          <w:szCs w:val="22"/>
        </w:rPr>
        <w:t>s</w:t>
      </w:r>
      <w:r w:rsidR="00182BE1" w:rsidRPr="00D63DFE">
        <w:rPr>
          <w:rFonts w:cs="Arial"/>
          <w:szCs w:val="22"/>
        </w:rPr>
        <w:t xml:space="preserve"> </w:t>
      </w:r>
      <w:r w:rsidR="009F05ED">
        <w:rPr>
          <w:rFonts w:cs="Arial"/>
          <w:szCs w:val="22"/>
        </w:rPr>
        <w:t xml:space="preserve">some </w:t>
      </w:r>
      <w:r w:rsidR="00182BE1" w:rsidRPr="00D63DFE">
        <w:rPr>
          <w:rFonts w:cs="Arial"/>
          <w:szCs w:val="22"/>
        </w:rPr>
        <w:t>useful information for universities, the underlying purpose of collecting this information should be to inform institutional policy and interventions that facilitate greater inclusion and support of students with disability. Categorical identification, therefore, must be supplemented with information that allows for a more complex understanding of student needs, beyond the mere presence or absence of disability. The development of an appropriate and sensitive mechanism (Kilpatrick</w:t>
      </w:r>
      <w:r w:rsidR="004C7DA1">
        <w:rPr>
          <w:rFonts w:cs="Arial"/>
          <w:szCs w:val="22"/>
        </w:rPr>
        <w:t xml:space="preserve"> et al.</w:t>
      </w:r>
      <w:r w:rsidR="00182BE1" w:rsidRPr="00D63DFE">
        <w:rPr>
          <w:rFonts w:cs="Arial"/>
          <w:szCs w:val="22"/>
        </w:rPr>
        <w:t>, 2016) to supplement high</w:t>
      </w:r>
      <w:r w:rsidR="00C36679">
        <w:rPr>
          <w:rFonts w:cs="Arial"/>
          <w:szCs w:val="22"/>
        </w:rPr>
        <w:t>-</w:t>
      </w:r>
      <w:r w:rsidR="00182BE1" w:rsidRPr="00D63DFE">
        <w:rPr>
          <w:rFonts w:cs="Arial"/>
          <w:szCs w:val="22"/>
        </w:rPr>
        <w:t>level identification of disability, which allows for a more nuanced and meaningful understanding of student need</w:t>
      </w:r>
      <w:r w:rsidR="009F05ED">
        <w:rPr>
          <w:rFonts w:cs="Arial"/>
          <w:szCs w:val="22"/>
        </w:rPr>
        <w:t>,</w:t>
      </w:r>
      <w:r w:rsidR="00182BE1" w:rsidRPr="00D63DFE">
        <w:rPr>
          <w:rFonts w:cs="Arial"/>
          <w:szCs w:val="22"/>
        </w:rPr>
        <w:t xml:space="preserve"> is required.</w:t>
      </w:r>
      <w:r w:rsidR="00182BE1">
        <w:t xml:space="preserve"> </w:t>
      </w:r>
    </w:p>
    <w:p w14:paraId="52DDF6C2" w14:textId="77777777" w:rsidR="005E04A3" w:rsidRDefault="005E04A3" w:rsidP="005E04A3">
      <w:pPr>
        <w:pBdr>
          <w:left w:val="single" w:sz="4" w:space="4" w:color="auto"/>
        </w:pBdr>
        <w:spacing w:after="240" w:line="360" w:lineRule="auto"/>
        <w:ind w:left="720"/>
      </w:pPr>
      <w:r w:rsidRPr="005E04A3">
        <w:rPr>
          <w:b/>
          <w:bCs/>
        </w:rPr>
        <w:t>Recommendation 2:</w:t>
      </w:r>
      <w:r>
        <w:t xml:space="preserve"> That the Standards require the identification of disability be complemented with contextual information that allows for a more nuanced and meaningful understanding of student experience and need.</w:t>
      </w:r>
    </w:p>
    <w:p w14:paraId="0920621D" w14:textId="285055A2" w:rsidR="005E04A3" w:rsidRDefault="005E04A3" w:rsidP="005E04A3">
      <w:pPr>
        <w:pBdr>
          <w:left w:val="single" w:sz="4" w:space="4" w:color="auto"/>
        </w:pBdr>
        <w:spacing w:after="240" w:line="360" w:lineRule="auto"/>
        <w:ind w:left="720"/>
      </w:pPr>
      <w:r w:rsidRPr="005E04A3">
        <w:rPr>
          <w:b/>
          <w:bCs/>
        </w:rPr>
        <w:t>Recommendation 3:</w:t>
      </w:r>
      <w:r>
        <w:t xml:space="preserve"> That the Standards impose a stronger requirement on institutions to adopt a universal design approach to disability, whereby the presence of students with disability is assumed, regardless of disclosure, with available data used to inform the development of inclusive policy and practice.</w:t>
      </w:r>
    </w:p>
    <w:p w14:paraId="1D2643AE" w14:textId="41DD2507" w:rsidR="007F67E4" w:rsidRDefault="004A6292" w:rsidP="00835EDF">
      <w:pPr>
        <w:pStyle w:val="Heading1"/>
        <w:spacing w:after="240"/>
      </w:pPr>
      <w:bookmarkStart w:id="6" w:name="_Toc57283822"/>
      <w:r>
        <w:t>Identification of Disability</w:t>
      </w:r>
      <w:bookmarkEnd w:id="6"/>
    </w:p>
    <w:p w14:paraId="607FFC46" w14:textId="44EA7DCD" w:rsidR="000A0D33" w:rsidRDefault="00222623" w:rsidP="000A0D33">
      <w:pPr>
        <w:spacing w:after="120" w:line="360" w:lineRule="auto"/>
        <w:rPr>
          <w:rFonts w:cs="Arial"/>
          <w:szCs w:val="22"/>
        </w:rPr>
      </w:pPr>
      <w:r>
        <w:rPr>
          <w:rFonts w:cs="Arial"/>
          <w:szCs w:val="22"/>
        </w:rPr>
        <w:t xml:space="preserve">Australia has 30 years’ experience in </w:t>
      </w:r>
      <w:r w:rsidR="002A55A7">
        <w:rPr>
          <w:rFonts w:cs="Arial"/>
          <w:szCs w:val="22"/>
        </w:rPr>
        <w:t xml:space="preserve">the </w:t>
      </w:r>
      <w:r>
        <w:rPr>
          <w:rFonts w:cs="Arial"/>
          <w:szCs w:val="22"/>
        </w:rPr>
        <w:t>collection, analysi</w:t>
      </w:r>
      <w:r w:rsidR="002A55A7">
        <w:rPr>
          <w:rFonts w:cs="Arial"/>
          <w:szCs w:val="22"/>
        </w:rPr>
        <w:t>s</w:t>
      </w:r>
      <w:r>
        <w:rPr>
          <w:rFonts w:cs="Arial"/>
          <w:szCs w:val="22"/>
        </w:rPr>
        <w:t xml:space="preserve"> and reporting o</w:t>
      </w:r>
      <w:r w:rsidR="002A55A7">
        <w:rPr>
          <w:rFonts w:cs="Arial"/>
          <w:szCs w:val="22"/>
        </w:rPr>
        <w:t>f</w:t>
      </w:r>
      <w:r>
        <w:rPr>
          <w:rFonts w:cs="Arial"/>
          <w:szCs w:val="22"/>
        </w:rPr>
        <w:t xml:space="preserve"> </w:t>
      </w:r>
      <w:r w:rsidR="003E0FCC">
        <w:rPr>
          <w:rFonts w:cs="Arial"/>
          <w:szCs w:val="22"/>
        </w:rPr>
        <w:t xml:space="preserve">higher education </w:t>
      </w:r>
      <w:r>
        <w:rPr>
          <w:rFonts w:cs="Arial"/>
          <w:szCs w:val="22"/>
        </w:rPr>
        <w:t xml:space="preserve">equity data, including reporting on disability. </w:t>
      </w:r>
      <w:r w:rsidR="003925D0">
        <w:rPr>
          <w:rFonts w:cs="Arial"/>
          <w:szCs w:val="22"/>
        </w:rPr>
        <w:t xml:space="preserve">However, there is considerable room for improvement. </w:t>
      </w:r>
      <w:r w:rsidR="000A0D33">
        <w:rPr>
          <w:rFonts w:cs="Arial"/>
          <w:szCs w:val="22"/>
        </w:rPr>
        <w:t xml:space="preserve">Disability, along with Indigenous status, is the only equity indicator generated </w:t>
      </w:r>
      <w:r w:rsidR="00BF2C7F">
        <w:rPr>
          <w:rFonts w:cs="Arial"/>
          <w:szCs w:val="22"/>
        </w:rPr>
        <w:t>from</w:t>
      </w:r>
      <w:r w:rsidR="000A0D33">
        <w:rPr>
          <w:rFonts w:cs="Arial"/>
          <w:szCs w:val="22"/>
        </w:rPr>
        <w:t xml:space="preserve"> self-reporting</w:t>
      </w:r>
      <w:r w:rsidR="007A3282">
        <w:rPr>
          <w:rFonts w:cs="Arial"/>
          <w:szCs w:val="22"/>
        </w:rPr>
        <w:t>.</w:t>
      </w:r>
      <w:r w:rsidR="003925D0">
        <w:rPr>
          <w:rFonts w:cs="Arial"/>
          <w:szCs w:val="22"/>
        </w:rPr>
        <w:t xml:space="preserve"> </w:t>
      </w:r>
      <w:r w:rsidR="007A3282">
        <w:rPr>
          <w:rFonts w:cs="Arial"/>
          <w:szCs w:val="22"/>
        </w:rPr>
        <w:t xml:space="preserve">This form of collection has </w:t>
      </w:r>
      <w:r w:rsidR="000A0D33">
        <w:rPr>
          <w:rFonts w:cs="Arial"/>
          <w:szCs w:val="22"/>
        </w:rPr>
        <w:t xml:space="preserve">no reference to external </w:t>
      </w:r>
      <w:r w:rsidR="007A3282">
        <w:rPr>
          <w:rFonts w:cs="Arial"/>
          <w:szCs w:val="22"/>
        </w:rPr>
        <w:t xml:space="preserve">data sources </w:t>
      </w:r>
      <w:r w:rsidR="000A0D33">
        <w:rPr>
          <w:rFonts w:cs="Arial"/>
          <w:szCs w:val="22"/>
        </w:rPr>
        <w:t xml:space="preserve">such as the </w:t>
      </w:r>
      <w:r w:rsidR="000A0D33" w:rsidRPr="00CB11D2">
        <w:rPr>
          <w:rFonts w:cs="Arial"/>
          <w:szCs w:val="22"/>
        </w:rPr>
        <w:t>Nationally Consistent Collection of Data on School Students with Disability (NCCD)</w:t>
      </w:r>
      <w:r w:rsidR="000A0D33">
        <w:rPr>
          <w:rFonts w:cs="Arial"/>
          <w:szCs w:val="22"/>
        </w:rPr>
        <w:t xml:space="preserve"> or the National Disability Insurance Scheme (NDIS)</w:t>
      </w:r>
      <w:r w:rsidR="007A3282">
        <w:rPr>
          <w:rFonts w:cs="Arial"/>
          <w:szCs w:val="22"/>
        </w:rPr>
        <w:t>. The</w:t>
      </w:r>
      <w:r w:rsidR="00BF2C7F">
        <w:rPr>
          <w:rFonts w:cs="Arial"/>
          <w:szCs w:val="22"/>
        </w:rPr>
        <w:t xml:space="preserve"> use of</w:t>
      </w:r>
      <w:r w:rsidR="007A3282">
        <w:rPr>
          <w:rFonts w:cs="Arial"/>
          <w:szCs w:val="22"/>
        </w:rPr>
        <w:t xml:space="preserve"> self</w:t>
      </w:r>
      <w:r w:rsidR="00BF2C7F">
        <w:rPr>
          <w:rFonts w:cs="Arial"/>
          <w:szCs w:val="22"/>
        </w:rPr>
        <w:t>-</w:t>
      </w:r>
      <w:r w:rsidR="007A3282">
        <w:rPr>
          <w:rFonts w:cs="Arial"/>
          <w:szCs w:val="22"/>
        </w:rPr>
        <w:t>reporting</w:t>
      </w:r>
      <w:r w:rsidR="00BF2C7F">
        <w:rPr>
          <w:rFonts w:cs="Arial"/>
          <w:szCs w:val="22"/>
        </w:rPr>
        <w:t>,</w:t>
      </w:r>
      <w:r w:rsidR="007A3282">
        <w:rPr>
          <w:rFonts w:cs="Arial"/>
          <w:szCs w:val="22"/>
        </w:rPr>
        <w:t xml:space="preserve"> with limited external verification</w:t>
      </w:r>
      <w:r w:rsidR="00BF2C7F">
        <w:rPr>
          <w:rFonts w:cs="Arial"/>
          <w:szCs w:val="22"/>
        </w:rPr>
        <w:t>,</w:t>
      </w:r>
      <w:r w:rsidR="007A3282">
        <w:rPr>
          <w:rFonts w:cs="Arial"/>
          <w:szCs w:val="22"/>
        </w:rPr>
        <w:t xml:space="preserve"> has led to </w:t>
      </w:r>
      <w:r w:rsidR="000A0D33">
        <w:rPr>
          <w:rFonts w:cs="Arial"/>
          <w:szCs w:val="22"/>
        </w:rPr>
        <w:t>gaps in reporting</w:t>
      </w:r>
      <w:r w:rsidR="00F655E7">
        <w:rPr>
          <w:rFonts w:cs="Arial"/>
          <w:szCs w:val="22"/>
        </w:rPr>
        <w:t>,</w:t>
      </w:r>
      <w:r w:rsidR="000A0D33">
        <w:rPr>
          <w:rFonts w:cs="Arial"/>
          <w:szCs w:val="22"/>
        </w:rPr>
        <w:t xml:space="preserve"> </w:t>
      </w:r>
      <w:r w:rsidR="00A90161">
        <w:rPr>
          <w:rFonts w:cs="Arial"/>
          <w:szCs w:val="22"/>
        </w:rPr>
        <w:t xml:space="preserve">such as the current </w:t>
      </w:r>
      <w:r w:rsidR="00CD159B">
        <w:rPr>
          <w:rFonts w:cs="Arial"/>
          <w:szCs w:val="22"/>
        </w:rPr>
        <w:t>limited reporting on mental health</w:t>
      </w:r>
      <w:r w:rsidR="00397610">
        <w:rPr>
          <w:rFonts w:cs="Arial"/>
          <w:szCs w:val="22"/>
        </w:rPr>
        <w:t xml:space="preserve"> conditions. </w:t>
      </w:r>
      <w:r w:rsidR="000A0D33">
        <w:rPr>
          <w:rFonts w:cs="Arial"/>
          <w:szCs w:val="22"/>
        </w:rPr>
        <w:t xml:space="preserve"> </w:t>
      </w:r>
    </w:p>
    <w:p w14:paraId="66C74425" w14:textId="51DC7011" w:rsidR="00222623" w:rsidRDefault="00222623" w:rsidP="00222623">
      <w:pPr>
        <w:spacing w:after="120" w:line="360" w:lineRule="auto"/>
        <w:rPr>
          <w:rFonts w:cs="Arial"/>
          <w:szCs w:val="22"/>
        </w:rPr>
      </w:pPr>
      <w:r>
        <w:rPr>
          <w:rFonts w:cs="Arial"/>
          <w:szCs w:val="22"/>
        </w:rPr>
        <w:t>Australia</w:t>
      </w:r>
      <w:r w:rsidR="004E1640">
        <w:rPr>
          <w:rFonts w:cs="Arial"/>
          <w:szCs w:val="22"/>
        </w:rPr>
        <w:t>n universities</w:t>
      </w:r>
      <w:r w:rsidR="00500C29">
        <w:rPr>
          <w:rFonts w:cs="Arial"/>
          <w:szCs w:val="22"/>
        </w:rPr>
        <w:t xml:space="preserve"> currently</w:t>
      </w:r>
      <w:r w:rsidR="00E8168D">
        <w:rPr>
          <w:rFonts w:cs="Arial"/>
          <w:szCs w:val="22"/>
        </w:rPr>
        <w:t xml:space="preserve"> </w:t>
      </w:r>
      <w:r w:rsidR="004E1640">
        <w:rPr>
          <w:rFonts w:cs="Arial"/>
          <w:szCs w:val="22"/>
        </w:rPr>
        <w:t>report</w:t>
      </w:r>
      <w:r>
        <w:rPr>
          <w:rFonts w:cs="Arial"/>
          <w:szCs w:val="22"/>
        </w:rPr>
        <w:t xml:space="preserve"> information on student disability</w:t>
      </w:r>
      <w:r w:rsidR="00E8168D">
        <w:rPr>
          <w:rFonts w:cs="Arial"/>
          <w:szCs w:val="22"/>
        </w:rPr>
        <w:t xml:space="preserve"> via the Higher Education Information Management System (HEIMS)</w:t>
      </w:r>
      <w:r>
        <w:rPr>
          <w:rFonts w:cs="Arial"/>
          <w:szCs w:val="22"/>
        </w:rPr>
        <w:t xml:space="preserve">. </w:t>
      </w:r>
      <w:r w:rsidR="00500C29">
        <w:rPr>
          <w:rFonts w:cs="Arial"/>
          <w:szCs w:val="22"/>
        </w:rPr>
        <w:t>S</w:t>
      </w:r>
      <w:r>
        <w:rPr>
          <w:rFonts w:cs="Arial"/>
          <w:szCs w:val="22"/>
        </w:rPr>
        <w:t>tudents</w:t>
      </w:r>
      <w:r w:rsidR="00500C29">
        <w:rPr>
          <w:rFonts w:cs="Arial"/>
          <w:szCs w:val="22"/>
        </w:rPr>
        <w:t xml:space="preserve"> are</w:t>
      </w:r>
      <w:r>
        <w:rPr>
          <w:rFonts w:cs="Arial"/>
          <w:szCs w:val="22"/>
        </w:rPr>
        <w:t xml:space="preserve"> asked to indicate a </w:t>
      </w:r>
      <w:r w:rsidR="000E7B2E">
        <w:rPr>
          <w:rFonts w:cs="Arial"/>
          <w:szCs w:val="22"/>
        </w:rPr>
        <w:t>“</w:t>
      </w:r>
      <w:r>
        <w:rPr>
          <w:rFonts w:cs="Arial"/>
          <w:szCs w:val="22"/>
        </w:rPr>
        <w:t xml:space="preserve">disability, impairment or </w:t>
      </w:r>
      <w:r w:rsidR="00D144C7">
        <w:rPr>
          <w:rFonts w:cs="Arial"/>
          <w:szCs w:val="22"/>
        </w:rPr>
        <w:t>long-term</w:t>
      </w:r>
      <w:r>
        <w:rPr>
          <w:rFonts w:cs="Arial"/>
          <w:szCs w:val="22"/>
        </w:rPr>
        <w:t xml:space="preserve"> medical condition</w:t>
      </w:r>
      <w:r w:rsidR="000E7B2E">
        <w:rPr>
          <w:rFonts w:cs="Arial"/>
          <w:szCs w:val="22"/>
        </w:rPr>
        <w:t>”</w:t>
      </w:r>
      <w:r>
        <w:rPr>
          <w:rFonts w:cs="Arial"/>
          <w:szCs w:val="22"/>
        </w:rPr>
        <w:t xml:space="preserve"> in relation to the broad categories of disability: </w:t>
      </w:r>
      <w:r w:rsidR="000E7B2E">
        <w:rPr>
          <w:rFonts w:cs="Arial"/>
          <w:szCs w:val="22"/>
        </w:rPr>
        <w:t>“</w:t>
      </w:r>
      <w:r>
        <w:rPr>
          <w:rFonts w:cs="Arial"/>
          <w:szCs w:val="22"/>
        </w:rPr>
        <w:t>hearing</w:t>
      </w:r>
      <w:r w:rsidR="000E7B2E">
        <w:rPr>
          <w:rFonts w:cs="Arial"/>
          <w:szCs w:val="22"/>
        </w:rPr>
        <w:t>”</w:t>
      </w:r>
      <w:r>
        <w:rPr>
          <w:rFonts w:cs="Arial"/>
          <w:szCs w:val="22"/>
        </w:rPr>
        <w:t xml:space="preserve">; </w:t>
      </w:r>
      <w:r w:rsidR="000E7B2E">
        <w:rPr>
          <w:rFonts w:cs="Arial"/>
          <w:szCs w:val="22"/>
        </w:rPr>
        <w:t>“</w:t>
      </w:r>
      <w:r>
        <w:rPr>
          <w:rFonts w:cs="Arial"/>
          <w:szCs w:val="22"/>
        </w:rPr>
        <w:t>learning</w:t>
      </w:r>
      <w:r w:rsidR="000E7B2E">
        <w:rPr>
          <w:rFonts w:cs="Arial"/>
          <w:szCs w:val="22"/>
        </w:rPr>
        <w:t>”</w:t>
      </w:r>
      <w:r>
        <w:rPr>
          <w:rFonts w:cs="Arial"/>
          <w:szCs w:val="22"/>
        </w:rPr>
        <w:t xml:space="preserve">; </w:t>
      </w:r>
      <w:r w:rsidR="000E7B2E">
        <w:rPr>
          <w:rFonts w:cs="Arial"/>
          <w:szCs w:val="22"/>
        </w:rPr>
        <w:t>“</w:t>
      </w:r>
      <w:r>
        <w:rPr>
          <w:rFonts w:cs="Arial"/>
          <w:szCs w:val="22"/>
        </w:rPr>
        <w:t>mobility</w:t>
      </w:r>
      <w:r w:rsidR="000E7B2E">
        <w:rPr>
          <w:rFonts w:cs="Arial"/>
          <w:szCs w:val="22"/>
        </w:rPr>
        <w:t>”</w:t>
      </w:r>
      <w:r>
        <w:rPr>
          <w:rFonts w:cs="Arial"/>
          <w:szCs w:val="22"/>
        </w:rPr>
        <w:t xml:space="preserve">; </w:t>
      </w:r>
      <w:r w:rsidR="000E7B2E">
        <w:rPr>
          <w:rFonts w:cs="Arial"/>
          <w:szCs w:val="22"/>
        </w:rPr>
        <w:t>“</w:t>
      </w:r>
      <w:r>
        <w:rPr>
          <w:rFonts w:cs="Arial"/>
          <w:szCs w:val="22"/>
        </w:rPr>
        <w:t>visual</w:t>
      </w:r>
      <w:r w:rsidR="000E7B2E">
        <w:rPr>
          <w:rFonts w:cs="Arial"/>
          <w:szCs w:val="22"/>
        </w:rPr>
        <w:t>”</w:t>
      </w:r>
      <w:r>
        <w:rPr>
          <w:rFonts w:cs="Arial"/>
          <w:szCs w:val="22"/>
        </w:rPr>
        <w:t xml:space="preserve">; </w:t>
      </w:r>
      <w:r w:rsidR="000E7B2E">
        <w:rPr>
          <w:rFonts w:cs="Arial"/>
          <w:szCs w:val="22"/>
        </w:rPr>
        <w:t>“</w:t>
      </w:r>
      <w:r>
        <w:rPr>
          <w:rFonts w:cs="Arial"/>
          <w:szCs w:val="22"/>
        </w:rPr>
        <w:t>medical</w:t>
      </w:r>
      <w:r w:rsidR="000E7B2E">
        <w:rPr>
          <w:rFonts w:cs="Arial"/>
          <w:szCs w:val="22"/>
        </w:rPr>
        <w:t>”</w:t>
      </w:r>
      <w:r>
        <w:rPr>
          <w:rFonts w:cs="Arial"/>
          <w:szCs w:val="22"/>
        </w:rPr>
        <w:t xml:space="preserve"> or </w:t>
      </w:r>
      <w:r w:rsidR="000E7B2E">
        <w:rPr>
          <w:rFonts w:cs="Arial"/>
          <w:szCs w:val="22"/>
        </w:rPr>
        <w:t>“</w:t>
      </w:r>
      <w:r>
        <w:rPr>
          <w:rFonts w:cs="Arial"/>
          <w:szCs w:val="22"/>
        </w:rPr>
        <w:t>other disability</w:t>
      </w:r>
      <w:r w:rsidR="000E7B2E">
        <w:rPr>
          <w:rFonts w:cs="Arial"/>
          <w:szCs w:val="22"/>
        </w:rPr>
        <w:t>”</w:t>
      </w:r>
      <w:r>
        <w:rPr>
          <w:rFonts w:cs="Arial"/>
          <w:szCs w:val="22"/>
        </w:rPr>
        <w:t xml:space="preserve">. In addition, they </w:t>
      </w:r>
      <w:r w:rsidR="00A90161">
        <w:rPr>
          <w:rFonts w:cs="Arial"/>
          <w:szCs w:val="22"/>
        </w:rPr>
        <w:t>are</w:t>
      </w:r>
      <w:r>
        <w:rPr>
          <w:rFonts w:cs="Arial"/>
          <w:szCs w:val="22"/>
        </w:rPr>
        <w:t xml:space="preserve"> also asked if they </w:t>
      </w:r>
      <w:r w:rsidR="000E7B2E">
        <w:rPr>
          <w:rFonts w:cs="Arial"/>
          <w:szCs w:val="22"/>
        </w:rPr>
        <w:t>“</w:t>
      </w:r>
      <w:r>
        <w:rPr>
          <w:rFonts w:cs="Arial"/>
          <w:szCs w:val="22"/>
        </w:rPr>
        <w:t>would like to receive advice on support services, equipment and facilities</w:t>
      </w:r>
      <w:r w:rsidR="000E7B2E">
        <w:rPr>
          <w:rFonts w:cs="Arial"/>
          <w:szCs w:val="22"/>
        </w:rPr>
        <w:t>”</w:t>
      </w:r>
      <w:r>
        <w:rPr>
          <w:rFonts w:cs="Arial"/>
          <w:szCs w:val="22"/>
        </w:rPr>
        <w:t xml:space="preserve"> (Element No. 386 </w:t>
      </w:r>
      <w:r w:rsidR="00761DD4">
        <w:rPr>
          <w:rFonts w:cs="Arial"/>
          <w:szCs w:val="22"/>
        </w:rPr>
        <w:t>“</w:t>
      </w:r>
      <w:r>
        <w:rPr>
          <w:rFonts w:cs="Arial"/>
          <w:szCs w:val="22"/>
        </w:rPr>
        <w:t>Disability</w:t>
      </w:r>
      <w:r w:rsidR="00761DD4">
        <w:rPr>
          <w:rFonts w:cs="Arial"/>
          <w:szCs w:val="22"/>
        </w:rPr>
        <w:t>”</w:t>
      </w:r>
      <w:r>
        <w:rPr>
          <w:rFonts w:cs="Arial"/>
          <w:szCs w:val="22"/>
        </w:rPr>
        <w:t>, in: Higher Education Information Management System, 2020).</w:t>
      </w:r>
    </w:p>
    <w:p w14:paraId="6C36844B" w14:textId="6DB7C2C7" w:rsidR="0081784E" w:rsidRDefault="00704F0A" w:rsidP="0084499E">
      <w:pPr>
        <w:spacing w:after="120" w:line="360" w:lineRule="auto"/>
        <w:rPr>
          <w:rFonts w:cs="Arial"/>
          <w:szCs w:val="22"/>
        </w:rPr>
      </w:pPr>
      <w:r>
        <w:rPr>
          <w:rFonts w:cs="Arial"/>
          <w:szCs w:val="22"/>
        </w:rPr>
        <w:t>T</w:t>
      </w:r>
      <w:r w:rsidR="0081784E" w:rsidRPr="00984E5C">
        <w:rPr>
          <w:rFonts w:cs="Arial"/>
          <w:szCs w:val="22"/>
        </w:rPr>
        <w:t xml:space="preserve">he new student collection system in higher education, </w:t>
      </w:r>
      <w:r w:rsidR="00A13EFD" w:rsidRPr="00984E5C">
        <w:rPr>
          <w:rFonts w:cs="Arial"/>
          <w:szCs w:val="22"/>
        </w:rPr>
        <w:t xml:space="preserve">the </w:t>
      </w:r>
      <w:r w:rsidR="00804B15" w:rsidRPr="00984E5C">
        <w:rPr>
          <w:rFonts w:cs="Arial"/>
          <w:szCs w:val="22"/>
        </w:rPr>
        <w:t xml:space="preserve">Tertiary Collection of Student Information (TCSI), </w:t>
      </w:r>
      <w:r w:rsidR="00A13EFD" w:rsidRPr="00984E5C">
        <w:rPr>
          <w:rFonts w:cs="Arial"/>
          <w:szCs w:val="22"/>
        </w:rPr>
        <w:t xml:space="preserve">will </w:t>
      </w:r>
      <w:r w:rsidR="00804B15" w:rsidRPr="00984E5C">
        <w:rPr>
          <w:rFonts w:cs="Arial"/>
          <w:szCs w:val="22"/>
        </w:rPr>
        <w:t>address some of these issues</w:t>
      </w:r>
      <w:r w:rsidR="00A13EFD" w:rsidRPr="00984E5C">
        <w:rPr>
          <w:rFonts w:cs="Arial"/>
          <w:szCs w:val="22"/>
        </w:rPr>
        <w:t xml:space="preserve"> as part of its rollout in 2020</w:t>
      </w:r>
      <w:r w:rsidR="00BC65CF">
        <w:rPr>
          <w:rFonts w:cs="Arial"/>
          <w:szCs w:val="22"/>
        </w:rPr>
        <w:t>–</w:t>
      </w:r>
      <w:r w:rsidR="00A13EFD" w:rsidRPr="00984E5C">
        <w:rPr>
          <w:rFonts w:cs="Arial"/>
          <w:szCs w:val="22"/>
        </w:rPr>
        <w:t>21</w:t>
      </w:r>
      <w:r>
        <w:rPr>
          <w:rFonts w:cs="Arial"/>
          <w:szCs w:val="22"/>
        </w:rPr>
        <w:t xml:space="preserve">. </w:t>
      </w:r>
      <w:r w:rsidR="00840562">
        <w:rPr>
          <w:rFonts w:cs="Arial"/>
          <w:szCs w:val="22"/>
        </w:rPr>
        <w:t xml:space="preserve">This will </w:t>
      </w:r>
      <w:r w:rsidR="00840562">
        <w:rPr>
          <w:rFonts w:cs="Arial"/>
          <w:szCs w:val="22"/>
        </w:rPr>
        <w:lastRenderedPageBreak/>
        <w:t>occur</w:t>
      </w:r>
      <w:r w:rsidR="00614627">
        <w:rPr>
          <w:rFonts w:cs="Arial"/>
          <w:szCs w:val="22"/>
        </w:rPr>
        <w:t xml:space="preserve"> through the </w:t>
      </w:r>
      <w:r w:rsidR="00834CB9">
        <w:rPr>
          <w:rFonts w:cs="Arial"/>
          <w:szCs w:val="22"/>
        </w:rPr>
        <w:t>inclusion</w:t>
      </w:r>
      <w:r w:rsidR="00614627">
        <w:rPr>
          <w:rFonts w:cs="Arial"/>
          <w:szCs w:val="22"/>
        </w:rPr>
        <w:t xml:space="preserve"> of a new disability variable</w:t>
      </w:r>
      <w:r w:rsidR="00FA47F4">
        <w:rPr>
          <w:rFonts w:cs="Arial"/>
          <w:szCs w:val="22"/>
        </w:rPr>
        <w:t xml:space="preserve">: </w:t>
      </w:r>
      <w:r w:rsidR="00761DD4">
        <w:rPr>
          <w:rFonts w:cs="Arial"/>
          <w:szCs w:val="22"/>
        </w:rPr>
        <w:t>“</w:t>
      </w:r>
      <w:r w:rsidR="00B16A1B" w:rsidRPr="00B16A1B">
        <w:rPr>
          <w:rFonts w:cs="Arial"/>
          <w:szCs w:val="22"/>
        </w:rPr>
        <w:t>Disabilit</w:t>
      </w:r>
      <w:r w:rsidR="00761DD4">
        <w:rPr>
          <w:rFonts w:cs="Arial"/>
          <w:szCs w:val="22"/>
        </w:rPr>
        <w:t>y”</w:t>
      </w:r>
      <w:r w:rsidR="00B16A1B" w:rsidRPr="00B16A1B">
        <w:rPr>
          <w:rFonts w:cs="Arial"/>
          <w:szCs w:val="22"/>
        </w:rPr>
        <w:t xml:space="preserve"> (E</w:t>
      </w:r>
      <w:r w:rsidR="00255130">
        <w:rPr>
          <w:rFonts w:cs="Arial"/>
          <w:szCs w:val="22"/>
        </w:rPr>
        <w:t>615</w:t>
      </w:r>
      <w:r w:rsidR="00B16A1B" w:rsidRPr="00B16A1B">
        <w:rPr>
          <w:rFonts w:cs="Arial"/>
          <w:szCs w:val="22"/>
        </w:rPr>
        <w:t>)</w:t>
      </w:r>
      <w:r w:rsidR="00804B15" w:rsidRPr="00984E5C">
        <w:rPr>
          <w:rFonts w:cs="Arial"/>
          <w:szCs w:val="22"/>
        </w:rPr>
        <w:t>.</w:t>
      </w:r>
      <w:r w:rsidR="00A13EFD" w:rsidRPr="00984E5C">
        <w:rPr>
          <w:rFonts w:cs="Arial"/>
          <w:szCs w:val="22"/>
        </w:rPr>
        <w:t xml:space="preserve"> </w:t>
      </w:r>
      <w:r w:rsidR="00FA47F4">
        <w:rPr>
          <w:rFonts w:cs="Arial"/>
          <w:szCs w:val="22"/>
        </w:rPr>
        <w:t>A key change with the new collection is</w:t>
      </w:r>
      <w:r w:rsidR="00A13EFD" w:rsidRPr="00984E5C">
        <w:rPr>
          <w:rFonts w:cs="Arial"/>
          <w:szCs w:val="22"/>
        </w:rPr>
        <w:t xml:space="preserve"> the expansion of </w:t>
      </w:r>
      <w:r w:rsidR="005E4726" w:rsidRPr="00984E5C">
        <w:rPr>
          <w:rFonts w:cs="Arial"/>
          <w:szCs w:val="22"/>
        </w:rPr>
        <w:t>disability definitions to include standardised cate</w:t>
      </w:r>
      <w:r w:rsidR="00706118" w:rsidRPr="00984E5C">
        <w:rPr>
          <w:rFonts w:cs="Arial"/>
          <w:szCs w:val="22"/>
        </w:rPr>
        <w:t>g</w:t>
      </w:r>
      <w:r w:rsidR="005E4726" w:rsidRPr="00984E5C">
        <w:rPr>
          <w:rFonts w:cs="Arial"/>
          <w:szCs w:val="22"/>
        </w:rPr>
        <w:t>ories</w:t>
      </w:r>
      <w:r w:rsidR="00984E5C">
        <w:rPr>
          <w:rFonts w:cs="Arial"/>
          <w:szCs w:val="22"/>
        </w:rPr>
        <w:t xml:space="preserve">, </w:t>
      </w:r>
      <w:r w:rsidR="004C5DB6">
        <w:rPr>
          <w:rFonts w:cs="Arial"/>
          <w:szCs w:val="22"/>
        </w:rPr>
        <w:t xml:space="preserve">specifically </w:t>
      </w:r>
      <w:r w:rsidR="00511CBB">
        <w:rPr>
          <w:rFonts w:cs="Arial"/>
          <w:szCs w:val="22"/>
        </w:rPr>
        <w:t>the</w:t>
      </w:r>
      <w:r w:rsidR="00742061">
        <w:rPr>
          <w:rFonts w:cs="Arial"/>
          <w:szCs w:val="22"/>
        </w:rPr>
        <w:t xml:space="preserve"> creation of new categories from </w:t>
      </w:r>
      <w:r w:rsidR="00255130">
        <w:rPr>
          <w:rFonts w:cs="Arial"/>
          <w:szCs w:val="22"/>
        </w:rPr>
        <w:t>“</w:t>
      </w:r>
      <w:r w:rsidR="00742061">
        <w:rPr>
          <w:rFonts w:cs="Arial"/>
          <w:szCs w:val="22"/>
        </w:rPr>
        <w:t>Other disability</w:t>
      </w:r>
      <w:r w:rsidR="00255130">
        <w:rPr>
          <w:rFonts w:cs="Arial"/>
          <w:szCs w:val="22"/>
        </w:rPr>
        <w:t>”</w:t>
      </w:r>
      <w:r w:rsidR="004C5DB6">
        <w:rPr>
          <w:rFonts w:cs="Arial"/>
          <w:szCs w:val="22"/>
        </w:rPr>
        <w:t xml:space="preserve"> </w:t>
      </w:r>
      <w:r w:rsidR="00BC65CF">
        <w:rPr>
          <w:rFonts w:cs="Arial"/>
          <w:szCs w:val="22"/>
        </w:rPr>
        <w:t xml:space="preserve">— </w:t>
      </w:r>
      <w:r w:rsidR="004C5DB6">
        <w:rPr>
          <w:rFonts w:cs="Arial"/>
          <w:szCs w:val="22"/>
        </w:rPr>
        <w:t>including</w:t>
      </w:r>
      <w:r w:rsidR="00BF2C9C">
        <w:rPr>
          <w:rFonts w:cs="Arial"/>
          <w:szCs w:val="22"/>
        </w:rPr>
        <w:t xml:space="preserve"> </w:t>
      </w:r>
      <w:r w:rsidR="00255130">
        <w:rPr>
          <w:rFonts w:cs="Arial"/>
          <w:szCs w:val="22"/>
        </w:rPr>
        <w:t>“</w:t>
      </w:r>
      <w:r w:rsidR="00DA306C">
        <w:rPr>
          <w:rFonts w:cs="Arial"/>
          <w:szCs w:val="22"/>
        </w:rPr>
        <w:t>M</w:t>
      </w:r>
      <w:r w:rsidR="00BF2C9C">
        <w:rPr>
          <w:rFonts w:cs="Arial"/>
          <w:szCs w:val="22"/>
        </w:rPr>
        <w:t>ental health condition</w:t>
      </w:r>
      <w:r w:rsidR="00255130">
        <w:rPr>
          <w:rFonts w:cs="Arial"/>
          <w:szCs w:val="22"/>
        </w:rPr>
        <w:t>”</w:t>
      </w:r>
      <w:r w:rsidR="00DA306C">
        <w:rPr>
          <w:rFonts w:cs="Arial"/>
          <w:szCs w:val="22"/>
        </w:rPr>
        <w:t xml:space="preserve"> </w:t>
      </w:r>
      <w:r w:rsidR="00B07084">
        <w:rPr>
          <w:rFonts w:cs="Arial"/>
          <w:szCs w:val="22"/>
        </w:rPr>
        <w:t>(</w:t>
      </w:r>
      <w:r w:rsidR="00D13579" w:rsidRPr="00455FF9">
        <w:rPr>
          <w:rFonts w:cs="Arial"/>
          <w:szCs w:val="22"/>
        </w:rPr>
        <w:t>Commonwealth of Australia</w:t>
      </w:r>
      <w:r w:rsidR="00B07084">
        <w:rPr>
          <w:rFonts w:cs="Arial"/>
          <w:szCs w:val="22"/>
        </w:rPr>
        <w:t>, 2020)</w:t>
      </w:r>
      <w:r w:rsidR="00DA306C">
        <w:rPr>
          <w:rFonts w:cs="Arial"/>
          <w:szCs w:val="22"/>
        </w:rPr>
        <w:t>.</w:t>
      </w:r>
      <w:r w:rsidR="00706118">
        <w:rPr>
          <w:rFonts w:cs="Arial"/>
          <w:szCs w:val="22"/>
        </w:rPr>
        <w:t xml:space="preserve"> </w:t>
      </w:r>
      <w:r w:rsidR="00203CFE">
        <w:rPr>
          <w:rFonts w:cs="Arial"/>
          <w:szCs w:val="22"/>
        </w:rPr>
        <w:t xml:space="preserve">However, </w:t>
      </w:r>
      <w:r w:rsidR="00840562">
        <w:rPr>
          <w:rFonts w:cs="Arial"/>
          <w:szCs w:val="22"/>
        </w:rPr>
        <w:t>TCSI will</w:t>
      </w:r>
      <w:r w:rsidR="00473BD8">
        <w:rPr>
          <w:rFonts w:cs="Arial"/>
          <w:szCs w:val="22"/>
        </w:rPr>
        <w:t xml:space="preserve"> not collect data on </w:t>
      </w:r>
      <w:r w:rsidR="00834CB9">
        <w:rPr>
          <w:rFonts w:cs="Arial"/>
          <w:szCs w:val="22"/>
        </w:rPr>
        <w:t xml:space="preserve">students’ </w:t>
      </w:r>
      <w:r w:rsidR="007D6FB0">
        <w:rPr>
          <w:rFonts w:cs="Arial"/>
          <w:szCs w:val="22"/>
        </w:rPr>
        <w:t>nomination</w:t>
      </w:r>
      <w:r w:rsidR="00834CB9">
        <w:rPr>
          <w:rFonts w:cs="Arial"/>
          <w:szCs w:val="22"/>
        </w:rPr>
        <w:t xml:space="preserve"> for support </w:t>
      </w:r>
      <w:r w:rsidR="00473BD8">
        <w:rPr>
          <w:rFonts w:cs="Arial"/>
          <w:szCs w:val="22"/>
        </w:rPr>
        <w:t>service</w:t>
      </w:r>
      <w:r w:rsidR="00834CB9">
        <w:rPr>
          <w:rFonts w:cs="Arial"/>
          <w:szCs w:val="22"/>
        </w:rPr>
        <w:t>s</w:t>
      </w:r>
      <w:r w:rsidR="00473BD8">
        <w:rPr>
          <w:rFonts w:cs="Arial"/>
          <w:szCs w:val="22"/>
        </w:rPr>
        <w:t xml:space="preserve">. </w:t>
      </w:r>
    </w:p>
    <w:p w14:paraId="035EFA24" w14:textId="77777777" w:rsidR="005E04A3" w:rsidRDefault="007957C1" w:rsidP="007B1E24">
      <w:pPr>
        <w:spacing w:after="240" w:line="360" w:lineRule="auto"/>
      </w:pPr>
      <w:r>
        <w:rPr>
          <w:rFonts w:cs="Arial"/>
          <w:szCs w:val="22"/>
        </w:rPr>
        <w:t xml:space="preserve">A </w:t>
      </w:r>
      <w:r w:rsidR="00D07895">
        <w:rPr>
          <w:rFonts w:cs="Arial"/>
          <w:szCs w:val="22"/>
        </w:rPr>
        <w:t>welcome</w:t>
      </w:r>
      <w:r>
        <w:rPr>
          <w:rFonts w:cs="Arial"/>
          <w:szCs w:val="22"/>
        </w:rPr>
        <w:t xml:space="preserve"> outco</w:t>
      </w:r>
      <w:r w:rsidR="00D07895">
        <w:rPr>
          <w:rFonts w:cs="Arial"/>
          <w:szCs w:val="22"/>
        </w:rPr>
        <w:t>me</w:t>
      </w:r>
      <w:r>
        <w:rPr>
          <w:rFonts w:cs="Arial"/>
          <w:szCs w:val="22"/>
        </w:rPr>
        <w:t xml:space="preserve"> from the </w:t>
      </w:r>
      <w:r w:rsidR="00A73258">
        <w:rPr>
          <w:rFonts w:cs="Arial"/>
          <w:szCs w:val="22"/>
        </w:rPr>
        <w:t>current</w:t>
      </w:r>
      <w:r>
        <w:rPr>
          <w:rFonts w:cs="Arial"/>
          <w:szCs w:val="22"/>
        </w:rPr>
        <w:t xml:space="preserve"> Review would be the initiation of a new project looking at </w:t>
      </w:r>
      <w:r w:rsidR="00450B34">
        <w:rPr>
          <w:rFonts w:cs="Arial"/>
          <w:szCs w:val="22"/>
        </w:rPr>
        <w:t>higher levels of data integration between the education, health</w:t>
      </w:r>
      <w:r w:rsidR="007D14A0">
        <w:rPr>
          <w:rFonts w:cs="Arial"/>
          <w:szCs w:val="22"/>
        </w:rPr>
        <w:t>,</w:t>
      </w:r>
      <w:r w:rsidR="00450B34">
        <w:rPr>
          <w:rFonts w:cs="Arial"/>
          <w:szCs w:val="22"/>
        </w:rPr>
        <w:t xml:space="preserve"> and social service sectors</w:t>
      </w:r>
      <w:r w:rsidR="0046650D">
        <w:rPr>
          <w:rFonts w:cs="Arial"/>
          <w:szCs w:val="22"/>
        </w:rPr>
        <w:t>.</w:t>
      </w:r>
      <w:r w:rsidR="00713779">
        <w:rPr>
          <w:rFonts w:cs="Arial"/>
          <w:szCs w:val="22"/>
        </w:rPr>
        <w:t xml:space="preserve"> One prospective source </w:t>
      </w:r>
      <w:r w:rsidR="00BC4A3C">
        <w:rPr>
          <w:rFonts w:cs="Arial"/>
          <w:szCs w:val="22"/>
        </w:rPr>
        <w:t>of</w:t>
      </w:r>
      <w:r w:rsidR="00713779">
        <w:rPr>
          <w:rFonts w:cs="Arial"/>
          <w:szCs w:val="22"/>
        </w:rPr>
        <w:t xml:space="preserve"> data on disability and support requirements is the </w:t>
      </w:r>
      <w:r w:rsidR="00713779" w:rsidRPr="006368B1">
        <w:rPr>
          <w:rFonts w:cs="Arial"/>
          <w:szCs w:val="22"/>
        </w:rPr>
        <w:t>Council of Australian Governments</w:t>
      </w:r>
      <w:r w:rsidR="00713779">
        <w:rPr>
          <w:rFonts w:cs="Arial"/>
          <w:szCs w:val="22"/>
        </w:rPr>
        <w:t>’</w:t>
      </w:r>
      <w:r w:rsidR="00713779" w:rsidRPr="006368B1">
        <w:rPr>
          <w:rFonts w:cs="Arial"/>
          <w:szCs w:val="22"/>
        </w:rPr>
        <w:t xml:space="preserve"> (COAG)</w:t>
      </w:r>
      <w:r w:rsidR="00713779">
        <w:rPr>
          <w:rFonts w:cs="Arial"/>
          <w:szCs w:val="22"/>
        </w:rPr>
        <w:t xml:space="preserve"> proposed </w:t>
      </w:r>
      <w:r w:rsidR="00713779" w:rsidRPr="007C002D">
        <w:rPr>
          <w:rFonts w:cs="Arial"/>
          <w:szCs w:val="22"/>
        </w:rPr>
        <w:t>National Disability Data Asset</w:t>
      </w:r>
      <w:r w:rsidR="00713779">
        <w:rPr>
          <w:rFonts w:cs="Arial"/>
          <w:szCs w:val="22"/>
        </w:rPr>
        <w:t xml:space="preserve"> (</w:t>
      </w:r>
      <w:r w:rsidR="00713779" w:rsidRPr="00455FF9">
        <w:rPr>
          <w:rFonts w:cs="Arial"/>
          <w:szCs w:val="22"/>
        </w:rPr>
        <w:t xml:space="preserve">Department of </w:t>
      </w:r>
      <w:r w:rsidR="00713779">
        <w:rPr>
          <w:rFonts w:cs="Arial"/>
          <w:szCs w:val="22"/>
        </w:rPr>
        <w:t>Social Services,</w:t>
      </w:r>
      <w:r w:rsidR="00713779" w:rsidRPr="00455FF9">
        <w:rPr>
          <w:rFonts w:cs="Arial"/>
          <w:szCs w:val="22"/>
        </w:rPr>
        <w:t xml:space="preserve"> </w:t>
      </w:r>
      <w:r w:rsidR="00713779">
        <w:rPr>
          <w:rFonts w:cs="Arial"/>
          <w:szCs w:val="22"/>
        </w:rPr>
        <w:t>2020</w:t>
      </w:r>
      <w:r w:rsidR="00713779" w:rsidRPr="00455FF9">
        <w:rPr>
          <w:rFonts w:cs="Arial"/>
          <w:szCs w:val="22"/>
        </w:rPr>
        <w:t>).</w:t>
      </w:r>
      <w:r w:rsidR="00713779">
        <w:rPr>
          <w:rFonts w:cs="Arial"/>
          <w:szCs w:val="22"/>
        </w:rPr>
        <w:t xml:space="preserve"> A</w:t>
      </w:r>
      <w:r w:rsidR="001C6937">
        <w:rPr>
          <w:rFonts w:cs="Arial"/>
          <w:szCs w:val="22"/>
        </w:rPr>
        <w:t xml:space="preserve"> potential starting point for </w:t>
      </w:r>
      <w:r w:rsidR="00713779">
        <w:rPr>
          <w:rFonts w:cs="Arial"/>
          <w:szCs w:val="22"/>
        </w:rPr>
        <w:t xml:space="preserve">utilising NDDA data in education </w:t>
      </w:r>
      <w:r w:rsidR="001C6937">
        <w:rPr>
          <w:rFonts w:cs="Arial"/>
          <w:szCs w:val="22"/>
        </w:rPr>
        <w:t xml:space="preserve">is the </w:t>
      </w:r>
      <w:r w:rsidR="00713779">
        <w:rPr>
          <w:rFonts w:cs="Arial"/>
          <w:szCs w:val="22"/>
        </w:rPr>
        <w:t>recommendation</w:t>
      </w:r>
      <w:r w:rsidR="001C6937">
        <w:rPr>
          <w:rFonts w:cs="Arial"/>
          <w:szCs w:val="22"/>
        </w:rPr>
        <w:t xml:space="preserve"> from the</w:t>
      </w:r>
      <w:r w:rsidR="00965FCC">
        <w:rPr>
          <w:rFonts w:cs="Arial"/>
          <w:szCs w:val="22"/>
        </w:rPr>
        <w:t xml:space="preserve"> </w:t>
      </w:r>
      <w:r w:rsidR="00965FCC">
        <w:rPr>
          <w:rFonts w:cs="Arial"/>
          <w:i/>
          <w:iCs/>
          <w:szCs w:val="22"/>
        </w:rPr>
        <w:t>Review of Se</w:t>
      </w:r>
      <w:r w:rsidR="00095F44">
        <w:rPr>
          <w:rFonts w:cs="Arial"/>
          <w:i/>
          <w:iCs/>
          <w:szCs w:val="22"/>
        </w:rPr>
        <w:t>nior Se</w:t>
      </w:r>
      <w:r w:rsidR="00965FCC">
        <w:rPr>
          <w:rFonts w:cs="Arial"/>
          <w:i/>
          <w:iCs/>
          <w:szCs w:val="22"/>
        </w:rPr>
        <w:t>condary</w:t>
      </w:r>
      <w:r w:rsidR="00095F44">
        <w:rPr>
          <w:rFonts w:cs="Arial"/>
          <w:i/>
          <w:iCs/>
          <w:szCs w:val="22"/>
        </w:rPr>
        <w:t xml:space="preserve"> Pathways into Work, Further Education and Training</w:t>
      </w:r>
      <w:r w:rsidR="0064277C">
        <w:rPr>
          <w:rFonts w:cs="Arial"/>
          <w:i/>
          <w:iCs/>
          <w:szCs w:val="22"/>
        </w:rPr>
        <w:t xml:space="preserve"> </w:t>
      </w:r>
      <w:r w:rsidR="0064277C">
        <w:rPr>
          <w:rFonts w:cs="Arial"/>
          <w:szCs w:val="22"/>
        </w:rPr>
        <w:t>(</w:t>
      </w:r>
      <w:r w:rsidR="00255130">
        <w:rPr>
          <w:rFonts w:cs="Arial"/>
          <w:szCs w:val="22"/>
        </w:rPr>
        <w:t>“</w:t>
      </w:r>
      <w:r w:rsidR="0064277C" w:rsidRPr="00760D04">
        <w:rPr>
          <w:rFonts w:cs="Arial"/>
          <w:i/>
          <w:iCs/>
          <w:szCs w:val="22"/>
        </w:rPr>
        <w:t>Review of Senior Secondary Pathways</w:t>
      </w:r>
      <w:r w:rsidR="00255130">
        <w:rPr>
          <w:rFonts w:cs="Arial"/>
          <w:szCs w:val="22"/>
        </w:rPr>
        <w:t>”</w:t>
      </w:r>
      <w:r w:rsidR="0064277C">
        <w:rPr>
          <w:rFonts w:cs="Arial"/>
          <w:szCs w:val="22"/>
        </w:rPr>
        <w:t>)</w:t>
      </w:r>
      <w:r w:rsidR="00095F44">
        <w:rPr>
          <w:rFonts w:cs="Arial"/>
          <w:szCs w:val="22"/>
        </w:rPr>
        <w:t>, which called for the establishment of a unique student identifier (USI)</w:t>
      </w:r>
      <w:r w:rsidR="00F66B1F">
        <w:rPr>
          <w:rFonts w:cs="Arial"/>
          <w:szCs w:val="22"/>
        </w:rPr>
        <w:t xml:space="preserve"> for </w:t>
      </w:r>
      <w:r w:rsidR="00095F44">
        <w:rPr>
          <w:rFonts w:cs="Arial"/>
          <w:szCs w:val="22"/>
        </w:rPr>
        <w:t>(Education Services Australia, 2020</w:t>
      </w:r>
      <w:r w:rsidR="008F3D0E">
        <w:rPr>
          <w:rFonts w:cs="Arial"/>
          <w:szCs w:val="22"/>
        </w:rPr>
        <w:t xml:space="preserve">, </w:t>
      </w:r>
      <w:r w:rsidR="00095F44">
        <w:rPr>
          <w:rFonts w:cs="Arial"/>
          <w:szCs w:val="22"/>
        </w:rPr>
        <w:t>p</w:t>
      </w:r>
      <w:r w:rsidR="00690FDB">
        <w:rPr>
          <w:rFonts w:cs="Arial"/>
          <w:szCs w:val="22"/>
        </w:rPr>
        <w:t>.</w:t>
      </w:r>
      <w:r w:rsidR="00BC65CF">
        <w:rPr>
          <w:rFonts w:cs="Arial"/>
          <w:szCs w:val="22"/>
        </w:rPr>
        <w:t xml:space="preserve"> </w:t>
      </w:r>
      <w:r w:rsidR="00121392">
        <w:rPr>
          <w:rFonts w:cs="Arial"/>
          <w:szCs w:val="22"/>
        </w:rPr>
        <w:t>22</w:t>
      </w:r>
      <w:r w:rsidR="00690FDB">
        <w:rPr>
          <w:rFonts w:cs="Arial"/>
          <w:szCs w:val="22"/>
        </w:rPr>
        <w:t>)</w:t>
      </w:r>
      <w:r w:rsidR="00095F44">
        <w:rPr>
          <w:rFonts w:cs="Arial"/>
          <w:szCs w:val="22"/>
        </w:rPr>
        <w:t>.</w:t>
      </w:r>
      <w:r w:rsidR="005E04A3" w:rsidRPr="005E04A3">
        <w:t xml:space="preserve"> </w:t>
      </w:r>
    </w:p>
    <w:p w14:paraId="195E717B" w14:textId="6DAEDB31" w:rsidR="005E04A3" w:rsidRPr="005E04A3" w:rsidRDefault="005E04A3" w:rsidP="005E04A3">
      <w:pPr>
        <w:pBdr>
          <w:left w:val="single" w:sz="4" w:space="4" w:color="auto"/>
        </w:pBdr>
        <w:spacing w:after="240" w:line="360" w:lineRule="auto"/>
        <w:ind w:left="720"/>
        <w:rPr>
          <w:rFonts w:cs="Arial"/>
          <w:i/>
          <w:iCs/>
          <w:szCs w:val="22"/>
        </w:rPr>
      </w:pPr>
      <w:r w:rsidRPr="005E04A3">
        <w:rPr>
          <w:rFonts w:cs="Arial"/>
          <w:b/>
          <w:bCs/>
          <w:szCs w:val="22"/>
        </w:rPr>
        <w:t>Recommendation 4:</w:t>
      </w:r>
      <w:r w:rsidRPr="005E04A3">
        <w:rPr>
          <w:rFonts w:cs="Arial"/>
          <w:szCs w:val="22"/>
        </w:rPr>
        <w:t xml:space="preserve"> That the Standards encourage the consistent identification of disability in Australian education, both within and outside higher education and in view of the proposed development of a Unique Student Identifier for Australian education.</w:t>
      </w:r>
    </w:p>
    <w:p w14:paraId="7219A498" w14:textId="6EA3B4DD" w:rsidR="003D207B" w:rsidRDefault="003D207B" w:rsidP="003D50D1">
      <w:pPr>
        <w:pStyle w:val="Heading1"/>
      </w:pPr>
      <w:bookmarkStart w:id="7" w:name="_Toc57283823"/>
      <w:r>
        <w:t xml:space="preserve">Key Issues in Creating and Enforcing </w:t>
      </w:r>
      <w:r w:rsidR="00EB4EBA">
        <w:t xml:space="preserve">Standards </w:t>
      </w:r>
      <w:r>
        <w:t>in Higher Education</w:t>
      </w:r>
      <w:bookmarkEnd w:id="7"/>
    </w:p>
    <w:p w14:paraId="0444694F" w14:textId="77777777" w:rsidR="007B1E24" w:rsidRPr="00D516EF" w:rsidRDefault="005E70E7" w:rsidP="00835EDF">
      <w:pPr>
        <w:pStyle w:val="Heading2"/>
        <w:spacing w:after="240"/>
      </w:pPr>
      <w:r w:rsidRPr="00D516EF">
        <w:t>Pre-Access</w:t>
      </w:r>
      <w:r w:rsidR="00033C3F" w:rsidRPr="00D516EF">
        <w:t xml:space="preserve"> </w:t>
      </w:r>
    </w:p>
    <w:p w14:paraId="09CB2C87" w14:textId="62AB0578" w:rsidR="007B1E24" w:rsidRDefault="00043CC0" w:rsidP="007B1E24">
      <w:pPr>
        <w:spacing w:after="120" w:line="360" w:lineRule="auto"/>
        <w:rPr>
          <w:rFonts w:cs="Arial"/>
          <w:szCs w:val="22"/>
        </w:rPr>
      </w:pPr>
      <w:r>
        <w:rPr>
          <w:rFonts w:cs="Arial"/>
          <w:szCs w:val="22"/>
        </w:rPr>
        <w:t xml:space="preserve">Establishing a pathway to </w:t>
      </w:r>
      <w:r w:rsidR="00981C77">
        <w:rPr>
          <w:rFonts w:cs="Arial"/>
          <w:szCs w:val="22"/>
        </w:rPr>
        <w:t xml:space="preserve">higher education participation and </w:t>
      </w:r>
      <w:r w:rsidR="008723E7">
        <w:rPr>
          <w:rFonts w:cs="Arial"/>
          <w:szCs w:val="22"/>
        </w:rPr>
        <w:t xml:space="preserve">post-graduation outcomes is critical to increasing participation by </w:t>
      </w:r>
      <w:r w:rsidR="00396436">
        <w:rPr>
          <w:rFonts w:cs="Arial"/>
          <w:szCs w:val="22"/>
        </w:rPr>
        <w:t xml:space="preserve">people with disability. </w:t>
      </w:r>
      <w:r w:rsidR="0002619A">
        <w:rPr>
          <w:rFonts w:cs="Arial"/>
          <w:szCs w:val="22"/>
        </w:rPr>
        <w:t xml:space="preserve">The </w:t>
      </w:r>
      <w:r w:rsidR="00EC5536">
        <w:rPr>
          <w:rFonts w:cs="Arial"/>
          <w:i/>
          <w:iCs/>
          <w:szCs w:val="22"/>
        </w:rPr>
        <w:t xml:space="preserve">Review of Senior Secondary </w:t>
      </w:r>
      <w:r w:rsidR="00EC5536" w:rsidRPr="0014466C">
        <w:rPr>
          <w:rFonts w:cs="Arial"/>
          <w:i/>
          <w:iCs/>
          <w:szCs w:val="22"/>
        </w:rPr>
        <w:t xml:space="preserve">Pathways </w:t>
      </w:r>
      <w:r w:rsidR="0002619A">
        <w:rPr>
          <w:rFonts w:cs="Arial"/>
          <w:szCs w:val="22"/>
        </w:rPr>
        <w:t>emphasised the importance of pathways</w:t>
      </w:r>
      <w:r w:rsidR="000C68B1">
        <w:rPr>
          <w:rFonts w:cs="Arial"/>
          <w:szCs w:val="22"/>
        </w:rPr>
        <w:t xml:space="preserve"> for </w:t>
      </w:r>
      <w:r w:rsidR="00104F61">
        <w:rPr>
          <w:rFonts w:cs="Arial"/>
          <w:szCs w:val="22"/>
        </w:rPr>
        <w:t xml:space="preserve">senior </w:t>
      </w:r>
      <w:r w:rsidR="000C68B1">
        <w:rPr>
          <w:rFonts w:cs="Arial"/>
          <w:szCs w:val="22"/>
        </w:rPr>
        <w:t>secondary students</w:t>
      </w:r>
      <w:r w:rsidR="00911DD9">
        <w:rPr>
          <w:rFonts w:cs="Arial"/>
          <w:szCs w:val="22"/>
        </w:rPr>
        <w:t>.</w:t>
      </w:r>
      <w:r w:rsidR="00BE317A">
        <w:rPr>
          <w:rFonts w:cs="Arial"/>
          <w:szCs w:val="22"/>
        </w:rPr>
        <w:t xml:space="preserve"> </w:t>
      </w:r>
      <w:r w:rsidR="00911DD9">
        <w:rPr>
          <w:rFonts w:cs="Arial"/>
          <w:szCs w:val="22"/>
        </w:rPr>
        <w:t>I</w:t>
      </w:r>
      <w:r w:rsidR="0002619A">
        <w:rPr>
          <w:rFonts w:cs="Arial"/>
          <w:szCs w:val="22"/>
        </w:rPr>
        <w:t>n its recommendations to government</w:t>
      </w:r>
      <w:r w:rsidR="000C68B1">
        <w:rPr>
          <w:rFonts w:cs="Arial"/>
          <w:szCs w:val="22"/>
        </w:rPr>
        <w:t xml:space="preserve"> </w:t>
      </w:r>
      <w:r w:rsidR="00911DD9">
        <w:rPr>
          <w:rFonts w:cs="Arial"/>
          <w:szCs w:val="22"/>
        </w:rPr>
        <w:t xml:space="preserve">it </w:t>
      </w:r>
      <w:r w:rsidR="00B3176E">
        <w:rPr>
          <w:rFonts w:cs="Arial"/>
          <w:szCs w:val="22"/>
        </w:rPr>
        <w:t>call</w:t>
      </w:r>
      <w:r w:rsidR="00F66B1F">
        <w:rPr>
          <w:rFonts w:cs="Arial"/>
          <w:szCs w:val="22"/>
        </w:rPr>
        <w:t>ed</w:t>
      </w:r>
      <w:r w:rsidR="00BE317A">
        <w:rPr>
          <w:rFonts w:cs="Arial"/>
          <w:szCs w:val="22"/>
        </w:rPr>
        <w:t xml:space="preserve"> </w:t>
      </w:r>
      <w:r w:rsidR="00B3176E">
        <w:rPr>
          <w:rFonts w:cs="Arial"/>
          <w:szCs w:val="22"/>
        </w:rPr>
        <w:t xml:space="preserve">for all senior secondary students with disability to have access to </w:t>
      </w:r>
      <w:r w:rsidR="00BD4A6B">
        <w:rPr>
          <w:rFonts w:cs="Arial"/>
          <w:szCs w:val="22"/>
        </w:rPr>
        <w:t xml:space="preserve">work </w:t>
      </w:r>
      <w:r w:rsidR="004949CD">
        <w:rPr>
          <w:rFonts w:cs="Arial"/>
          <w:szCs w:val="22"/>
        </w:rPr>
        <w:t xml:space="preserve">exploration in school </w:t>
      </w:r>
      <w:r w:rsidR="00F918B2">
        <w:rPr>
          <w:rFonts w:cs="Arial"/>
          <w:szCs w:val="22"/>
        </w:rPr>
        <w:t>(Education Services Australia, 2020, p.</w:t>
      </w:r>
      <w:r w:rsidR="00BC65CF">
        <w:rPr>
          <w:rFonts w:cs="Arial"/>
          <w:szCs w:val="22"/>
        </w:rPr>
        <w:t xml:space="preserve"> </w:t>
      </w:r>
      <w:r w:rsidR="00F918B2">
        <w:rPr>
          <w:rFonts w:cs="Arial"/>
          <w:szCs w:val="22"/>
        </w:rPr>
        <w:t xml:space="preserve">22). </w:t>
      </w:r>
    </w:p>
    <w:p w14:paraId="23505511" w14:textId="73CA709D" w:rsidR="00E00109" w:rsidRDefault="00D81AEB" w:rsidP="007B1E24">
      <w:pPr>
        <w:spacing w:after="240" w:line="360" w:lineRule="auto"/>
        <w:rPr>
          <w:rFonts w:cs="Arial"/>
          <w:szCs w:val="22"/>
        </w:rPr>
      </w:pPr>
      <w:r>
        <w:rPr>
          <w:rFonts w:cs="Arial"/>
          <w:szCs w:val="22"/>
        </w:rPr>
        <w:t>Attention to this issue has become critical since t</w:t>
      </w:r>
      <w:r w:rsidR="00603DDF">
        <w:rPr>
          <w:rFonts w:cs="Arial"/>
          <w:szCs w:val="22"/>
        </w:rPr>
        <w:t>he emergence of COVID-19</w:t>
      </w:r>
      <w:r>
        <w:rPr>
          <w:rFonts w:cs="Arial"/>
          <w:szCs w:val="22"/>
        </w:rPr>
        <w:t>, which</w:t>
      </w:r>
      <w:r w:rsidR="00603DDF">
        <w:rPr>
          <w:rFonts w:cs="Arial"/>
          <w:szCs w:val="22"/>
        </w:rPr>
        <w:t xml:space="preserve"> has </w:t>
      </w:r>
      <w:r w:rsidR="000A381D">
        <w:rPr>
          <w:rFonts w:cs="Arial"/>
          <w:szCs w:val="22"/>
        </w:rPr>
        <w:t>exacerbated the disadvantage</w:t>
      </w:r>
      <w:r w:rsidR="00C36D4D">
        <w:rPr>
          <w:rFonts w:cs="Arial"/>
          <w:szCs w:val="22"/>
        </w:rPr>
        <w:t>s</w:t>
      </w:r>
      <w:r w:rsidR="000A381D">
        <w:rPr>
          <w:rFonts w:cs="Arial"/>
          <w:szCs w:val="22"/>
        </w:rPr>
        <w:t xml:space="preserve"> faced by students with disability</w:t>
      </w:r>
      <w:r w:rsidR="009474AB">
        <w:rPr>
          <w:rFonts w:cs="Arial"/>
          <w:szCs w:val="22"/>
        </w:rPr>
        <w:t xml:space="preserve"> in</w:t>
      </w:r>
      <w:r w:rsidR="000A381D">
        <w:rPr>
          <w:rFonts w:cs="Arial"/>
          <w:szCs w:val="22"/>
        </w:rPr>
        <w:t xml:space="preserve"> </w:t>
      </w:r>
      <w:r w:rsidR="009474AB">
        <w:rPr>
          <w:rFonts w:cs="Arial"/>
          <w:szCs w:val="22"/>
        </w:rPr>
        <w:t>accessing</w:t>
      </w:r>
      <w:r>
        <w:rPr>
          <w:rFonts w:cs="Arial"/>
          <w:szCs w:val="22"/>
        </w:rPr>
        <w:t xml:space="preserve"> information about post-compulsory</w:t>
      </w:r>
      <w:r w:rsidR="009572E3">
        <w:rPr>
          <w:rFonts w:cs="Arial"/>
          <w:szCs w:val="22"/>
        </w:rPr>
        <w:t xml:space="preserve"> educational</w:t>
      </w:r>
      <w:r>
        <w:rPr>
          <w:rFonts w:cs="Arial"/>
          <w:szCs w:val="22"/>
        </w:rPr>
        <w:t xml:space="preserve"> options. </w:t>
      </w:r>
      <w:r w:rsidR="00DB2202">
        <w:rPr>
          <w:rFonts w:cs="Arial"/>
          <w:szCs w:val="22"/>
        </w:rPr>
        <w:t>As</w:t>
      </w:r>
      <w:r w:rsidR="007D593D">
        <w:rPr>
          <w:rFonts w:cs="Arial"/>
          <w:szCs w:val="22"/>
        </w:rPr>
        <w:t xml:space="preserve"> </w:t>
      </w:r>
      <w:r w:rsidR="00DB2202">
        <w:rPr>
          <w:rFonts w:cs="Arial"/>
          <w:szCs w:val="22"/>
        </w:rPr>
        <w:t>part of its</w:t>
      </w:r>
      <w:r w:rsidR="007D593D">
        <w:rPr>
          <w:rFonts w:cs="Arial"/>
          <w:szCs w:val="22"/>
        </w:rPr>
        <w:t xml:space="preserve"> submission </w:t>
      </w:r>
      <w:r w:rsidR="005E064B">
        <w:rPr>
          <w:rFonts w:cs="Arial"/>
          <w:szCs w:val="22"/>
        </w:rPr>
        <w:t>on</w:t>
      </w:r>
      <w:r w:rsidR="00F66B1F">
        <w:rPr>
          <w:rFonts w:cs="Arial"/>
          <w:szCs w:val="22"/>
        </w:rPr>
        <w:t xml:space="preserve"> the</w:t>
      </w:r>
      <w:r w:rsidR="005E064B">
        <w:rPr>
          <w:rFonts w:cs="Arial"/>
          <w:szCs w:val="22"/>
        </w:rPr>
        <w:t xml:space="preserve"> </w:t>
      </w:r>
      <w:r w:rsidR="00DB2202">
        <w:rPr>
          <w:rFonts w:cs="Arial"/>
          <w:i/>
          <w:iCs/>
          <w:szCs w:val="22"/>
        </w:rPr>
        <w:t xml:space="preserve">Job-ready Graduates Package </w:t>
      </w:r>
      <w:r w:rsidR="005E064B">
        <w:rPr>
          <w:rFonts w:cs="Arial"/>
          <w:szCs w:val="22"/>
        </w:rPr>
        <w:t>and its</w:t>
      </w:r>
      <w:r w:rsidR="002D6FFE">
        <w:rPr>
          <w:rFonts w:cs="Arial"/>
          <w:szCs w:val="22"/>
        </w:rPr>
        <w:t xml:space="preserve"> draft legislation, the</w:t>
      </w:r>
      <w:r w:rsidR="005E064B">
        <w:rPr>
          <w:rFonts w:cs="Arial"/>
          <w:szCs w:val="22"/>
        </w:rPr>
        <w:t xml:space="preserve"> NCSEHE observed that the</w:t>
      </w:r>
      <w:r w:rsidR="00BE2A3E">
        <w:rPr>
          <w:rFonts w:cs="Arial"/>
          <w:szCs w:val="22"/>
        </w:rPr>
        <w:t xml:space="preserve">re was a requirement to examine </w:t>
      </w:r>
      <w:r w:rsidR="002330B1">
        <w:rPr>
          <w:rFonts w:cs="Arial"/>
          <w:szCs w:val="22"/>
        </w:rPr>
        <w:t>how the</w:t>
      </w:r>
      <w:r w:rsidR="005E064B">
        <w:rPr>
          <w:rFonts w:cs="Arial"/>
          <w:szCs w:val="22"/>
        </w:rPr>
        <w:t xml:space="preserve"> new funding</w:t>
      </w:r>
      <w:r w:rsidR="00DB2202">
        <w:rPr>
          <w:rFonts w:cs="Arial"/>
          <w:szCs w:val="22"/>
        </w:rPr>
        <w:t xml:space="preserve"> arrangements</w:t>
      </w:r>
      <w:r w:rsidR="00E77EE8">
        <w:rPr>
          <w:rFonts w:cs="Arial"/>
          <w:szCs w:val="22"/>
        </w:rPr>
        <w:t xml:space="preserve"> </w:t>
      </w:r>
      <w:r w:rsidR="002330B1">
        <w:rPr>
          <w:rFonts w:cs="Arial"/>
          <w:szCs w:val="22"/>
        </w:rPr>
        <w:t>would explicitly</w:t>
      </w:r>
      <w:r w:rsidR="00BE2A3E">
        <w:rPr>
          <w:rFonts w:cs="Arial"/>
          <w:szCs w:val="22"/>
        </w:rPr>
        <w:t xml:space="preserve"> impact on </w:t>
      </w:r>
      <w:r w:rsidR="002330B1">
        <w:rPr>
          <w:rFonts w:cs="Arial"/>
          <w:szCs w:val="22"/>
        </w:rPr>
        <w:t xml:space="preserve">institutional performance in relation to </w:t>
      </w:r>
      <w:r w:rsidR="00BE2A3E">
        <w:rPr>
          <w:rFonts w:cs="Arial"/>
          <w:szCs w:val="22"/>
        </w:rPr>
        <w:t>d</w:t>
      </w:r>
      <w:r w:rsidR="00E77EE8">
        <w:rPr>
          <w:rFonts w:cs="Arial"/>
          <w:szCs w:val="22"/>
        </w:rPr>
        <w:t>isability</w:t>
      </w:r>
      <w:r w:rsidR="00B21852">
        <w:rPr>
          <w:rFonts w:cs="Arial"/>
          <w:szCs w:val="22"/>
        </w:rPr>
        <w:t xml:space="preserve"> access and enrolment</w:t>
      </w:r>
      <w:r w:rsidR="00E77EE8">
        <w:rPr>
          <w:rFonts w:cs="Arial"/>
          <w:szCs w:val="22"/>
        </w:rPr>
        <w:t xml:space="preserve"> </w:t>
      </w:r>
      <w:r w:rsidR="001B5CA2">
        <w:rPr>
          <w:rFonts w:cs="Arial"/>
          <w:szCs w:val="22"/>
        </w:rPr>
        <w:t>(National Centre for Student Equity in Higher Education, 2020b, p.</w:t>
      </w:r>
      <w:r w:rsidR="00BC65CF">
        <w:rPr>
          <w:rFonts w:cs="Arial"/>
          <w:szCs w:val="22"/>
        </w:rPr>
        <w:t xml:space="preserve"> </w:t>
      </w:r>
      <w:r w:rsidR="001B5CA2">
        <w:rPr>
          <w:rFonts w:cs="Arial"/>
          <w:szCs w:val="22"/>
        </w:rPr>
        <w:t xml:space="preserve">8). </w:t>
      </w:r>
    </w:p>
    <w:p w14:paraId="384F239B" w14:textId="0FEFE193"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lastRenderedPageBreak/>
        <w:t>Recommendation 5:</w:t>
      </w:r>
      <w:r w:rsidRPr="005E04A3">
        <w:rPr>
          <w:rFonts w:cs="Arial"/>
          <w:szCs w:val="22"/>
        </w:rPr>
        <w:t xml:space="preserve"> That the Standards require that outreach activities in secondary education be accessible to students with disability.</w:t>
      </w:r>
    </w:p>
    <w:p w14:paraId="4ABC7E29" w14:textId="5365CC6C" w:rsidR="00405BB3" w:rsidRPr="00D516EF" w:rsidRDefault="00405BB3" w:rsidP="00DD6F2D">
      <w:pPr>
        <w:pStyle w:val="Heading2"/>
        <w:spacing w:before="480" w:after="240"/>
      </w:pPr>
      <w:r w:rsidRPr="00D516EF">
        <w:t>Access and Enrolment</w:t>
      </w:r>
    </w:p>
    <w:p w14:paraId="332AF21E" w14:textId="19BA45F7" w:rsidR="003857AB" w:rsidRDefault="00405BB3" w:rsidP="007B1E24">
      <w:pPr>
        <w:spacing w:after="240" w:line="360" w:lineRule="auto"/>
        <w:rPr>
          <w:rFonts w:cs="Arial"/>
          <w:szCs w:val="22"/>
        </w:rPr>
      </w:pPr>
      <w:r>
        <w:rPr>
          <w:rFonts w:cs="Arial"/>
          <w:szCs w:val="22"/>
        </w:rPr>
        <w:t xml:space="preserve">A consistent approach to both recognising and addressing disability is essential in </w:t>
      </w:r>
      <w:r w:rsidR="00EF0844">
        <w:rPr>
          <w:rFonts w:cs="Arial"/>
          <w:szCs w:val="22"/>
        </w:rPr>
        <w:t xml:space="preserve">making </w:t>
      </w:r>
      <w:r>
        <w:rPr>
          <w:rFonts w:cs="Arial"/>
          <w:szCs w:val="22"/>
        </w:rPr>
        <w:t xml:space="preserve">access </w:t>
      </w:r>
      <w:r w:rsidR="00EF0844">
        <w:rPr>
          <w:rFonts w:cs="Arial"/>
          <w:szCs w:val="22"/>
        </w:rPr>
        <w:t xml:space="preserve">to </w:t>
      </w:r>
      <w:r>
        <w:rPr>
          <w:rFonts w:cs="Arial"/>
          <w:szCs w:val="22"/>
        </w:rPr>
        <w:t>higher education</w:t>
      </w:r>
      <w:r w:rsidR="00EF0844">
        <w:rPr>
          <w:rFonts w:cs="Arial"/>
          <w:szCs w:val="22"/>
        </w:rPr>
        <w:t xml:space="preserve"> equitable</w:t>
      </w:r>
      <w:r>
        <w:rPr>
          <w:rFonts w:cs="Arial"/>
          <w:szCs w:val="22"/>
        </w:rPr>
        <w:t xml:space="preserve">. </w:t>
      </w:r>
      <w:r w:rsidR="0086252E">
        <w:rPr>
          <w:rFonts w:cs="Arial"/>
          <w:szCs w:val="22"/>
        </w:rPr>
        <w:t>Beyond the identification of students</w:t>
      </w:r>
      <w:r w:rsidR="00EF0844">
        <w:rPr>
          <w:rFonts w:cs="Arial"/>
          <w:szCs w:val="22"/>
        </w:rPr>
        <w:t xml:space="preserve"> with disability</w:t>
      </w:r>
      <w:r w:rsidR="0086252E">
        <w:rPr>
          <w:rFonts w:cs="Arial"/>
          <w:szCs w:val="22"/>
        </w:rPr>
        <w:t xml:space="preserve">, an issue which in great part would be </w:t>
      </w:r>
      <w:r w:rsidR="00B374A0">
        <w:rPr>
          <w:rFonts w:cs="Arial"/>
          <w:szCs w:val="22"/>
        </w:rPr>
        <w:t xml:space="preserve">dealt with in addressing issues around pre-access, </w:t>
      </w:r>
      <w:r w:rsidR="00D34332">
        <w:rPr>
          <w:rFonts w:cs="Arial"/>
          <w:szCs w:val="22"/>
        </w:rPr>
        <w:t xml:space="preserve">is the complexity of current enrolment procedures in higher education. In a submission to </w:t>
      </w:r>
      <w:r w:rsidR="00D939EF">
        <w:rPr>
          <w:rFonts w:cs="Arial"/>
          <w:szCs w:val="22"/>
        </w:rPr>
        <w:t xml:space="preserve">the </w:t>
      </w:r>
      <w:r w:rsidR="00687C83">
        <w:rPr>
          <w:rFonts w:cs="Arial"/>
          <w:szCs w:val="22"/>
        </w:rPr>
        <w:t xml:space="preserve">Higher Education Standards Panel (HESP) </w:t>
      </w:r>
      <w:r w:rsidR="00124D79">
        <w:rPr>
          <w:rFonts w:cs="Arial"/>
          <w:i/>
          <w:iCs/>
          <w:szCs w:val="22"/>
        </w:rPr>
        <w:t xml:space="preserve">Review of </w:t>
      </w:r>
      <w:r w:rsidR="00124D79" w:rsidRPr="00124D79">
        <w:rPr>
          <w:rFonts w:cs="Arial"/>
          <w:i/>
          <w:iCs/>
          <w:szCs w:val="22"/>
        </w:rPr>
        <w:t>Transparency of Higher Education Admissions Processes</w:t>
      </w:r>
      <w:r w:rsidR="00124D79">
        <w:rPr>
          <w:rFonts w:cs="Arial"/>
          <w:szCs w:val="22"/>
        </w:rPr>
        <w:t xml:space="preserve">, the NCSEHE </w:t>
      </w:r>
      <w:r w:rsidR="00C854D8">
        <w:rPr>
          <w:rFonts w:cs="Arial"/>
          <w:szCs w:val="22"/>
        </w:rPr>
        <w:t xml:space="preserve">(2016) </w:t>
      </w:r>
      <w:r w:rsidR="00124D79">
        <w:rPr>
          <w:rFonts w:cs="Arial"/>
          <w:szCs w:val="22"/>
        </w:rPr>
        <w:t xml:space="preserve">highlighted the </w:t>
      </w:r>
      <w:r w:rsidR="007F7C18">
        <w:rPr>
          <w:rFonts w:cs="Arial"/>
          <w:szCs w:val="22"/>
        </w:rPr>
        <w:t>challenges equity students faced in navigating university</w:t>
      </w:r>
      <w:r w:rsidR="00122170">
        <w:rPr>
          <w:rFonts w:cs="Arial"/>
          <w:szCs w:val="22"/>
        </w:rPr>
        <w:t>. In relation to disability,</w:t>
      </w:r>
      <w:r w:rsidR="00FE4B86">
        <w:rPr>
          <w:rFonts w:cs="Arial"/>
          <w:szCs w:val="22"/>
        </w:rPr>
        <w:t xml:space="preserve"> </w:t>
      </w:r>
      <w:r w:rsidR="00122170">
        <w:rPr>
          <w:rFonts w:cs="Arial"/>
          <w:szCs w:val="22"/>
        </w:rPr>
        <w:t>this includes the</w:t>
      </w:r>
      <w:r w:rsidR="00A66D34">
        <w:rPr>
          <w:rFonts w:cs="Arial"/>
          <w:szCs w:val="22"/>
        </w:rPr>
        <w:t xml:space="preserve"> </w:t>
      </w:r>
      <w:r w:rsidR="00E47CFC">
        <w:rPr>
          <w:rFonts w:cs="Arial"/>
          <w:szCs w:val="22"/>
        </w:rPr>
        <w:t>discussion o</w:t>
      </w:r>
      <w:r w:rsidR="00FE4B86">
        <w:rPr>
          <w:rFonts w:cs="Arial"/>
          <w:szCs w:val="22"/>
        </w:rPr>
        <w:t>f</w:t>
      </w:r>
      <w:r w:rsidR="00122170">
        <w:rPr>
          <w:rFonts w:cs="Arial"/>
          <w:szCs w:val="22"/>
        </w:rPr>
        <w:t>, and response to,</w:t>
      </w:r>
      <w:r w:rsidR="00E47CFC">
        <w:rPr>
          <w:rFonts w:cs="Arial"/>
          <w:szCs w:val="22"/>
        </w:rPr>
        <w:t xml:space="preserve"> </w:t>
      </w:r>
      <w:r w:rsidR="00A66D34">
        <w:rPr>
          <w:rFonts w:cs="Arial"/>
          <w:szCs w:val="22"/>
        </w:rPr>
        <w:t xml:space="preserve">inherent requirements </w:t>
      </w:r>
      <w:r w:rsidR="0079077A">
        <w:rPr>
          <w:rFonts w:cs="Arial"/>
          <w:szCs w:val="22"/>
        </w:rPr>
        <w:t xml:space="preserve">to </w:t>
      </w:r>
      <w:r w:rsidR="00122170">
        <w:rPr>
          <w:rFonts w:cs="Arial"/>
          <w:szCs w:val="22"/>
        </w:rPr>
        <w:t>also address</w:t>
      </w:r>
      <w:r w:rsidR="0079077A">
        <w:rPr>
          <w:rFonts w:cs="Arial"/>
          <w:szCs w:val="22"/>
        </w:rPr>
        <w:t xml:space="preserve"> pre-access and </w:t>
      </w:r>
      <w:r w:rsidR="00D6629C">
        <w:rPr>
          <w:rFonts w:cs="Arial"/>
          <w:szCs w:val="22"/>
        </w:rPr>
        <w:t>enrolment</w:t>
      </w:r>
      <w:r w:rsidR="0079077A">
        <w:rPr>
          <w:rFonts w:cs="Arial"/>
          <w:szCs w:val="22"/>
        </w:rPr>
        <w:t xml:space="preserve">. </w:t>
      </w:r>
    </w:p>
    <w:p w14:paraId="1A1AD2DA" w14:textId="7E5034D8"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 xml:space="preserve">Recommendation 6: </w:t>
      </w:r>
      <w:r w:rsidRPr="005E04A3">
        <w:rPr>
          <w:rFonts w:cs="Arial"/>
          <w:szCs w:val="22"/>
        </w:rPr>
        <w:t>That the Standards articulate clearer guidance about formulation of statements of inherent requirements and their communication to students at the pre-access and enrolment stages in higher education.</w:t>
      </w:r>
    </w:p>
    <w:p w14:paraId="0FA9B047" w14:textId="7E5034D8" w:rsidR="007B1E24" w:rsidRPr="00D516EF" w:rsidRDefault="007C69E1" w:rsidP="00DD6F2D">
      <w:pPr>
        <w:pStyle w:val="Heading2"/>
        <w:spacing w:before="480" w:after="240"/>
      </w:pPr>
      <w:r w:rsidRPr="002F234E">
        <w:t>Participation</w:t>
      </w:r>
      <w:r w:rsidR="007340B4" w:rsidRPr="002F234E">
        <w:t xml:space="preserve"> </w:t>
      </w:r>
    </w:p>
    <w:p w14:paraId="65D134C6" w14:textId="35161B78" w:rsidR="00421A22" w:rsidRDefault="00D83B88" w:rsidP="008422A2">
      <w:pPr>
        <w:spacing w:after="120" w:line="360" w:lineRule="auto"/>
        <w:rPr>
          <w:rFonts w:eastAsia="Calibri" w:cs="Arial"/>
          <w:color w:val="000000" w:themeColor="text1"/>
          <w:szCs w:val="22"/>
        </w:rPr>
      </w:pPr>
      <w:r>
        <w:rPr>
          <w:rFonts w:eastAsia="Calibri" w:cs="Arial"/>
          <w:color w:val="000000" w:themeColor="text1"/>
          <w:szCs w:val="22"/>
        </w:rPr>
        <w:t>T</w:t>
      </w:r>
      <w:r w:rsidR="005A407A">
        <w:rPr>
          <w:rFonts w:eastAsia="Calibri" w:cs="Arial"/>
          <w:color w:val="000000" w:themeColor="text1"/>
          <w:szCs w:val="22"/>
        </w:rPr>
        <w:t>he</w:t>
      </w:r>
      <w:r w:rsidR="00066111">
        <w:rPr>
          <w:rFonts w:eastAsia="Calibri" w:cs="Arial"/>
          <w:color w:val="000000" w:themeColor="text1"/>
          <w:szCs w:val="22"/>
        </w:rPr>
        <w:t xml:space="preserve"> </w:t>
      </w:r>
      <w:r w:rsidR="005A407A">
        <w:rPr>
          <w:rFonts w:eastAsia="Calibri" w:cs="Arial"/>
          <w:color w:val="000000" w:themeColor="text1"/>
          <w:szCs w:val="22"/>
        </w:rPr>
        <w:t xml:space="preserve">2015 Review of the </w:t>
      </w:r>
      <w:r w:rsidR="007B3B30">
        <w:rPr>
          <w:rFonts w:eastAsia="Calibri" w:cs="Arial"/>
          <w:color w:val="000000" w:themeColor="text1"/>
          <w:szCs w:val="22"/>
        </w:rPr>
        <w:t>Standards</w:t>
      </w:r>
      <w:r w:rsidR="005A407A">
        <w:rPr>
          <w:rFonts w:eastAsia="Calibri" w:cs="Arial"/>
          <w:color w:val="000000" w:themeColor="text1"/>
          <w:szCs w:val="22"/>
        </w:rPr>
        <w:t xml:space="preserve"> </w:t>
      </w:r>
      <w:r w:rsidR="00C6519F">
        <w:rPr>
          <w:rFonts w:eastAsia="Calibri" w:cs="Arial"/>
          <w:color w:val="000000" w:themeColor="text1"/>
          <w:szCs w:val="22"/>
        </w:rPr>
        <w:t xml:space="preserve">identified </w:t>
      </w:r>
      <w:r w:rsidR="00AD164B">
        <w:rPr>
          <w:rFonts w:eastAsia="Calibri" w:cs="Arial"/>
          <w:color w:val="000000" w:themeColor="text1"/>
          <w:szCs w:val="22"/>
        </w:rPr>
        <w:t xml:space="preserve">impediments to instituting </w:t>
      </w:r>
      <w:r w:rsidR="00073941">
        <w:rPr>
          <w:rFonts w:eastAsia="Calibri" w:cs="Arial"/>
          <w:color w:val="000000" w:themeColor="text1"/>
          <w:szCs w:val="22"/>
        </w:rPr>
        <w:t>the</w:t>
      </w:r>
      <w:r w:rsidR="00AD164B">
        <w:rPr>
          <w:rFonts w:eastAsia="Calibri" w:cs="Arial"/>
          <w:color w:val="000000" w:themeColor="text1"/>
          <w:szCs w:val="22"/>
        </w:rPr>
        <w:t xml:space="preserve"> </w:t>
      </w:r>
      <w:r w:rsidR="00073941">
        <w:rPr>
          <w:rFonts w:eastAsia="Calibri" w:cs="Arial"/>
          <w:color w:val="000000" w:themeColor="text1"/>
          <w:szCs w:val="22"/>
        </w:rPr>
        <w:t>S</w:t>
      </w:r>
      <w:r w:rsidR="00AD164B">
        <w:rPr>
          <w:rFonts w:eastAsia="Calibri" w:cs="Arial"/>
          <w:color w:val="000000" w:themeColor="text1"/>
          <w:szCs w:val="22"/>
        </w:rPr>
        <w:t>tandards in post-compulsory education</w:t>
      </w:r>
      <w:r>
        <w:rPr>
          <w:rFonts w:eastAsia="Calibri" w:cs="Arial"/>
          <w:color w:val="000000" w:themeColor="text1"/>
          <w:szCs w:val="22"/>
        </w:rPr>
        <w:t xml:space="preserve"> (Urbis, 2015).</w:t>
      </w:r>
      <w:r w:rsidR="00AD164B">
        <w:rPr>
          <w:rFonts w:eastAsia="Calibri" w:cs="Arial"/>
          <w:color w:val="000000" w:themeColor="text1"/>
          <w:szCs w:val="22"/>
        </w:rPr>
        <w:t xml:space="preserve"> </w:t>
      </w:r>
      <w:r w:rsidR="008422A2">
        <w:rPr>
          <w:rFonts w:eastAsia="Calibri" w:cs="Arial"/>
          <w:color w:val="000000" w:themeColor="text1"/>
          <w:szCs w:val="22"/>
        </w:rPr>
        <w:t xml:space="preserve">It observed </w:t>
      </w:r>
      <w:r w:rsidR="00C94F6B">
        <w:rPr>
          <w:rFonts w:eastAsia="Calibri" w:cs="Arial"/>
          <w:color w:val="000000" w:themeColor="text1"/>
          <w:szCs w:val="22"/>
        </w:rPr>
        <w:t>that</w:t>
      </w:r>
      <w:r w:rsidR="003A55F1">
        <w:rPr>
          <w:rFonts w:eastAsia="Calibri" w:cs="Arial"/>
          <w:color w:val="000000" w:themeColor="text1"/>
          <w:szCs w:val="22"/>
        </w:rPr>
        <w:t xml:space="preserve"> t</w:t>
      </w:r>
      <w:r w:rsidR="00C94F6B">
        <w:rPr>
          <w:rFonts w:eastAsia="Calibri" w:cs="Arial"/>
          <w:color w:val="000000" w:themeColor="text1"/>
          <w:szCs w:val="22"/>
        </w:rPr>
        <w:t>he</w:t>
      </w:r>
      <w:r w:rsidR="003A55F1">
        <w:rPr>
          <w:rFonts w:eastAsia="Calibri" w:cs="Arial"/>
          <w:color w:val="000000" w:themeColor="text1"/>
          <w:szCs w:val="22"/>
        </w:rPr>
        <w:t xml:space="preserve"> “</w:t>
      </w:r>
      <w:r w:rsidR="001515CB">
        <w:rPr>
          <w:rFonts w:eastAsia="Calibri" w:cs="Arial"/>
          <w:color w:val="000000" w:themeColor="text1"/>
          <w:szCs w:val="22"/>
        </w:rPr>
        <w:t xml:space="preserve">the </w:t>
      </w:r>
      <w:r w:rsidR="001515CB" w:rsidRPr="001515CB">
        <w:rPr>
          <w:rFonts w:eastAsia="Calibri" w:cs="Arial"/>
          <w:color w:val="000000" w:themeColor="text1"/>
          <w:szCs w:val="22"/>
        </w:rPr>
        <w:t>scale of universities means that only a selected few people in university administration and support roles thoroughly understood their obligation for compliance to the Standards</w:t>
      </w:r>
      <w:r w:rsidR="001515CB">
        <w:rPr>
          <w:rFonts w:eastAsia="Calibri" w:cs="Arial"/>
          <w:color w:val="000000" w:themeColor="text1"/>
          <w:szCs w:val="22"/>
        </w:rPr>
        <w:t xml:space="preserve">” (Urbis, 2015, p. 27). </w:t>
      </w:r>
      <w:r w:rsidR="00D03C80">
        <w:rPr>
          <w:rFonts w:eastAsia="Calibri" w:cs="Arial"/>
          <w:color w:val="000000" w:themeColor="text1"/>
          <w:szCs w:val="22"/>
        </w:rPr>
        <w:t xml:space="preserve">In large part, this is a function of the </w:t>
      </w:r>
      <w:r w:rsidR="00490DD7">
        <w:rPr>
          <w:rFonts w:eastAsia="Calibri" w:cs="Arial"/>
          <w:color w:val="000000" w:themeColor="text1"/>
          <w:szCs w:val="22"/>
        </w:rPr>
        <w:t xml:space="preserve">overall lack of enforceability of </w:t>
      </w:r>
      <w:r w:rsidR="00073941">
        <w:rPr>
          <w:rFonts w:eastAsia="Calibri" w:cs="Arial"/>
          <w:color w:val="000000" w:themeColor="text1"/>
          <w:szCs w:val="22"/>
        </w:rPr>
        <w:t xml:space="preserve">the </w:t>
      </w:r>
      <w:r w:rsidR="007B3B30">
        <w:rPr>
          <w:rFonts w:eastAsia="Calibri" w:cs="Arial"/>
          <w:color w:val="000000" w:themeColor="text1"/>
          <w:szCs w:val="22"/>
        </w:rPr>
        <w:t>Standards</w:t>
      </w:r>
      <w:r w:rsidR="00FC5343">
        <w:rPr>
          <w:rFonts w:eastAsia="Calibri" w:cs="Arial"/>
          <w:color w:val="000000" w:themeColor="text1"/>
          <w:szCs w:val="22"/>
        </w:rPr>
        <w:t>, whereby</w:t>
      </w:r>
      <w:r w:rsidR="001F36EE">
        <w:rPr>
          <w:rFonts w:eastAsia="Calibri" w:cs="Arial"/>
          <w:color w:val="000000" w:themeColor="text1"/>
          <w:szCs w:val="22"/>
        </w:rPr>
        <w:t>, in practice,</w:t>
      </w:r>
      <w:r w:rsidR="00FC5343">
        <w:rPr>
          <w:rFonts w:eastAsia="Calibri" w:cs="Arial"/>
          <w:color w:val="000000" w:themeColor="text1"/>
          <w:szCs w:val="22"/>
        </w:rPr>
        <w:t xml:space="preserve"> </w:t>
      </w:r>
      <w:r w:rsidR="001F36EE">
        <w:rPr>
          <w:rFonts w:eastAsia="Calibri" w:cs="Arial"/>
          <w:color w:val="000000" w:themeColor="text1"/>
          <w:szCs w:val="22"/>
        </w:rPr>
        <w:t xml:space="preserve">institutions </w:t>
      </w:r>
      <w:r w:rsidR="00C44EA2">
        <w:rPr>
          <w:rFonts w:eastAsia="Calibri" w:cs="Arial"/>
          <w:color w:val="000000" w:themeColor="text1"/>
          <w:szCs w:val="22"/>
        </w:rPr>
        <w:t>only have to undertake reasonable adjustments</w:t>
      </w:r>
      <w:r w:rsidR="001F36EE">
        <w:rPr>
          <w:rFonts w:eastAsia="Calibri" w:cs="Arial"/>
          <w:color w:val="000000" w:themeColor="text1"/>
          <w:szCs w:val="22"/>
        </w:rPr>
        <w:t xml:space="preserve"> to ensure access </w:t>
      </w:r>
      <w:r w:rsidR="008369F7">
        <w:rPr>
          <w:rFonts w:eastAsia="Calibri" w:cs="Arial"/>
          <w:color w:val="000000" w:themeColor="text1"/>
          <w:szCs w:val="22"/>
        </w:rPr>
        <w:t xml:space="preserve">for students, often motivated by individual cases, with limited attempts to create general guidelines </w:t>
      </w:r>
      <w:r w:rsidR="00AC734D">
        <w:rPr>
          <w:rFonts w:eastAsia="Calibri" w:cs="Arial"/>
          <w:color w:val="000000" w:themeColor="text1"/>
          <w:szCs w:val="22"/>
        </w:rPr>
        <w:t xml:space="preserve">in relation to inherent requirements for courses. </w:t>
      </w:r>
      <w:r w:rsidR="00421A22" w:rsidRPr="005E69F9">
        <w:rPr>
          <w:rFonts w:eastAsia="Calibri" w:cs="Arial"/>
          <w:color w:val="000000" w:themeColor="text1"/>
          <w:szCs w:val="22"/>
        </w:rPr>
        <w:t xml:space="preserve">It is anticipated that Recommendation 1 in this submission, should it be adopted, will provide a suitable framework for </w:t>
      </w:r>
      <w:r w:rsidR="00F55DAE" w:rsidRPr="005E69F9">
        <w:rPr>
          <w:rFonts w:eastAsia="Calibri" w:cs="Arial"/>
          <w:color w:val="000000" w:themeColor="text1"/>
          <w:szCs w:val="22"/>
        </w:rPr>
        <w:t>strengthening compliance around</w:t>
      </w:r>
      <w:r w:rsidR="001D3CA5">
        <w:rPr>
          <w:rFonts w:eastAsia="Calibri" w:cs="Arial"/>
          <w:color w:val="000000" w:themeColor="text1"/>
          <w:szCs w:val="22"/>
        </w:rPr>
        <w:t xml:space="preserve"> the</w:t>
      </w:r>
      <w:r w:rsidR="00F55DAE" w:rsidRPr="005E69F9">
        <w:rPr>
          <w:rFonts w:eastAsia="Calibri" w:cs="Arial"/>
          <w:color w:val="000000" w:themeColor="text1"/>
          <w:szCs w:val="22"/>
        </w:rPr>
        <w:t xml:space="preserve"> </w:t>
      </w:r>
      <w:r w:rsidR="001D3CA5">
        <w:rPr>
          <w:rFonts w:eastAsia="Calibri" w:cs="Arial"/>
          <w:color w:val="000000" w:themeColor="text1"/>
          <w:szCs w:val="22"/>
        </w:rPr>
        <w:t>S</w:t>
      </w:r>
      <w:r w:rsidR="00F55DAE" w:rsidRPr="005E69F9">
        <w:rPr>
          <w:rFonts w:eastAsia="Calibri" w:cs="Arial"/>
          <w:color w:val="000000" w:themeColor="text1"/>
          <w:szCs w:val="22"/>
        </w:rPr>
        <w:t xml:space="preserve">tandards, and additionally </w:t>
      </w:r>
      <w:r w:rsidR="00512CBC" w:rsidRPr="005E69F9">
        <w:rPr>
          <w:rFonts w:eastAsia="Calibri" w:cs="Arial"/>
          <w:color w:val="000000" w:themeColor="text1"/>
          <w:szCs w:val="22"/>
        </w:rPr>
        <w:t>improving the responsiveness of institutions.</w:t>
      </w:r>
    </w:p>
    <w:p w14:paraId="362B7820" w14:textId="77777777" w:rsidR="007B1E24" w:rsidRPr="00D516EF" w:rsidRDefault="006C6FC9" w:rsidP="00835EDF">
      <w:pPr>
        <w:pStyle w:val="Heading2"/>
        <w:spacing w:after="240"/>
      </w:pPr>
      <w:r w:rsidRPr="00D516EF">
        <w:t>Curriculum Development, Accreditation and Delivery</w:t>
      </w:r>
    </w:p>
    <w:p w14:paraId="581EF4A6" w14:textId="3C236F31" w:rsidR="003775D4" w:rsidRDefault="000E0FDF" w:rsidP="007B7B14">
      <w:pPr>
        <w:spacing w:after="120" w:line="360" w:lineRule="auto"/>
        <w:rPr>
          <w:rFonts w:eastAsia="Calibri" w:cs="Arial"/>
          <w:color w:val="000000" w:themeColor="text1"/>
          <w:szCs w:val="22"/>
        </w:rPr>
      </w:pPr>
      <w:r>
        <w:rPr>
          <w:rFonts w:eastAsia="Calibri" w:cs="Arial"/>
          <w:color w:val="000000" w:themeColor="text1"/>
          <w:szCs w:val="22"/>
        </w:rPr>
        <w:t xml:space="preserve">Urbis (2015) identified </w:t>
      </w:r>
      <w:r w:rsidR="007C739E">
        <w:rPr>
          <w:rFonts w:eastAsia="Calibri" w:cs="Arial"/>
          <w:color w:val="000000" w:themeColor="text1"/>
          <w:szCs w:val="22"/>
        </w:rPr>
        <w:t xml:space="preserve">the inconsistent </w:t>
      </w:r>
      <w:r w:rsidR="008F70D4">
        <w:rPr>
          <w:rFonts w:eastAsia="Calibri" w:cs="Arial"/>
          <w:color w:val="000000" w:themeColor="text1"/>
          <w:szCs w:val="22"/>
        </w:rPr>
        <w:t xml:space="preserve">adoption </w:t>
      </w:r>
      <w:r w:rsidR="007C739E">
        <w:rPr>
          <w:rFonts w:eastAsia="Calibri" w:cs="Arial"/>
          <w:color w:val="000000" w:themeColor="text1"/>
          <w:szCs w:val="22"/>
        </w:rPr>
        <w:t xml:space="preserve">of </w:t>
      </w:r>
      <w:r w:rsidR="000F4A6A">
        <w:rPr>
          <w:rFonts w:eastAsia="Calibri" w:cs="Arial"/>
          <w:color w:val="000000" w:themeColor="text1"/>
          <w:szCs w:val="22"/>
        </w:rPr>
        <w:t xml:space="preserve">the </w:t>
      </w:r>
      <w:r w:rsidR="007B3B30">
        <w:rPr>
          <w:rFonts w:eastAsia="Calibri" w:cs="Arial"/>
          <w:color w:val="000000" w:themeColor="text1"/>
          <w:szCs w:val="22"/>
        </w:rPr>
        <w:t>Standards</w:t>
      </w:r>
      <w:r w:rsidR="007C739E">
        <w:rPr>
          <w:rFonts w:eastAsia="Calibri" w:cs="Arial"/>
          <w:color w:val="000000" w:themeColor="text1"/>
          <w:szCs w:val="22"/>
        </w:rPr>
        <w:t xml:space="preserve"> across courses, institutions</w:t>
      </w:r>
      <w:r w:rsidR="00657714">
        <w:rPr>
          <w:rFonts w:eastAsia="Calibri" w:cs="Arial"/>
          <w:color w:val="000000" w:themeColor="text1"/>
          <w:szCs w:val="22"/>
        </w:rPr>
        <w:t xml:space="preserve">, </w:t>
      </w:r>
      <w:r w:rsidR="0033340E">
        <w:rPr>
          <w:rFonts w:eastAsia="Calibri" w:cs="Arial"/>
          <w:color w:val="000000" w:themeColor="text1"/>
          <w:szCs w:val="22"/>
        </w:rPr>
        <w:t xml:space="preserve">and </w:t>
      </w:r>
      <w:r w:rsidR="00657714">
        <w:rPr>
          <w:rFonts w:eastAsia="Calibri" w:cs="Arial"/>
          <w:color w:val="000000" w:themeColor="text1"/>
          <w:szCs w:val="22"/>
        </w:rPr>
        <w:t>professional settings</w:t>
      </w:r>
      <w:r w:rsidR="0033340E">
        <w:rPr>
          <w:rFonts w:eastAsia="Calibri" w:cs="Arial"/>
          <w:color w:val="000000" w:themeColor="text1"/>
          <w:szCs w:val="22"/>
        </w:rPr>
        <w:t>,</w:t>
      </w:r>
      <w:r w:rsidR="00657714">
        <w:rPr>
          <w:rFonts w:eastAsia="Calibri" w:cs="Arial"/>
          <w:color w:val="000000" w:themeColor="text1"/>
          <w:szCs w:val="22"/>
        </w:rPr>
        <w:t xml:space="preserve"> </w:t>
      </w:r>
      <w:r w:rsidR="000A00FD">
        <w:rPr>
          <w:rFonts w:eastAsia="Calibri" w:cs="Arial"/>
          <w:color w:val="000000" w:themeColor="text1"/>
          <w:szCs w:val="22"/>
        </w:rPr>
        <w:t>as a key issue in curriculum development and delivery</w:t>
      </w:r>
      <w:r w:rsidR="00657714">
        <w:rPr>
          <w:rFonts w:eastAsia="Calibri" w:cs="Arial"/>
          <w:color w:val="000000" w:themeColor="text1"/>
          <w:szCs w:val="22"/>
        </w:rPr>
        <w:t>.</w:t>
      </w:r>
      <w:r w:rsidR="00305070">
        <w:rPr>
          <w:rFonts w:eastAsia="Calibri" w:cs="Arial"/>
          <w:color w:val="000000" w:themeColor="text1"/>
          <w:szCs w:val="22"/>
        </w:rPr>
        <w:t xml:space="preserve"> </w:t>
      </w:r>
      <w:r w:rsidR="00085924">
        <w:rPr>
          <w:rFonts w:eastAsia="Calibri" w:cs="Arial"/>
          <w:color w:val="000000" w:themeColor="text1"/>
          <w:szCs w:val="22"/>
        </w:rPr>
        <w:t>Brett et al</w:t>
      </w:r>
      <w:r w:rsidR="00B042A3">
        <w:rPr>
          <w:rFonts w:eastAsia="Calibri" w:cs="Arial"/>
          <w:color w:val="000000" w:themeColor="text1"/>
          <w:szCs w:val="22"/>
        </w:rPr>
        <w:t>.</w:t>
      </w:r>
      <w:r w:rsidR="00085924">
        <w:rPr>
          <w:rFonts w:eastAsia="Calibri" w:cs="Arial"/>
          <w:color w:val="000000" w:themeColor="text1"/>
          <w:szCs w:val="22"/>
        </w:rPr>
        <w:t xml:space="preserve"> (2016)</w:t>
      </w:r>
      <w:r w:rsidR="00117170">
        <w:rPr>
          <w:rFonts w:eastAsia="Calibri" w:cs="Arial"/>
          <w:color w:val="000000" w:themeColor="text1"/>
          <w:szCs w:val="22"/>
        </w:rPr>
        <w:t>, in a series of recommendations on inherent requirement statements in Australian higher education</w:t>
      </w:r>
      <w:r w:rsidR="00B042A3">
        <w:rPr>
          <w:rFonts w:eastAsia="Calibri" w:cs="Arial"/>
          <w:color w:val="000000" w:themeColor="text1"/>
          <w:szCs w:val="22"/>
        </w:rPr>
        <w:t>,</w:t>
      </w:r>
      <w:r w:rsidR="00117170">
        <w:rPr>
          <w:rFonts w:eastAsia="Calibri" w:cs="Arial"/>
          <w:color w:val="000000" w:themeColor="text1"/>
          <w:szCs w:val="22"/>
        </w:rPr>
        <w:t xml:space="preserve"> called for </w:t>
      </w:r>
      <w:r w:rsidR="002D1D3F">
        <w:rPr>
          <w:rFonts w:eastAsia="Calibri" w:cs="Arial"/>
          <w:color w:val="000000" w:themeColor="text1"/>
          <w:szCs w:val="22"/>
        </w:rPr>
        <w:t>the exploration of options for achieving “greater consistency, clarity and transparency</w:t>
      </w:r>
      <w:r w:rsidR="00517D13">
        <w:rPr>
          <w:rFonts w:eastAsia="Calibri" w:cs="Arial"/>
          <w:color w:val="000000" w:themeColor="text1"/>
          <w:szCs w:val="22"/>
        </w:rPr>
        <w:t xml:space="preserve"> of </w:t>
      </w:r>
      <w:r w:rsidR="00517D13">
        <w:rPr>
          <w:rFonts w:eastAsia="Calibri" w:cs="Arial"/>
          <w:color w:val="000000" w:themeColor="text1"/>
          <w:szCs w:val="22"/>
        </w:rPr>
        <w:lastRenderedPageBreak/>
        <w:t>inherent requirement statements across institutions and disciplines”</w:t>
      </w:r>
      <w:r w:rsidR="00D85090">
        <w:rPr>
          <w:rFonts w:eastAsia="Calibri" w:cs="Arial"/>
          <w:color w:val="000000" w:themeColor="text1"/>
          <w:szCs w:val="22"/>
        </w:rPr>
        <w:t xml:space="preserve"> (p.</w:t>
      </w:r>
      <w:r w:rsidR="00BC65CF">
        <w:rPr>
          <w:rFonts w:eastAsia="Calibri" w:cs="Arial"/>
          <w:color w:val="000000" w:themeColor="text1"/>
          <w:szCs w:val="22"/>
        </w:rPr>
        <w:t xml:space="preserve"> </w:t>
      </w:r>
      <w:r w:rsidR="00D85090">
        <w:rPr>
          <w:rFonts w:eastAsia="Calibri" w:cs="Arial"/>
          <w:color w:val="000000" w:themeColor="text1"/>
          <w:szCs w:val="22"/>
        </w:rPr>
        <w:t xml:space="preserve">3), combined with research into the impacts of </w:t>
      </w:r>
      <w:r w:rsidR="00421A22">
        <w:rPr>
          <w:rFonts w:eastAsia="Calibri" w:cs="Arial"/>
          <w:color w:val="000000" w:themeColor="text1"/>
          <w:szCs w:val="22"/>
        </w:rPr>
        <w:t>such statements on student access and participation.</w:t>
      </w:r>
      <w:r w:rsidR="00BD0A71">
        <w:rPr>
          <w:rFonts w:eastAsia="Calibri" w:cs="Arial"/>
          <w:color w:val="000000" w:themeColor="text1"/>
          <w:szCs w:val="22"/>
        </w:rPr>
        <w:t xml:space="preserve"> </w:t>
      </w:r>
    </w:p>
    <w:p w14:paraId="07F91C30" w14:textId="4845D17F" w:rsidR="00746D8B" w:rsidRDefault="00BD0A71" w:rsidP="007B1E24">
      <w:pPr>
        <w:spacing w:after="240" w:line="360" w:lineRule="auto"/>
        <w:rPr>
          <w:rFonts w:eastAsia="Calibri" w:cs="Arial"/>
          <w:color w:val="000000" w:themeColor="text1"/>
          <w:szCs w:val="22"/>
        </w:rPr>
      </w:pPr>
      <w:r>
        <w:rPr>
          <w:rFonts w:eastAsia="Calibri" w:cs="Arial"/>
          <w:color w:val="000000" w:themeColor="text1"/>
          <w:szCs w:val="22"/>
        </w:rPr>
        <w:t xml:space="preserve">In addition to these issues, </w:t>
      </w:r>
      <w:r w:rsidR="00BC68E7">
        <w:rPr>
          <w:rFonts w:eastAsia="Calibri" w:cs="Arial"/>
          <w:color w:val="000000" w:themeColor="text1"/>
          <w:szCs w:val="22"/>
        </w:rPr>
        <w:t xml:space="preserve">inclusive curriculum development and practice is vital to </w:t>
      </w:r>
      <w:r w:rsidR="00512FE6">
        <w:rPr>
          <w:rFonts w:eastAsia="Calibri" w:cs="Arial"/>
          <w:color w:val="000000" w:themeColor="text1"/>
          <w:szCs w:val="22"/>
        </w:rPr>
        <w:t>ensuring positive outcomes for students with disability.</w:t>
      </w:r>
      <w:r w:rsidR="00BC68E7">
        <w:rPr>
          <w:rFonts w:eastAsia="Calibri" w:cs="Arial"/>
          <w:color w:val="000000" w:themeColor="text1"/>
          <w:szCs w:val="22"/>
        </w:rPr>
        <w:t xml:space="preserve"> </w:t>
      </w:r>
      <w:r>
        <w:rPr>
          <w:rFonts w:eastAsia="Calibri" w:cs="Arial"/>
          <w:color w:val="000000" w:themeColor="text1"/>
          <w:szCs w:val="22"/>
        </w:rPr>
        <w:t xml:space="preserve">The recent changes to the </w:t>
      </w:r>
      <w:r w:rsidR="00087646" w:rsidRPr="00087646">
        <w:rPr>
          <w:rFonts w:eastAsia="Calibri" w:cs="Arial"/>
          <w:color w:val="000000" w:themeColor="text1"/>
          <w:szCs w:val="22"/>
        </w:rPr>
        <w:t xml:space="preserve">Higher Education Disability Support Program </w:t>
      </w:r>
      <w:r w:rsidR="00087646">
        <w:rPr>
          <w:rFonts w:eastAsia="Calibri" w:cs="Arial"/>
          <w:color w:val="000000" w:themeColor="text1"/>
          <w:szCs w:val="22"/>
        </w:rPr>
        <w:t>(</w:t>
      </w:r>
      <w:r>
        <w:rPr>
          <w:rFonts w:eastAsia="Calibri" w:cs="Arial"/>
          <w:color w:val="000000" w:themeColor="text1"/>
          <w:szCs w:val="22"/>
        </w:rPr>
        <w:t>DSP</w:t>
      </w:r>
      <w:r w:rsidR="00087646">
        <w:rPr>
          <w:rFonts w:eastAsia="Calibri" w:cs="Arial"/>
          <w:color w:val="000000" w:themeColor="text1"/>
          <w:szCs w:val="22"/>
        </w:rPr>
        <w:t>)</w:t>
      </w:r>
      <w:r>
        <w:rPr>
          <w:rFonts w:eastAsia="Calibri" w:cs="Arial"/>
          <w:color w:val="000000" w:themeColor="text1"/>
          <w:szCs w:val="22"/>
        </w:rPr>
        <w:t xml:space="preserve">, which included additional funding for the </w:t>
      </w:r>
      <w:r w:rsidRPr="00195037">
        <w:rPr>
          <w:rFonts w:eastAsia="Calibri" w:cs="Arial"/>
          <w:color w:val="000000" w:themeColor="text1"/>
          <w:szCs w:val="22"/>
        </w:rPr>
        <w:t xml:space="preserve">Australian Disability Clearinghouse on Education and Training (ADCET) </w:t>
      </w:r>
      <w:r>
        <w:rPr>
          <w:rFonts w:eastAsia="Calibri" w:cs="Arial"/>
          <w:color w:val="000000" w:themeColor="text1"/>
          <w:szCs w:val="22"/>
        </w:rPr>
        <w:t>to promote inclusive learning and teaching</w:t>
      </w:r>
      <w:r w:rsidR="00EE2B30">
        <w:rPr>
          <w:rFonts w:eastAsia="Calibri" w:cs="Arial"/>
          <w:color w:val="000000" w:themeColor="text1"/>
          <w:szCs w:val="22"/>
        </w:rPr>
        <w:t>,</w:t>
      </w:r>
      <w:r>
        <w:rPr>
          <w:rFonts w:eastAsia="Calibri" w:cs="Arial"/>
          <w:color w:val="000000" w:themeColor="text1"/>
          <w:szCs w:val="22"/>
        </w:rPr>
        <w:t xml:space="preserve"> are a welcome development in this context (Department of Education, Skills and Employment, 2020). </w:t>
      </w:r>
    </w:p>
    <w:p w14:paraId="3982D2DF" w14:textId="6BB9F54A" w:rsidR="005E04A3" w:rsidRDefault="005E04A3" w:rsidP="005E04A3">
      <w:pPr>
        <w:pBdr>
          <w:left w:val="single" w:sz="4" w:space="4" w:color="auto"/>
        </w:pBdr>
        <w:spacing w:after="240" w:line="360" w:lineRule="auto"/>
        <w:ind w:left="720"/>
        <w:rPr>
          <w:rFonts w:eastAsia="Calibri" w:cs="Arial"/>
          <w:color w:val="000000" w:themeColor="text1"/>
          <w:szCs w:val="22"/>
        </w:rPr>
      </w:pPr>
      <w:r w:rsidRPr="005E04A3">
        <w:rPr>
          <w:rFonts w:eastAsia="Calibri" w:cs="Arial"/>
          <w:b/>
          <w:bCs/>
          <w:color w:val="000000" w:themeColor="text1"/>
          <w:szCs w:val="22"/>
        </w:rPr>
        <w:t>Recommendation 7:</w:t>
      </w:r>
      <w:r w:rsidRPr="005E04A3">
        <w:rPr>
          <w:rFonts w:eastAsia="Calibri" w:cs="Arial"/>
          <w:color w:val="000000" w:themeColor="text1"/>
          <w:szCs w:val="22"/>
        </w:rPr>
        <w:t xml:space="preserve"> That the Standards provide clearer guidance on the design and implementation of inherent requirements. That this is coupled with guidance on inclusive teaching practice and structures that will make the Standards integral to course and qualification design and operation.</w:t>
      </w:r>
    </w:p>
    <w:bookmarkEnd w:id="3"/>
    <w:p w14:paraId="29AAF2C4" w14:textId="6B3A4319" w:rsidR="007B1E24" w:rsidRPr="00D516EF" w:rsidRDefault="003D67E2" w:rsidP="00DD6F2D">
      <w:pPr>
        <w:pStyle w:val="Heading2"/>
        <w:spacing w:before="480" w:after="240"/>
      </w:pPr>
      <w:r w:rsidRPr="00D516EF">
        <w:t>Student Support Services</w:t>
      </w:r>
    </w:p>
    <w:p w14:paraId="608CCE25" w14:textId="39A88BE1" w:rsidR="0056515F" w:rsidRDefault="0056515F">
      <w:pPr>
        <w:spacing w:after="120" w:line="360" w:lineRule="auto"/>
        <w:rPr>
          <w:rFonts w:cs="Arial"/>
          <w:szCs w:val="22"/>
        </w:rPr>
      </w:pPr>
      <w:r>
        <w:rPr>
          <w:rFonts w:cs="Arial"/>
          <w:szCs w:val="22"/>
        </w:rPr>
        <w:t xml:space="preserve">In 2020, the Commonwealth </w:t>
      </w:r>
      <w:r w:rsidR="003C5662">
        <w:rPr>
          <w:rFonts w:cs="Arial"/>
          <w:szCs w:val="22"/>
        </w:rPr>
        <w:t>create</w:t>
      </w:r>
      <w:r w:rsidR="003775D4">
        <w:rPr>
          <w:rFonts w:cs="Arial"/>
          <w:szCs w:val="22"/>
        </w:rPr>
        <w:t>d</w:t>
      </w:r>
      <w:r w:rsidR="003C5662">
        <w:rPr>
          <w:rFonts w:cs="Arial"/>
          <w:szCs w:val="22"/>
        </w:rPr>
        <w:t xml:space="preserve"> more flexibility for institutions in providing support services to students with disability, primarily through </w:t>
      </w:r>
      <w:r w:rsidR="00EF656D">
        <w:rPr>
          <w:rFonts w:cs="Arial"/>
          <w:szCs w:val="22"/>
        </w:rPr>
        <w:t xml:space="preserve">changes to the </w:t>
      </w:r>
      <w:r w:rsidR="00D62CE8">
        <w:rPr>
          <w:rFonts w:cs="Arial"/>
          <w:szCs w:val="22"/>
        </w:rPr>
        <w:t>DSP</w:t>
      </w:r>
      <w:r w:rsidR="00EF656D">
        <w:rPr>
          <w:rFonts w:cs="Arial"/>
          <w:szCs w:val="22"/>
        </w:rPr>
        <w:t xml:space="preserve">, </w:t>
      </w:r>
      <w:r w:rsidR="006E30D3">
        <w:rPr>
          <w:rFonts w:cs="Arial"/>
          <w:szCs w:val="22"/>
        </w:rPr>
        <w:t xml:space="preserve">including the creation of the new Disability Support Fund (DSF) and an expansion </w:t>
      </w:r>
      <w:r w:rsidR="00495335">
        <w:rPr>
          <w:rFonts w:cs="Arial"/>
          <w:szCs w:val="22"/>
        </w:rPr>
        <w:t xml:space="preserve">in the list of eligible activities on which funding can be spent. </w:t>
      </w:r>
      <w:r w:rsidR="009E1E98">
        <w:rPr>
          <w:rFonts w:cs="Arial"/>
          <w:szCs w:val="22"/>
        </w:rPr>
        <w:t>In addition, under the DSF, higher education institutions will be able to claim</w:t>
      </w:r>
      <w:r w:rsidR="00575C25">
        <w:rPr>
          <w:rFonts w:cs="Arial"/>
          <w:szCs w:val="22"/>
        </w:rPr>
        <w:t xml:space="preserve"> reimbursement for students whose needs </w:t>
      </w:r>
      <w:r w:rsidR="00176B9F">
        <w:rPr>
          <w:rFonts w:cs="Arial"/>
          <w:szCs w:val="22"/>
        </w:rPr>
        <w:t>require funding in excess of</w:t>
      </w:r>
      <w:r w:rsidR="00575C25">
        <w:rPr>
          <w:rFonts w:cs="Arial"/>
          <w:szCs w:val="22"/>
        </w:rPr>
        <w:t xml:space="preserve"> $10,000 in a calendar year (</w:t>
      </w:r>
      <w:r w:rsidR="00B83FCB">
        <w:rPr>
          <w:rFonts w:cs="Arial"/>
          <w:szCs w:val="22"/>
        </w:rPr>
        <w:t xml:space="preserve">Department of Education, Skills and Employment, 2020). </w:t>
      </w:r>
    </w:p>
    <w:p w14:paraId="5BF4CB3B" w14:textId="77777777" w:rsidR="00835EDF" w:rsidRPr="00835EDF" w:rsidRDefault="006D1FE2" w:rsidP="00835EDF">
      <w:pPr>
        <w:spacing w:line="360" w:lineRule="auto"/>
      </w:pPr>
      <w:r w:rsidRPr="00835EDF">
        <w:t xml:space="preserve">The NCSEHE </w:t>
      </w:r>
      <w:r w:rsidR="00176B9F" w:rsidRPr="00835EDF">
        <w:t>anticipates that</w:t>
      </w:r>
      <w:r w:rsidRPr="00835EDF">
        <w:t xml:space="preserve"> further</w:t>
      </w:r>
      <w:r w:rsidR="003261EA" w:rsidRPr="00835EDF">
        <w:t xml:space="preserve"> desirable</w:t>
      </w:r>
      <w:r w:rsidRPr="00835EDF">
        <w:t xml:space="preserve"> changes to student support services </w:t>
      </w:r>
      <w:r w:rsidR="003261EA" w:rsidRPr="00835EDF">
        <w:t>will</w:t>
      </w:r>
      <w:r w:rsidR="00140635" w:rsidRPr="00835EDF">
        <w:t xml:space="preserve"> </w:t>
      </w:r>
      <w:r w:rsidR="002E141A" w:rsidRPr="00835EDF">
        <w:t>emerge from</w:t>
      </w:r>
      <w:r w:rsidR="00140635" w:rsidRPr="00835EDF">
        <w:t xml:space="preserve"> recommendations in this submission, </w:t>
      </w:r>
      <w:r w:rsidR="002E141A" w:rsidRPr="00835EDF">
        <w:t xml:space="preserve">in conjunction with </w:t>
      </w:r>
      <w:r w:rsidR="00A72C75" w:rsidRPr="00835EDF">
        <w:t>further, appropriate, adjustments to</w:t>
      </w:r>
      <w:r w:rsidR="00140635" w:rsidRPr="00835EDF">
        <w:t xml:space="preserve"> the DSP</w:t>
      </w:r>
      <w:r w:rsidR="00D62CE8" w:rsidRPr="00835EDF">
        <w:t xml:space="preserve"> as part of their implementation. </w:t>
      </w:r>
    </w:p>
    <w:p w14:paraId="5494C2BE" w14:textId="13DF60FA" w:rsidR="00835EDF" w:rsidRPr="00D516EF" w:rsidRDefault="0008034B" w:rsidP="00DD6F2D">
      <w:pPr>
        <w:pStyle w:val="Heading2"/>
        <w:spacing w:after="240"/>
      </w:pPr>
      <w:r>
        <w:rPr>
          <w:i/>
          <w:iCs/>
        </w:rPr>
        <w:br w:type="page"/>
      </w:r>
      <w:r w:rsidR="006D68D9" w:rsidRPr="00835EDF">
        <w:lastRenderedPageBreak/>
        <w:t>Elimination of Harassment and Victimisation</w:t>
      </w:r>
    </w:p>
    <w:p w14:paraId="10BC0C76" w14:textId="11AA7D47" w:rsidR="00796DFA" w:rsidRDefault="00F92CF4">
      <w:pPr>
        <w:spacing w:after="120" w:line="360" w:lineRule="auto"/>
        <w:rPr>
          <w:rFonts w:cs="Arial"/>
          <w:szCs w:val="22"/>
        </w:rPr>
      </w:pPr>
      <w:r>
        <w:rPr>
          <w:rFonts w:cs="Arial"/>
          <w:szCs w:val="22"/>
        </w:rPr>
        <w:t>People with disability are commonly subject</w:t>
      </w:r>
      <w:r w:rsidR="00DA2699">
        <w:rPr>
          <w:rFonts w:cs="Arial"/>
          <w:szCs w:val="22"/>
        </w:rPr>
        <w:t>ed</w:t>
      </w:r>
      <w:r>
        <w:rPr>
          <w:rFonts w:cs="Arial"/>
          <w:szCs w:val="22"/>
        </w:rPr>
        <w:t xml:space="preserve"> to harassment and victimisation</w:t>
      </w:r>
      <w:r w:rsidR="00DA2699">
        <w:rPr>
          <w:rFonts w:cs="Arial"/>
          <w:szCs w:val="22"/>
        </w:rPr>
        <w:t>.</w:t>
      </w:r>
      <w:r>
        <w:rPr>
          <w:rFonts w:cs="Arial"/>
          <w:szCs w:val="22"/>
        </w:rPr>
        <w:t xml:space="preserve"> </w:t>
      </w:r>
      <w:r w:rsidR="00F47ED8" w:rsidRPr="00C54436">
        <w:rPr>
          <w:rFonts w:cs="Arial"/>
          <w:szCs w:val="22"/>
        </w:rPr>
        <w:t xml:space="preserve">The </w:t>
      </w:r>
      <w:r w:rsidR="00737E7A">
        <w:rPr>
          <w:rFonts w:cs="Arial"/>
          <w:szCs w:val="22"/>
        </w:rPr>
        <w:t xml:space="preserve">ABS’s </w:t>
      </w:r>
      <w:r w:rsidR="00070E46" w:rsidRPr="00C54436">
        <w:rPr>
          <w:rFonts w:cs="Arial"/>
          <w:szCs w:val="22"/>
        </w:rPr>
        <w:t>2014</w:t>
      </w:r>
      <w:r w:rsidR="00F47ED8" w:rsidRPr="00C54436">
        <w:rPr>
          <w:rFonts w:cs="Arial"/>
          <w:szCs w:val="22"/>
        </w:rPr>
        <w:t xml:space="preserve"> </w:t>
      </w:r>
      <w:r w:rsidR="00F47ED8" w:rsidRPr="00737E7A">
        <w:rPr>
          <w:rFonts w:cs="Arial"/>
          <w:i/>
          <w:iCs/>
          <w:szCs w:val="22"/>
        </w:rPr>
        <w:t>General Social Survey</w:t>
      </w:r>
      <w:r w:rsidR="00F47ED8" w:rsidRPr="00C54436">
        <w:rPr>
          <w:rFonts w:cs="Arial"/>
          <w:szCs w:val="22"/>
        </w:rPr>
        <w:t xml:space="preserve"> (GSS) </w:t>
      </w:r>
      <w:r w:rsidR="00070E46" w:rsidRPr="00C54436">
        <w:rPr>
          <w:rFonts w:cs="Arial"/>
          <w:szCs w:val="22"/>
        </w:rPr>
        <w:t>found that 22.7 per cent of people with disability</w:t>
      </w:r>
      <w:r w:rsidR="00176B9F">
        <w:rPr>
          <w:rFonts w:cs="Arial"/>
          <w:szCs w:val="22"/>
        </w:rPr>
        <w:t xml:space="preserve"> had experienced discrimination</w:t>
      </w:r>
      <w:r w:rsidR="003D425A" w:rsidRPr="00C54436">
        <w:rPr>
          <w:rFonts w:cs="Arial"/>
          <w:szCs w:val="22"/>
        </w:rPr>
        <w:t xml:space="preserve">, compared with 16.9 per cent of people </w:t>
      </w:r>
      <w:r w:rsidR="009969AC">
        <w:rPr>
          <w:rFonts w:cs="Arial"/>
          <w:szCs w:val="22"/>
        </w:rPr>
        <w:t xml:space="preserve">without </w:t>
      </w:r>
      <w:r w:rsidR="003D425A" w:rsidRPr="00C54436">
        <w:rPr>
          <w:rFonts w:cs="Arial"/>
          <w:szCs w:val="22"/>
        </w:rPr>
        <w:t>disability</w:t>
      </w:r>
      <w:r w:rsidR="00D04BD0">
        <w:rPr>
          <w:rFonts w:cs="Arial"/>
          <w:szCs w:val="22"/>
        </w:rPr>
        <w:t xml:space="preserve"> (Australian Bureau of Statistics, 2014)</w:t>
      </w:r>
      <w:r w:rsidR="00402B3C">
        <w:rPr>
          <w:rFonts w:cs="Arial"/>
          <w:szCs w:val="22"/>
        </w:rPr>
        <w:t>.</w:t>
      </w:r>
    </w:p>
    <w:p w14:paraId="2D993454" w14:textId="2E034DD9" w:rsidR="00607F8B" w:rsidRDefault="00944617" w:rsidP="007B1E24">
      <w:pPr>
        <w:spacing w:after="240" w:line="360" w:lineRule="auto"/>
        <w:rPr>
          <w:rFonts w:cs="Arial"/>
          <w:szCs w:val="22"/>
        </w:rPr>
      </w:pPr>
      <w:r>
        <w:rPr>
          <w:rFonts w:cs="Arial"/>
          <w:szCs w:val="22"/>
        </w:rPr>
        <w:t>T</w:t>
      </w:r>
      <w:r w:rsidR="00796DFA">
        <w:rPr>
          <w:rFonts w:cs="Arial"/>
          <w:szCs w:val="22"/>
        </w:rPr>
        <w:t xml:space="preserve">his issue is compounded </w:t>
      </w:r>
      <w:r>
        <w:rPr>
          <w:rFonts w:cs="Arial"/>
          <w:szCs w:val="22"/>
        </w:rPr>
        <w:t>by poor response mechanisms. W</w:t>
      </w:r>
      <w:r w:rsidR="00796DFA">
        <w:rPr>
          <w:rFonts w:cs="Arial"/>
          <w:szCs w:val="22"/>
        </w:rPr>
        <w:t>hen</w:t>
      </w:r>
      <w:r w:rsidR="00607F8B" w:rsidRPr="00FA0C4F">
        <w:rPr>
          <w:rFonts w:cs="Arial"/>
          <w:szCs w:val="22"/>
        </w:rPr>
        <w:t xml:space="preserve"> students </w:t>
      </w:r>
      <w:r w:rsidR="00796DFA">
        <w:rPr>
          <w:rFonts w:cs="Arial"/>
          <w:szCs w:val="22"/>
        </w:rPr>
        <w:t xml:space="preserve">do </w:t>
      </w:r>
      <w:r w:rsidR="00607F8B" w:rsidRPr="00FA0C4F">
        <w:rPr>
          <w:rFonts w:cs="Arial"/>
          <w:szCs w:val="22"/>
        </w:rPr>
        <w:t>experience discrimination, the onus is placed on them to submit a complaint</w:t>
      </w:r>
      <w:r>
        <w:rPr>
          <w:rFonts w:cs="Arial"/>
          <w:szCs w:val="22"/>
        </w:rPr>
        <w:t>, in the context of a</w:t>
      </w:r>
      <w:r w:rsidR="00607F8B" w:rsidRPr="00FA0C4F">
        <w:rPr>
          <w:rFonts w:cs="Arial"/>
          <w:szCs w:val="22"/>
        </w:rPr>
        <w:t xml:space="preserve"> power differential between an individual student and </w:t>
      </w:r>
      <w:r>
        <w:rPr>
          <w:rFonts w:cs="Arial"/>
          <w:szCs w:val="22"/>
        </w:rPr>
        <w:t>the</w:t>
      </w:r>
      <w:r w:rsidR="00607F8B" w:rsidRPr="00FA0C4F">
        <w:rPr>
          <w:rFonts w:cs="Arial"/>
          <w:szCs w:val="22"/>
        </w:rPr>
        <w:t xml:space="preserve"> institution</w:t>
      </w:r>
      <w:r>
        <w:rPr>
          <w:rFonts w:cs="Arial"/>
          <w:szCs w:val="22"/>
        </w:rPr>
        <w:t>.</w:t>
      </w:r>
      <w:r w:rsidR="00607F8B" w:rsidRPr="00FA0C4F">
        <w:rPr>
          <w:rFonts w:cs="Arial"/>
          <w:szCs w:val="22"/>
        </w:rPr>
        <w:t xml:space="preserve"> </w:t>
      </w:r>
      <w:r w:rsidR="006C47AF">
        <w:rPr>
          <w:rFonts w:cs="Arial"/>
          <w:szCs w:val="22"/>
        </w:rPr>
        <w:t>In turn, the true extent of harassment and victimisation is not recognised in higher education, except through anecdotal evidence</w:t>
      </w:r>
      <w:r w:rsidR="0022095B">
        <w:rPr>
          <w:rFonts w:cs="Arial"/>
          <w:szCs w:val="22"/>
        </w:rPr>
        <w:t xml:space="preserve">. </w:t>
      </w:r>
      <w:r w:rsidR="004900E1">
        <w:rPr>
          <w:rFonts w:cs="Arial"/>
          <w:szCs w:val="22"/>
        </w:rPr>
        <w:t xml:space="preserve">Higher education would benefit from a national system of </w:t>
      </w:r>
      <w:r w:rsidR="004D0242">
        <w:rPr>
          <w:rFonts w:cs="Arial"/>
          <w:szCs w:val="22"/>
        </w:rPr>
        <w:t xml:space="preserve">data collection and reporting on harassment and victimisation in all education settings. </w:t>
      </w:r>
    </w:p>
    <w:p w14:paraId="4FCE5A98" w14:textId="4454AA31"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Recommendation 8:</w:t>
      </w:r>
      <w:r w:rsidRPr="005E04A3">
        <w:rPr>
          <w:rFonts w:cs="Arial"/>
          <w:szCs w:val="22"/>
        </w:rPr>
        <w:t xml:space="preserve"> That the Standards introduce a requirement for the consistent collection and reporting of data on harassment and victimisation in education.</w:t>
      </w:r>
    </w:p>
    <w:p w14:paraId="4D4A0920" w14:textId="4E54AAE1" w:rsidR="007B1E24" w:rsidRPr="00D516EF" w:rsidRDefault="00C158E6" w:rsidP="00DD6F2D">
      <w:pPr>
        <w:pStyle w:val="Heading2"/>
        <w:spacing w:before="480" w:after="240"/>
      </w:pPr>
      <w:r w:rsidRPr="00D516EF">
        <w:t>Mental Health</w:t>
      </w:r>
      <w:r w:rsidR="00B16114">
        <w:t xml:space="preserve"> and Disability</w:t>
      </w:r>
    </w:p>
    <w:p w14:paraId="512A8699" w14:textId="23FB305F" w:rsidR="002F2848" w:rsidRDefault="00C158E6" w:rsidP="00C158E6">
      <w:pPr>
        <w:spacing w:after="120" w:line="360" w:lineRule="auto"/>
        <w:rPr>
          <w:rFonts w:cs="Arial"/>
          <w:szCs w:val="22"/>
        </w:rPr>
      </w:pPr>
      <w:r>
        <w:rPr>
          <w:rFonts w:cs="Arial"/>
          <w:szCs w:val="22"/>
        </w:rPr>
        <w:t xml:space="preserve">A particular consideration </w:t>
      </w:r>
      <w:r w:rsidR="002C7278">
        <w:rPr>
          <w:rFonts w:cs="Arial"/>
          <w:szCs w:val="22"/>
        </w:rPr>
        <w:t>in higher education is the reporting of, and institutional response to, student mental health</w:t>
      </w:r>
      <w:r w:rsidR="001E7164">
        <w:rPr>
          <w:rFonts w:cs="Arial"/>
          <w:szCs w:val="22"/>
        </w:rPr>
        <w:t xml:space="preserve"> issues</w:t>
      </w:r>
      <w:r w:rsidR="006D2CB6">
        <w:rPr>
          <w:rFonts w:cs="Arial"/>
          <w:szCs w:val="22"/>
        </w:rPr>
        <w:t>.</w:t>
      </w:r>
      <w:r w:rsidR="002C7278">
        <w:rPr>
          <w:rFonts w:cs="Arial"/>
          <w:szCs w:val="22"/>
        </w:rPr>
        <w:t xml:space="preserve"> </w:t>
      </w:r>
      <w:r w:rsidRPr="00D63DFE">
        <w:rPr>
          <w:rFonts w:cs="Arial"/>
          <w:szCs w:val="22"/>
        </w:rPr>
        <w:t>Many students choose not to disclose or seek help for their mental ill-health due to a perceived lack of understanding among university staff about the seriousness of their condition (</w:t>
      </w:r>
      <w:proofErr w:type="spellStart"/>
      <w:r w:rsidRPr="00D63DFE">
        <w:rPr>
          <w:rFonts w:cs="Arial"/>
          <w:szCs w:val="22"/>
        </w:rPr>
        <w:t>Orygen</w:t>
      </w:r>
      <w:proofErr w:type="spellEnd"/>
      <w:r w:rsidRPr="00D63DFE">
        <w:rPr>
          <w:rFonts w:cs="Arial"/>
          <w:szCs w:val="22"/>
        </w:rPr>
        <w:t xml:space="preserve">, 2017). A lack of disclosure can also be due to the episodic nature of mental ill-health, with some students experiencing periods of acute illness, as well as periods of stability and success. </w:t>
      </w:r>
    </w:p>
    <w:p w14:paraId="52E12C0A" w14:textId="77777777" w:rsidR="005E04A3" w:rsidRDefault="00C158E6" w:rsidP="007B1E24">
      <w:pPr>
        <w:spacing w:after="240" w:line="360" w:lineRule="auto"/>
        <w:rPr>
          <w:rFonts w:cs="Arial"/>
          <w:szCs w:val="22"/>
        </w:rPr>
      </w:pPr>
      <w:r w:rsidRPr="00D63DFE">
        <w:rPr>
          <w:rFonts w:cs="Arial"/>
          <w:szCs w:val="22"/>
        </w:rPr>
        <w:t>For many students</w:t>
      </w:r>
      <w:r w:rsidR="002F2848">
        <w:rPr>
          <w:rFonts w:cs="Arial"/>
          <w:szCs w:val="22"/>
        </w:rPr>
        <w:t>,</w:t>
      </w:r>
      <w:r w:rsidRPr="00D63DFE">
        <w:rPr>
          <w:rFonts w:cs="Arial"/>
          <w:szCs w:val="22"/>
        </w:rPr>
        <w:t xml:space="preserve"> their mental ill-health is invisible, may be undocumented, </w:t>
      </w:r>
      <w:r w:rsidR="00156F42">
        <w:rPr>
          <w:rFonts w:cs="Arial"/>
          <w:szCs w:val="22"/>
        </w:rPr>
        <w:t>or</w:t>
      </w:r>
      <w:r w:rsidRPr="00D63DFE">
        <w:rPr>
          <w:rFonts w:cs="Arial"/>
          <w:szCs w:val="22"/>
        </w:rPr>
        <w:t xml:space="preserve"> considered </w:t>
      </w:r>
      <w:r w:rsidR="0060220C">
        <w:rPr>
          <w:rFonts w:cs="Arial"/>
          <w:szCs w:val="22"/>
        </w:rPr>
        <w:t>“</w:t>
      </w:r>
      <w:r w:rsidRPr="00D63DFE">
        <w:rPr>
          <w:rFonts w:cs="Arial"/>
          <w:szCs w:val="22"/>
        </w:rPr>
        <w:t>under control</w:t>
      </w:r>
      <w:r w:rsidR="0060220C">
        <w:rPr>
          <w:rFonts w:cs="Arial"/>
          <w:szCs w:val="22"/>
        </w:rPr>
        <w:t>”</w:t>
      </w:r>
      <w:r w:rsidRPr="00D63DFE">
        <w:rPr>
          <w:rFonts w:cs="Arial"/>
          <w:szCs w:val="22"/>
        </w:rPr>
        <w:t xml:space="preserve">. </w:t>
      </w:r>
      <w:r w:rsidR="002F2848">
        <w:rPr>
          <w:rFonts w:cs="Arial"/>
          <w:szCs w:val="22"/>
        </w:rPr>
        <w:t xml:space="preserve">Importantly, mental </w:t>
      </w:r>
      <w:r w:rsidR="005B0A20">
        <w:rPr>
          <w:rFonts w:cs="Arial"/>
          <w:szCs w:val="22"/>
        </w:rPr>
        <w:t xml:space="preserve">health issues </w:t>
      </w:r>
      <w:r w:rsidR="00BC43B9">
        <w:rPr>
          <w:rFonts w:cs="Arial"/>
          <w:szCs w:val="22"/>
        </w:rPr>
        <w:t xml:space="preserve">are not always present at the time of enrolment, </w:t>
      </w:r>
      <w:r w:rsidR="00F575EC">
        <w:rPr>
          <w:rFonts w:cs="Arial"/>
          <w:szCs w:val="22"/>
        </w:rPr>
        <w:t>but rather</w:t>
      </w:r>
      <w:r w:rsidR="00BC43B9">
        <w:rPr>
          <w:rFonts w:cs="Arial"/>
          <w:szCs w:val="22"/>
        </w:rPr>
        <w:t xml:space="preserve"> </w:t>
      </w:r>
      <w:r w:rsidR="005B0A20">
        <w:rPr>
          <w:rFonts w:cs="Arial"/>
          <w:szCs w:val="22"/>
        </w:rPr>
        <w:t>emerg</w:t>
      </w:r>
      <w:r w:rsidR="00F575EC">
        <w:rPr>
          <w:rFonts w:cs="Arial"/>
          <w:szCs w:val="22"/>
        </w:rPr>
        <w:t>e</w:t>
      </w:r>
      <w:r w:rsidR="005B0A20">
        <w:rPr>
          <w:rFonts w:cs="Arial"/>
          <w:szCs w:val="22"/>
        </w:rPr>
        <w:t xml:space="preserve"> </w:t>
      </w:r>
      <w:r w:rsidR="00A95AA9">
        <w:rPr>
          <w:rFonts w:cs="Arial"/>
          <w:szCs w:val="22"/>
        </w:rPr>
        <w:t>during</w:t>
      </w:r>
      <w:r w:rsidR="005B0A20">
        <w:rPr>
          <w:rFonts w:cs="Arial"/>
          <w:szCs w:val="22"/>
        </w:rPr>
        <w:t xml:space="preserve"> a student’s educational journey. </w:t>
      </w:r>
      <w:r w:rsidR="005C3376">
        <w:rPr>
          <w:rFonts w:cs="Arial"/>
          <w:szCs w:val="22"/>
        </w:rPr>
        <w:t xml:space="preserve">As </w:t>
      </w:r>
      <w:r w:rsidRPr="00D63DFE">
        <w:rPr>
          <w:rFonts w:cs="Arial"/>
          <w:szCs w:val="22"/>
        </w:rPr>
        <w:t xml:space="preserve">the onset of mental ill-health peaks </w:t>
      </w:r>
      <w:r w:rsidR="00AC0FB6">
        <w:rPr>
          <w:rFonts w:cs="Arial"/>
          <w:szCs w:val="22"/>
        </w:rPr>
        <w:t xml:space="preserve">in </w:t>
      </w:r>
      <w:r w:rsidRPr="00D63DFE">
        <w:rPr>
          <w:rFonts w:cs="Arial"/>
          <w:szCs w:val="22"/>
        </w:rPr>
        <w:t xml:space="preserve"> adolescence and early adulthood, and </w:t>
      </w:r>
      <w:r w:rsidR="005C3376">
        <w:rPr>
          <w:rFonts w:cs="Arial"/>
          <w:szCs w:val="22"/>
        </w:rPr>
        <w:t xml:space="preserve">given </w:t>
      </w:r>
      <w:r w:rsidRPr="00D63DFE">
        <w:rPr>
          <w:rFonts w:cs="Arial"/>
          <w:szCs w:val="22"/>
        </w:rPr>
        <w:t>the prevalence of high or very high levels of psychological distress reported by university students (</w:t>
      </w:r>
      <w:proofErr w:type="spellStart"/>
      <w:r w:rsidRPr="00D63DFE">
        <w:rPr>
          <w:rFonts w:cs="Arial"/>
          <w:szCs w:val="22"/>
        </w:rPr>
        <w:t>Orygen</w:t>
      </w:r>
      <w:proofErr w:type="spellEnd"/>
      <w:r w:rsidRPr="00D63DFE">
        <w:rPr>
          <w:rFonts w:cs="Arial"/>
          <w:szCs w:val="22"/>
        </w:rPr>
        <w:t xml:space="preserve">, 2020), a lack of disclosure means that many students’ psychological needs are not being met by current support services. </w:t>
      </w:r>
    </w:p>
    <w:p w14:paraId="0857CF70" w14:textId="23636116" w:rsidR="007B1E24" w:rsidRPr="005E04A3" w:rsidRDefault="005E04A3" w:rsidP="005E04A3">
      <w:pPr>
        <w:pBdr>
          <w:left w:val="single" w:sz="4" w:space="4" w:color="auto"/>
        </w:pBdr>
        <w:spacing w:after="240" w:line="360" w:lineRule="auto"/>
        <w:ind w:left="720"/>
        <w:rPr>
          <w:rFonts w:eastAsia="Calibri" w:cs="Arial"/>
          <w:color w:val="000000" w:themeColor="text1"/>
          <w:szCs w:val="22"/>
        </w:rPr>
      </w:pPr>
      <w:r w:rsidRPr="005E04A3">
        <w:rPr>
          <w:rFonts w:cs="Arial"/>
          <w:b/>
          <w:bCs/>
          <w:szCs w:val="22"/>
        </w:rPr>
        <w:t>Recommendation 9:</w:t>
      </w:r>
      <w:r w:rsidRPr="005E04A3">
        <w:rPr>
          <w:rFonts w:cs="Arial"/>
          <w:szCs w:val="22"/>
        </w:rPr>
        <w:t xml:space="preserve"> That the Standards ensure the classification of mental health conditions under the term “disability” is sufficiently broad to include temporary, chronic and/or episodic conditions, and that institutional responses to student support service requirements or allegations of harassment and victimisation reflect this complexity.</w:t>
      </w:r>
    </w:p>
    <w:p w14:paraId="78743A69" w14:textId="77777777" w:rsidR="005E04A3" w:rsidRDefault="005E04A3" w:rsidP="007B1E24">
      <w:pPr>
        <w:spacing w:after="120" w:line="360" w:lineRule="auto"/>
        <w:rPr>
          <w:rFonts w:cs="Arial"/>
          <w:b/>
          <w:bCs/>
          <w:i/>
          <w:iCs/>
          <w:szCs w:val="22"/>
        </w:rPr>
      </w:pPr>
    </w:p>
    <w:p w14:paraId="3839A30B" w14:textId="7BECDD28" w:rsidR="007B1E24" w:rsidRPr="00D516EF" w:rsidRDefault="00AB7757" w:rsidP="00835EDF">
      <w:pPr>
        <w:pStyle w:val="Heading2"/>
        <w:spacing w:after="240"/>
      </w:pPr>
      <w:r w:rsidRPr="0008034B">
        <w:lastRenderedPageBreak/>
        <w:t>Post-Graduation Outcomes</w:t>
      </w:r>
    </w:p>
    <w:p w14:paraId="3CA07086" w14:textId="661A4CFD" w:rsidR="00AB7757" w:rsidRDefault="00AB7757" w:rsidP="00AB7757">
      <w:pPr>
        <w:spacing w:after="120" w:line="360" w:lineRule="auto"/>
        <w:rPr>
          <w:rFonts w:eastAsia="Calibri" w:cs="Arial"/>
          <w:color w:val="000000" w:themeColor="text1"/>
          <w:szCs w:val="22"/>
        </w:rPr>
      </w:pPr>
      <w:r w:rsidRPr="2923D3FB">
        <w:rPr>
          <w:rFonts w:eastAsia="Calibri" w:cs="Arial"/>
          <w:color w:val="000000" w:themeColor="text1"/>
          <w:szCs w:val="22"/>
        </w:rPr>
        <w:t xml:space="preserve">The labour force outcomes for </w:t>
      </w:r>
      <w:r>
        <w:rPr>
          <w:rFonts w:eastAsia="Calibri" w:cs="Arial"/>
          <w:color w:val="000000" w:themeColor="text1"/>
          <w:szCs w:val="22"/>
        </w:rPr>
        <w:t>higher education students</w:t>
      </w:r>
      <w:r w:rsidRPr="2923D3FB">
        <w:rPr>
          <w:rFonts w:eastAsia="Calibri" w:cs="Arial"/>
          <w:color w:val="000000" w:themeColor="text1"/>
          <w:szCs w:val="22"/>
        </w:rPr>
        <w:t xml:space="preserve"> with disability in Australia are </w:t>
      </w:r>
      <w:r w:rsidR="0060220C">
        <w:rPr>
          <w:rFonts w:eastAsia="Calibri" w:cs="Arial"/>
          <w:color w:val="000000" w:themeColor="text1"/>
          <w:szCs w:val="22"/>
        </w:rPr>
        <w:t>substantially lower than</w:t>
      </w:r>
      <w:r w:rsidRPr="2923D3FB">
        <w:rPr>
          <w:rFonts w:eastAsia="Calibri" w:cs="Arial"/>
          <w:color w:val="000000" w:themeColor="text1"/>
          <w:szCs w:val="22"/>
        </w:rPr>
        <w:t xml:space="preserve"> those of </w:t>
      </w:r>
      <w:r>
        <w:rPr>
          <w:rFonts w:eastAsia="Calibri" w:cs="Arial"/>
          <w:color w:val="000000" w:themeColor="text1"/>
          <w:szCs w:val="22"/>
        </w:rPr>
        <w:t xml:space="preserve">students without disability. </w:t>
      </w:r>
      <w:r w:rsidR="00252192">
        <w:rPr>
          <w:rFonts w:eastAsia="Calibri" w:cs="Arial"/>
          <w:color w:val="000000" w:themeColor="text1"/>
          <w:szCs w:val="22"/>
        </w:rPr>
        <w:t>The</w:t>
      </w:r>
      <w:r>
        <w:rPr>
          <w:rFonts w:eastAsia="Calibri" w:cs="Arial"/>
          <w:color w:val="000000" w:themeColor="text1"/>
          <w:szCs w:val="22"/>
        </w:rPr>
        <w:t xml:space="preserve"> 2020 </w:t>
      </w:r>
      <w:r w:rsidRPr="00B333D3">
        <w:rPr>
          <w:rFonts w:eastAsia="Calibri" w:cs="Arial"/>
          <w:i/>
          <w:iCs/>
          <w:color w:val="000000" w:themeColor="text1"/>
          <w:szCs w:val="22"/>
        </w:rPr>
        <w:t>Graduate Outcomes Survey</w:t>
      </w:r>
      <w:r>
        <w:rPr>
          <w:rFonts w:eastAsia="Calibri" w:cs="Arial"/>
          <w:color w:val="000000" w:themeColor="text1"/>
          <w:szCs w:val="22"/>
        </w:rPr>
        <w:t xml:space="preserve"> longitudinal collection</w:t>
      </w:r>
      <w:r w:rsidR="00252192">
        <w:rPr>
          <w:rFonts w:eastAsia="Calibri" w:cs="Arial"/>
          <w:color w:val="000000" w:themeColor="text1"/>
          <w:szCs w:val="22"/>
        </w:rPr>
        <w:t xml:space="preserve"> shows </w:t>
      </w:r>
      <w:r>
        <w:rPr>
          <w:rFonts w:eastAsia="Calibri" w:cs="Arial"/>
          <w:color w:val="000000" w:themeColor="text1"/>
          <w:szCs w:val="22"/>
        </w:rPr>
        <w:t>new graduates with disability experienc</w:t>
      </w:r>
      <w:r w:rsidR="00252192">
        <w:rPr>
          <w:rFonts w:eastAsia="Calibri" w:cs="Arial"/>
          <w:color w:val="000000" w:themeColor="text1"/>
          <w:szCs w:val="22"/>
        </w:rPr>
        <w:t>ed</w:t>
      </w:r>
      <w:r>
        <w:rPr>
          <w:rFonts w:eastAsia="Calibri" w:cs="Arial"/>
          <w:color w:val="000000" w:themeColor="text1"/>
          <w:szCs w:val="22"/>
        </w:rPr>
        <w:t xml:space="preserve"> lower levels of full-time employment compared with others </w:t>
      </w:r>
      <w:r w:rsidR="00BC65CF">
        <w:rPr>
          <w:rFonts w:eastAsia="Calibri" w:cs="Arial"/>
          <w:color w:val="000000" w:themeColor="text1"/>
          <w:szCs w:val="22"/>
        </w:rPr>
        <w:t xml:space="preserve">— </w:t>
      </w:r>
      <w:r>
        <w:rPr>
          <w:rFonts w:eastAsia="Calibri" w:cs="Arial"/>
          <w:color w:val="000000" w:themeColor="text1"/>
          <w:szCs w:val="22"/>
        </w:rPr>
        <w:t xml:space="preserve">63.9 per cent versus 73.6 per cent, with </w:t>
      </w:r>
      <w:r w:rsidR="008A129F">
        <w:rPr>
          <w:rFonts w:eastAsia="Calibri" w:cs="Arial"/>
          <w:color w:val="000000" w:themeColor="text1"/>
          <w:szCs w:val="22"/>
        </w:rPr>
        <w:t xml:space="preserve">commensurately lower </w:t>
      </w:r>
      <w:r>
        <w:rPr>
          <w:rFonts w:eastAsia="Calibri" w:cs="Arial"/>
          <w:color w:val="000000" w:themeColor="text1"/>
          <w:szCs w:val="22"/>
        </w:rPr>
        <w:t>levels of overall employment and labour force participation</w:t>
      </w:r>
      <w:r w:rsidR="00A32AF1">
        <w:rPr>
          <w:rFonts w:eastAsia="Calibri" w:cs="Arial"/>
          <w:color w:val="000000" w:themeColor="text1"/>
          <w:szCs w:val="22"/>
        </w:rPr>
        <w:t xml:space="preserve"> (</w:t>
      </w:r>
      <w:r w:rsidR="00A32AF1" w:rsidRPr="00A32AF1">
        <w:rPr>
          <w:rFonts w:eastAsia="Calibri" w:cs="Arial"/>
          <w:color w:val="000000" w:themeColor="text1"/>
          <w:szCs w:val="22"/>
        </w:rPr>
        <w:t>Quality Indicators for Learning and Teaching</w:t>
      </w:r>
      <w:r w:rsidR="00A32AF1">
        <w:rPr>
          <w:rFonts w:eastAsia="Calibri" w:cs="Arial"/>
          <w:color w:val="000000" w:themeColor="text1"/>
          <w:szCs w:val="22"/>
        </w:rPr>
        <w:t>,</w:t>
      </w:r>
      <w:r w:rsidR="00A32AF1" w:rsidRPr="00A32AF1">
        <w:rPr>
          <w:rFonts w:eastAsia="Calibri" w:cs="Arial"/>
          <w:color w:val="000000" w:themeColor="text1"/>
          <w:szCs w:val="22"/>
        </w:rPr>
        <w:t xml:space="preserve"> 2020)</w:t>
      </w:r>
      <w:r>
        <w:rPr>
          <w:rFonts w:eastAsia="Calibri" w:cs="Arial"/>
          <w:color w:val="000000" w:themeColor="text1"/>
          <w:szCs w:val="22"/>
        </w:rPr>
        <w:t xml:space="preserve">. </w:t>
      </w:r>
    </w:p>
    <w:p w14:paraId="3EED8E0D" w14:textId="65344537" w:rsidR="00A92321" w:rsidRDefault="00AB7757" w:rsidP="007B1E24">
      <w:pPr>
        <w:spacing w:after="240" w:line="360" w:lineRule="auto"/>
        <w:rPr>
          <w:rFonts w:cs="Arial"/>
          <w:szCs w:val="22"/>
        </w:rPr>
      </w:pPr>
      <w:r>
        <w:rPr>
          <w:rFonts w:ascii="ArialMT" w:eastAsiaTheme="minorHAnsi" w:hAnsi="ArialMT" w:cs="ArialMT"/>
          <w:szCs w:val="22"/>
          <w:lang w:eastAsia="en-US"/>
        </w:rPr>
        <w:t>While progress has been made in improving labour force outcomes for students with disability, the gap in outcomes with the general population, most notably in full-time participation, but also in earnings after three years in the workforce, indicates that</w:t>
      </w:r>
      <w:r w:rsidR="00697EE5">
        <w:rPr>
          <w:rFonts w:ascii="ArialMT" w:eastAsiaTheme="minorHAnsi" w:hAnsi="ArialMT" w:cs="ArialMT"/>
          <w:szCs w:val="22"/>
          <w:lang w:eastAsia="en-US"/>
        </w:rPr>
        <w:t xml:space="preserve"> more attention is required.</w:t>
      </w:r>
      <w:r>
        <w:rPr>
          <w:rFonts w:ascii="ArialMT" w:eastAsiaTheme="minorHAnsi" w:hAnsi="ArialMT" w:cs="ArialMT"/>
          <w:szCs w:val="22"/>
          <w:lang w:eastAsia="en-US"/>
        </w:rPr>
        <w:t xml:space="preserve"> </w:t>
      </w:r>
      <w:r w:rsidR="00697EE5">
        <w:rPr>
          <w:rFonts w:ascii="ArialMT" w:eastAsiaTheme="minorHAnsi" w:hAnsi="ArialMT" w:cs="ArialMT"/>
          <w:szCs w:val="22"/>
          <w:lang w:eastAsia="en-US"/>
        </w:rPr>
        <w:t>The g</w:t>
      </w:r>
      <w:r>
        <w:rPr>
          <w:rFonts w:ascii="ArialMT" w:eastAsiaTheme="minorHAnsi" w:hAnsi="ArialMT" w:cs="ArialMT"/>
          <w:szCs w:val="22"/>
          <w:lang w:eastAsia="en-US"/>
        </w:rPr>
        <w:t>eneral</w:t>
      </w:r>
      <w:r w:rsidR="00216306">
        <w:rPr>
          <w:rFonts w:ascii="ArialMT" w:eastAsiaTheme="minorHAnsi" w:hAnsi="ArialMT" w:cs="ArialMT"/>
          <w:szCs w:val="22"/>
          <w:lang w:eastAsia="en-US"/>
        </w:rPr>
        <w:t xml:space="preserve"> guidance and</w:t>
      </w:r>
      <w:r>
        <w:rPr>
          <w:rFonts w:ascii="ArialMT" w:eastAsiaTheme="minorHAnsi" w:hAnsi="ArialMT" w:cs="ArialMT"/>
          <w:szCs w:val="22"/>
          <w:lang w:eastAsia="en-US"/>
        </w:rPr>
        <w:t xml:space="preserve"> </w:t>
      </w:r>
      <w:r w:rsidR="0036765F">
        <w:rPr>
          <w:rFonts w:ascii="ArialMT" w:eastAsiaTheme="minorHAnsi" w:hAnsi="ArialMT" w:cs="ArialMT"/>
          <w:szCs w:val="22"/>
          <w:lang w:eastAsia="en-US"/>
        </w:rPr>
        <w:t>tra</w:t>
      </w:r>
      <w:r w:rsidR="00216306">
        <w:rPr>
          <w:rFonts w:ascii="ArialMT" w:eastAsiaTheme="minorHAnsi" w:hAnsi="ArialMT" w:cs="ArialMT"/>
          <w:szCs w:val="22"/>
          <w:lang w:eastAsia="en-US"/>
        </w:rPr>
        <w:t>ining</w:t>
      </w:r>
      <w:r w:rsidR="00493EEB">
        <w:rPr>
          <w:rFonts w:ascii="ArialMT" w:eastAsiaTheme="minorHAnsi" w:hAnsi="ArialMT" w:cs="ArialMT"/>
          <w:szCs w:val="22"/>
          <w:lang w:eastAsia="en-US"/>
        </w:rPr>
        <w:t xml:space="preserve"> </w:t>
      </w:r>
      <w:r w:rsidR="00697EE5">
        <w:rPr>
          <w:rFonts w:ascii="ArialMT" w:eastAsiaTheme="minorHAnsi" w:hAnsi="ArialMT" w:cs="ArialMT"/>
          <w:szCs w:val="22"/>
          <w:lang w:eastAsia="en-US"/>
        </w:rPr>
        <w:t>of</w:t>
      </w:r>
      <w:r w:rsidR="00493EEB">
        <w:rPr>
          <w:rFonts w:ascii="ArialMT" w:eastAsiaTheme="minorHAnsi" w:hAnsi="ArialMT" w:cs="ArialMT"/>
          <w:szCs w:val="22"/>
          <w:lang w:eastAsia="en-US"/>
        </w:rPr>
        <w:t xml:space="preserve"> students</w:t>
      </w:r>
      <w:r w:rsidR="00216306">
        <w:rPr>
          <w:rFonts w:ascii="ArialMT" w:eastAsiaTheme="minorHAnsi" w:hAnsi="ArialMT" w:cs="ArialMT"/>
          <w:szCs w:val="22"/>
          <w:lang w:eastAsia="en-US"/>
        </w:rPr>
        <w:t xml:space="preserve"> </w:t>
      </w:r>
      <w:r w:rsidR="00697EE5">
        <w:rPr>
          <w:rFonts w:ascii="ArialMT" w:eastAsiaTheme="minorHAnsi" w:hAnsi="ArialMT" w:cs="ArialMT"/>
          <w:szCs w:val="22"/>
          <w:lang w:eastAsia="en-US"/>
        </w:rPr>
        <w:t>in relation to</w:t>
      </w:r>
      <w:r w:rsidR="00216306">
        <w:rPr>
          <w:rFonts w:ascii="ArialMT" w:eastAsiaTheme="minorHAnsi" w:hAnsi="ArialMT" w:cs="ArialMT"/>
          <w:szCs w:val="22"/>
          <w:lang w:eastAsia="en-US"/>
        </w:rPr>
        <w:t xml:space="preserve"> </w:t>
      </w:r>
      <w:r>
        <w:rPr>
          <w:rFonts w:ascii="ArialMT" w:eastAsiaTheme="minorHAnsi" w:hAnsi="ArialMT" w:cs="ArialMT"/>
          <w:szCs w:val="22"/>
          <w:lang w:eastAsia="en-US"/>
        </w:rPr>
        <w:t>employability</w:t>
      </w:r>
      <w:r w:rsidR="008A129F">
        <w:rPr>
          <w:rFonts w:ascii="ArialMT" w:eastAsiaTheme="minorHAnsi" w:hAnsi="ArialMT" w:cs="ArialMT"/>
          <w:szCs w:val="22"/>
          <w:lang w:eastAsia="en-US"/>
        </w:rPr>
        <w:t xml:space="preserve"> skills and work options</w:t>
      </w:r>
      <w:r>
        <w:rPr>
          <w:rFonts w:ascii="ArialMT" w:eastAsiaTheme="minorHAnsi" w:hAnsi="ArialMT" w:cs="ArialMT"/>
          <w:szCs w:val="22"/>
          <w:lang w:eastAsia="en-US"/>
        </w:rPr>
        <w:t xml:space="preserve"> needs to take</w:t>
      </w:r>
      <w:r w:rsidR="00697EE5">
        <w:rPr>
          <w:rFonts w:ascii="ArialMT" w:eastAsiaTheme="minorHAnsi" w:hAnsi="ArialMT" w:cs="ArialMT"/>
          <w:szCs w:val="22"/>
          <w:lang w:eastAsia="en-US"/>
        </w:rPr>
        <w:t xml:space="preserve"> into specific consideration</w:t>
      </w:r>
      <w:r w:rsidR="005006D6">
        <w:rPr>
          <w:rFonts w:ascii="ArialMT" w:eastAsiaTheme="minorHAnsi" w:hAnsi="ArialMT" w:cs="ArialMT"/>
          <w:szCs w:val="22"/>
          <w:lang w:eastAsia="en-US"/>
        </w:rPr>
        <w:t xml:space="preserve"> the needs of students with disability</w:t>
      </w:r>
      <w:r w:rsidR="00697EE5">
        <w:rPr>
          <w:rFonts w:ascii="ArialMT" w:eastAsiaTheme="minorHAnsi" w:hAnsi="ArialMT" w:cs="ArialMT"/>
          <w:szCs w:val="22"/>
          <w:lang w:eastAsia="en-US"/>
        </w:rPr>
        <w:t>.</w:t>
      </w:r>
      <w:r>
        <w:rPr>
          <w:rFonts w:ascii="ArialMT" w:eastAsiaTheme="minorHAnsi" w:hAnsi="ArialMT" w:cs="ArialMT"/>
          <w:szCs w:val="22"/>
          <w:lang w:eastAsia="en-US"/>
        </w:rPr>
        <w:t xml:space="preserve"> </w:t>
      </w:r>
      <w:r w:rsidRPr="00E1160B">
        <w:rPr>
          <w:rFonts w:ascii="ArialMT" w:eastAsiaTheme="minorHAnsi" w:hAnsi="ArialMT" w:cs="ArialMT"/>
          <w:szCs w:val="22"/>
          <w:lang w:eastAsia="en-US"/>
        </w:rPr>
        <w:t xml:space="preserve">For this reason, the </w:t>
      </w:r>
      <w:r w:rsidRPr="00E1160B">
        <w:rPr>
          <w:rFonts w:ascii="ArialMT" w:eastAsiaTheme="minorHAnsi" w:hAnsi="ArialMT" w:cs="ArialMT"/>
          <w:i/>
          <w:iCs/>
          <w:szCs w:val="22"/>
          <w:lang w:eastAsia="en-US"/>
        </w:rPr>
        <w:t>Review of</w:t>
      </w:r>
      <w:r>
        <w:rPr>
          <w:rFonts w:ascii="ArialMT" w:eastAsiaTheme="minorHAnsi" w:hAnsi="ArialMT" w:cs="ArialMT"/>
          <w:i/>
          <w:iCs/>
          <w:szCs w:val="22"/>
          <w:lang w:eastAsia="en-US"/>
        </w:rPr>
        <w:t xml:space="preserve"> Senior</w:t>
      </w:r>
      <w:r w:rsidRPr="00E1160B">
        <w:rPr>
          <w:rFonts w:ascii="ArialMT" w:eastAsiaTheme="minorHAnsi" w:hAnsi="ArialMT" w:cs="ArialMT"/>
          <w:i/>
          <w:iCs/>
          <w:szCs w:val="22"/>
          <w:lang w:eastAsia="en-US"/>
        </w:rPr>
        <w:t xml:space="preserve"> Secondary</w:t>
      </w:r>
      <w:r>
        <w:rPr>
          <w:rFonts w:ascii="ArialMT" w:eastAsiaTheme="minorHAnsi" w:hAnsi="ArialMT" w:cs="ArialMT"/>
          <w:i/>
          <w:iCs/>
          <w:szCs w:val="22"/>
          <w:lang w:eastAsia="en-US"/>
        </w:rPr>
        <w:t xml:space="preserve"> Pathways</w:t>
      </w:r>
      <w:r>
        <w:rPr>
          <w:rFonts w:ascii="ArialMT" w:eastAsiaTheme="minorHAnsi" w:hAnsi="ArialMT" w:cs="ArialMT"/>
          <w:szCs w:val="22"/>
          <w:lang w:eastAsia="en-US"/>
        </w:rPr>
        <w:t>’ recommendation on providing both a policy impetus and resourcing</w:t>
      </w:r>
      <w:r w:rsidR="008A129F">
        <w:rPr>
          <w:rFonts w:ascii="ArialMT" w:eastAsiaTheme="minorHAnsi" w:hAnsi="ArialMT" w:cs="ArialMT"/>
          <w:szCs w:val="22"/>
          <w:lang w:eastAsia="en-US"/>
        </w:rPr>
        <w:t xml:space="preserve"> in schools to prepare students with disability </w:t>
      </w:r>
      <w:r>
        <w:rPr>
          <w:rFonts w:ascii="ArialMT" w:eastAsiaTheme="minorHAnsi" w:hAnsi="ArialMT" w:cs="ArialMT"/>
          <w:szCs w:val="22"/>
          <w:lang w:eastAsia="en-US"/>
        </w:rPr>
        <w:t xml:space="preserve">for post-school transition is welcome. Importantly, a similar need exists at the higher education level, and so the NCSEHE recommends that the </w:t>
      </w:r>
      <w:r w:rsidR="00DD5016">
        <w:rPr>
          <w:rFonts w:ascii="ArialMT" w:eastAsiaTheme="minorHAnsi" w:hAnsi="ArialMT" w:cs="ArialMT"/>
          <w:szCs w:val="22"/>
          <w:lang w:eastAsia="en-US"/>
        </w:rPr>
        <w:t xml:space="preserve">current </w:t>
      </w:r>
      <w:r>
        <w:rPr>
          <w:rFonts w:ascii="ArialMT" w:eastAsiaTheme="minorHAnsi" w:hAnsi="ArialMT" w:cs="ArialMT"/>
          <w:szCs w:val="22"/>
          <w:lang w:eastAsia="en-US"/>
        </w:rPr>
        <w:t>Review consider ways in which employability</w:t>
      </w:r>
      <w:r w:rsidR="00BE5604">
        <w:rPr>
          <w:rFonts w:ascii="ArialMT" w:eastAsiaTheme="minorHAnsi" w:hAnsi="ArialMT" w:cs="ArialMT"/>
          <w:szCs w:val="22"/>
          <w:lang w:eastAsia="en-US"/>
        </w:rPr>
        <w:t xml:space="preserve"> skills</w:t>
      </w:r>
      <w:r>
        <w:rPr>
          <w:rFonts w:ascii="ArialMT" w:eastAsiaTheme="minorHAnsi" w:hAnsi="ArialMT" w:cs="ArialMT"/>
          <w:szCs w:val="22"/>
          <w:lang w:eastAsia="en-US"/>
        </w:rPr>
        <w:t xml:space="preserve"> and work </w:t>
      </w:r>
      <w:r w:rsidR="00BE5604">
        <w:rPr>
          <w:rFonts w:ascii="ArialMT" w:eastAsiaTheme="minorHAnsi" w:hAnsi="ArialMT" w:cs="ArialMT"/>
          <w:szCs w:val="22"/>
          <w:lang w:eastAsia="en-US"/>
        </w:rPr>
        <w:t xml:space="preserve">options programs </w:t>
      </w:r>
      <w:r>
        <w:rPr>
          <w:rFonts w:ascii="ArialMT" w:eastAsiaTheme="minorHAnsi" w:hAnsi="ArialMT" w:cs="ArialMT"/>
          <w:szCs w:val="22"/>
          <w:lang w:eastAsia="en-US"/>
        </w:rPr>
        <w:t>can be extended across the educational life cycle.</w:t>
      </w:r>
    </w:p>
    <w:p w14:paraId="40BDAA92" w14:textId="1938916A" w:rsidR="002655C7" w:rsidRDefault="005E04A3" w:rsidP="005E04A3">
      <w:pPr>
        <w:pBdr>
          <w:left w:val="single" w:sz="4" w:space="4" w:color="auto"/>
        </w:pBdr>
        <w:spacing w:after="120" w:line="360" w:lineRule="auto"/>
        <w:ind w:left="720"/>
        <w:rPr>
          <w:rFonts w:eastAsia="Calibri" w:cs="Arial"/>
          <w:color w:val="000000" w:themeColor="text1"/>
          <w:szCs w:val="22"/>
        </w:rPr>
      </w:pPr>
      <w:r w:rsidRPr="005E04A3">
        <w:rPr>
          <w:rFonts w:eastAsia="Calibri" w:cs="Arial"/>
          <w:b/>
          <w:bCs/>
          <w:color w:val="000000" w:themeColor="text1"/>
          <w:szCs w:val="22"/>
        </w:rPr>
        <w:t>Recommendation 10:</w:t>
      </w:r>
      <w:r w:rsidRPr="005E04A3">
        <w:rPr>
          <w:rFonts w:eastAsia="Calibri" w:cs="Arial"/>
          <w:color w:val="000000" w:themeColor="text1"/>
          <w:szCs w:val="22"/>
        </w:rPr>
        <w:t xml:space="preserve"> That the Standards provide clearer guidance on the transition to employment, ensuring students with disability are provided with consistent and relevant guidance on employability skills and work options.</w:t>
      </w:r>
    </w:p>
    <w:p w14:paraId="1F72A498" w14:textId="2C695FFB" w:rsidR="00FA062A" w:rsidRPr="00FA062A" w:rsidRDefault="00FA062A" w:rsidP="005251E8">
      <w:pPr>
        <w:spacing w:after="120" w:line="360" w:lineRule="auto"/>
        <w:rPr>
          <w:rFonts w:eastAsiaTheme="majorEastAsia" w:cs="Arial"/>
          <w:b/>
          <w:bCs/>
          <w:szCs w:val="22"/>
        </w:rPr>
      </w:pPr>
      <w:r w:rsidRPr="00FA062A">
        <w:rPr>
          <w:rFonts w:cs="Arial"/>
          <w:szCs w:val="22"/>
        </w:rPr>
        <w:br w:type="page"/>
      </w:r>
    </w:p>
    <w:p w14:paraId="0F1344E5" w14:textId="5753A88A" w:rsidR="00442A73" w:rsidRDefault="00442A73" w:rsidP="00D03BF8">
      <w:pPr>
        <w:pStyle w:val="Heading1"/>
      </w:pPr>
      <w:bookmarkStart w:id="8" w:name="_Toc57283824"/>
      <w:r w:rsidRPr="00D03BF8">
        <w:lastRenderedPageBreak/>
        <w:t>References</w:t>
      </w:r>
      <w:bookmarkEnd w:id="8"/>
    </w:p>
    <w:p w14:paraId="2BA5C915" w14:textId="50DC9E11" w:rsidR="00A9549B" w:rsidRDefault="00D04BD0" w:rsidP="005A2570">
      <w:pPr>
        <w:spacing w:before="240" w:after="120" w:line="276" w:lineRule="auto"/>
        <w:ind w:left="567" w:hanging="567"/>
        <w:rPr>
          <w:rFonts w:cs="Arial"/>
        </w:rPr>
      </w:pPr>
      <w:r w:rsidRPr="00455FF9">
        <w:rPr>
          <w:rFonts w:cs="Arial"/>
          <w:szCs w:val="22"/>
        </w:rPr>
        <w:t xml:space="preserve">Australian Bureau of Statistics. (2014). </w:t>
      </w:r>
      <w:r w:rsidR="00EC3973" w:rsidRPr="00455FF9">
        <w:rPr>
          <w:rFonts w:cs="Arial"/>
          <w:i/>
          <w:iCs/>
          <w:szCs w:val="22"/>
        </w:rPr>
        <w:t>General Social Survey: Summary Results, Australia</w:t>
      </w:r>
      <w:r w:rsidR="00EC3973" w:rsidRPr="00455FF9">
        <w:rPr>
          <w:rFonts w:cs="Arial"/>
          <w:szCs w:val="22"/>
        </w:rPr>
        <w:t xml:space="preserve">, 2014. Catalogue No. 4159.0. </w:t>
      </w:r>
      <w:r w:rsidR="003B2402" w:rsidRPr="00455FF9">
        <w:rPr>
          <w:rFonts w:cs="Arial"/>
          <w:szCs w:val="22"/>
        </w:rPr>
        <w:t xml:space="preserve">Table 11. Disability. </w:t>
      </w:r>
      <w:hyperlink r:id="rId14" w:tooltip="Australian Bureau of Statistics. (2014). General Social Survey: Summary Results, Australia, 2014. Catalogue No. 4159.0. Table 11. Disability. " w:history="1">
        <w:r w:rsidR="009C71DD" w:rsidRPr="00455FF9">
          <w:rPr>
            <w:rStyle w:val="Hyperlink"/>
            <w:rFonts w:cs="Arial"/>
            <w:szCs w:val="22"/>
          </w:rPr>
          <w:t>https://www.abs.gov.au/AUSSTATS/abs@.nsf/DetailsPage/4159.02014?OpenDocument</w:t>
        </w:r>
      </w:hyperlink>
      <w:r w:rsidR="009C71DD" w:rsidRPr="00455FF9">
        <w:rPr>
          <w:rFonts w:cs="Arial"/>
          <w:szCs w:val="22"/>
        </w:rPr>
        <w:t xml:space="preserve"> </w:t>
      </w:r>
    </w:p>
    <w:p w14:paraId="66E3B272" w14:textId="48419E93" w:rsidR="00A9549B" w:rsidRDefault="00090CC1" w:rsidP="00EC74D7">
      <w:pPr>
        <w:spacing w:after="120" w:line="276" w:lineRule="auto"/>
        <w:ind w:left="567" w:hanging="567"/>
        <w:rPr>
          <w:rFonts w:cs="Arial"/>
        </w:rPr>
      </w:pPr>
      <w:r w:rsidRPr="00455FF9">
        <w:rPr>
          <w:rFonts w:cs="Arial"/>
          <w:szCs w:val="22"/>
        </w:rPr>
        <w:t xml:space="preserve">Brett, M. (2016). Disability and Australian Higher Education. In </w:t>
      </w:r>
      <w:r w:rsidR="001333BF" w:rsidRPr="00455FF9">
        <w:rPr>
          <w:rFonts w:cs="Arial"/>
          <w:szCs w:val="22"/>
        </w:rPr>
        <w:t xml:space="preserve">A. </w:t>
      </w:r>
      <w:r w:rsidRPr="00455FF9">
        <w:rPr>
          <w:rFonts w:cs="Arial"/>
          <w:szCs w:val="22"/>
        </w:rPr>
        <w:t xml:space="preserve">Harvey, </w:t>
      </w:r>
      <w:r w:rsidR="001333BF" w:rsidRPr="00455FF9">
        <w:rPr>
          <w:rFonts w:cs="Arial"/>
          <w:szCs w:val="22"/>
        </w:rPr>
        <w:t xml:space="preserve">C. </w:t>
      </w:r>
      <w:proofErr w:type="spellStart"/>
      <w:r w:rsidRPr="00455FF9">
        <w:rPr>
          <w:rFonts w:cs="Arial"/>
          <w:szCs w:val="22"/>
        </w:rPr>
        <w:t>Burnheim</w:t>
      </w:r>
      <w:proofErr w:type="spellEnd"/>
      <w:r w:rsidR="001333BF" w:rsidRPr="00455FF9">
        <w:rPr>
          <w:rFonts w:cs="Arial"/>
          <w:szCs w:val="22"/>
        </w:rPr>
        <w:t>, &amp;</w:t>
      </w:r>
      <w:r w:rsidRPr="00455FF9">
        <w:rPr>
          <w:rFonts w:cs="Arial"/>
          <w:szCs w:val="22"/>
        </w:rPr>
        <w:t xml:space="preserve"> </w:t>
      </w:r>
      <w:r w:rsidR="001333BF" w:rsidRPr="00455FF9">
        <w:rPr>
          <w:rFonts w:cs="Arial"/>
          <w:szCs w:val="22"/>
        </w:rPr>
        <w:t xml:space="preserve">M. </w:t>
      </w:r>
      <w:r w:rsidRPr="00455FF9">
        <w:rPr>
          <w:rFonts w:cs="Arial"/>
          <w:szCs w:val="22"/>
        </w:rPr>
        <w:t xml:space="preserve">Brett (Eds.), </w:t>
      </w:r>
      <w:r w:rsidRPr="00455FF9">
        <w:rPr>
          <w:rFonts w:cs="Arial"/>
          <w:i/>
          <w:iCs/>
          <w:szCs w:val="22"/>
        </w:rPr>
        <w:t>Student Equity in Australian Higher Education: Twenty-five years of A Fair Chance for All</w:t>
      </w:r>
      <w:r w:rsidR="00D17461">
        <w:rPr>
          <w:rFonts w:cs="Arial"/>
          <w:szCs w:val="22"/>
        </w:rPr>
        <w:t>,</w:t>
      </w:r>
      <w:r w:rsidR="001333BF" w:rsidRPr="00455FF9">
        <w:rPr>
          <w:rFonts w:cs="Arial"/>
          <w:szCs w:val="22"/>
        </w:rPr>
        <w:t xml:space="preserve"> </w:t>
      </w:r>
      <w:r w:rsidR="00D17461">
        <w:rPr>
          <w:rFonts w:cs="Arial"/>
          <w:szCs w:val="22"/>
        </w:rPr>
        <w:t>(</w:t>
      </w:r>
      <w:r w:rsidR="00D17461" w:rsidRPr="00455FF9">
        <w:rPr>
          <w:rFonts w:cs="Arial"/>
          <w:szCs w:val="22"/>
        </w:rPr>
        <w:t>pp. 87–108</w:t>
      </w:r>
      <w:r w:rsidR="00D17461">
        <w:rPr>
          <w:rFonts w:cs="Arial"/>
          <w:szCs w:val="22"/>
        </w:rPr>
        <w:t xml:space="preserve">). </w:t>
      </w:r>
      <w:r w:rsidRPr="00455FF9">
        <w:rPr>
          <w:rFonts w:cs="Arial"/>
          <w:szCs w:val="22"/>
        </w:rPr>
        <w:t>Springer.</w:t>
      </w:r>
      <w:r w:rsidR="00A9549B" w:rsidRPr="00A9549B">
        <w:rPr>
          <w:rFonts w:cs="Arial"/>
        </w:rPr>
        <w:t xml:space="preserve"> </w:t>
      </w:r>
    </w:p>
    <w:p w14:paraId="1A1548D3" w14:textId="77777777" w:rsidR="00A9549B" w:rsidRDefault="009B12E6" w:rsidP="00EC74D7">
      <w:pPr>
        <w:spacing w:after="120" w:line="276" w:lineRule="auto"/>
        <w:ind w:left="567" w:hanging="567"/>
        <w:rPr>
          <w:rFonts w:cs="Arial"/>
        </w:rPr>
      </w:pPr>
      <w:r w:rsidRPr="00455FF9">
        <w:rPr>
          <w:rFonts w:cs="Arial"/>
          <w:szCs w:val="22"/>
        </w:rPr>
        <w:t xml:space="preserve">Brett, M., Harvey, A., Funston, A., Spicer, R. &amp; Wood, A. (2016). </w:t>
      </w:r>
      <w:r w:rsidRPr="00455FF9">
        <w:rPr>
          <w:rFonts w:cs="Arial"/>
          <w:i/>
          <w:iCs/>
          <w:szCs w:val="22"/>
        </w:rPr>
        <w:t>The Role of Inherent Requirement Statements in Australian Universities</w:t>
      </w:r>
      <w:r w:rsidRPr="00455FF9">
        <w:rPr>
          <w:rFonts w:cs="Arial"/>
          <w:szCs w:val="22"/>
        </w:rPr>
        <w:t>. Report submitted to the National Centre for Student Equity in Higher Education (NCSEHE), Curtin University</w:t>
      </w:r>
      <w:r w:rsidR="0061264C">
        <w:rPr>
          <w:rFonts w:cs="Arial"/>
          <w:szCs w:val="22"/>
        </w:rPr>
        <w:t xml:space="preserve">. </w:t>
      </w:r>
      <w:hyperlink r:id="rId15" w:tooltip="Brett, M., Harvey, A., Funston, A., Spicer, R. &amp; Wood, A. (2016). The Role of Inherent Requirement Statements in Australian Universities. Report submitted to the National Centre for Student Equity in Higher Education (NCSEHE), Curtin University. " w:history="1">
        <w:r w:rsidR="00351787" w:rsidRPr="00A72D84">
          <w:rPr>
            <w:rStyle w:val="Hyperlink"/>
            <w:rFonts w:cs="Arial"/>
            <w:szCs w:val="22"/>
          </w:rPr>
          <w:t>https://www.ncsehe.edu.au/publications/the-role-of-inherent-requirement-statements-in-australian-universities/</w:t>
        </w:r>
      </w:hyperlink>
      <w:r w:rsidR="00351787">
        <w:rPr>
          <w:rFonts w:cs="Arial"/>
          <w:szCs w:val="22"/>
        </w:rPr>
        <w:t xml:space="preserve"> </w:t>
      </w:r>
    </w:p>
    <w:p w14:paraId="0D56B585" w14:textId="77777777" w:rsidR="00A9549B" w:rsidRDefault="00234383" w:rsidP="00EC74D7">
      <w:pPr>
        <w:spacing w:after="120" w:line="276" w:lineRule="auto"/>
        <w:ind w:left="567" w:hanging="567"/>
        <w:rPr>
          <w:rFonts w:cs="Arial"/>
        </w:rPr>
      </w:pPr>
      <w:r w:rsidRPr="00455FF9">
        <w:rPr>
          <w:rFonts w:cs="Arial"/>
          <w:szCs w:val="22"/>
        </w:rPr>
        <w:t xml:space="preserve">Commonwealth of Australia (2020). Disability Code. TCSI: Tertiary Collection of Student Information website. </w:t>
      </w:r>
      <w:hyperlink r:id="rId16" w:tooltip="Commonwealth of Australia (2020). Disability Code. TCSI: Tertiary Collection of Student Information website" w:history="1">
        <w:r w:rsidRPr="00455FF9">
          <w:rPr>
            <w:rStyle w:val="Hyperlink"/>
            <w:rFonts w:cs="Arial"/>
            <w:szCs w:val="22"/>
          </w:rPr>
          <w:t>https://www.tcsisupport.gov.au/element/615</w:t>
        </w:r>
      </w:hyperlink>
      <w:r w:rsidRPr="00455FF9">
        <w:rPr>
          <w:rFonts w:cs="Arial"/>
          <w:szCs w:val="22"/>
        </w:rPr>
        <w:t xml:space="preserve"> </w:t>
      </w:r>
    </w:p>
    <w:p w14:paraId="28B0FC47" w14:textId="77777777" w:rsidR="00A9549B" w:rsidRDefault="00172AAE" w:rsidP="00EC74D7">
      <w:pPr>
        <w:spacing w:after="120" w:line="276" w:lineRule="auto"/>
        <w:ind w:left="567" w:hanging="567"/>
        <w:rPr>
          <w:rFonts w:cs="Arial"/>
        </w:rPr>
      </w:pPr>
      <w:r w:rsidRPr="00455FF9">
        <w:rPr>
          <w:rFonts w:cs="Arial"/>
          <w:szCs w:val="22"/>
        </w:rPr>
        <w:t xml:space="preserve">Department of Education, Skills and Employment. (2020). </w:t>
      </w:r>
      <w:r w:rsidRPr="00455FF9">
        <w:rPr>
          <w:rFonts w:cs="Arial"/>
          <w:i/>
          <w:iCs/>
          <w:szCs w:val="22"/>
        </w:rPr>
        <w:t>Higher Education</w:t>
      </w:r>
      <w:r>
        <w:rPr>
          <w:rFonts w:cs="Arial"/>
          <w:i/>
          <w:iCs/>
          <w:szCs w:val="22"/>
        </w:rPr>
        <w:t xml:space="preserve"> Disability Support Program</w:t>
      </w:r>
      <w:r w:rsidRPr="00455FF9">
        <w:rPr>
          <w:rFonts w:cs="Arial"/>
          <w:szCs w:val="22"/>
        </w:rPr>
        <w:t xml:space="preserve">. </w:t>
      </w:r>
      <w:hyperlink r:id="rId17" w:tooltip="Commonwealth of Australia (2020). Disability Code. TCSI: Tertiary Collection of Student Information website" w:history="1">
        <w:r w:rsidR="00345DA9" w:rsidRPr="006E5CD1">
          <w:rPr>
            <w:rStyle w:val="Hyperlink"/>
            <w:rFonts w:cs="Arial"/>
            <w:szCs w:val="22"/>
          </w:rPr>
          <w:t>https://www.education.gov.au/higher-education-disability-support-programme</w:t>
        </w:r>
      </w:hyperlink>
      <w:r w:rsidR="00345DA9">
        <w:rPr>
          <w:rFonts w:cs="Arial"/>
          <w:szCs w:val="22"/>
        </w:rPr>
        <w:t xml:space="preserve"> </w:t>
      </w:r>
    </w:p>
    <w:p w14:paraId="5712D6DC" w14:textId="4E455B50" w:rsidR="00A9549B" w:rsidRDefault="00347D56" w:rsidP="00EC74D7">
      <w:pPr>
        <w:spacing w:after="120" w:line="276" w:lineRule="auto"/>
        <w:ind w:left="567" w:hanging="567"/>
        <w:rPr>
          <w:rFonts w:cs="Arial"/>
          <w:szCs w:val="22"/>
        </w:rPr>
      </w:pPr>
      <w:r w:rsidRPr="00455FF9">
        <w:rPr>
          <w:rFonts w:cs="Arial"/>
          <w:szCs w:val="22"/>
        </w:rPr>
        <w:t xml:space="preserve">Department of Education and Training. (2015). </w:t>
      </w:r>
      <w:r w:rsidRPr="00455FF9">
        <w:rPr>
          <w:rFonts w:cs="Arial"/>
          <w:i/>
          <w:iCs/>
          <w:szCs w:val="22"/>
        </w:rPr>
        <w:t>Australian Government Initial Response to the 2015 Review of the Disability Standards</w:t>
      </w:r>
      <w:r w:rsidR="003D3676" w:rsidRPr="00455FF9">
        <w:rPr>
          <w:rFonts w:cs="Arial"/>
          <w:i/>
          <w:iCs/>
          <w:szCs w:val="22"/>
        </w:rPr>
        <w:t xml:space="preserve"> 2005. </w:t>
      </w:r>
      <w:hyperlink r:id="rId18" w:tooltip="Department of Education and Training. (2015). Australian Government Initial Response to the 2015 Review of the Disability Standards 2005. " w:history="1">
        <w:r w:rsidR="00CE14CF" w:rsidRPr="00455FF9">
          <w:rPr>
            <w:rStyle w:val="Hyperlink"/>
            <w:rFonts w:cs="Arial"/>
            <w:szCs w:val="22"/>
          </w:rPr>
          <w:t>https://docs.education.gov.au/documents/australian-government-initial-response-2015-review-disability-standards-education-2005</w:t>
        </w:r>
      </w:hyperlink>
      <w:r w:rsidR="00CE14CF" w:rsidRPr="00455FF9">
        <w:rPr>
          <w:rFonts w:cs="Arial"/>
          <w:szCs w:val="22"/>
        </w:rPr>
        <w:t xml:space="preserve"> </w:t>
      </w:r>
    </w:p>
    <w:p w14:paraId="6858D572" w14:textId="22ED8C3A" w:rsidR="005E6FD8" w:rsidRDefault="005E6FD8" w:rsidP="00EC74D7">
      <w:pPr>
        <w:spacing w:after="120" w:line="276" w:lineRule="auto"/>
        <w:ind w:left="567" w:hanging="567"/>
        <w:rPr>
          <w:rFonts w:cs="Arial"/>
          <w:szCs w:val="22"/>
        </w:rPr>
      </w:pPr>
      <w:r w:rsidRPr="00455FF9">
        <w:rPr>
          <w:rFonts w:cs="Arial"/>
          <w:szCs w:val="22"/>
        </w:rPr>
        <w:t xml:space="preserve">Department of </w:t>
      </w:r>
      <w:r>
        <w:rPr>
          <w:rFonts w:cs="Arial"/>
          <w:szCs w:val="22"/>
        </w:rPr>
        <w:t>Social Services</w:t>
      </w:r>
      <w:r w:rsidRPr="00455FF9">
        <w:rPr>
          <w:rFonts w:cs="Arial"/>
          <w:szCs w:val="22"/>
        </w:rPr>
        <w:t>. (</w:t>
      </w:r>
      <w:r>
        <w:rPr>
          <w:rFonts w:cs="Arial"/>
          <w:szCs w:val="22"/>
        </w:rPr>
        <w:t>2020</w:t>
      </w:r>
      <w:r w:rsidRPr="00455FF9">
        <w:rPr>
          <w:rFonts w:cs="Arial"/>
          <w:szCs w:val="22"/>
        </w:rPr>
        <w:t xml:space="preserve">). </w:t>
      </w:r>
      <w:r>
        <w:rPr>
          <w:rFonts w:cs="Arial"/>
          <w:i/>
          <w:iCs/>
          <w:szCs w:val="22"/>
        </w:rPr>
        <w:t>National Disability Strategy: Position Paper</w:t>
      </w:r>
      <w:r w:rsidRPr="00455FF9">
        <w:rPr>
          <w:rFonts w:cs="Arial"/>
          <w:szCs w:val="22"/>
        </w:rPr>
        <w:t>.</w:t>
      </w:r>
      <w:r>
        <w:rPr>
          <w:rFonts w:cs="Arial"/>
          <w:szCs w:val="22"/>
        </w:rPr>
        <w:t xml:space="preserve"> </w:t>
      </w:r>
      <w:hyperlink r:id="rId19" w:tooltip="Department of Social Services. (2020). National Disability Strategy: Position Paper. " w:history="1">
        <w:r w:rsidRPr="005E6FD8">
          <w:rPr>
            <w:rStyle w:val="Hyperlink"/>
            <w:rFonts w:cs="Arial"/>
            <w:szCs w:val="22"/>
          </w:rPr>
          <w:t>https://engage.dss.gov.au/nds-stage2-consultation/national-disability-strategy-position-paper/</w:t>
        </w:r>
      </w:hyperlink>
    </w:p>
    <w:p w14:paraId="3E1B0D78" w14:textId="60E911B2" w:rsidR="00A9549B" w:rsidRDefault="00C8283E" w:rsidP="00EC74D7">
      <w:pPr>
        <w:spacing w:after="120" w:line="276" w:lineRule="auto"/>
        <w:ind w:left="567" w:hanging="567"/>
        <w:rPr>
          <w:rFonts w:cs="Arial"/>
        </w:rPr>
      </w:pPr>
      <w:r w:rsidRPr="00382F82">
        <w:rPr>
          <w:rFonts w:cs="Arial"/>
          <w:szCs w:val="22"/>
        </w:rPr>
        <w:t xml:space="preserve">Education Services Australia. (2020). </w:t>
      </w:r>
      <w:r w:rsidRPr="00382F82">
        <w:rPr>
          <w:rFonts w:cs="Arial"/>
          <w:i/>
          <w:iCs/>
          <w:szCs w:val="22"/>
        </w:rPr>
        <w:t xml:space="preserve">Looking to the </w:t>
      </w:r>
      <w:r w:rsidR="008856F4" w:rsidRPr="00382F82">
        <w:rPr>
          <w:rFonts w:cs="Arial"/>
          <w:i/>
          <w:iCs/>
          <w:szCs w:val="22"/>
        </w:rPr>
        <w:t>F</w:t>
      </w:r>
      <w:r w:rsidRPr="00382F82">
        <w:rPr>
          <w:rFonts w:cs="Arial"/>
          <w:i/>
          <w:iCs/>
          <w:szCs w:val="22"/>
        </w:rPr>
        <w:t>uture</w:t>
      </w:r>
      <w:r w:rsidR="008856F4" w:rsidRPr="00382F82">
        <w:rPr>
          <w:rFonts w:cs="Arial"/>
          <w:i/>
          <w:iCs/>
          <w:szCs w:val="22"/>
        </w:rPr>
        <w:t>:</w:t>
      </w:r>
      <w:r w:rsidRPr="00382F82">
        <w:rPr>
          <w:rFonts w:cs="Arial"/>
          <w:i/>
          <w:iCs/>
          <w:szCs w:val="22"/>
        </w:rPr>
        <w:t xml:space="preserve"> Report of the </w:t>
      </w:r>
      <w:r w:rsidR="008856F4" w:rsidRPr="00382F82">
        <w:rPr>
          <w:rFonts w:cs="Arial"/>
          <w:i/>
          <w:iCs/>
          <w:szCs w:val="22"/>
        </w:rPr>
        <w:t>R</w:t>
      </w:r>
      <w:r w:rsidRPr="00382F82">
        <w:rPr>
          <w:rFonts w:cs="Arial"/>
          <w:i/>
          <w:iCs/>
          <w:szCs w:val="22"/>
        </w:rPr>
        <w:t xml:space="preserve">eview of </w:t>
      </w:r>
      <w:r w:rsidR="008856F4" w:rsidRPr="00382F82">
        <w:rPr>
          <w:rFonts w:cs="Arial"/>
          <w:i/>
          <w:iCs/>
          <w:szCs w:val="22"/>
        </w:rPr>
        <w:t>S</w:t>
      </w:r>
      <w:r w:rsidRPr="00382F82">
        <w:rPr>
          <w:rFonts w:cs="Arial"/>
          <w:i/>
          <w:iCs/>
          <w:szCs w:val="22"/>
        </w:rPr>
        <w:t xml:space="preserve">enior </w:t>
      </w:r>
      <w:r w:rsidR="008856F4" w:rsidRPr="00382F82">
        <w:rPr>
          <w:rFonts w:cs="Arial"/>
          <w:i/>
          <w:iCs/>
          <w:szCs w:val="22"/>
        </w:rPr>
        <w:t>S</w:t>
      </w:r>
      <w:r w:rsidRPr="00382F82">
        <w:rPr>
          <w:rFonts w:cs="Arial"/>
          <w:i/>
          <w:iCs/>
          <w:szCs w:val="22"/>
        </w:rPr>
        <w:t xml:space="preserve">econdary </w:t>
      </w:r>
      <w:r w:rsidR="00BE3EB1" w:rsidRPr="00382F82">
        <w:rPr>
          <w:rFonts w:cs="Arial"/>
          <w:i/>
          <w:iCs/>
          <w:szCs w:val="22"/>
        </w:rPr>
        <w:t>P</w:t>
      </w:r>
      <w:r w:rsidRPr="00382F82">
        <w:rPr>
          <w:rFonts w:cs="Arial"/>
          <w:i/>
          <w:iCs/>
          <w:szCs w:val="22"/>
        </w:rPr>
        <w:t xml:space="preserve">athways into </w:t>
      </w:r>
      <w:r w:rsidR="00BE3EB1" w:rsidRPr="00382F82">
        <w:rPr>
          <w:rFonts w:cs="Arial"/>
          <w:i/>
          <w:iCs/>
          <w:szCs w:val="22"/>
        </w:rPr>
        <w:t>W</w:t>
      </w:r>
      <w:r w:rsidRPr="00382F82">
        <w:rPr>
          <w:rFonts w:cs="Arial"/>
          <w:i/>
          <w:iCs/>
          <w:szCs w:val="22"/>
        </w:rPr>
        <w:t xml:space="preserve">ork, </w:t>
      </w:r>
      <w:r w:rsidR="00BE3EB1" w:rsidRPr="00382F82">
        <w:rPr>
          <w:rFonts w:cs="Arial"/>
          <w:i/>
          <w:iCs/>
          <w:szCs w:val="22"/>
        </w:rPr>
        <w:t>F</w:t>
      </w:r>
      <w:r w:rsidRPr="00382F82">
        <w:rPr>
          <w:rFonts w:cs="Arial"/>
          <w:i/>
          <w:iCs/>
          <w:szCs w:val="22"/>
        </w:rPr>
        <w:t xml:space="preserve">urther </w:t>
      </w:r>
      <w:r w:rsidR="00BE3EB1" w:rsidRPr="00382F82">
        <w:rPr>
          <w:rFonts w:cs="Arial"/>
          <w:i/>
          <w:iCs/>
          <w:szCs w:val="22"/>
        </w:rPr>
        <w:t>E</w:t>
      </w:r>
      <w:r w:rsidRPr="00382F82">
        <w:rPr>
          <w:rFonts w:cs="Arial"/>
          <w:i/>
          <w:iCs/>
          <w:szCs w:val="22"/>
        </w:rPr>
        <w:t xml:space="preserve">ducation and </w:t>
      </w:r>
      <w:r w:rsidR="00BE3EB1" w:rsidRPr="00382F82">
        <w:rPr>
          <w:rFonts w:cs="Arial"/>
          <w:i/>
          <w:iCs/>
          <w:szCs w:val="22"/>
        </w:rPr>
        <w:t>T</w:t>
      </w:r>
      <w:r w:rsidRPr="00382F82">
        <w:rPr>
          <w:rFonts w:cs="Arial"/>
          <w:i/>
          <w:iCs/>
          <w:szCs w:val="22"/>
        </w:rPr>
        <w:t>raining</w:t>
      </w:r>
      <w:r w:rsidRPr="00382F82">
        <w:rPr>
          <w:rFonts w:cs="Arial"/>
          <w:szCs w:val="22"/>
        </w:rPr>
        <w:t xml:space="preserve">. </w:t>
      </w:r>
      <w:r w:rsidR="0054364A" w:rsidRPr="00382F82">
        <w:rPr>
          <w:rFonts w:cs="Arial"/>
          <w:szCs w:val="22"/>
        </w:rPr>
        <w:t>Education Services Australia (Education Council</w:t>
      </w:r>
      <w:r w:rsidR="00847A53" w:rsidRPr="00382F82">
        <w:rPr>
          <w:rFonts w:cs="Arial"/>
          <w:szCs w:val="22"/>
        </w:rPr>
        <w:t>)</w:t>
      </w:r>
      <w:r w:rsidR="0061264C">
        <w:rPr>
          <w:rFonts w:cs="Arial"/>
          <w:szCs w:val="22"/>
        </w:rPr>
        <w:t xml:space="preserve">. </w:t>
      </w:r>
      <w:hyperlink r:id="rId20" w:tooltip="Education Services Australia. (2020). Looking to the Future: Report of the Review of Senior Secondary Pathways into Work, Further Education and Training. Education Services Australia (Education Council). " w:history="1">
        <w:r w:rsidR="001236F5" w:rsidRPr="00382F82">
          <w:rPr>
            <w:rStyle w:val="Hyperlink"/>
            <w:rFonts w:cs="Arial"/>
            <w:szCs w:val="22"/>
          </w:rPr>
          <w:t>https://uploadstorage.blob.core.windows.net/public-assets/education-au/pathways/Final%20report%20-%2018%20June.pdf</w:t>
        </w:r>
      </w:hyperlink>
      <w:r w:rsidR="001236F5" w:rsidRPr="00455FF9">
        <w:rPr>
          <w:rFonts w:cs="Arial"/>
          <w:szCs w:val="22"/>
        </w:rPr>
        <w:t xml:space="preserve"> </w:t>
      </w:r>
    </w:p>
    <w:p w14:paraId="19728A23" w14:textId="77777777" w:rsidR="00A9549B" w:rsidRDefault="002F1315" w:rsidP="00EC74D7">
      <w:pPr>
        <w:spacing w:after="120" w:line="276" w:lineRule="auto"/>
        <w:ind w:left="567" w:hanging="567"/>
        <w:rPr>
          <w:rFonts w:cs="Arial"/>
        </w:rPr>
      </w:pPr>
      <w:r w:rsidRPr="00455FF9">
        <w:rPr>
          <w:rFonts w:cs="Arial"/>
          <w:szCs w:val="22"/>
        </w:rPr>
        <w:t xml:space="preserve">Higher Education Information Management System. (2020). </w:t>
      </w:r>
      <w:r w:rsidRPr="00455FF9">
        <w:rPr>
          <w:rFonts w:cs="Arial"/>
          <w:i/>
          <w:iCs/>
          <w:szCs w:val="22"/>
        </w:rPr>
        <w:t>2020 Higher Education Data Collection</w:t>
      </w:r>
      <w:r w:rsidRPr="00455FF9">
        <w:rPr>
          <w:rFonts w:cs="Arial"/>
          <w:szCs w:val="22"/>
        </w:rPr>
        <w:t>. Element Dictionary.</w:t>
      </w:r>
      <w:r w:rsidR="00092A80" w:rsidRPr="00455FF9">
        <w:rPr>
          <w:rFonts w:cs="Arial"/>
          <w:szCs w:val="22"/>
        </w:rPr>
        <w:t xml:space="preserve"> Element No. 386 (Disability). </w:t>
      </w:r>
      <w:hyperlink r:id="rId21" w:tooltip="Higher Education Information Management System. (2020). 2020 Higher Education Data Collection. Element Dictionary. Element No. 386 (Disability). " w:history="1">
        <w:r w:rsidRPr="00455FF9">
          <w:rPr>
            <w:rStyle w:val="Hyperlink"/>
            <w:rFonts w:cs="Arial"/>
            <w:szCs w:val="22"/>
          </w:rPr>
          <w:t>https://heimshelp.education.gov.au/sites/default/files/2020-he-data-element-dictionary.pdf?v=1593405978</w:t>
        </w:r>
      </w:hyperlink>
      <w:r w:rsidRPr="00455FF9">
        <w:rPr>
          <w:rFonts w:cs="Arial"/>
          <w:szCs w:val="22"/>
        </w:rPr>
        <w:t xml:space="preserve"> </w:t>
      </w:r>
    </w:p>
    <w:p w14:paraId="7C1828BE" w14:textId="7F1666CC" w:rsidR="002772DE" w:rsidRPr="00455FF9" w:rsidRDefault="002772DE" w:rsidP="00EC74D7">
      <w:pPr>
        <w:spacing w:after="120" w:line="276" w:lineRule="auto"/>
        <w:ind w:left="567" w:hanging="567"/>
        <w:rPr>
          <w:rFonts w:cs="Arial"/>
          <w:i/>
          <w:iCs/>
          <w:szCs w:val="22"/>
        </w:rPr>
      </w:pPr>
      <w:r w:rsidRPr="00455FF9">
        <w:rPr>
          <w:rFonts w:cs="Arial"/>
          <w:szCs w:val="22"/>
        </w:rPr>
        <w:t xml:space="preserve">National Centre for Student Equity in Higher Education. (2016). </w:t>
      </w:r>
      <w:r w:rsidRPr="00455FF9">
        <w:rPr>
          <w:rFonts w:cs="Arial"/>
          <w:i/>
          <w:iCs/>
          <w:szCs w:val="22"/>
        </w:rPr>
        <w:t xml:space="preserve">Submission to Higher Education Standards Panel </w:t>
      </w:r>
      <w:r w:rsidRPr="00455FF9">
        <w:rPr>
          <w:rFonts w:cs="Arial"/>
          <w:szCs w:val="22"/>
        </w:rPr>
        <w:t>Review of Transparency of Higher Education Admissions Processes.</w:t>
      </w:r>
    </w:p>
    <w:p w14:paraId="4FAC33F4" w14:textId="77777777" w:rsidR="00A9549B" w:rsidRDefault="002772DE" w:rsidP="00EC74D7">
      <w:pPr>
        <w:spacing w:after="120" w:line="276" w:lineRule="auto"/>
        <w:ind w:left="567"/>
        <w:rPr>
          <w:rFonts w:cs="Arial"/>
        </w:rPr>
      </w:pPr>
      <w:r w:rsidRPr="00455FF9">
        <w:rPr>
          <w:rFonts w:cs="Arial"/>
          <w:szCs w:val="22"/>
        </w:rPr>
        <w:t xml:space="preserve">National Centre for Student Equity in Higher Education (NCSEHE), Curtin University. </w:t>
      </w:r>
    </w:p>
    <w:p w14:paraId="2A7138DC" w14:textId="77777777" w:rsidR="00A9549B" w:rsidRDefault="00BB41AA" w:rsidP="00EC74D7">
      <w:pPr>
        <w:spacing w:after="120" w:line="276" w:lineRule="auto"/>
        <w:ind w:left="567" w:hanging="567"/>
        <w:rPr>
          <w:rFonts w:cs="Arial"/>
        </w:rPr>
      </w:pPr>
      <w:r>
        <w:rPr>
          <w:rFonts w:cs="Arial"/>
          <w:szCs w:val="22"/>
        </w:rPr>
        <w:t xml:space="preserve">National Centre for Student Equity in Higher Education. (2020a). </w:t>
      </w:r>
      <w:r w:rsidR="00262DF2">
        <w:rPr>
          <w:rFonts w:cs="Arial"/>
          <w:i/>
          <w:iCs/>
          <w:szCs w:val="22"/>
        </w:rPr>
        <w:t>Discussion Paper</w:t>
      </w:r>
      <w:r>
        <w:rPr>
          <w:rFonts w:cs="Arial"/>
          <w:i/>
          <w:iCs/>
          <w:szCs w:val="22"/>
        </w:rPr>
        <w:t xml:space="preserve"> </w:t>
      </w:r>
      <w:r w:rsidR="00262DF2">
        <w:rPr>
          <w:rFonts w:cs="Arial"/>
          <w:i/>
          <w:iCs/>
          <w:szCs w:val="22"/>
        </w:rPr>
        <w:t>on</w:t>
      </w:r>
      <w:r>
        <w:rPr>
          <w:rFonts w:cs="Arial"/>
          <w:i/>
          <w:iCs/>
          <w:szCs w:val="22"/>
        </w:rPr>
        <w:t xml:space="preserve"> the 2020 Review of the Disability Standards for Education 2005</w:t>
      </w:r>
      <w:r>
        <w:rPr>
          <w:rFonts w:cs="Arial"/>
          <w:szCs w:val="22"/>
        </w:rPr>
        <w:t xml:space="preserve">. National Centre for Student Equity in Higher Education (NCSEHE), Curtin University. </w:t>
      </w:r>
    </w:p>
    <w:p w14:paraId="0368229B" w14:textId="77777777" w:rsidR="00A9549B" w:rsidRDefault="000663AD" w:rsidP="00EC74D7">
      <w:pPr>
        <w:spacing w:after="120" w:line="276" w:lineRule="auto"/>
        <w:ind w:left="567" w:hanging="567"/>
        <w:rPr>
          <w:rFonts w:cs="Arial"/>
        </w:rPr>
      </w:pPr>
      <w:r w:rsidRPr="106A0044">
        <w:rPr>
          <w:rFonts w:cs="Arial"/>
          <w:szCs w:val="22"/>
        </w:rPr>
        <w:t>National Centre for Student Equity in Higher Education. (2020</w:t>
      </w:r>
      <w:r w:rsidR="00BB41AA" w:rsidRPr="106A0044">
        <w:rPr>
          <w:rFonts w:cs="Arial"/>
          <w:szCs w:val="22"/>
        </w:rPr>
        <w:t>b</w:t>
      </w:r>
      <w:r w:rsidRPr="106A0044">
        <w:rPr>
          <w:rFonts w:cs="Arial"/>
          <w:szCs w:val="22"/>
        </w:rPr>
        <w:t xml:space="preserve">). </w:t>
      </w:r>
      <w:r w:rsidRPr="106A0044">
        <w:rPr>
          <w:rFonts w:cs="Arial"/>
          <w:i/>
          <w:iCs/>
          <w:szCs w:val="22"/>
        </w:rPr>
        <w:t>Submission to the Job-ready Graduates Package draft legislation consultation</w:t>
      </w:r>
      <w:r w:rsidRPr="106A0044">
        <w:rPr>
          <w:rFonts w:cs="Arial"/>
          <w:szCs w:val="22"/>
        </w:rPr>
        <w:t xml:space="preserve">. National Centre for Student Equity in Higher Education (NCSEHE), Curtin University. </w:t>
      </w:r>
    </w:p>
    <w:p w14:paraId="6C742369" w14:textId="6FA63843" w:rsidR="00A9549B" w:rsidRPr="00411340" w:rsidRDefault="00431407" w:rsidP="00EC74D7">
      <w:pPr>
        <w:spacing w:after="120" w:line="276" w:lineRule="auto"/>
        <w:ind w:left="567" w:hanging="567"/>
        <w:rPr>
          <w:rStyle w:val="Hyperlink"/>
          <w:rFonts w:cs="Arial"/>
          <w:szCs w:val="22"/>
          <w:shd w:val="clear" w:color="auto" w:fill="FFFFFF"/>
        </w:rPr>
      </w:pPr>
      <w:r w:rsidRPr="00455FF9">
        <w:rPr>
          <w:rFonts w:cs="Arial"/>
          <w:color w:val="292929"/>
          <w:szCs w:val="22"/>
          <w:shd w:val="clear" w:color="auto" w:fill="FFFFFF"/>
        </w:rPr>
        <w:lastRenderedPageBreak/>
        <w:t xml:space="preserve">Naylor, R., &amp; Mifsud, N. (2019). </w:t>
      </w:r>
      <w:r w:rsidRPr="00455FF9">
        <w:rPr>
          <w:rFonts w:cs="Arial"/>
          <w:i/>
          <w:iCs/>
          <w:szCs w:val="22"/>
        </w:rPr>
        <w:t xml:space="preserve">Structural inequality in higher education: Creating institutional cultures that enable all students. </w:t>
      </w:r>
      <w:r w:rsidRPr="00455FF9">
        <w:rPr>
          <w:rFonts w:cs="Arial"/>
          <w:szCs w:val="22"/>
        </w:rPr>
        <w:t xml:space="preserve">National Centre for Student Equity in Higher Education (NCSEHE), Curtin University. </w:t>
      </w:r>
      <w:r w:rsidR="00411340">
        <w:rPr>
          <w:rFonts w:cs="Arial"/>
          <w:szCs w:val="22"/>
        </w:rPr>
        <w:br/>
      </w:r>
      <w:r w:rsidRPr="00411340">
        <w:rPr>
          <w:rStyle w:val="Hyperlink"/>
          <w:rFonts w:cs="Arial"/>
          <w:szCs w:val="22"/>
          <w:shd w:val="clear" w:color="auto" w:fill="FFFFFF"/>
        </w:rPr>
        <w:t xml:space="preserve">https://www.ncsehe.edu.au/wp-content/uploads/2019/09/NaylorMifsud-FINAL.pdf </w:t>
      </w:r>
    </w:p>
    <w:p w14:paraId="167CA3DE" w14:textId="77777777" w:rsidR="00A9549B" w:rsidRDefault="00567813" w:rsidP="00EC74D7">
      <w:pPr>
        <w:spacing w:after="120" w:line="276" w:lineRule="auto"/>
        <w:ind w:left="567" w:hanging="567"/>
        <w:rPr>
          <w:rFonts w:cs="Arial"/>
        </w:rPr>
      </w:pPr>
      <w:proofErr w:type="spellStart"/>
      <w:r w:rsidRPr="00455FF9">
        <w:rPr>
          <w:rFonts w:cs="Arial"/>
          <w:color w:val="292929"/>
          <w:szCs w:val="22"/>
          <w:bdr w:val="none" w:sz="0" w:space="0" w:color="auto" w:frame="1"/>
          <w:shd w:val="clear" w:color="auto" w:fill="FFFFFF"/>
        </w:rPr>
        <w:t>Orygen</w:t>
      </w:r>
      <w:proofErr w:type="spellEnd"/>
      <w:r w:rsidRPr="00455FF9">
        <w:rPr>
          <w:rFonts w:cs="Arial"/>
          <w:color w:val="292929"/>
          <w:szCs w:val="22"/>
          <w:bdr w:val="none" w:sz="0" w:space="0" w:color="auto" w:frame="1"/>
          <w:shd w:val="clear" w:color="auto" w:fill="FFFFFF"/>
        </w:rPr>
        <w:t xml:space="preserve">. (2020). </w:t>
      </w:r>
      <w:r w:rsidR="00954A36" w:rsidRPr="00455FF9">
        <w:rPr>
          <w:rFonts w:cs="Arial"/>
          <w:i/>
          <w:iCs/>
          <w:color w:val="292929"/>
          <w:szCs w:val="22"/>
          <w:bdr w:val="none" w:sz="0" w:space="0" w:color="auto" w:frame="1"/>
          <w:shd w:val="clear" w:color="auto" w:fill="FFFFFF"/>
        </w:rPr>
        <w:t>Australian University Mental Health Framework</w:t>
      </w:r>
      <w:r w:rsidR="00954A36" w:rsidRPr="00455FF9">
        <w:rPr>
          <w:rFonts w:cs="Arial"/>
          <w:color w:val="292929"/>
          <w:szCs w:val="22"/>
          <w:bdr w:val="none" w:sz="0" w:space="0" w:color="auto" w:frame="1"/>
          <w:shd w:val="clear" w:color="auto" w:fill="FFFFFF"/>
        </w:rPr>
        <w:t xml:space="preserve">. </w:t>
      </w:r>
      <w:hyperlink r:id="rId22" w:tooltip="Orygen. (2020). Australian University Mental Health Framework" w:history="1">
        <w:r w:rsidR="00954A36" w:rsidRPr="00455FF9">
          <w:rPr>
            <w:rStyle w:val="Hyperlink"/>
            <w:rFonts w:cs="Arial"/>
            <w:szCs w:val="22"/>
            <w:bdr w:val="none" w:sz="0" w:space="0" w:color="auto" w:frame="1"/>
            <w:shd w:val="clear" w:color="auto" w:fill="FFFFFF"/>
          </w:rPr>
          <w:t>www.orygen.org.au</w:t>
        </w:r>
      </w:hyperlink>
      <w:r w:rsidR="00954A36" w:rsidRPr="00455FF9">
        <w:rPr>
          <w:rFonts w:cs="Arial"/>
          <w:color w:val="292929"/>
          <w:szCs w:val="22"/>
          <w:bdr w:val="none" w:sz="0" w:space="0" w:color="auto" w:frame="1"/>
          <w:shd w:val="clear" w:color="auto" w:fill="FFFFFF"/>
        </w:rPr>
        <w:t xml:space="preserve">. </w:t>
      </w:r>
    </w:p>
    <w:p w14:paraId="73E0552A" w14:textId="003020B3" w:rsidR="00A9549B" w:rsidRDefault="001E0949" w:rsidP="00EC74D7">
      <w:pPr>
        <w:spacing w:after="120" w:line="276" w:lineRule="auto"/>
        <w:ind w:left="567" w:hanging="567"/>
        <w:rPr>
          <w:rFonts w:cs="Arial"/>
        </w:rPr>
      </w:pPr>
      <w:r w:rsidRPr="00455FF9">
        <w:rPr>
          <w:rFonts w:cs="Arial"/>
          <w:color w:val="292929"/>
          <w:szCs w:val="22"/>
          <w:shd w:val="clear" w:color="auto" w:fill="FFFFFF"/>
        </w:rPr>
        <w:t xml:space="preserve">Quality Indicators for Learning and Teaching. (2020). </w:t>
      </w:r>
      <w:r w:rsidRPr="00455FF9">
        <w:rPr>
          <w:rFonts w:cs="Arial"/>
          <w:i/>
          <w:iCs/>
          <w:color w:val="292929"/>
          <w:szCs w:val="22"/>
          <w:shd w:val="clear" w:color="auto" w:fill="FFFFFF"/>
        </w:rPr>
        <w:t>QILT 2020 GOS-L National Tables,</w:t>
      </w:r>
      <w:r w:rsidRPr="00455FF9">
        <w:rPr>
          <w:rFonts w:cs="Arial"/>
          <w:color w:val="292929"/>
          <w:szCs w:val="22"/>
          <w:shd w:val="clear" w:color="auto" w:fill="FFFFFF"/>
        </w:rPr>
        <w:t xml:space="preserve"> </w:t>
      </w:r>
      <w:hyperlink r:id="rId23" w:tooltip="Quality Indicators for Learning and Teaching. (2020). QILT 2020 GOS-L National Tables, " w:history="1">
        <w:r w:rsidR="007B0916" w:rsidRPr="00455FF9">
          <w:rPr>
            <w:rStyle w:val="Hyperlink"/>
            <w:rFonts w:cs="Arial"/>
            <w:szCs w:val="22"/>
            <w:shd w:val="clear" w:color="auto" w:fill="FFFFFF"/>
          </w:rPr>
          <w:t>https://www.qilt.edu.au/qilt-surveys/graduate-employment</w:t>
        </w:r>
      </w:hyperlink>
      <w:r w:rsidR="007B0916" w:rsidRPr="00455FF9">
        <w:rPr>
          <w:rFonts w:cs="Arial"/>
          <w:color w:val="292929"/>
          <w:szCs w:val="22"/>
          <w:shd w:val="clear" w:color="auto" w:fill="FFFFFF"/>
        </w:rPr>
        <w:t>.</w:t>
      </w:r>
      <w:r w:rsidR="00A9549B" w:rsidRPr="00A9549B">
        <w:rPr>
          <w:rFonts w:cs="Arial"/>
        </w:rPr>
        <w:t xml:space="preserve"> </w:t>
      </w:r>
    </w:p>
    <w:p w14:paraId="07BE6F08" w14:textId="1CD35E96" w:rsidR="00CA2BD2" w:rsidRPr="00455FF9" w:rsidRDefault="00CA2BD2" w:rsidP="00EC74D7">
      <w:pPr>
        <w:spacing w:after="120" w:line="276" w:lineRule="auto"/>
        <w:rPr>
          <w:rFonts w:cs="Arial"/>
          <w:i/>
          <w:iCs/>
          <w:szCs w:val="22"/>
        </w:rPr>
      </w:pPr>
      <w:r w:rsidRPr="00455FF9">
        <w:rPr>
          <w:rFonts w:cs="Arial"/>
          <w:color w:val="292929"/>
          <w:szCs w:val="22"/>
          <w:shd w:val="clear" w:color="auto" w:fill="FFFFFF"/>
        </w:rPr>
        <w:t xml:space="preserve">Urbis. (2015). </w:t>
      </w:r>
      <w:r w:rsidRPr="00455FF9">
        <w:rPr>
          <w:rFonts w:cs="Arial"/>
          <w:i/>
          <w:iCs/>
          <w:color w:val="292929"/>
          <w:szCs w:val="22"/>
          <w:shd w:val="clear" w:color="auto" w:fill="FFFFFF"/>
        </w:rPr>
        <w:t>Review of the Disability Standards for Education 2005</w:t>
      </w:r>
      <w:r w:rsidRPr="00455FF9">
        <w:rPr>
          <w:rFonts w:cs="Arial"/>
          <w:color w:val="292929"/>
          <w:szCs w:val="22"/>
          <w:shd w:val="clear" w:color="auto" w:fill="FFFFFF"/>
        </w:rPr>
        <w:t xml:space="preserve">. </w:t>
      </w:r>
    </w:p>
    <w:p w14:paraId="755A1333" w14:textId="77777777" w:rsidR="00A9549B" w:rsidRDefault="00E97D84" w:rsidP="00EC74D7">
      <w:pPr>
        <w:spacing w:after="120" w:line="276" w:lineRule="auto"/>
        <w:ind w:left="567"/>
        <w:rPr>
          <w:rFonts w:cs="Arial"/>
        </w:rPr>
      </w:pPr>
      <w:hyperlink r:id="rId24" w:tooltip="Urbis. (2015). Review of the Disability Standards for Education 2005. " w:history="1">
        <w:r w:rsidR="00110F1A" w:rsidRPr="00455FF9">
          <w:rPr>
            <w:rStyle w:val="Hyperlink"/>
            <w:rFonts w:cs="Arial"/>
            <w:szCs w:val="22"/>
            <w:shd w:val="clear" w:color="auto" w:fill="FFFFFF"/>
          </w:rPr>
          <w:t>https://docs.education.gov.au/system/files/doc/other/final-report-2015-dse-review.pdf</w:t>
        </w:r>
      </w:hyperlink>
    </w:p>
    <w:p w14:paraId="2E4C7C44" w14:textId="5FDFC7D7" w:rsidR="00E056E6" w:rsidRDefault="00E056E6" w:rsidP="00EC74D7">
      <w:pPr>
        <w:spacing w:after="120" w:line="276" w:lineRule="auto"/>
        <w:ind w:left="567"/>
        <w:rPr>
          <w:rFonts w:cs="Arial"/>
          <w:color w:val="292929"/>
          <w:szCs w:val="22"/>
          <w:shd w:val="clear" w:color="auto" w:fill="FFFFFF"/>
        </w:rPr>
      </w:pPr>
      <w:r>
        <w:rPr>
          <w:rFonts w:cs="Arial"/>
          <w:szCs w:val="22"/>
        </w:rPr>
        <w:t xml:space="preserve">Zacharias, N., &amp; Brett, M. (2019). </w:t>
      </w:r>
      <w:r w:rsidRPr="007369B3">
        <w:rPr>
          <w:rFonts w:cs="Arial"/>
          <w:i/>
          <w:iCs/>
          <w:szCs w:val="22"/>
        </w:rPr>
        <w:t xml:space="preserve">The Best Chance </w:t>
      </w:r>
      <w:r w:rsidR="007D477F">
        <w:rPr>
          <w:rFonts w:cs="Arial"/>
          <w:i/>
          <w:iCs/>
          <w:szCs w:val="22"/>
        </w:rPr>
        <w:t>f</w:t>
      </w:r>
      <w:r w:rsidRPr="007369B3">
        <w:rPr>
          <w:rFonts w:cs="Arial"/>
          <w:i/>
          <w:iCs/>
          <w:szCs w:val="22"/>
        </w:rPr>
        <w:t>or All</w:t>
      </w:r>
      <w:r w:rsidR="008C12AF">
        <w:rPr>
          <w:rFonts w:cs="Arial"/>
          <w:i/>
          <w:iCs/>
          <w:szCs w:val="22"/>
        </w:rPr>
        <w:t>.</w:t>
      </w:r>
      <w:r w:rsidR="007D477F">
        <w:rPr>
          <w:rFonts w:cs="Arial"/>
          <w:i/>
          <w:iCs/>
          <w:szCs w:val="22"/>
        </w:rPr>
        <w:t xml:space="preserve"> </w:t>
      </w:r>
      <w:r>
        <w:rPr>
          <w:rFonts w:cs="Arial"/>
          <w:i/>
          <w:iCs/>
          <w:szCs w:val="22"/>
        </w:rPr>
        <w:t>Student Equity 2030 – A long-term strategic vision for student equity in higher education.</w:t>
      </w:r>
      <w:hyperlink r:id="rId25" w:tooltip="Zacharias, N., &amp; Brett, M. (2019). The Best Chance for All. Student Equity 2030 – A long-term strategic vision for student equity in higher education. " w:history="1">
        <w:r w:rsidRPr="00C01B19">
          <w:rPr>
            <w:rStyle w:val="Hyperlink"/>
            <w:rFonts w:cs="Arial"/>
            <w:i/>
            <w:iCs/>
            <w:szCs w:val="22"/>
          </w:rPr>
          <w:t xml:space="preserve"> </w:t>
        </w:r>
        <w:r w:rsidRPr="00C01B19">
          <w:rPr>
            <w:rStyle w:val="Hyperlink"/>
            <w:rFonts w:cs="Arial"/>
            <w:szCs w:val="22"/>
          </w:rPr>
          <w:t>https://www.ncsehe.edu.au/wp-content/uploads/2019/03/Equity2030_FINAL.pdf</w:t>
        </w:r>
      </w:hyperlink>
    </w:p>
    <w:sectPr w:rsidR="00E056E6" w:rsidSect="0012726A">
      <w:footerReference w:type="default" r:id="rId26"/>
      <w:pgSz w:w="11906" w:h="16838" w:code="9"/>
      <w:pgMar w:top="1852" w:right="1134"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1DF07" w14:textId="77777777" w:rsidR="004F2006" w:rsidRDefault="004F2006" w:rsidP="009D6EDD">
      <w:r>
        <w:separator/>
      </w:r>
    </w:p>
  </w:endnote>
  <w:endnote w:type="continuationSeparator" w:id="0">
    <w:p w14:paraId="620EC2B9" w14:textId="77777777" w:rsidR="004F2006" w:rsidRDefault="004F2006" w:rsidP="009D6EDD">
      <w:r>
        <w:continuationSeparator/>
      </w:r>
    </w:p>
  </w:endnote>
  <w:endnote w:type="continuationNotice" w:id="1">
    <w:p w14:paraId="23006DE8" w14:textId="77777777" w:rsidR="004F2006" w:rsidRDefault="004F2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BE0397-3AC7-40AC-9BDE-35E11EC5D951}"/>
    <w:embedBold r:id="rId2" w:fontKey="{4CC2977D-B4EE-490A-A7B0-056613F0F7F1}"/>
    <w:embedItalic r:id="rId3" w:fontKey="{472541DA-32DA-43DF-9FF9-7B2943BAFADA}"/>
  </w:font>
  <w:font w:name="Arial">
    <w:panose1 w:val="020B0604020202020204"/>
    <w:charset w:val="00"/>
    <w:family w:val="swiss"/>
    <w:pitch w:val="variable"/>
    <w:sig w:usb0="E0002EFF" w:usb1="C000785B" w:usb2="00000009" w:usb3="00000000" w:csb0="000001FF" w:csb1="00000000"/>
  </w:font>
  <w:font w:name="SansaSoft Pro SemiBold">
    <w:altName w:val="Arial"/>
    <w:panose1 w:val="00000000000000000000"/>
    <w:charset w:val="00"/>
    <w:family w:val="modern"/>
    <w:notTrueType/>
    <w:pitch w:val="variable"/>
    <w:sig w:usb0="800000AF" w:usb1="00000042"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ansaSoft Pro Normal">
    <w:altName w:val="Calibri"/>
    <w:panose1 w:val="00000000000000000000"/>
    <w:charset w:val="00"/>
    <w:family w:val="modern"/>
    <w:notTrueType/>
    <w:pitch w:val="variable"/>
    <w:sig w:usb0="800000AF" w:usb1="00000042" w:usb2="00000000" w:usb3="00000000" w:csb0="0000000B" w:csb1="00000000"/>
  </w:font>
  <w:font w:name="Tahoma">
    <w:panose1 w:val="020B0604030504040204"/>
    <w:charset w:val="00"/>
    <w:family w:val="swiss"/>
    <w:pitch w:val="variable"/>
    <w:sig w:usb0="E1002EFF" w:usb1="C000605B" w:usb2="00000029" w:usb3="00000000" w:csb0="000101FF" w:csb1="00000000"/>
    <w:embedRegular r:id="rId4" w:fontKey="{6A2B8339-F25E-4A10-A522-D68000122B16}"/>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12B40C48-2655-4CD0-9D0E-D40588037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562D9" w14:textId="77777777" w:rsidR="008D49B5" w:rsidRDefault="008D49B5" w:rsidP="001647DB">
    <w:pPr>
      <w:pStyle w:val="Footer"/>
      <w:rPr>
        <w:rFonts w:eastAsiaTheme="majorEastAsia" w:cs="Arial"/>
        <w:noProof/>
      </w:rPr>
    </w:pPr>
  </w:p>
  <w:p w14:paraId="2EADD5AE" w14:textId="0C972C52" w:rsidR="008D49B5" w:rsidRPr="00C472C8" w:rsidRDefault="008D49B5" w:rsidP="001647DB">
    <w:pPr>
      <w:pStyle w:val="Footer"/>
      <w:rPr>
        <w:rFonts w:cs="Arial"/>
      </w:rPr>
    </w:pPr>
    <w:r w:rsidRPr="00C472C8">
      <w:rPr>
        <w:rFonts w:eastAsiaTheme="majorEastAsia" w:cs="Arial"/>
        <w:noProof/>
      </w:rPr>
      <w:t>National Centre for Student E</w:t>
    </w:r>
    <w:r>
      <w:rPr>
        <w:rFonts w:eastAsiaTheme="majorEastAsia" w:cs="Arial"/>
        <w:noProof/>
      </w:rPr>
      <w:t>quity in Higher Education, 25 September 2020</w:t>
    </w:r>
    <w:r w:rsidRPr="00C472C8">
      <w:rPr>
        <w:rFonts w:eastAsiaTheme="majorEastAsia" w:cs="Arial"/>
        <w:noProof/>
      </w:rPr>
      <w:ptab w:relativeTo="margin" w:alignment="right" w:leader="none"/>
    </w:r>
    <w:r w:rsidRPr="00C472C8">
      <w:rPr>
        <w:rFonts w:eastAsiaTheme="majorEastAsia" w:cs="Arial"/>
        <w:noProof/>
      </w:rPr>
      <w:fldChar w:fldCharType="begin"/>
    </w:r>
    <w:r w:rsidRPr="00C472C8">
      <w:rPr>
        <w:rFonts w:eastAsiaTheme="majorEastAsia" w:cs="Arial"/>
        <w:noProof/>
      </w:rPr>
      <w:instrText xml:space="preserve"> PAGE   \* MERGEFORMAT </w:instrText>
    </w:r>
    <w:r w:rsidRPr="00C472C8">
      <w:rPr>
        <w:rFonts w:eastAsiaTheme="majorEastAsia" w:cs="Arial"/>
        <w:noProof/>
      </w:rPr>
      <w:fldChar w:fldCharType="separate"/>
    </w:r>
    <w:r w:rsidR="00722E58">
      <w:rPr>
        <w:rFonts w:eastAsiaTheme="majorEastAsia" w:cs="Arial"/>
        <w:noProof/>
      </w:rPr>
      <w:t>13</w:t>
    </w:r>
    <w:r w:rsidRPr="00C472C8">
      <w:rPr>
        <w:rFonts w:eastAsiaTheme="majorEastAsia"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3033E" w14:textId="77777777" w:rsidR="004F2006" w:rsidRDefault="004F2006" w:rsidP="009D6EDD">
      <w:r>
        <w:separator/>
      </w:r>
    </w:p>
  </w:footnote>
  <w:footnote w:type="continuationSeparator" w:id="0">
    <w:p w14:paraId="386D7A07" w14:textId="77777777" w:rsidR="004F2006" w:rsidRDefault="004F2006" w:rsidP="009D6EDD">
      <w:r>
        <w:continuationSeparator/>
      </w:r>
    </w:p>
  </w:footnote>
  <w:footnote w:type="continuationNotice" w:id="1">
    <w:p w14:paraId="25F6DD6A" w14:textId="77777777" w:rsidR="004F2006" w:rsidRDefault="004F20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DE9"/>
    <w:multiLevelType w:val="hybridMultilevel"/>
    <w:tmpl w:val="387C5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64143"/>
    <w:multiLevelType w:val="hybridMultilevel"/>
    <w:tmpl w:val="EDA69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31BB3"/>
    <w:multiLevelType w:val="hybridMultilevel"/>
    <w:tmpl w:val="BE92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C621E"/>
    <w:multiLevelType w:val="hybridMultilevel"/>
    <w:tmpl w:val="E90292D6"/>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4" w15:restartNumberingAfterBreak="0">
    <w:nsid w:val="0B171556"/>
    <w:multiLevelType w:val="hybridMultilevel"/>
    <w:tmpl w:val="5D108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6D2F9E"/>
    <w:multiLevelType w:val="hybridMultilevel"/>
    <w:tmpl w:val="FE48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711D3"/>
    <w:multiLevelType w:val="hybridMultilevel"/>
    <w:tmpl w:val="739461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C4F4883"/>
    <w:multiLevelType w:val="hybridMultilevel"/>
    <w:tmpl w:val="F8A0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21BAA"/>
    <w:multiLevelType w:val="hybridMultilevel"/>
    <w:tmpl w:val="19402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33A7B"/>
    <w:multiLevelType w:val="hybridMultilevel"/>
    <w:tmpl w:val="69C04534"/>
    <w:lvl w:ilvl="0" w:tplc="21866A72">
      <w:start w:val="1"/>
      <w:numFmt w:val="bullet"/>
      <w:lvlText w:val=""/>
      <w:lvlJc w:val="left"/>
      <w:pPr>
        <w:tabs>
          <w:tab w:val="num" w:pos="720"/>
        </w:tabs>
        <w:ind w:left="720" w:hanging="360"/>
      </w:pPr>
      <w:rPr>
        <w:rFonts w:ascii="Symbol" w:hAnsi="Symbol" w:hint="default"/>
        <w:sz w:val="20"/>
      </w:rPr>
    </w:lvl>
    <w:lvl w:ilvl="1" w:tplc="199E17EE" w:tentative="1">
      <w:start w:val="1"/>
      <w:numFmt w:val="bullet"/>
      <w:lvlText w:val=""/>
      <w:lvlJc w:val="left"/>
      <w:pPr>
        <w:tabs>
          <w:tab w:val="num" w:pos="1440"/>
        </w:tabs>
        <w:ind w:left="1440" w:hanging="360"/>
      </w:pPr>
      <w:rPr>
        <w:rFonts w:ascii="Symbol" w:hAnsi="Symbol" w:hint="default"/>
        <w:sz w:val="20"/>
      </w:rPr>
    </w:lvl>
    <w:lvl w:ilvl="2" w:tplc="573626FC" w:tentative="1">
      <w:start w:val="1"/>
      <w:numFmt w:val="bullet"/>
      <w:lvlText w:val=""/>
      <w:lvlJc w:val="left"/>
      <w:pPr>
        <w:tabs>
          <w:tab w:val="num" w:pos="2160"/>
        </w:tabs>
        <w:ind w:left="2160" w:hanging="360"/>
      </w:pPr>
      <w:rPr>
        <w:rFonts w:ascii="Symbol" w:hAnsi="Symbol" w:hint="default"/>
        <w:sz w:val="20"/>
      </w:rPr>
    </w:lvl>
    <w:lvl w:ilvl="3" w:tplc="17686AD8" w:tentative="1">
      <w:start w:val="1"/>
      <w:numFmt w:val="bullet"/>
      <w:lvlText w:val=""/>
      <w:lvlJc w:val="left"/>
      <w:pPr>
        <w:tabs>
          <w:tab w:val="num" w:pos="2880"/>
        </w:tabs>
        <w:ind w:left="2880" w:hanging="360"/>
      </w:pPr>
      <w:rPr>
        <w:rFonts w:ascii="Symbol" w:hAnsi="Symbol" w:hint="default"/>
        <w:sz w:val="20"/>
      </w:rPr>
    </w:lvl>
    <w:lvl w:ilvl="4" w:tplc="78363122" w:tentative="1">
      <w:start w:val="1"/>
      <w:numFmt w:val="bullet"/>
      <w:lvlText w:val=""/>
      <w:lvlJc w:val="left"/>
      <w:pPr>
        <w:tabs>
          <w:tab w:val="num" w:pos="3600"/>
        </w:tabs>
        <w:ind w:left="3600" w:hanging="360"/>
      </w:pPr>
      <w:rPr>
        <w:rFonts w:ascii="Symbol" w:hAnsi="Symbol" w:hint="default"/>
        <w:sz w:val="20"/>
      </w:rPr>
    </w:lvl>
    <w:lvl w:ilvl="5" w:tplc="6C264B64" w:tentative="1">
      <w:start w:val="1"/>
      <w:numFmt w:val="bullet"/>
      <w:lvlText w:val=""/>
      <w:lvlJc w:val="left"/>
      <w:pPr>
        <w:tabs>
          <w:tab w:val="num" w:pos="4320"/>
        </w:tabs>
        <w:ind w:left="4320" w:hanging="360"/>
      </w:pPr>
      <w:rPr>
        <w:rFonts w:ascii="Symbol" w:hAnsi="Symbol" w:hint="default"/>
        <w:sz w:val="20"/>
      </w:rPr>
    </w:lvl>
    <w:lvl w:ilvl="6" w:tplc="D4B01C6C" w:tentative="1">
      <w:start w:val="1"/>
      <w:numFmt w:val="bullet"/>
      <w:lvlText w:val=""/>
      <w:lvlJc w:val="left"/>
      <w:pPr>
        <w:tabs>
          <w:tab w:val="num" w:pos="5040"/>
        </w:tabs>
        <w:ind w:left="5040" w:hanging="360"/>
      </w:pPr>
      <w:rPr>
        <w:rFonts w:ascii="Symbol" w:hAnsi="Symbol" w:hint="default"/>
        <w:sz w:val="20"/>
      </w:rPr>
    </w:lvl>
    <w:lvl w:ilvl="7" w:tplc="E0AEF194" w:tentative="1">
      <w:start w:val="1"/>
      <w:numFmt w:val="bullet"/>
      <w:lvlText w:val=""/>
      <w:lvlJc w:val="left"/>
      <w:pPr>
        <w:tabs>
          <w:tab w:val="num" w:pos="5760"/>
        </w:tabs>
        <w:ind w:left="5760" w:hanging="360"/>
      </w:pPr>
      <w:rPr>
        <w:rFonts w:ascii="Symbol" w:hAnsi="Symbol" w:hint="default"/>
        <w:sz w:val="20"/>
      </w:rPr>
    </w:lvl>
    <w:lvl w:ilvl="8" w:tplc="6FBACC9A"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14FEB"/>
    <w:multiLevelType w:val="hybridMultilevel"/>
    <w:tmpl w:val="4B4E6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65FB8"/>
    <w:multiLevelType w:val="hybridMultilevel"/>
    <w:tmpl w:val="C61CDB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4B7806"/>
    <w:multiLevelType w:val="hybridMultilevel"/>
    <w:tmpl w:val="9FE0E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B27FB"/>
    <w:multiLevelType w:val="hybridMultilevel"/>
    <w:tmpl w:val="00702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7D3B26"/>
    <w:multiLevelType w:val="hybridMultilevel"/>
    <w:tmpl w:val="D170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849F8"/>
    <w:multiLevelType w:val="hybridMultilevel"/>
    <w:tmpl w:val="F704F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B36111"/>
    <w:multiLevelType w:val="hybridMultilevel"/>
    <w:tmpl w:val="387C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DE5B44"/>
    <w:multiLevelType w:val="hybridMultilevel"/>
    <w:tmpl w:val="B0682596"/>
    <w:lvl w:ilvl="0" w:tplc="504033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D7481C"/>
    <w:multiLevelType w:val="hybridMultilevel"/>
    <w:tmpl w:val="5BC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D04CB"/>
    <w:multiLevelType w:val="hybridMultilevel"/>
    <w:tmpl w:val="028E7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87771B"/>
    <w:multiLevelType w:val="hybridMultilevel"/>
    <w:tmpl w:val="51C8D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9E45D3"/>
    <w:multiLevelType w:val="hybridMultilevel"/>
    <w:tmpl w:val="D970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03534C"/>
    <w:multiLevelType w:val="hybridMultilevel"/>
    <w:tmpl w:val="A6360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B727BD"/>
    <w:multiLevelType w:val="hybridMultilevel"/>
    <w:tmpl w:val="8B74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BE5353"/>
    <w:multiLevelType w:val="hybridMultilevel"/>
    <w:tmpl w:val="CBFE7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D5C54"/>
    <w:multiLevelType w:val="hybridMultilevel"/>
    <w:tmpl w:val="B1A6B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83C68"/>
    <w:multiLevelType w:val="hybridMultilevel"/>
    <w:tmpl w:val="511A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B633F4"/>
    <w:multiLevelType w:val="hybridMultilevel"/>
    <w:tmpl w:val="6920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B265C1"/>
    <w:multiLevelType w:val="hybridMultilevel"/>
    <w:tmpl w:val="D270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BC3C51"/>
    <w:multiLevelType w:val="hybridMultilevel"/>
    <w:tmpl w:val="75F0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411D24"/>
    <w:multiLevelType w:val="hybridMultilevel"/>
    <w:tmpl w:val="3D3C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457DFB"/>
    <w:multiLevelType w:val="hybridMultilevel"/>
    <w:tmpl w:val="A75E6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9"/>
  </w:num>
  <w:num w:numId="4">
    <w:abstractNumId w:val="31"/>
  </w:num>
  <w:num w:numId="5">
    <w:abstractNumId w:val="12"/>
  </w:num>
  <w:num w:numId="6">
    <w:abstractNumId w:val="24"/>
  </w:num>
  <w:num w:numId="7">
    <w:abstractNumId w:val="13"/>
  </w:num>
  <w:num w:numId="8">
    <w:abstractNumId w:val="15"/>
  </w:num>
  <w:num w:numId="9">
    <w:abstractNumId w:val="2"/>
  </w:num>
  <w:num w:numId="10">
    <w:abstractNumId w:val="23"/>
  </w:num>
  <w:num w:numId="11">
    <w:abstractNumId w:val="16"/>
  </w:num>
  <w:num w:numId="12">
    <w:abstractNumId w:val="25"/>
  </w:num>
  <w:num w:numId="13">
    <w:abstractNumId w:val="8"/>
  </w:num>
  <w:num w:numId="14">
    <w:abstractNumId w:val="20"/>
  </w:num>
  <w:num w:numId="15">
    <w:abstractNumId w:val="30"/>
  </w:num>
  <w:num w:numId="16">
    <w:abstractNumId w:val="7"/>
  </w:num>
  <w:num w:numId="17">
    <w:abstractNumId w:val="17"/>
  </w:num>
  <w:num w:numId="18">
    <w:abstractNumId w:val="22"/>
  </w:num>
  <w:num w:numId="19">
    <w:abstractNumId w:val="11"/>
  </w:num>
  <w:num w:numId="20">
    <w:abstractNumId w:val="28"/>
  </w:num>
  <w:num w:numId="21">
    <w:abstractNumId w:val="5"/>
  </w:num>
  <w:num w:numId="22">
    <w:abstractNumId w:val="19"/>
  </w:num>
  <w:num w:numId="23">
    <w:abstractNumId w:val="0"/>
  </w:num>
  <w:num w:numId="24">
    <w:abstractNumId w:val="3"/>
  </w:num>
  <w:num w:numId="25">
    <w:abstractNumId w:val="9"/>
  </w:num>
  <w:num w:numId="26">
    <w:abstractNumId w:val="14"/>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8"/>
  </w:num>
  <w:num w:numId="30">
    <w:abstractNumId w:val="4"/>
  </w:num>
  <w:num w:numId="31">
    <w:abstractNumId w:val="1"/>
  </w:num>
  <w:num w:numId="3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xNLc0MTEwsjAzMjZT0lEKTi0uzszPAykwqwUABxqm0SwAAAA="/>
  </w:docVars>
  <w:rsids>
    <w:rsidRoot w:val="00833A14"/>
    <w:rsid w:val="00000A41"/>
    <w:rsid w:val="00000B98"/>
    <w:rsid w:val="00001EE1"/>
    <w:rsid w:val="00002125"/>
    <w:rsid w:val="0000265B"/>
    <w:rsid w:val="00002B97"/>
    <w:rsid w:val="000034AC"/>
    <w:rsid w:val="00003697"/>
    <w:rsid w:val="00003D6D"/>
    <w:rsid w:val="00003FCC"/>
    <w:rsid w:val="00005713"/>
    <w:rsid w:val="00006079"/>
    <w:rsid w:val="00007088"/>
    <w:rsid w:val="000070C6"/>
    <w:rsid w:val="000070E2"/>
    <w:rsid w:val="00011876"/>
    <w:rsid w:val="00011882"/>
    <w:rsid w:val="00011894"/>
    <w:rsid w:val="00011DD7"/>
    <w:rsid w:val="000124A8"/>
    <w:rsid w:val="000128C5"/>
    <w:rsid w:val="00012D7E"/>
    <w:rsid w:val="00012DD4"/>
    <w:rsid w:val="000135F1"/>
    <w:rsid w:val="0001395B"/>
    <w:rsid w:val="00014A16"/>
    <w:rsid w:val="00014E52"/>
    <w:rsid w:val="00016CFD"/>
    <w:rsid w:val="0001798B"/>
    <w:rsid w:val="000200AC"/>
    <w:rsid w:val="00020533"/>
    <w:rsid w:val="00020590"/>
    <w:rsid w:val="00020866"/>
    <w:rsid w:val="000210DD"/>
    <w:rsid w:val="0002111C"/>
    <w:rsid w:val="00022838"/>
    <w:rsid w:val="00022D98"/>
    <w:rsid w:val="00022FA3"/>
    <w:rsid w:val="00024539"/>
    <w:rsid w:val="000253EC"/>
    <w:rsid w:val="0002619A"/>
    <w:rsid w:val="00026684"/>
    <w:rsid w:val="00027C27"/>
    <w:rsid w:val="0003084B"/>
    <w:rsid w:val="00030BD6"/>
    <w:rsid w:val="00031AA3"/>
    <w:rsid w:val="00032EBD"/>
    <w:rsid w:val="00033ADF"/>
    <w:rsid w:val="00033C3F"/>
    <w:rsid w:val="00033D60"/>
    <w:rsid w:val="000340AB"/>
    <w:rsid w:val="0003484B"/>
    <w:rsid w:val="00034C1C"/>
    <w:rsid w:val="0003532B"/>
    <w:rsid w:val="00035F99"/>
    <w:rsid w:val="00036123"/>
    <w:rsid w:val="00036827"/>
    <w:rsid w:val="00036866"/>
    <w:rsid w:val="00036940"/>
    <w:rsid w:val="000370C0"/>
    <w:rsid w:val="000400AA"/>
    <w:rsid w:val="000414F7"/>
    <w:rsid w:val="0004318B"/>
    <w:rsid w:val="00043836"/>
    <w:rsid w:val="00043CC0"/>
    <w:rsid w:val="0004437A"/>
    <w:rsid w:val="0004556E"/>
    <w:rsid w:val="00046201"/>
    <w:rsid w:val="000463C6"/>
    <w:rsid w:val="000465BD"/>
    <w:rsid w:val="000469F5"/>
    <w:rsid w:val="00046B7E"/>
    <w:rsid w:val="00046D7D"/>
    <w:rsid w:val="00050FED"/>
    <w:rsid w:val="00051BA6"/>
    <w:rsid w:val="00051EEA"/>
    <w:rsid w:val="000522E1"/>
    <w:rsid w:val="0005311C"/>
    <w:rsid w:val="00053575"/>
    <w:rsid w:val="00053DA1"/>
    <w:rsid w:val="000544F7"/>
    <w:rsid w:val="0005454D"/>
    <w:rsid w:val="00054D59"/>
    <w:rsid w:val="00055CA7"/>
    <w:rsid w:val="00056EF1"/>
    <w:rsid w:val="0005703E"/>
    <w:rsid w:val="00057BE4"/>
    <w:rsid w:val="00060510"/>
    <w:rsid w:val="00060858"/>
    <w:rsid w:val="00060CF2"/>
    <w:rsid w:val="00061AAE"/>
    <w:rsid w:val="00062588"/>
    <w:rsid w:val="0006305E"/>
    <w:rsid w:val="000651BA"/>
    <w:rsid w:val="00066111"/>
    <w:rsid w:val="000663AD"/>
    <w:rsid w:val="000663E7"/>
    <w:rsid w:val="00066806"/>
    <w:rsid w:val="00066B08"/>
    <w:rsid w:val="000678B6"/>
    <w:rsid w:val="00070E46"/>
    <w:rsid w:val="000724C8"/>
    <w:rsid w:val="000726FE"/>
    <w:rsid w:val="0007315D"/>
    <w:rsid w:val="00073254"/>
    <w:rsid w:val="00073941"/>
    <w:rsid w:val="000740E5"/>
    <w:rsid w:val="00074909"/>
    <w:rsid w:val="00075E27"/>
    <w:rsid w:val="000764A5"/>
    <w:rsid w:val="00076C85"/>
    <w:rsid w:val="00076F49"/>
    <w:rsid w:val="00080072"/>
    <w:rsid w:val="0008034B"/>
    <w:rsid w:val="000803F2"/>
    <w:rsid w:val="000806EE"/>
    <w:rsid w:val="00080BC1"/>
    <w:rsid w:val="00081743"/>
    <w:rsid w:val="0008180C"/>
    <w:rsid w:val="000822F3"/>
    <w:rsid w:val="00082F61"/>
    <w:rsid w:val="00083061"/>
    <w:rsid w:val="000834AA"/>
    <w:rsid w:val="00083BE5"/>
    <w:rsid w:val="000856BE"/>
    <w:rsid w:val="00085924"/>
    <w:rsid w:val="00085B34"/>
    <w:rsid w:val="000862D3"/>
    <w:rsid w:val="00086C83"/>
    <w:rsid w:val="00087646"/>
    <w:rsid w:val="00087A45"/>
    <w:rsid w:val="000902EE"/>
    <w:rsid w:val="00090454"/>
    <w:rsid w:val="00090586"/>
    <w:rsid w:val="00090A21"/>
    <w:rsid w:val="00090BD0"/>
    <w:rsid w:val="00090CC1"/>
    <w:rsid w:val="0009170D"/>
    <w:rsid w:val="0009257F"/>
    <w:rsid w:val="000928BF"/>
    <w:rsid w:val="00092A80"/>
    <w:rsid w:val="00092C21"/>
    <w:rsid w:val="0009462C"/>
    <w:rsid w:val="00094D03"/>
    <w:rsid w:val="0009596A"/>
    <w:rsid w:val="000959D7"/>
    <w:rsid w:val="00095F44"/>
    <w:rsid w:val="00096236"/>
    <w:rsid w:val="000A00FD"/>
    <w:rsid w:val="000A0663"/>
    <w:rsid w:val="000A0D33"/>
    <w:rsid w:val="000A0D8A"/>
    <w:rsid w:val="000A2988"/>
    <w:rsid w:val="000A381D"/>
    <w:rsid w:val="000A4526"/>
    <w:rsid w:val="000A4AA7"/>
    <w:rsid w:val="000A4E51"/>
    <w:rsid w:val="000A67DD"/>
    <w:rsid w:val="000A6F4F"/>
    <w:rsid w:val="000A7A14"/>
    <w:rsid w:val="000B0387"/>
    <w:rsid w:val="000B0D44"/>
    <w:rsid w:val="000B0EF3"/>
    <w:rsid w:val="000B1394"/>
    <w:rsid w:val="000B1905"/>
    <w:rsid w:val="000B1AE2"/>
    <w:rsid w:val="000B2ECE"/>
    <w:rsid w:val="000B3A25"/>
    <w:rsid w:val="000B4306"/>
    <w:rsid w:val="000B6AD2"/>
    <w:rsid w:val="000B7CEE"/>
    <w:rsid w:val="000C07FB"/>
    <w:rsid w:val="000C0C50"/>
    <w:rsid w:val="000C2F2C"/>
    <w:rsid w:val="000C3DC0"/>
    <w:rsid w:val="000C439E"/>
    <w:rsid w:val="000C4B9F"/>
    <w:rsid w:val="000C5F68"/>
    <w:rsid w:val="000C6063"/>
    <w:rsid w:val="000C68B1"/>
    <w:rsid w:val="000C7140"/>
    <w:rsid w:val="000C7CAB"/>
    <w:rsid w:val="000D1242"/>
    <w:rsid w:val="000D2768"/>
    <w:rsid w:val="000D2A33"/>
    <w:rsid w:val="000D3DDA"/>
    <w:rsid w:val="000D428B"/>
    <w:rsid w:val="000D42A4"/>
    <w:rsid w:val="000D4368"/>
    <w:rsid w:val="000D472C"/>
    <w:rsid w:val="000D47CD"/>
    <w:rsid w:val="000D4B3A"/>
    <w:rsid w:val="000D5201"/>
    <w:rsid w:val="000D549D"/>
    <w:rsid w:val="000D6D04"/>
    <w:rsid w:val="000D6EB9"/>
    <w:rsid w:val="000D762D"/>
    <w:rsid w:val="000D7FEC"/>
    <w:rsid w:val="000E04C0"/>
    <w:rsid w:val="000E09C4"/>
    <w:rsid w:val="000E0B92"/>
    <w:rsid w:val="000E0FDF"/>
    <w:rsid w:val="000E1409"/>
    <w:rsid w:val="000E2203"/>
    <w:rsid w:val="000E25D9"/>
    <w:rsid w:val="000E26C0"/>
    <w:rsid w:val="000E3575"/>
    <w:rsid w:val="000E3AD5"/>
    <w:rsid w:val="000E3D96"/>
    <w:rsid w:val="000E4B3C"/>
    <w:rsid w:val="000E4F4A"/>
    <w:rsid w:val="000E7B2E"/>
    <w:rsid w:val="000E7E4A"/>
    <w:rsid w:val="000E7FA3"/>
    <w:rsid w:val="000F0264"/>
    <w:rsid w:val="000F071E"/>
    <w:rsid w:val="000F11B6"/>
    <w:rsid w:val="000F25EF"/>
    <w:rsid w:val="000F26ED"/>
    <w:rsid w:val="000F300D"/>
    <w:rsid w:val="000F433A"/>
    <w:rsid w:val="000F4A6A"/>
    <w:rsid w:val="000F50D3"/>
    <w:rsid w:val="000F571D"/>
    <w:rsid w:val="000F5B62"/>
    <w:rsid w:val="000F6160"/>
    <w:rsid w:val="000F6344"/>
    <w:rsid w:val="000F6724"/>
    <w:rsid w:val="000F7C0E"/>
    <w:rsid w:val="00100095"/>
    <w:rsid w:val="00100448"/>
    <w:rsid w:val="0010149A"/>
    <w:rsid w:val="00101870"/>
    <w:rsid w:val="00101A72"/>
    <w:rsid w:val="00101B7A"/>
    <w:rsid w:val="001024E4"/>
    <w:rsid w:val="00103BAA"/>
    <w:rsid w:val="00104131"/>
    <w:rsid w:val="00104F61"/>
    <w:rsid w:val="0010676C"/>
    <w:rsid w:val="00106E7E"/>
    <w:rsid w:val="001070D8"/>
    <w:rsid w:val="00110B40"/>
    <w:rsid w:val="00110C05"/>
    <w:rsid w:val="00110D4F"/>
    <w:rsid w:val="00110F1A"/>
    <w:rsid w:val="001125D4"/>
    <w:rsid w:val="0011338B"/>
    <w:rsid w:val="00113583"/>
    <w:rsid w:val="00113928"/>
    <w:rsid w:val="00113A65"/>
    <w:rsid w:val="00114C88"/>
    <w:rsid w:val="00115995"/>
    <w:rsid w:val="0011617C"/>
    <w:rsid w:val="00116CE4"/>
    <w:rsid w:val="00117170"/>
    <w:rsid w:val="00120C5E"/>
    <w:rsid w:val="00120E60"/>
    <w:rsid w:val="0012121F"/>
    <w:rsid w:val="00121392"/>
    <w:rsid w:val="0012157B"/>
    <w:rsid w:val="0012179D"/>
    <w:rsid w:val="00122170"/>
    <w:rsid w:val="00122B86"/>
    <w:rsid w:val="00122BE1"/>
    <w:rsid w:val="00122F03"/>
    <w:rsid w:val="001236F5"/>
    <w:rsid w:val="00123F0C"/>
    <w:rsid w:val="00124CAB"/>
    <w:rsid w:val="00124D79"/>
    <w:rsid w:val="00125A57"/>
    <w:rsid w:val="0012726A"/>
    <w:rsid w:val="00127F7A"/>
    <w:rsid w:val="00130D1D"/>
    <w:rsid w:val="00131764"/>
    <w:rsid w:val="00131C51"/>
    <w:rsid w:val="001333BF"/>
    <w:rsid w:val="00134485"/>
    <w:rsid w:val="00134E6F"/>
    <w:rsid w:val="00134EB8"/>
    <w:rsid w:val="001351B0"/>
    <w:rsid w:val="001353F2"/>
    <w:rsid w:val="001354AD"/>
    <w:rsid w:val="00135AE9"/>
    <w:rsid w:val="00136B60"/>
    <w:rsid w:val="00136F15"/>
    <w:rsid w:val="00140635"/>
    <w:rsid w:val="00140BE1"/>
    <w:rsid w:val="00140DBA"/>
    <w:rsid w:val="00141AA3"/>
    <w:rsid w:val="00142BEF"/>
    <w:rsid w:val="00142C46"/>
    <w:rsid w:val="0014354F"/>
    <w:rsid w:val="00143A99"/>
    <w:rsid w:val="00143F44"/>
    <w:rsid w:val="00144472"/>
    <w:rsid w:val="0014466C"/>
    <w:rsid w:val="00146656"/>
    <w:rsid w:val="001476FD"/>
    <w:rsid w:val="00147965"/>
    <w:rsid w:val="00147AF9"/>
    <w:rsid w:val="00150014"/>
    <w:rsid w:val="001501AD"/>
    <w:rsid w:val="001501EC"/>
    <w:rsid w:val="001515CB"/>
    <w:rsid w:val="00154246"/>
    <w:rsid w:val="00154694"/>
    <w:rsid w:val="00154C90"/>
    <w:rsid w:val="0015561B"/>
    <w:rsid w:val="00155710"/>
    <w:rsid w:val="00156B9F"/>
    <w:rsid w:val="00156E53"/>
    <w:rsid w:val="00156F42"/>
    <w:rsid w:val="0015BA11"/>
    <w:rsid w:val="0016229C"/>
    <w:rsid w:val="00162E59"/>
    <w:rsid w:val="001632DF"/>
    <w:rsid w:val="00163D49"/>
    <w:rsid w:val="001647DB"/>
    <w:rsid w:val="00165080"/>
    <w:rsid w:val="00165173"/>
    <w:rsid w:val="0016597D"/>
    <w:rsid w:val="00167EC2"/>
    <w:rsid w:val="00167FEF"/>
    <w:rsid w:val="00170B68"/>
    <w:rsid w:val="001711F1"/>
    <w:rsid w:val="0017232B"/>
    <w:rsid w:val="00172A92"/>
    <w:rsid w:val="00172AAE"/>
    <w:rsid w:val="00172BA6"/>
    <w:rsid w:val="00172FE6"/>
    <w:rsid w:val="00173933"/>
    <w:rsid w:val="00174A05"/>
    <w:rsid w:val="001754A7"/>
    <w:rsid w:val="001765E2"/>
    <w:rsid w:val="00176B9F"/>
    <w:rsid w:val="00177DB1"/>
    <w:rsid w:val="00177F47"/>
    <w:rsid w:val="001807C0"/>
    <w:rsid w:val="00182488"/>
    <w:rsid w:val="00182861"/>
    <w:rsid w:val="00182BE1"/>
    <w:rsid w:val="00182E0E"/>
    <w:rsid w:val="00183053"/>
    <w:rsid w:val="00185697"/>
    <w:rsid w:val="00186174"/>
    <w:rsid w:val="00186DC9"/>
    <w:rsid w:val="00187E73"/>
    <w:rsid w:val="00190805"/>
    <w:rsid w:val="00191065"/>
    <w:rsid w:val="0019176B"/>
    <w:rsid w:val="00191927"/>
    <w:rsid w:val="00191C22"/>
    <w:rsid w:val="00192D11"/>
    <w:rsid w:val="00194942"/>
    <w:rsid w:val="00194C6C"/>
    <w:rsid w:val="00195037"/>
    <w:rsid w:val="001950CD"/>
    <w:rsid w:val="001955B0"/>
    <w:rsid w:val="00195AF1"/>
    <w:rsid w:val="0019601D"/>
    <w:rsid w:val="00197960"/>
    <w:rsid w:val="00197AD2"/>
    <w:rsid w:val="00197B83"/>
    <w:rsid w:val="00197C19"/>
    <w:rsid w:val="001A03E2"/>
    <w:rsid w:val="001A0592"/>
    <w:rsid w:val="001A0636"/>
    <w:rsid w:val="001A122D"/>
    <w:rsid w:val="001A15DE"/>
    <w:rsid w:val="001A1FFC"/>
    <w:rsid w:val="001A2A32"/>
    <w:rsid w:val="001A2ACB"/>
    <w:rsid w:val="001A3489"/>
    <w:rsid w:val="001A3605"/>
    <w:rsid w:val="001A5A5B"/>
    <w:rsid w:val="001A5D71"/>
    <w:rsid w:val="001A678D"/>
    <w:rsid w:val="001A695D"/>
    <w:rsid w:val="001A7BD6"/>
    <w:rsid w:val="001A7D2C"/>
    <w:rsid w:val="001A7FE4"/>
    <w:rsid w:val="001B08C0"/>
    <w:rsid w:val="001B156A"/>
    <w:rsid w:val="001B1873"/>
    <w:rsid w:val="001B2400"/>
    <w:rsid w:val="001B2E36"/>
    <w:rsid w:val="001B39B5"/>
    <w:rsid w:val="001B3AD4"/>
    <w:rsid w:val="001B4761"/>
    <w:rsid w:val="001B479D"/>
    <w:rsid w:val="001B59D7"/>
    <w:rsid w:val="001B59D8"/>
    <w:rsid w:val="001B5CA2"/>
    <w:rsid w:val="001B7D96"/>
    <w:rsid w:val="001B7DC3"/>
    <w:rsid w:val="001B7DCA"/>
    <w:rsid w:val="001B7F45"/>
    <w:rsid w:val="001C0916"/>
    <w:rsid w:val="001C097D"/>
    <w:rsid w:val="001C2285"/>
    <w:rsid w:val="001C4694"/>
    <w:rsid w:val="001C4721"/>
    <w:rsid w:val="001C67E9"/>
    <w:rsid w:val="001C6937"/>
    <w:rsid w:val="001C6DED"/>
    <w:rsid w:val="001C6E28"/>
    <w:rsid w:val="001C71A7"/>
    <w:rsid w:val="001C7BA5"/>
    <w:rsid w:val="001D00F0"/>
    <w:rsid w:val="001D1E0C"/>
    <w:rsid w:val="001D359F"/>
    <w:rsid w:val="001D3CA5"/>
    <w:rsid w:val="001D6595"/>
    <w:rsid w:val="001D6910"/>
    <w:rsid w:val="001D7507"/>
    <w:rsid w:val="001D772C"/>
    <w:rsid w:val="001D7FED"/>
    <w:rsid w:val="001E0149"/>
    <w:rsid w:val="001E06E1"/>
    <w:rsid w:val="001E0949"/>
    <w:rsid w:val="001E1899"/>
    <w:rsid w:val="001E1EC7"/>
    <w:rsid w:val="001E38A0"/>
    <w:rsid w:val="001E3914"/>
    <w:rsid w:val="001E4077"/>
    <w:rsid w:val="001E4873"/>
    <w:rsid w:val="001E5BE6"/>
    <w:rsid w:val="001E7164"/>
    <w:rsid w:val="001F07D4"/>
    <w:rsid w:val="001F0E02"/>
    <w:rsid w:val="001F36EE"/>
    <w:rsid w:val="001F3958"/>
    <w:rsid w:val="001F3A68"/>
    <w:rsid w:val="001F42DE"/>
    <w:rsid w:val="001F4739"/>
    <w:rsid w:val="001F5C8F"/>
    <w:rsid w:val="001F6448"/>
    <w:rsid w:val="001F6697"/>
    <w:rsid w:val="001F6A68"/>
    <w:rsid w:val="001F6B93"/>
    <w:rsid w:val="0020045F"/>
    <w:rsid w:val="002008DE"/>
    <w:rsid w:val="00200F67"/>
    <w:rsid w:val="002021EF"/>
    <w:rsid w:val="00202778"/>
    <w:rsid w:val="002032AE"/>
    <w:rsid w:val="00203892"/>
    <w:rsid w:val="00203957"/>
    <w:rsid w:val="00203CFE"/>
    <w:rsid w:val="00205005"/>
    <w:rsid w:val="00205E3C"/>
    <w:rsid w:val="002061F6"/>
    <w:rsid w:val="00206D3C"/>
    <w:rsid w:val="002079B1"/>
    <w:rsid w:val="00207F9A"/>
    <w:rsid w:val="002102C7"/>
    <w:rsid w:val="00210825"/>
    <w:rsid w:val="002111E0"/>
    <w:rsid w:val="00211A83"/>
    <w:rsid w:val="00212A71"/>
    <w:rsid w:val="002134DD"/>
    <w:rsid w:val="00213E32"/>
    <w:rsid w:val="002147A1"/>
    <w:rsid w:val="00214C6D"/>
    <w:rsid w:val="0021501E"/>
    <w:rsid w:val="0021519C"/>
    <w:rsid w:val="00216095"/>
    <w:rsid w:val="00216306"/>
    <w:rsid w:val="0021731E"/>
    <w:rsid w:val="002201F2"/>
    <w:rsid w:val="0022095B"/>
    <w:rsid w:val="00220B5D"/>
    <w:rsid w:val="002211E8"/>
    <w:rsid w:val="00222623"/>
    <w:rsid w:val="00222722"/>
    <w:rsid w:val="00223DEC"/>
    <w:rsid w:val="00224116"/>
    <w:rsid w:val="00224BC2"/>
    <w:rsid w:val="002251BB"/>
    <w:rsid w:val="002252AB"/>
    <w:rsid w:val="00230B1E"/>
    <w:rsid w:val="00230F4E"/>
    <w:rsid w:val="002330B1"/>
    <w:rsid w:val="00233514"/>
    <w:rsid w:val="00233F5B"/>
    <w:rsid w:val="00234383"/>
    <w:rsid w:val="00234976"/>
    <w:rsid w:val="00235777"/>
    <w:rsid w:val="00236210"/>
    <w:rsid w:val="0023661B"/>
    <w:rsid w:val="002372F3"/>
    <w:rsid w:val="00237437"/>
    <w:rsid w:val="00237DD7"/>
    <w:rsid w:val="00240FB1"/>
    <w:rsid w:val="0024118B"/>
    <w:rsid w:val="00241609"/>
    <w:rsid w:val="00241633"/>
    <w:rsid w:val="00241E2F"/>
    <w:rsid w:val="002423B2"/>
    <w:rsid w:val="00242DFE"/>
    <w:rsid w:val="00242EBF"/>
    <w:rsid w:val="002433F6"/>
    <w:rsid w:val="00243EC7"/>
    <w:rsid w:val="00243F2B"/>
    <w:rsid w:val="0024604E"/>
    <w:rsid w:val="0024726B"/>
    <w:rsid w:val="0025071C"/>
    <w:rsid w:val="00250845"/>
    <w:rsid w:val="002508B4"/>
    <w:rsid w:val="0025168F"/>
    <w:rsid w:val="00251D93"/>
    <w:rsid w:val="00251F15"/>
    <w:rsid w:val="0025210A"/>
    <w:rsid w:val="00252192"/>
    <w:rsid w:val="00252472"/>
    <w:rsid w:val="00252E01"/>
    <w:rsid w:val="00253C9E"/>
    <w:rsid w:val="00254F7C"/>
    <w:rsid w:val="00254FB3"/>
    <w:rsid w:val="00255130"/>
    <w:rsid w:val="0025694A"/>
    <w:rsid w:val="002577E6"/>
    <w:rsid w:val="00260239"/>
    <w:rsid w:val="0026036E"/>
    <w:rsid w:val="00260635"/>
    <w:rsid w:val="00261463"/>
    <w:rsid w:val="00262D74"/>
    <w:rsid w:val="00262DF2"/>
    <w:rsid w:val="002636D8"/>
    <w:rsid w:val="00263AD4"/>
    <w:rsid w:val="00263EE7"/>
    <w:rsid w:val="002644D6"/>
    <w:rsid w:val="0026519F"/>
    <w:rsid w:val="002655C7"/>
    <w:rsid w:val="00265F5A"/>
    <w:rsid w:val="00266477"/>
    <w:rsid w:val="0026657C"/>
    <w:rsid w:val="002673A5"/>
    <w:rsid w:val="00267A93"/>
    <w:rsid w:val="00267D43"/>
    <w:rsid w:val="00270EFA"/>
    <w:rsid w:val="002711B6"/>
    <w:rsid w:val="00271CFA"/>
    <w:rsid w:val="00272276"/>
    <w:rsid w:val="00273470"/>
    <w:rsid w:val="0027350C"/>
    <w:rsid w:val="002737BE"/>
    <w:rsid w:val="0027473E"/>
    <w:rsid w:val="00275335"/>
    <w:rsid w:val="00276356"/>
    <w:rsid w:val="002772DE"/>
    <w:rsid w:val="00277718"/>
    <w:rsid w:val="002809E3"/>
    <w:rsid w:val="0028174F"/>
    <w:rsid w:val="00281D84"/>
    <w:rsid w:val="00282E72"/>
    <w:rsid w:val="00283996"/>
    <w:rsid w:val="002870B9"/>
    <w:rsid w:val="00287356"/>
    <w:rsid w:val="00287524"/>
    <w:rsid w:val="002900AA"/>
    <w:rsid w:val="00290152"/>
    <w:rsid w:val="002920F6"/>
    <w:rsid w:val="00292C0B"/>
    <w:rsid w:val="0029306D"/>
    <w:rsid w:val="00293C9E"/>
    <w:rsid w:val="00295997"/>
    <w:rsid w:val="00296E13"/>
    <w:rsid w:val="002A0303"/>
    <w:rsid w:val="002A192B"/>
    <w:rsid w:val="002A2193"/>
    <w:rsid w:val="002A4150"/>
    <w:rsid w:val="002A4482"/>
    <w:rsid w:val="002A55A7"/>
    <w:rsid w:val="002A66AA"/>
    <w:rsid w:val="002A788D"/>
    <w:rsid w:val="002A7D93"/>
    <w:rsid w:val="002B03FB"/>
    <w:rsid w:val="002B0EB5"/>
    <w:rsid w:val="002B1E87"/>
    <w:rsid w:val="002B24FE"/>
    <w:rsid w:val="002B3459"/>
    <w:rsid w:val="002B3F93"/>
    <w:rsid w:val="002B4308"/>
    <w:rsid w:val="002B4B96"/>
    <w:rsid w:val="002B5259"/>
    <w:rsid w:val="002B5C77"/>
    <w:rsid w:val="002B6488"/>
    <w:rsid w:val="002B79D1"/>
    <w:rsid w:val="002C03E5"/>
    <w:rsid w:val="002C16FE"/>
    <w:rsid w:val="002C206F"/>
    <w:rsid w:val="002C2844"/>
    <w:rsid w:val="002C29E2"/>
    <w:rsid w:val="002C2A12"/>
    <w:rsid w:val="002C447A"/>
    <w:rsid w:val="002C5690"/>
    <w:rsid w:val="002C6374"/>
    <w:rsid w:val="002C6B35"/>
    <w:rsid w:val="002C6C43"/>
    <w:rsid w:val="002C6C5F"/>
    <w:rsid w:val="002C7278"/>
    <w:rsid w:val="002C7BB4"/>
    <w:rsid w:val="002D0AC3"/>
    <w:rsid w:val="002D1066"/>
    <w:rsid w:val="002D1159"/>
    <w:rsid w:val="002D1D3F"/>
    <w:rsid w:val="002D2A5F"/>
    <w:rsid w:val="002D3027"/>
    <w:rsid w:val="002D3B35"/>
    <w:rsid w:val="002D494C"/>
    <w:rsid w:val="002D4CA5"/>
    <w:rsid w:val="002D52B1"/>
    <w:rsid w:val="002D5C3C"/>
    <w:rsid w:val="002D6FFE"/>
    <w:rsid w:val="002D70D6"/>
    <w:rsid w:val="002D72BE"/>
    <w:rsid w:val="002E141A"/>
    <w:rsid w:val="002E224E"/>
    <w:rsid w:val="002E2350"/>
    <w:rsid w:val="002E3301"/>
    <w:rsid w:val="002E3ECA"/>
    <w:rsid w:val="002E4481"/>
    <w:rsid w:val="002E60A5"/>
    <w:rsid w:val="002E6E5C"/>
    <w:rsid w:val="002E7462"/>
    <w:rsid w:val="002E775C"/>
    <w:rsid w:val="002E790E"/>
    <w:rsid w:val="002F09B6"/>
    <w:rsid w:val="002F1315"/>
    <w:rsid w:val="002F1E3D"/>
    <w:rsid w:val="002F234E"/>
    <w:rsid w:val="002F2840"/>
    <w:rsid w:val="002F2848"/>
    <w:rsid w:val="002F2A46"/>
    <w:rsid w:val="002F3F7C"/>
    <w:rsid w:val="002F5236"/>
    <w:rsid w:val="002F59C9"/>
    <w:rsid w:val="002F6BBF"/>
    <w:rsid w:val="002F6BE9"/>
    <w:rsid w:val="002F7BF2"/>
    <w:rsid w:val="003000EF"/>
    <w:rsid w:val="00300534"/>
    <w:rsid w:val="00300899"/>
    <w:rsid w:val="0030150F"/>
    <w:rsid w:val="00301985"/>
    <w:rsid w:val="00301A44"/>
    <w:rsid w:val="0030434E"/>
    <w:rsid w:val="00304B64"/>
    <w:rsid w:val="00305070"/>
    <w:rsid w:val="0030708B"/>
    <w:rsid w:val="003078AE"/>
    <w:rsid w:val="00307B67"/>
    <w:rsid w:val="003104DD"/>
    <w:rsid w:val="003110FF"/>
    <w:rsid w:val="0031136B"/>
    <w:rsid w:val="003115BC"/>
    <w:rsid w:val="00311F3D"/>
    <w:rsid w:val="00312841"/>
    <w:rsid w:val="0031433D"/>
    <w:rsid w:val="00314B3A"/>
    <w:rsid w:val="00314BCF"/>
    <w:rsid w:val="0031529E"/>
    <w:rsid w:val="0031562A"/>
    <w:rsid w:val="003162C1"/>
    <w:rsid w:val="00316757"/>
    <w:rsid w:val="00317101"/>
    <w:rsid w:val="0031768E"/>
    <w:rsid w:val="00317CDF"/>
    <w:rsid w:val="00317F24"/>
    <w:rsid w:val="00321041"/>
    <w:rsid w:val="00321389"/>
    <w:rsid w:val="00321458"/>
    <w:rsid w:val="00321A16"/>
    <w:rsid w:val="00322D28"/>
    <w:rsid w:val="00322E71"/>
    <w:rsid w:val="00323520"/>
    <w:rsid w:val="00323F98"/>
    <w:rsid w:val="003261EA"/>
    <w:rsid w:val="003273C0"/>
    <w:rsid w:val="00327502"/>
    <w:rsid w:val="00327638"/>
    <w:rsid w:val="00327770"/>
    <w:rsid w:val="00327863"/>
    <w:rsid w:val="0033016E"/>
    <w:rsid w:val="003314F7"/>
    <w:rsid w:val="0033178E"/>
    <w:rsid w:val="00331F31"/>
    <w:rsid w:val="003329AC"/>
    <w:rsid w:val="0033340E"/>
    <w:rsid w:val="003340A0"/>
    <w:rsid w:val="00335D4C"/>
    <w:rsid w:val="003365DC"/>
    <w:rsid w:val="00341124"/>
    <w:rsid w:val="003418FA"/>
    <w:rsid w:val="00341F93"/>
    <w:rsid w:val="003421A9"/>
    <w:rsid w:val="00342EAC"/>
    <w:rsid w:val="003445CD"/>
    <w:rsid w:val="00344642"/>
    <w:rsid w:val="0034497F"/>
    <w:rsid w:val="00345DA9"/>
    <w:rsid w:val="00346B48"/>
    <w:rsid w:val="00346F1E"/>
    <w:rsid w:val="0034731A"/>
    <w:rsid w:val="00347D56"/>
    <w:rsid w:val="00350CF9"/>
    <w:rsid w:val="00351787"/>
    <w:rsid w:val="0035218B"/>
    <w:rsid w:val="003521BF"/>
    <w:rsid w:val="00352C04"/>
    <w:rsid w:val="00352D1E"/>
    <w:rsid w:val="00353F31"/>
    <w:rsid w:val="003553A4"/>
    <w:rsid w:val="00355C22"/>
    <w:rsid w:val="00355FD7"/>
    <w:rsid w:val="00356814"/>
    <w:rsid w:val="00356D04"/>
    <w:rsid w:val="00356DCB"/>
    <w:rsid w:val="00357944"/>
    <w:rsid w:val="00360F1A"/>
    <w:rsid w:val="00361524"/>
    <w:rsid w:val="003638FC"/>
    <w:rsid w:val="00363AEB"/>
    <w:rsid w:val="00364495"/>
    <w:rsid w:val="00364522"/>
    <w:rsid w:val="00364D9F"/>
    <w:rsid w:val="00365595"/>
    <w:rsid w:val="0036590E"/>
    <w:rsid w:val="0036693F"/>
    <w:rsid w:val="00366990"/>
    <w:rsid w:val="00366B24"/>
    <w:rsid w:val="0036713C"/>
    <w:rsid w:val="0036765F"/>
    <w:rsid w:val="00370784"/>
    <w:rsid w:val="00370890"/>
    <w:rsid w:val="00370C5B"/>
    <w:rsid w:val="00370D7B"/>
    <w:rsid w:val="00371487"/>
    <w:rsid w:val="00371880"/>
    <w:rsid w:val="00371965"/>
    <w:rsid w:val="00371A3A"/>
    <w:rsid w:val="003723C6"/>
    <w:rsid w:val="003730DB"/>
    <w:rsid w:val="00373358"/>
    <w:rsid w:val="0037397E"/>
    <w:rsid w:val="00373DFE"/>
    <w:rsid w:val="00373EFB"/>
    <w:rsid w:val="003746DF"/>
    <w:rsid w:val="00374CC9"/>
    <w:rsid w:val="00374CEA"/>
    <w:rsid w:val="00375173"/>
    <w:rsid w:val="003763C5"/>
    <w:rsid w:val="003763EE"/>
    <w:rsid w:val="00376ABC"/>
    <w:rsid w:val="00376B7B"/>
    <w:rsid w:val="003775D4"/>
    <w:rsid w:val="003806D8"/>
    <w:rsid w:val="003808DD"/>
    <w:rsid w:val="00381710"/>
    <w:rsid w:val="003826BD"/>
    <w:rsid w:val="00382AAD"/>
    <w:rsid w:val="00382C60"/>
    <w:rsid w:val="00382F82"/>
    <w:rsid w:val="00385163"/>
    <w:rsid w:val="003857AB"/>
    <w:rsid w:val="003863C2"/>
    <w:rsid w:val="003865FD"/>
    <w:rsid w:val="003868FE"/>
    <w:rsid w:val="00390064"/>
    <w:rsid w:val="003902DA"/>
    <w:rsid w:val="0039034E"/>
    <w:rsid w:val="00390AD6"/>
    <w:rsid w:val="0039114A"/>
    <w:rsid w:val="0039233A"/>
    <w:rsid w:val="003925D0"/>
    <w:rsid w:val="00392740"/>
    <w:rsid w:val="00392FF4"/>
    <w:rsid w:val="00393718"/>
    <w:rsid w:val="00394608"/>
    <w:rsid w:val="00394916"/>
    <w:rsid w:val="0039522B"/>
    <w:rsid w:val="00395B16"/>
    <w:rsid w:val="00396436"/>
    <w:rsid w:val="00396A18"/>
    <w:rsid w:val="00396B0A"/>
    <w:rsid w:val="00397610"/>
    <w:rsid w:val="00397C2C"/>
    <w:rsid w:val="003A0143"/>
    <w:rsid w:val="003A03E3"/>
    <w:rsid w:val="003A0F77"/>
    <w:rsid w:val="003A1631"/>
    <w:rsid w:val="003A28CF"/>
    <w:rsid w:val="003A2B1F"/>
    <w:rsid w:val="003A3174"/>
    <w:rsid w:val="003A3261"/>
    <w:rsid w:val="003A3DB5"/>
    <w:rsid w:val="003A4F1C"/>
    <w:rsid w:val="003A52CD"/>
    <w:rsid w:val="003A55F1"/>
    <w:rsid w:val="003A5DF9"/>
    <w:rsid w:val="003A5E83"/>
    <w:rsid w:val="003A71A7"/>
    <w:rsid w:val="003B108A"/>
    <w:rsid w:val="003B2029"/>
    <w:rsid w:val="003B21C5"/>
    <w:rsid w:val="003B2277"/>
    <w:rsid w:val="003B2402"/>
    <w:rsid w:val="003B2CA3"/>
    <w:rsid w:val="003B5156"/>
    <w:rsid w:val="003B5207"/>
    <w:rsid w:val="003B5318"/>
    <w:rsid w:val="003B5550"/>
    <w:rsid w:val="003B5719"/>
    <w:rsid w:val="003B65F5"/>
    <w:rsid w:val="003B6CF2"/>
    <w:rsid w:val="003B7710"/>
    <w:rsid w:val="003B7852"/>
    <w:rsid w:val="003C021D"/>
    <w:rsid w:val="003C06DF"/>
    <w:rsid w:val="003C091F"/>
    <w:rsid w:val="003C0A12"/>
    <w:rsid w:val="003C0D15"/>
    <w:rsid w:val="003C11A1"/>
    <w:rsid w:val="003C23D8"/>
    <w:rsid w:val="003C39F4"/>
    <w:rsid w:val="003C3A67"/>
    <w:rsid w:val="003C3D1C"/>
    <w:rsid w:val="003C3FF6"/>
    <w:rsid w:val="003C4196"/>
    <w:rsid w:val="003C446A"/>
    <w:rsid w:val="003C478F"/>
    <w:rsid w:val="003C5206"/>
    <w:rsid w:val="003C5662"/>
    <w:rsid w:val="003C57A8"/>
    <w:rsid w:val="003C5A90"/>
    <w:rsid w:val="003C5DCA"/>
    <w:rsid w:val="003C6CF8"/>
    <w:rsid w:val="003C7920"/>
    <w:rsid w:val="003C7F6A"/>
    <w:rsid w:val="003D03F6"/>
    <w:rsid w:val="003D0768"/>
    <w:rsid w:val="003D0815"/>
    <w:rsid w:val="003D0B84"/>
    <w:rsid w:val="003D15B6"/>
    <w:rsid w:val="003D207B"/>
    <w:rsid w:val="003D3676"/>
    <w:rsid w:val="003D425A"/>
    <w:rsid w:val="003D4D14"/>
    <w:rsid w:val="003D50D1"/>
    <w:rsid w:val="003D5789"/>
    <w:rsid w:val="003D67E2"/>
    <w:rsid w:val="003D7DCC"/>
    <w:rsid w:val="003E0115"/>
    <w:rsid w:val="003E04BB"/>
    <w:rsid w:val="003E0FCC"/>
    <w:rsid w:val="003E1539"/>
    <w:rsid w:val="003E1938"/>
    <w:rsid w:val="003E1EBA"/>
    <w:rsid w:val="003E3EA0"/>
    <w:rsid w:val="003E78A1"/>
    <w:rsid w:val="003E7CF9"/>
    <w:rsid w:val="003E7E68"/>
    <w:rsid w:val="003F063B"/>
    <w:rsid w:val="003F0E6B"/>
    <w:rsid w:val="003F1969"/>
    <w:rsid w:val="003F2BDE"/>
    <w:rsid w:val="003F44BB"/>
    <w:rsid w:val="003F573D"/>
    <w:rsid w:val="003F5853"/>
    <w:rsid w:val="003F6CFB"/>
    <w:rsid w:val="003F7D5D"/>
    <w:rsid w:val="003F7EBE"/>
    <w:rsid w:val="004017AF"/>
    <w:rsid w:val="00401AE6"/>
    <w:rsid w:val="0040201F"/>
    <w:rsid w:val="0040212B"/>
    <w:rsid w:val="00402274"/>
    <w:rsid w:val="004022C7"/>
    <w:rsid w:val="0040271B"/>
    <w:rsid w:val="00402B3C"/>
    <w:rsid w:val="00403619"/>
    <w:rsid w:val="004039DE"/>
    <w:rsid w:val="00403BE6"/>
    <w:rsid w:val="00404603"/>
    <w:rsid w:val="00404F63"/>
    <w:rsid w:val="0040530B"/>
    <w:rsid w:val="0040554F"/>
    <w:rsid w:val="00405631"/>
    <w:rsid w:val="00405A04"/>
    <w:rsid w:val="00405B4F"/>
    <w:rsid w:val="00405BB3"/>
    <w:rsid w:val="00406E53"/>
    <w:rsid w:val="00407C9B"/>
    <w:rsid w:val="00410E3A"/>
    <w:rsid w:val="00411340"/>
    <w:rsid w:val="00411749"/>
    <w:rsid w:val="00411B39"/>
    <w:rsid w:val="00413330"/>
    <w:rsid w:val="0041411C"/>
    <w:rsid w:val="004143B5"/>
    <w:rsid w:val="00414B56"/>
    <w:rsid w:val="0041556E"/>
    <w:rsid w:val="004155AF"/>
    <w:rsid w:val="00415677"/>
    <w:rsid w:val="004158D0"/>
    <w:rsid w:val="00415A0E"/>
    <w:rsid w:val="00416034"/>
    <w:rsid w:val="004161BF"/>
    <w:rsid w:val="004169B6"/>
    <w:rsid w:val="00416A10"/>
    <w:rsid w:val="004173AB"/>
    <w:rsid w:val="004217DE"/>
    <w:rsid w:val="004219CB"/>
    <w:rsid w:val="00421A22"/>
    <w:rsid w:val="00421D44"/>
    <w:rsid w:val="00422039"/>
    <w:rsid w:val="00422CF3"/>
    <w:rsid w:val="004235DE"/>
    <w:rsid w:val="00425098"/>
    <w:rsid w:val="00425E36"/>
    <w:rsid w:val="004266AF"/>
    <w:rsid w:val="00426B9E"/>
    <w:rsid w:val="0042777A"/>
    <w:rsid w:val="0043096A"/>
    <w:rsid w:val="00430BD0"/>
    <w:rsid w:val="00431407"/>
    <w:rsid w:val="00431C15"/>
    <w:rsid w:val="004325D6"/>
    <w:rsid w:val="00432B8C"/>
    <w:rsid w:val="00432F1D"/>
    <w:rsid w:val="00433899"/>
    <w:rsid w:val="0043405A"/>
    <w:rsid w:val="0043406D"/>
    <w:rsid w:val="0043425F"/>
    <w:rsid w:val="004346FC"/>
    <w:rsid w:val="00435A07"/>
    <w:rsid w:val="00435D46"/>
    <w:rsid w:val="004367F4"/>
    <w:rsid w:val="00437C93"/>
    <w:rsid w:val="00440A17"/>
    <w:rsid w:val="00440B48"/>
    <w:rsid w:val="00440D3A"/>
    <w:rsid w:val="00441EAE"/>
    <w:rsid w:val="00441F53"/>
    <w:rsid w:val="004427A8"/>
    <w:rsid w:val="00442A73"/>
    <w:rsid w:val="004438DC"/>
    <w:rsid w:val="00443EEC"/>
    <w:rsid w:val="00444AFE"/>
    <w:rsid w:val="00444D8C"/>
    <w:rsid w:val="004452AA"/>
    <w:rsid w:val="00445516"/>
    <w:rsid w:val="00445AC0"/>
    <w:rsid w:val="004467A1"/>
    <w:rsid w:val="004475D8"/>
    <w:rsid w:val="004501C6"/>
    <w:rsid w:val="004504CF"/>
    <w:rsid w:val="00450948"/>
    <w:rsid w:val="00450B34"/>
    <w:rsid w:val="004525D3"/>
    <w:rsid w:val="00452A30"/>
    <w:rsid w:val="00452F4B"/>
    <w:rsid w:val="00453642"/>
    <w:rsid w:val="00453FB1"/>
    <w:rsid w:val="0045415A"/>
    <w:rsid w:val="004547FD"/>
    <w:rsid w:val="00454AF8"/>
    <w:rsid w:val="0045555A"/>
    <w:rsid w:val="004555B4"/>
    <w:rsid w:val="004557B0"/>
    <w:rsid w:val="0045582B"/>
    <w:rsid w:val="00455B5A"/>
    <w:rsid w:val="00455FF9"/>
    <w:rsid w:val="0045634B"/>
    <w:rsid w:val="00456EE6"/>
    <w:rsid w:val="004573D1"/>
    <w:rsid w:val="00457509"/>
    <w:rsid w:val="00457836"/>
    <w:rsid w:val="004604B2"/>
    <w:rsid w:val="004604DD"/>
    <w:rsid w:val="004611DC"/>
    <w:rsid w:val="004614A2"/>
    <w:rsid w:val="00461CE2"/>
    <w:rsid w:val="00461E6C"/>
    <w:rsid w:val="004628D8"/>
    <w:rsid w:val="00463118"/>
    <w:rsid w:val="00464AAD"/>
    <w:rsid w:val="00465429"/>
    <w:rsid w:val="0046547D"/>
    <w:rsid w:val="0046551B"/>
    <w:rsid w:val="0046559B"/>
    <w:rsid w:val="00465E81"/>
    <w:rsid w:val="0046650D"/>
    <w:rsid w:val="00466ED0"/>
    <w:rsid w:val="00467136"/>
    <w:rsid w:val="00467142"/>
    <w:rsid w:val="00467A71"/>
    <w:rsid w:val="00470088"/>
    <w:rsid w:val="004703E0"/>
    <w:rsid w:val="004705C6"/>
    <w:rsid w:val="00470886"/>
    <w:rsid w:val="00471760"/>
    <w:rsid w:val="00471B52"/>
    <w:rsid w:val="00471E87"/>
    <w:rsid w:val="00472C5A"/>
    <w:rsid w:val="00473BD8"/>
    <w:rsid w:val="00473EB3"/>
    <w:rsid w:val="004748CF"/>
    <w:rsid w:val="00474C93"/>
    <w:rsid w:val="00475533"/>
    <w:rsid w:val="004772DB"/>
    <w:rsid w:val="004773A7"/>
    <w:rsid w:val="00477FE0"/>
    <w:rsid w:val="004814F4"/>
    <w:rsid w:val="00483093"/>
    <w:rsid w:val="00483279"/>
    <w:rsid w:val="004833D4"/>
    <w:rsid w:val="00485C4C"/>
    <w:rsid w:val="00485ED0"/>
    <w:rsid w:val="00486A7E"/>
    <w:rsid w:val="00486B9F"/>
    <w:rsid w:val="00487719"/>
    <w:rsid w:val="00487B7A"/>
    <w:rsid w:val="004900E1"/>
    <w:rsid w:val="004906C9"/>
    <w:rsid w:val="00490DD7"/>
    <w:rsid w:val="00491216"/>
    <w:rsid w:val="00491F1A"/>
    <w:rsid w:val="00491F59"/>
    <w:rsid w:val="004920AD"/>
    <w:rsid w:val="00493621"/>
    <w:rsid w:val="00493DB8"/>
    <w:rsid w:val="00493EEB"/>
    <w:rsid w:val="004948C9"/>
    <w:rsid w:val="004949CD"/>
    <w:rsid w:val="004950F2"/>
    <w:rsid w:val="00495335"/>
    <w:rsid w:val="0049658B"/>
    <w:rsid w:val="00496F29"/>
    <w:rsid w:val="00496F30"/>
    <w:rsid w:val="004A0012"/>
    <w:rsid w:val="004A030A"/>
    <w:rsid w:val="004A18EA"/>
    <w:rsid w:val="004A29D0"/>
    <w:rsid w:val="004A29DE"/>
    <w:rsid w:val="004A2B75"/>
    <w:rsid w:val="004A2D31"/>
    <w:rsid w:val="004A3371"/>
    <w:rsid w:val="004A3E48"/>
    <w:rsid w:val="004A4201"/>
    <w:rsid w:val="004A446A"/>
    <w:rsid w:val="004A468F"/>
    <w:rsid w:val="004A4756"/>
    <w:rsid w:val="004A48C3"/>
    <w:rsid w:val="004A5A19"/>
    <w:rsid w:val="004A623C"/>
    <w:rsid w:val="004A6292"/>
    <w:rsid w:val="004A7F74"/>
    <w:rsid w:val="004A7FB5"/>
    <w:rsid w:val="004B058D"/>
    <w:rsid w:val="004B0631"/>
    <w:rsid w:val="004B2B91"/>
    <w:rsid w:val="004B3B9E"/>
    <w:rsid w:val="004B3E9D"/>
    <w:rsid w:val="004B4235"/>
    <w:rsid w:val="004B4342"/>
    <w:rsid w:val="004B440A"/>
    <w:rsid w:val="004B4A70"/>
    <w:rsid w:val="004B50B2"/>
    <w:rsid w:val="004B562C"/>
    <w:rsid w:val="004B5C33"/>
    <w:rsid w:val="004B6062"/>
    <w:rsid w:val="004B656B"/>
    <w:rsid w:val="004B69B9"/>
    <w:rsid w:val="004B6E8D"/>
    <w:rsid w:val="004B70B4"/>
    <w:rsid w:val="004B79D3"/>
    <w:rsid w:val="004B7EAC"/>
    <w:rsid w:val="004C0BBD"/>
    <w:rsid w:val="004C0D1D"/>
    <w:rsid w:val="004C109D"/>
    <w:rsid w:val="004C116D"/>
    <w:rsid w:val="004C1D23"/>
    <w:rsid w:val="004C2C03"/>
    <w:rsid w:val="004C36E7"/>
    <w:rsid w:val="004C425F"/>
    <w:rsid w:val="004C47D7"/>
    <w:rsid w:val="004C59CD"/>
    <w:rsid w:val="004C5DB6"/>
    <w:rsid w:val="004C5E59"/>
    <w:rsid w:val="004C652E"/>
    <w:rsid w:val="004C6FFE"/>
    <w:rsid w:val="004C70EA"/>
    <w:rsid w:val="004C761F"/>
    <w:rsid w:val="004C7AA9"/>
    <w:rsid w:val="004C7BD0"/>
    <w:rsid w:val="004C7DA1"/>
    <w:rsid w:val="004D0242"/>
    <w:rsid w:val="004D14AC"/>
    <w:rsid w:val="004D227B"/>
    <w:rsid w:val="004D408F"/>
    <w:rsid w:val="004D582D"/>
    <w:rsid w:val="004D5CB1"/>
    <w:rsid w:val="004D62BF"/>
    <w:rsid w:val="004D69FD"/>
    <w:rsid w:val="004D6A34"/>
    <w:rsid w:val="004D7DC5"/>
    <w:rsid w:val="004E0F8C"/>
    <w:rsid w:val="004E1640"/>
    <w:rsid w:val="004E209E"/>
    <w:rsid w:val="004E26A6"/>
    <w:rsid w:val="004E33BB"/>
    <w:rsid w:val="004E5047"/>
    <w:rsid w:val="004E5855"/>
    <w:rsid w:val="004E63EF"/>
    <w:rsid w:val="004E66FF"/>
    <w:rsid w:val="004F02B5"/>
    <w:rsid w:val="004F0DD7"/>
    <w:rsid w:val="004F1785"/>
    <w:rsid w:val="004F2006"/>
    <w:rsid w:val="004F2175"/>
    <w:rsid w:val="004F27FE"/>
    <w:rsid w:val="004F4A43"/>
    <w:rsid w:val="004F5421"/>
    <w:rsid w:val="004F5882"/>
    <w:rsid w:val="004F60AB"/>
    <w:rsid w:val="004F62FA"/>
    <w:rsid w:val="004F663C"/>
    <w:rsid w:val="004F6833"/>
    <w:rsid w:val="004F7B46"/>
    <w:rsid w:val="005006D6"/>
    <w:rsid w:val="00500897"/>
    <w:rsid w:val="00500ABF"/>
    <w:rsid w:val="00500C29"/>
    <w:rsid w:val="00501367"/>
    <w:rsid w:val="005014C4"/>
    <w:rsid w:val="00501711"/>
    <w:rsid w:val="005055A8"/>
    <w:rsid w:val="005057AD"/>
    <w:rsid w:val="00506098"/>
    <w:rsid w:val="00506276"/>
    <w:rsid w:val="00510041"/>
    <w:rsid w:val="005109C2"/>
    <w:rsid w:val="005114D4"/>
    <w:rsid w:val="005115D5"/>
    <w:rsid w:val="00511670"/>
    <w:rsid w:val="00511CBB"/>
    <w:rsid w:val="00512622"/>
    <w:rsid w:val="00512CBC"/>
    <w:rsid w:val="00512FE6"/>
    <w:rsid w:val="005132AF"/>
    <w:rsid w:val="00514680"/>
    <w:rsid w:val="00514BAB"/>
    <w:rsid w:val="005158D3"/>
    <w:rsid w:val="00515DF3"/>
    <w:rsid w:val="00515EDE"/>
    <w:rsid w:val="00515FF5"/>
    <w:rsid w:val="00516724"/>
    <w:rsid w:val="00516AE9"/>
    <w:rsid w:val="00516E46"/>
    <w:rsid w:val="00517B7F"/>
    <w:rsid w:val="00517D13"/>
    <w:rsid w:val="0052036B"/>
    <w:rsid w:val="00520697"/>
    <w:rsid w:val="0052206C"/>
    <w:rsid w:val="00522605"/>
    <w:rsid w:val="0052264F"/>
    <w:rsid w:val="00523327"/>
    <w:rsid w:val="005234DA"/>
    <w:rsid w:val="00523A85"/>
    <w:rsid w:val="00523E3B"/>
    <w:rsid w:val="00524192"/>
    <w:rsid w:val="005243FB"/>
    <w:rsid w:val="00524FA0"/>
    <w:rsid w:val="005251E8"/>
    <w:rsid w:val="00525B58"/>
    <w:rsid w:val="00525E41"/>
    <w:rsid w:val="00525F2B"/>
    <w:rsid w:val="005265E2"/>
    <w:rsid w:val="00526EE1"/>
    <w:rsid w:val="00527571"/>
    <w:rsid w:val="0053023F"/>
    <w:rsid w:val="00530892"/>
    <w:rsid w:val="00531129"/>
    <w:rsid w:val="005312EA"/>
    <w:rsid w:val="0053194C"/>
    <w:rsid w:val="00531E0E"/>
    <w:rsid w:val="00532254"/>
    <w:rsid w:val="00534DA5"/>
    <w:rsid w:val="00534F50"/>
    <w:rsid w:val="00535058"/>
    <w:rsid w:val="005357A4"/>
    <w:rsid w:val="00535F14"/>
    <w:rsid w:val="0053644C"/>
    <w:rsid w:val="00536C5A"/>
    <w:rsid w:val="005371DE"/>
    <w:rsid w:val="005373D3"/>
    <w:rsid w:val="005378FE"/>
    <w:rsid w:val="0053790C"/>
    <w:rsid w:val="005406A3"/>
    <w:rsid w:val="00540856"/>
    <w:rsid w:val="00540F73"/>
    <w:rsid w:val="00541214"/>
    <w:rsid w:val="005413F0"/>
    <w:rsid w:val="00541A8F"/>
    <w:rsid w:val="00541FAC"/>
    <w:rsid w:val="005421A5"/>
    <w:rsid w:val="0054364A"/>
    <w:rsid w:val="0054389C"/>
    <w:rsid w:val="005444A5"/>
    <w:rsid w:val="005452E3"/>
    <w:rsid w:val="0054580B"/>
    <w:rsid w:val="005461A0"/>
    <w:rsid w:val="00546D14"/>
    <w:rsid w:val="0054715C"/>
    <w:rsid w:val="00547640"/>
    <w:rsid w:val="00547B67"/>
    <w:rsid w:val="00550FD9"/>
    <w:rsid w:val="005514C3"/>
    <w:rsid w:val="005518BE"/>
    <w:rsid w:val="00551D62"/>
    <w:rsid w:val="00551F3C"/>
    <w:rsid w:val="005529D3"/>
    <w:rsid w:val="00552AE5"/>
    <w:rsid w:val="00552C78"/>
    <w:rsid w:val="00553601"/>
    <w:rsid w:val="00553E9A"/>
    <w:rsid w:val="00553EED"/>
    <w:rsid w:val="0055447E"/>
    <w:rsid w:val="00554A1F"/>
    <w:rsid w:val="0055538C"/>
    <w:rsid w:val="005566C9"/>
    <w:rsid w:val="00557899"/>
    <w:rsid w:val="00561B42"/>
    <w:rsid w:val="00561B5F"/>
    <w:rsid w:val="00562AE3"/>
    <w:rsid w:val="00563579"/>
    <w:rsid w:val="0056371D"/>
    <w:rsid w:val="00563FF3"/>
    <w:rsid w:val="0056485B"/>
    <w:rsid w:val="0056515F"/>
    <w:rsid w:val="005655EF"/>
    <w:rsid w:val="00565E46"/>
    <w:rsid w:val="005661CB"/>
    <w:rsid w:val="005662A0"/>
    <w:rsid w:val="005663C4"/>
    <w:rsid w:val="00566613"/>
    <w:rsid w:val="0056764F"/>
    <w:rsid w:val="00567813"/>
    <w:rsid w:val="00570699"/>
    <w:rsid w:val="00570810"/>
    <w:rsid w:val="00570A2C"/>
    <w:rsid w:val="00572C24"/>
    <w:rsid w:val="00573211"/>
    <w:rsid w:val="00573669"/>
    <w:rsid w:val="005736D9"/>
    <w:rsid w:val="00573833"/>
    <w:rsid w:val="0057481B"/>
    <w:rsid w:val="00574848"/>
    <w:rsid w:val="00574D76"/>
    <w:rsid w:val="00575C25"/>
    <w:rsid w:val="005761EB"/>
    <w:rsid w:val="005765BC"/>
    <w:rsid w:val="005769DC"/>
    <w:rsid w:val="00577F8F"/>
    <w:rsid w:val="00580414"/>
    <w:rsid w:val="005807D0"/>
    <w:rsid w:val="0058279C"/>
    <w:rsid w:val="005830BB"/>
    <w:rsid w:val="00584290"/>
    <w:rsid w:val="0058462C"/>
    <w:rsid w:val="0058541B"/>
    <w:rsid w:val="00585545"/>
    <w:rsid w:val="0058561B"/>
    <w:rsid w:val="00585D82"/>
    <w:rsid w:val="00585EB5"/>
    <w:rsid w:val="00586201"/>
    <w:rsid w:val="0058667F"/>
    <w:rsid w:val="005867D4"/>
    <w:rsid w:val="0058688D"/>
    <w:rsid w:val="00586B4B"/>
    <w:rsid w:val="00587945"/>
    <w:rsid w:val="00590DDE"/>
    <w:rsid w:val="0059410B"/>
    <w:rsid w:val="00594965"/>
    <w:rsid w:val="005950A6"/>
    <w:rsid w:val="00595835"/>
    <w:rsid w:val="00595E9F"/>
    <w:rsid w:val="00596843"/>
    <w:rsid w:val="00596914"/>
    <w:rsid w:val="0059699F"/>
    <w:rsid w:val="00596B3C"/>
    <w:rsid w:val="005979A2"/>
    <w:rsid w:val="005A103A"/>
    <w:rsid w:val="005A14EC"/>
    <w:rsid w:val="005A152B"/>
    <w:rsid w:val="005A18C0"/>
    <w:rsid w:val="005A1DC2"/>
    <w:rsid w:val="005A2570"/>
    <w:rsid w:val="005A3840"/>
    <w:rsid w:val="005A407A"/>
    <w:rsid w:val="005A4D00"/>
    <w:rsid w:val="005A50AC"/>
    <w:rsid w:val="005A56F0"/>
    <w:rsid w:val="005A5FA2"/>
    <w:rsid w:val="005A6152"/>
    <w:rsid w:val="005A63CB"/>
    <w:rsid w:val="005A6F69"/>
    <w:rsid w:val="005A77DF"/>
    <w:rsid w:val="005B0A20"/>
    <w:rsid w:val="005B0E11"/>
    <w:rsid w:val="005B157E"/>
    <w:rsid w:val="005B1A0D"/>
    <w:rsid w:val="005B210A"/>
    <w:rsid w:val="005B21D2"/>
    <w:rsid w:val="005B4385"/>
    <w:rsid w:val="005B45FE"/>
    <w:rsid w:val="005B47CC"/>
    <w:rsid w:val="005B554A"/>
    <w:rsid w:val="005B7F05"/>
    <w:rsid w:val="005C0E01"/>
    <w:rsid w:val="005C1974"/>
    <w:rsid w:val="005C205C"/>
    <w:rsid w:val="005C28D3"/>
    <w:rsid w:val="005C2AD1"/>
    <w:rsid w:val="005C2F4C"/>
    <w:rsid w:val="005C3376"/>
    <w:rsid w:val="005C34D9"/>
    <w:rsid w:val="005C3729"/>
    <w:rsid w:val="005C394D"/>
    <w:rsid w:val="005C5649"/>
    <w:rsid w:val="005C5CDF"/>
    <w:rsid w:val="005C61B6"/>
    <w:rsid w:val="005C655B"/>
    <w:rsid w:val="005C6A75"/>
    <w:rsid w:val="005C6D48"/>
    <w:rsid w:val="005C6EE9"/>
    <w:rsid w:val="005C740C"/>
    <w:rsid w:val="005C781C"/>
    <w:rsid w:val="005C7C12"/>
    <w:rsid w:val="005C7CA8"/>
    <w:rsid w:val="005D0542"/>
    <w:rsid w:val="005D1301"/>
    <w:rsid w:val="005D27D1"/>
    <w:rsid w:val="005D35ED"/>
    <w:rsid w:val="005D3DF3"/>
    <w:rsid w:val="005E04A3"/>
    <w:rsid w:val="005E054A"/>
    <w:rsid w:val="005E0631"/>
    <w:rsid w:val="005E064B"/>
    <w:rsid w:val="005E095A"/>
    <w:rsid w:val="005E24DE"/>
    <w:rsid w:val="005E2885"/>
    <w:rsid w:val="005E3C8B"/>
    <w:rsid w:val="005E4726"/>
    <w:rsid w:val="005E4A7B"/>
    <w:rsid w:val="005E5E1A"/>
    <w:rsid w:val="005E5F69"/>
    <w:rsid w:val="005E677E"/>
    <w:rsid w:val="005E69F9"/>
    <w:rsid w:val="005E6E57"/>
    <w:rsid w:val="005E6FD8"/>
    <w:rsid w:val="005E70E7"/>
    <w:rsid w:val="005E77F6"/>
    <w:rsid w:val="005F08E5"/>
    <w:rsid w:val="005F0D08"/>
    <w:rsid w:val="005F0FE6"/>
    <w:rsid w:val="005F1593"/>
    <w:rsid w:val="005F1DDC"/>
    <w:rsid w:val="005F2194"/>
    <w:rsid w:val="005F236B"/>
    <w:rsid w:val="005F3899"/>
    <w:rsid w:val="005F3E57"/>
    <w:rsid w:val="005F41EE"/>
    <w:rsid w:val="005F4642"/>
    <w:rsid w:val="005F4CBE"/>
    <w:rsid w:val="005F4CCA"/>
    <w:rsid w:val="005F5376"/>
    <w:rsid w:val="005F5D33"/>
    <w:rsid w:val="005F6496"/>
    <w:rsid w:val="005F6C8C"/>
    <w:rsid w:val="005F7FF6"/>
    <w:rsid w:val="00600DE6"/>
    <w:rsid w:val="006020BD"/>
    <w:rsid w:val="0060220C"/>
    <w:rsid w:val="00603DDF"/>
    <w:rsid w:val="006060A2"/>
    <w:rsid w:val="006060C0"/>
    <w:rsid w:val="00607239"/>
    <w:rsid w:val="00607AA8"/>
    <w:rsid w:val="00607C8C"/>
    <w:rsid w:val="00607F57"/>
    <w:rsid w:val="00607F8B"/>
    <w:rsid w:val="006102F7"/>
    <w:rsid w:val="006104AD"/>
    <w:rsid w:val="00611021"/>
    <w:rsid w:val="006110AE"/>
    <w:rsid w:val="0061264C"/>
    <w:rsid w:val="00613131"/>
    <w:rsid w:val="006135A1"/>
    <w:rsid w:val="00613F96"/>
    <w:rsid w:val="006140D4"/>
    <w:rsid w:val="00614627"/>
    <w:rsid w:val="006156E5"/>
    <w:rsid w:val="00616C50"/>
    <w:rsid w:val="006176FB"/>
    <w:rsid w:val="006201CE"/>
    <w:rsid w:val="00621A1E"/>
    <w:rsid w:val="006220CF"/>
    <w:rsid w:val="00622E6A"/>
    <w:rsid w:val="00622E8F"/>
    <w:rsid w:val="00624504"/>
    <w:rsid w:val="006272DA"/>
    <w:rsid w:val="006310E0"/>
    <w:rsid w:val="00631E52"/>
    <w:rsid w:val="0063295E"/>
    <w:rsid w:val="00632CB3"/>
    <w:rsid w:val="00632D40"/>
    <w:rsid w:val="00633378"/>
    <w:rsid w:val="006337C9"/>
    <w:rsid w:val="006338E9"/>
    <w:rsid w:val="006343D2"/>
    <w:rsid w:val="006346F9"/>
    <w:rsid w:val="00635CFE"/>
    <w:rsid w:val="00637D50"/>
    <w:rsid w:val="0064006B"/>
    <w:rsid w:val="00640C66"/>
    <w:rsid w:val="00641DE3"/>
    <w:rsid w:val="00641DE6"/>
    <w:rsid w:val="0064277C"/>
    <w:rsid w:val="00642EDC"/>
    <w:rsid w:val="00642F39"/>
    <w:rsid w:val="006430DF"/>
    <w:rsid w:val="0064310C"/>
    <w:rsid w:val="00643C07"/>
    <w:rsid w:val="00643E78"/>
    <w:rsid w:val="00643F36"/>
    <w:rsid w:val="00643FA0"/>
    <w:rsid w:val="00645B0E"/>
    <w:rsid w:val="00646444"/>
    <w:rsid w:val="006464AD"/>
    <w:rsid w:val="00646916"/>
    <w:rsid w:val="00646BF2"/>
    <w:rsid w:val="00647509"/>
    <w:rsid w:val="0064791A"/>
    <w:rsid w:val="00647E69"/>
    <w:rsid w:val="0064937A"/>
    <w:rsid w:val="006510C8"/>
    <w:rsid w:val="00651B01"/>
    <w:rsid w:val="00652707"/>
    <w:rsid w:val="0065389E"/>
    <w:rsid w:val="00653E52"/>
    <w:rsid w:val="00653E81"/>
    <w:rsid w:val="00654755"/>
    <w:rsid w:val="00654E28"/>
    <w:rsid w:val="00655DAE"/>
    <w:rsid w:val="00655EE1"/>
    <w:rsid w:val="006560A4"/>
    <w:rsid w:val="00656A70"/>
    <w:rsid w:val="00656FC2"/>
    <w:rsid w:val="006573A1"/>
    <w:rsid w:val="00657714"/>
    <w:rsid w:val="00657C98"/>
    <w:rsid w:val="0066095C"/>
    <w:rsid w:val="00661B5B"/>
    <w:rsid w:val="006629E2"/>
    <w:rsid w:val="00662CF7"/>
    <w:rsid w:val="00663353"/>
    <w:rsid w:val="006637DD"/>
    <w:rsid w:val="0066441D"/>
    <w:rsid w:val="0066443B"/>
    <w:rsid w:val="00664D45"/>
    <w:rsid w:val="00665F6C"/>
    <w:rsid w:val="0066659E"/>
    <w:rsid w:val="006666F2"/>
    <w:rsid w:val="00666830"/>
    <w:rsid w:val="00667BC9"/>
    <w:rsid w:val="00670474"/>
    <w:rsid w:val="006705D6"/>
    <w:rsid w:val="00671C47"/>
    <w:rsid w:val="0067218A"/>
    <w:rsid w:val="006730B7"/>
    <w:rsid w:val="00673271"/>
    <w:rsid w:val="0067375E"/>
    <w:rsid w:val="00674AE9"/>
    <w:rsid w:val="00674C13"/>
    <w:rsid w:val="006760EE"/>
    <w:rsid w:val="006764D9"/>
    <w:rsid w:val="00676A55"/>
    <w:rsid w:val="00677869"/>
    <w:rsid w:val="00677E95"/>
    <w:rsid w:val="006806A8"/>
    <w:rsid w:val="0068084B"/>
    <w:rsid w:val="006816D5"/>
    <w:rsid w:val="00681F2E"/>
    <w:rsid w:val="0068234C"/>
    <w:rsid w:val="00682668"/>
    <w:rsid w:val="00682B9C"/>
    <w:rsid w:val="00682E04"/>
    <w:rsid w:val="0068323D"/>
    <w:rsid w:val="00683386"/>
    <w:rsid w:val="006833E3"/>
    <w:rsid w:val="006834C6"/>
    <w:rsid w:val="00685DB7"/>
    <w:rsid w:val="00686100"/>
    <w:rsid w:val="00686CA1"/>
    <w:rsid w:val="00687C83"/>
    <w:rsid w:val="0069052E"/>
    <w:rsid w:val="006907E7"/>
    <w:rsid w:val="00690A45"/>
    <w:rsid w:val="00690ACB"/>
    <w:rsid w:val="00690FDB"/>
    <w:rsid w:val="00691716"/>
    <w:rsid w:val="006927E7"/>
    <w:rsid w:val="006933BF"/>
    <w:rsid w:val="00693403"/>
    <w:rsid w:val="00693761"/>
    <w:rsid w:val="0069396D"/>
    <w:rsid w:val="00693981"/>
    <w:rsid w:val="0069437B"/>
    <w:rsid w:val="00694655"/>
    <w:rsid w:val="006948EF"/>
    <w:rsid w:val="0069506D"/>
    <w:rsid w:val="006951AF"/>
    <w:rsid w:val="00695CF6"/>
    <w:rsid w:val="0069622C"/>
    <w:rsid w:val="0069751F"/>
    <w:rsid w:val="006979D5"/>
    <w:rsid w:val="00697CB9"/>
    <w:rsid w:val="00697EE5"/>
    <w:rsid w:val="006A128B"/>
    <w:rsid w:val="006A21B8"/>
    <w:rsid w:val="006A59C1"/>
    <w:rsid w:val="006A692C"/>
    <w:rsid w:val="006A6D74"/>
    <w:rsid w:val="006A75EA"/>
    <w:rsid w:val="006A7ADA"/>
    <w:rsid w:val="006B00E1"/>
    <w:rsid w:val="006B028A"/>
    <w:rsid w:val="006B2610"/>
    <w:rsid w:val="006B285C"/>
    <w:rsid w:val="006B2AC7"/>
    <w:rsid w:val="006B2BB3"/>
    <w:rsid w:val="006B4022"/>
    <w:rsid w:val="006B463B"/>
    <w:rsid w:val="006B4C68"/>
    <w:rsid w:val="006B4D98"/>
    <w:rsid w:val="006B4DAE"/>
    <w:rsid w:val="006B502A"/>
    <w:rsid w:val="006B56EB"/>
    <w:rsid w:val="006B61DF"/>
    <w:rsid w:val="006B64F7"/>
    <w:rsid w:val="006B701D"/>
    <w:rsid w:val="006B7939"/>
    <w:rsid w:val="006C06C9"/>
    <w:rsid w:val="006C0D51"/>
    <w:rsid w:val="006C1942"/>
    <w:rsid w:val="006C1C4F"/>
    <w:rsid w:val="006C259D"/>
    <w:rsid w:val="006C28B5"/>
    <w:rsid w:val="006C2DB6"/>
    <w:rsid w:val="006C47AF"/>
    <w:rsid w:val="006C553E"/>
    <w:rsid w:val="006C6242"/>
    <w:rsid w:val="006C677A"/>
    <w:rsid w:val="006C6FC9"/>
    <w:rsid w:val="006C710C"/>
    <w:rsid w:val="006D0E08"/>
    <w:rsid w:val="006D1D77"/>
    <w:rsid w:val="006D1FE2"/>
    <w:rsid w:val="006D2C2A"/>
    <w:rsid w:val="006D2CB6"/>
    <w:rsid w:val="006D2EC8"/>
    <w:rsid w:val="006D3701"/>
    <w:rsid w:val="006D415B"/>
    <w:rsid w:val="006D44FB"/>
    <w:rsid w:val="006D688C"/>
    <w:rsid w:val="006D68D9"/>
    <w:rsid w:val="006D7646"/>
    <w:rsid w:val="006E00BA"/>
    <w:rsid w:val="006E03D2"/>
    <w:rsid w:val="006E30D3"/>
    <w:rsid w:val="006E3420"/>
    <w:rsid w:val="006E3B42"/>
    <w:rsid w:val="006E4AD6"/>
    <w:rsid w:val="006E60E9"/>
    <w:rsid w:val="006F10F7"/>
    <w:rsid w:val="006F1D81"/>
    <w:rsid w:val="006F1E38"/>
    <w:rsid w:val="006F29AB"/>
    <w:rsid w:val="006F2A27"/>
    <w:rsid w:val="006F32D1"/>
    <w:rsid w:val="006F454A"/>
    <w:rsid w:val="006F4660"/>
    <w:rsid w:val="006F5136"/>
    <w:rsid w:val="006F5477"/>
    <w:rsid w:val="006F557A"/>
    <w:rsid w:val="006F5709"/>
    <w:rsid w:val="006F6A86"/>
    <w:rsid w:val="006F750E"/>
    <w:rsid w:val="00700376"/>
    <w:rsid w:val="0070057F"/>
    <w:rsid w:val="00700AFA"/>
    <w:rsid w:val="00701B4E"/>
    <w:rsid w:val="007031EB"/>
    <w:rsid w:val="00704B70"/>
    <w:rsid w:val="00704F0A"/>
    <w:rsid w:val="00705365"/>
    <w:rsid w:val="00706118"/>
    <w:rsid w:val="00707217"/>
    <w:rsid w:val="007077FA"/>
    <w:rsid w:val="0070785A"/>
    <w:rsid w:val="00707EA1"/>
    <w:rsid w:val="00710220"/>
    <w:rsid w:val="00710CEA"/>
    <w:rsid w:val="00710D3E"/>
    <w:rsid w:val="0071246E"/>
    <w:rsid w:val="0071320E"/>
    <w:rsid w:val="00713779"/>
    <w:rsid w:val="00713829"/>
    <w:rsid w:val="00714092"/>
    <w:rsid w:val="0071444C"/>
    <w:rsid w:val="00714D6F"/>
    <w:rsid w:val="00716CE2"/>
    <w:rsid w:val="00717866"/>
    <w:rsid w:val="007204A0"/>
    <w:rsid w:val="007209F3"/>
    <w:rsid w:val="00720A8F"/>
    <w:rsid w:val="00721533"/>
    <w:rsid w:val="00721556"/>
    <w:rsid w:val="0072251D"/>
    <w:rsid w:val="00722831"/>
    <w:rsid w:val="00722E58"/>
    <w:rsid w:val="00723B0A"/>
    <w:rsid w:val="007248E3"/>
    <w:rsid w:val="00724EE5"/>
    <w:rsid w:val="0072530B"/>
    <w:rsid w:val="00727041"/>
    <w:rsid w:val="00727301"/>
    <w:rsid w:val="0072748F"/>
    <w:rsid w:val="00727639"/>
    <w:rsid w:val="00727991"/>
    <w:rsid w:val="00730EBC"/>
    <w:rsid w:val="00731F42"/>
    <w:rsid w:val="00732726"/>
    <w:rsid w:val="0073390D"/>
    <w:rsid w:val="007340B4"/>
    <w:rsid w:val="007347EE"/>
    <w:rsid w:val="007348A0"/>
    <w:rsid w:val="00734AD1"/>
    <w:rsid w:val="007354E3"/>
    <w:rsid w:val="0073620B"/>
    <w:rsid w:val="007366B0"/>
    <w:rsid w:val="007367BD"/>
    <w:rsid w:val="007369B3"/>
    <w:rsid w:val="00736BA1"/>
    <w:rsid w:val="00736D14"/>
    <w:rsid w:val="007370FA"/>
    <w:rsid w:val="00737E7A"/>
    <w:rsid w:val="0074011D"/>
    <w:rsid w:val="00742061"/>
    <w:rsid w:val="00742A7E"/>
    <w:rsid w:val="007433A6"/>
    <w:rsid w:val="00743DD1"/>
    <w:rsid w:val="007441AB"/>
    <w:rsid w:val="007441E8"/>
    <w:rsid w:val="00744653"/>
    <w:rsid w:val="00744EA3"/>
    <w:rsid w:val="00745FDA"/>
    <w:rsid w:val="00746989"/>
    <w:rsid w:val="00746D8B"/>
    <w:rsid w:val="00746EBD"/>
    <w:rsid w:val="00746EF6"/>
    <w:rsid w:val="00747D3B"/>
    <w:rsid w:val="00750D69"/>
    <w:rsid w:val="00751E12"/>
    <w:rsid w:val="00752056"/>
    <w:rsid w:val="007527E7"/>
    <w:rsid w:val="00753420"/>
    <w:rsid w:val="00753588"/>
    <w:rsid w:val="007540EC"/>
    <w:rsid w:val="00754A18"/>
    <w:rsid w:val="00754FA0"/>
    <w:rsid w:val="007562E8"/>
    <w:rsid w:val="0075688A"/>
    <w:rsid w:val="007600B5"/>
    <w:rsid w:val="0076051D"/>
    <w:rsid w:val="00760D04"/>
    <w:rsid w:val="00760F0F"/>
    <w:rsid w:val="00761DD4"/>
    <w:rsid w:val="007644CF"/>
    <w:rsid w:val="007648D7"/>
    <w:rsid w:val="00764DD6"/>
    <w:rsid w:val="00764E9B"/>
    <w:rsid w:val="007657D9"/>
    <w:rsid w:val="00766567"/>
    <w:rsid w:val="00766786"/>
    <w:rsid w:val="007675FB"/>
    <w:rsid w:val="00767F43"/>
    <w:rsid w:val="0077052D"/>
    <w:rsid w:val="0077058E"/>
    <w:rsid w:val="00771DCF"/>
    <w:rsid w:val="007723D8"/>
    <w:rsid w:val="00773431"/>
    <w:rsid w:val="007738F6"/>
    <w:rsid w:val="00774010"/>
    <w:rsid w:val="00777067"/>
    <w:rsid w:val="00780341"/>
    <w:rsid w:val="007818F0"/>
    <w:rsid w:val="00781BBF"/>
    <w:rsid w:val="00782655"/>
    <w:rsid w:val="00782728"/>
    <w:rsid w:val="00782C3E"/>
    <w:rsid w:val="00782D49"/>
    <w:rsid w:val="00786681"/>
    <w:rsid w:val="007878E5"/>
    <w:rsid w:val="0079077A"/>
    <w:rsid w:val="00791D65"/>
    <w:rsid w:val="007922CA"/>
    <w:rsid w:val="00792DDA"/>
    <w:rsid w:val="007933FB"/>
    <w:rsid w:val="00793A35"/>
    <w:rsid w:val="00793EFD"/>
    <w:rsid w:val="00794A60"/>
    <w:rsid w:val="00794FA1"/>
    <w:rsid w:val="007956DA"/>
    <w:rsid w:val="007957C1"/>
    <w:rsid w:val="007958AF"/>
    <w:rsid w:val="00796815"/>
    <w:rsid w:val="007969B9"/>
    <w:rsid w:val="00796C41"/>
    <w:rsid w:val="00796CB0"/>
    <w:rsid w:val="00796DFA"/>
    <w:rsid w:val="0079712A"/>
    <w:rsid w:val="00797E20"/>
    <w:rsid w:val="007A0735"/>
    <w:rsid w:val="007A09A4"/>
    <w:rsid w:val="007A0B07"/>
    <w:rsid w:val="007A0FBC"/>
    <w:rsid w:val="007A12AC"/>
    <w:rsid w:val="007A1B16"/>
    <w:rsid w:val="007A2328"/>
    <w:rsid w:val="007A2952"/>
    <w:rsid w:val="007A2F40"/>
    <w:rsid w:val="007A3282"/>
    <w:rsid w:val="007A34AF"/>
    <w:rsid w:val="007A44C0"/>
    <w:rsid w:val="007A4686"/>
    <w:rsid w:val="007A4E82"/>
    <w:rsid w:val="007A536E"/>
    <w:rsid w:val="007A5C5D"/>
    <w:rsid w:val="007A6790"/>
    <w:rsid w:val="007A71BA"/>
    <w:rsid w:val="007A72FA"/>
    <w:rsid w:val="007A7F52"/>
    <w:rsid w:val="007B00E8"/>
    <w:rsid w:val="007B0916"/>
    <w:rsid w:val="007B1E24"/>
    <w:rsid w:val="007B1E34"/>
    <w:rsid w:val="007B1E94"/>
    <w:rsid w:val="007B3AEF"/>
    <w:rsid w:val="007B3B30"/>
    <w:rsid w:val="007B3DC3"/>
    <w:rsid w:val="007B56B6"/>
    <w:rsid w:val="007B5795"/>
    <w:rsid w:val="007B77B8"/>
    <w:rsid w:val="007B7B14"/>
    <w:rsid w:val="007B7FB1"/>
    <w:rsid w:val="007C0406"/>
    <w:rsid w:val="007C0E6A"/>
    <w:rsid w:val="007C0EE4"/>
    <w:rsid w:val="007C101D"/>
    <w:rsid w:val="007C10F2"/>
    <w:rsid w:val="007C1456"/>
    <w:rsid w:val="007C149F"/>
    <w:rsid w:val="007C2033"/>
    <w:rsid w:val="007C2126"/>
    <w:rsid w:val="007C2C8B"/>
    <w:rsid w:val="007C311B"/>
    <w:rsid w:val="007C321C"/>
    <w:rsid w:val="007C4594"/>
    <w:rsid w:val="007C4B83"/>
    <w:rsid w:val="007C4C2C"/>
    <w:rsid w:val="007C6307"/>
    <w:rsid w:val="007C6743"/>
    <w:rsid w:val="007C69E1"/>
    <w:rsid w:val="007C739E"/>
    <w:rsid w:val="007D0C5A"/>
    <w:rsid w:val="007D14A0"/>
    <w:rsid w:val="007D1B9F"/>
    <w:rsid w:val="007D1D8E"/>
    <w:rsid w:val="007D2CCE"/>
    <w:rsid w:val="007D477F"/>
    <w:rsid w:val="007D564C"/>
    <w:rsid w:val="007D593D"/>
    <w:rsid w:val="007D5988"/>
    <w:rsid w:val="007D6695"/>
    <w:rsid w:val="007D6FB0"/>
    <w:rsid w:val="007D7D32"/>
    <w:rsid w:val="007E0761"/>
    <w:rsid w:val="007E0807"/>
    <w:rsid w:val="007E10CB"/>
    <w:rsid w:val="007E1684"/>
    <w:rsid w:val="007E2367"/>
    <w:rsid w:val="007E2645"/>
    <w:rsid w:val="007E26AC"/>
    <w:rsid w:val="007E2A48"/>
    <w:rsid w:val="007E3248"/>
    <w:rsid w:val="007E3A6C"/>
    <w:rsid w:val="007E3EE2"/>
    <w:rsid w:val="007E4479"/>
    <w:rsid w:val="007E552B"/>
    <w:rsid w:val="007E630C"/>
    <w:rsid w:val="007E678F"/>
    <w:rsid w:val="007E6B7B"/>
    <w:rsid w:val="007E753D"/>
    <w:rsid w:val="007F05DA"/>
    <w:rsid w:val="007F0B75"/>
    <w:rsid w:val="007F1960"/>
    <w:rsid w:val="007F1F21"/>
    <w:rsid w:val="007F20FA"/>
    <w:rsid w:val="007F2167"/>
    <w:rsid w:val="007F2A39"/>
    <w:rsid w:val="007F30CC"/>
    <w:rsid w:val="007F32A7"/>
    <w:rsid w:val="007F4072"/>
    <w:rsid w:val="007F4EC7"/>
    <w:rsid w:val="007F5FF4"/>
    <w:rsid w:val="007F67E4"/>
    <w:rsid w:val="007F6FCF"/>
    <w:rsid w:val="007F7C18"/>
    <w:rsid w:val="00800189"/>
    <w:rsid w:val="008010DB"/>
    <w:rsid w:val="00801379"/>
    <w:rsid w:val="00801584"/>
    <w:rsid w:val="0080213F"/>
    <w:rsid w:val="008023E1"/>
    <w:rsid w:val="00802B50"/>
    <w:rsid w:val="008032F2"/>
    <w:rsid w:val="008036B2"/>
    <w:rsid w:val="00803C1B"/>
    <w:rsid w:val="00804B15"/>
    <w:rsid w:val="008060C5"/>
    <w:rsid w:val="00806ECE"/>
    <w:rsid w:val="00806F91"/>
    <w:rsid w:val="00807990"/>
    <w:rsid w:val="0081037A"/>
    <w:rsid w:val="00810D8C"/>
    <w:rsid w:val="00810FBF"/>
    <w:rsid w:val="008111E0"/>
    <w:rsid w:val="0081208C"/>
    <w:rsid w:val="008134E2"/>
    <w:rsid w:val="00813969"/>
    <w:rsid w:val="00813AE1"/>
    <w:rsid w:val="00813F9F"/>
    <w:rsid w:val="00814E0E"/>
    <w:rsid w:val="008162FE"/>
    <w:rsid w:val="0081784E"/>
    <w:rsid w:val="00821666"/>
    <w:rsid w:val="00822011"/>
    <w:rsid w:val="00822599"/>
    <w:rsid w:val="00823482"/>
    <w:rsid w:val="00823671"/>
    <w:rsid w:val="0082440D"/>
    <w:rsid w:val="00824473"/>
    <w:rsid w:val="0082501F"/>
    <w:rsid w:val="00825297"/>
    <w:rsid w:val="0082748A"/>
    <w:rsid w:val="0082761B"/>
    <w:rsid w:val="00827D9A"/>
    <w:rsid w:val="0083016A"/>
    <w:rsid w:val="00832593"/>
    <w:rsid w:val="00833059"/>
    <w:rsid w:val="00833507"/>
    <w:rsid w:val="00833A14"/>
    <w:rsid w:val="00833C85"/>
    <w:rsid w:val="00833E32"/>
    <w:rsid w:val="00834134"/>
    <w:rsid w:val="00834C17"/>
    <w:rsid w:val="00834CB9"/>
    <w:rsid w:val="00835754"/>
    <w:rsid w:val="00835EDF"/>
    <w:rsid w:val="008369F7"/>
    <w:rsid w:val="00836AAD"/>
    <w:rsid w:val="00837547"/>
    <w:rsid w:val="00840562"/>
    <w:rsid w:val="00841473"/>
    <w:rsid w:val="00841D15"/>
    <w:rsid w:val="008422A2"/>
    <w:rsid w:val="00842C4C"/>
    <w:rsid w:val="008435BA"/>
    <w:rsid w:val="0084499E"/>
    <w:rsid w:val="00844AF8"/>
    <w:rsid w:val="00844B09"/>
    <w:rsid w:val="00845DD7"/>
    <w:rsid w:val="00846C99"/>
    <w:rsid w:val="00847A53"/>
    <w:rsid w:val="00850001"/>
    <w:rsid w:val="008502FF"/>
    <w:rsid w:val="00851741"/>
    <w:rsid w:val="00851D9F"/>
    <w:rsid w:val="00851EA9"/>
    <w:rsid w:val="00852147"/>
    <w:rsid w:val="008529B2"/>
    <w:rsid w:val="00853197"/>
    <w:rsid w:val="008545E6"/>
    <w:rsid w:val="00854E34"/>
    <w:rsid w:val="00854E38"/>
    <w:rsid w:val="00856391"/>
    <w:rsid w:val="00860023"/>
    <w:rsid w:val="00860511"/>
    <w:rsid w:val="00860B68"/>
    <w:rsid w:val="00861615"/>
    <w:rsid w:val="0086252E"/>
    <w:rsid w:val="008626E6"/>
    <w:rsid w:val="008627F4"/>
    <w:rsid w:val="008628D9"/>
    <w:rsid w:val="008629A0"/>
    <w:rsid w:val="00862BF5"/>
    <w:rsid w:val="00864BA3"/>
    <w:rsid w:val="00864DFB"/>
    <w:rsid w:val="00865C5F"/>
    <w:rsid w:val="00866683"/>
    <w:rsid w:val="00866776"/>
    <w:rsid w:val="00866ABE"/>
    <w:rsid w:val="00870646"/>
    <w:rsid w:val="00870E0E"/>
    <w:rsid w:val="00871DC8"/>
    <w:rsid w:val="008723E7"/>
    <w:rsid w:val="008739B9"/>
    <w:rsid w:val="00873A46"/>
    <w:rsid w:val="00873BA1"/>
    <w:rsid w:val="00873C78"/>
    <w:rsid w:val="00873DBB"/>
    <w:rsid w:val="00874EFC"/>
    <w:rsid w:val="0087555C"/>
    <w:rsid w:val="00875CA8"/>
    <w:rsid w:val="00875DA4"/>
    <w:rsid w:val="008769BA"/>
    <w:rsid w:val="008801FB"/>
    <w:rsid w:val="0088144D"/>
    <w:rsid w:val="00881ECC"/>
    <w:rsid w:val="00882A70"/>
    <w:rsid w:val="00882F2F"/>
    <w:rsid w:val="008832F7"/>
    <w:rsid w:val="00883E60"/>
    <w:rsid w:val="0088468D"/>
    <w:rsid w:val="00884830"/>
    <w:rsid w:val="00885111"/>
    <w:rsid w:val="008856F4"/>
    <w:rsid w:val="00886251"/>
    <w:rsid w:val="0088636B"/>
    <w:rsid w:val="0088685F"/>
    <w:rsid w:val="008871ED"/>
    <w:rsid w:val="008909A6"/>
    <w:rsid w:val="00891EA0"/>
    <w:rsid w:val="00891F82"/>
    <w:rsid w:val="00892D18"/>
    <w:rsid w:val="00892DD2"/>
    <w:rsid w:val="00892F35"/>
    <w:rsid w:val="00893262"/>
    <w:rsid w:val="00893D7D"/>
    <w:rsid w:val="00894164"/>
    <w:rsid w:val="00894471"/>
    <w:rsid w:val="00895C2C"/>
    <w:rsid w:val="00896414"/>
    <w:rsid w:val="00896815"/>
    <w:rsid w:val="008974D8"/>
    <w:rsid w:val="008976B6"/>
    <w:rsid w:val="008A02F4"/>
    <w:rsid w:val="008A11D1"/>
    <w:rsid w:val="008A129F"/>
    <w:rsid w:val="008A17FD"/>
    <w:rsid w:val="008A1D56"/>
    <w:rsid w:val="008A1E1E"/>
    <w:rsid w:val="008A2B41"/>
    <w:rsid w:val="008A35CA"/>
    <w:rsid w:val="008A3810"/>
    <w:rsid w:val="008A3D79"/>
    <w:rsid w:val="008A4344"/>
    <w:rsid w:val="008A45B1"/>
    <w:rsid w:val="008A55E4"/>
    <w:rsid w:val="008A6C05"/>
    <w:rsid w:val="008A7711"/>
    <w:rsid w:val="008B01D5"/>
    <w:rsid w:val="008B0497"/>
    <w:rsid w:val="008B05C0"/>
    <w:rsid w:val="008B0F99"/>
    <w:rsid w:val="008B1A4C"/>
    <w:rsid w:val="008B31DA"/>
    <w:rsid w:val="008B49B6"/>
    <w:rsid w:val="008B545F"/>
    <w:rsid w:val="008B54FD"/>
    <w:rsid w:val="008B59E5"/>
    <w:rsid w:val="008B631A"/>
    <w:rsid w:val="008B6463"/>
    <w:rsid w:val="008B6A2D"/>
    <w:rsid w:val="008B70A3"/>
    <w:rsid w:val="008B719F"/>
    <w:rsid w:val="008B7320"/>
    <w:rsid w:val="008B7348"/>
    <w:rsid w:val="008C03F6"/>
    <w:rsid w:val="008C0849"/>
    <w:rsid w:val="008C12AF"/>
    <w:rsid w:val="008C1C81"/>
    <w:rsid w:val="008C20DC"/>
    <w:rsid w:val="008C26F8"/>
    <w:rsid w:val="008C2C64"/>
    <w:rsid w:val="008C2D31"/>
    <w:rsid w:val="008C2E04"/>
    <w:rsid w:val="008C3889"/>
    <w:rsid w:val="008C4788"/>
    <w:rsid w:val="008C49C7"/>
    <w:rsid w:val="008C4E70"/>
    <w:rsid w:val="008C7CBA"/>
    <w:rsid w:val="008D0701"/>
    <w:rsid w:val="008D0ABB"/>
    <w:rsid w:val="008D0C21"/>
    <w:rsid w:val="008D116B"/>
    <w:rsid w:val="008D1374"/>
    <w:rsid w:val="008D14A0"/>
    <w:rsid w:val="008D14A5"/>
    <w:rsid w:val="008D1D8F"/>
    <w:rsid w:val="008D2D9A"/>
    <w:rsid w:val="008D4209"/>
    <w:rsid w:val="008D49B5"/>
    <w:rsid w:val="008D5415"/>
    <w:rsid w:val="008D561A"/>
    <w:rsid w:val="008D6897"/>
    <w:rsid w:val="008D7F58"/>
    <w:rsid w:val="008E01D8"/>
    <w:rsid w:val="008E0272"/>
    <w:rsid w:val="008E1673"/>
    <w:rsid w:val="008E1C43"/>
    <w:rsid w:val="008E2605"/>
    <w:rsid w:val="008E2B2F"/>
    <w:rsid w:val="008E2DDB"/>
    <w:rsid w:val="008E336B"/>
    <w:rsid w:val="008E565C"/>
    <w:rsid w:val="008E6C98"/>
    <w:rsid w:val="008E71D9"/>
    <w:rsid w:val="008E74CD"/>
    <w:rsid w:val="008E7EFB"/>
    <w:rsid w:val="008E7F2D"/>
    <w:rsid w:val="008F01B9"/>
    <w:rsid w:val="008F1D37"/>
    <w:rsid w:val="008F23A5"/>
    <w:rsid w:val="008F2498"/>
    <w:rsid w:val="008F2CC1"/>
    <w:rsid w:val="008F2E9B"/>
    <w:rsid w:val="008F2FDF"/>
    <w:rsid w:val="008F3D0E"/>
    <w:rsid w:val="008F660D"/>
    <w:rsid w:val="008F70D4"/>
    <w:rsid w:val="009000A0"/>
    <w:rsid w:val="00900735"/>
    <w:rsid w:val="00900935"/>
    <w:rsid w:val="00900C29"/>
    <w:rsid w:val="0090155A"/>
    <w:rsid w:val="009025A1"/>
    <w:rsid w:val="00902BAE"/>
    <w:rsid w:val="00902F24"/>
    <w:rsid w:val="009032D1"/>
    <w:rsid w:val="00904713"/>
    <w:rsid w:val="009050AB"/>
    <w:rsid w:val="009054BA"/>
    <w:rsid w:val="00905B98"/>
    <w:rsid w:val="009060E3"/>
    <w:rsid w:val="00907505"/>
    <w:rsid w:val="0091075A"/>
    <w:rsid w:val="00910A9D"/>
    <w:rsid w:val="00910CDF"/>
    <w:rsid w:val="00911259"/>
    <w:rsid w:val="00911DD9"/>
    <w:rsid w:val="00912B3E"/>
    <w:rsid w:val="00913099"/>
    <w:rsid w:val="00913887"/>
    <w:rsid w:val="00913EBD"/>
    <w:rsid w:val="00914010"/>
    <w:rsid w:val="00915774"/>
    <w:rsid w:val="00915C9C"/>
    <w:rsid w:val="009164D3"/>
    <w:rsid w:val="00916EFD"/>
    <w:rsid w:val="00917D9B"/>
    <w:rsid w:val="00920075"/>
    <w:rsid w:val="00921640"/>
    <w:rsid w:val="009216E6"/>
    <w:rsid w:val="00921816"/>
    <w:rsid w:val="00921A44"/>
    <w:rsid w:val="0092208F"/>
    <w:rsid w:val="00922EC5"/>
    <w:rsid w:val="0092301B"/>
    <w:rsid w:val="009234C5"/>
    <w:rsid w:val="00923C36"/>
    <w:rsid w:val="00924385"/>
    <w:rsid w:val="00924B0F"/>
    <w:rsid w:val="00924C95"/>
    <w:rsid w:val="00924DBB"/>
    <w:rsid w:val="00925247"/>
    <w:rsid w:val="009257FF"/>
    <w:rsid w:val="00926B1C"/>
    <w:rsid w:val="00931200"/>
    <w:rsid w:val="00931208"/>
    <w:rsid w:val="009316E4"/>
    <w:rsid w:val="009320B2"/>
    <w:rsid w:val="009332D9"/>
    <w:rsid w:val="0093337A"/>
    <w:rsid w:val="009336A8"/>
    <w:rsid w:val="00933EEB"/>
    <w:rsid w:val="00934F49"/>
    <w:rsid w:val="0093519D"/>
    <w:rsid w:val="00935A18"/>
    <w:rsid w:val="00936577"/>
    <w:rsid w:val="00936CBA"/>
    <w:rsid w:val="009370AB"/>
    <w:rsid w:val="009401A7"/>
    <w:rsid w:val="00942A4F"/>
    <w:rsid w:val="00942A87"/>
    <w:rsid w:val="0094338D"/>
    <w:rsid w:val="0094370C"/>
    <w:rsid w:val="00944267"/>
    <w:rsid w:val="00944617"/>
    <w:rsid w:val="0094744C"/>
    <w:rsid w:val="009474AB"/>
    <w:rsid w:val="00947696"/>
    <w:rsid w:val="0094778C"/>
    <w:rsid w:val="00947FEB"/>
    <w:rsid w:val="009516C3"/>
    <w:rsid w:val="00952107"/>
    <w:rsid w:val="0095287D"/>
    <w:rsid w:val="00952F81"/>
    <w:rsid w:val="00954A36"/>
    <w:rsid w:val="00955307"/>
    <w:rsid w:val="00955825"/>
    <w:rsid w:val="00955DFC"/>
    <w:rsid w:val="0095677B"/>
    <w:rsid w:val="00956DB7"/>
    <w:rsid w:val="009572E3"/>
    <w:rsid w:val="00957B86"/>
    <w:rsid w:val="00960359"/>
    <w:rsid w:val="0096144A"/>
    <w:rsid w:val="00962756"/>
    <w:rsid w:val="00962954"/>
    <w:rsid w:val="009630F2"/>
    <w:rsid w:val="00963A8D"/>
    <w:rsid w:val="00964286"/>
    <w:rsid w:val="009642EB"/>
    <w:rsid w:val="0096440B"/>
    <w:rsid w:val="00965B3C"/>
    <w:rsid w:val="00965BCC"/>
    <w:rsid w:val="00965F84"/>
    <w:rsid w:val="00965FCC"/>
    <w:rsid w:val="0096767D"/>
    <w:rsid w:val="00967693"/>
    <w:rsid w:val="00967C2E"/>
    <w:rsid w:val="00967EF0"/>
    <w:rsid w:val="00970063"/>
    <w:rsid w:val="009702EC"/>
    <w:rsid w:val="0097042A"/>
    <w:rsid w:val="00970A2F"/>
    <w:rsid w:val="00970EA7"/>
    <w:rsid w:val="009713C0"/>
    <w:rsid w:val="00971B7D"/>
    <w:rsid w:val="00972B5E"/>
    <w:rsid w:val="00973182"/>
    <w:rsid w:val="009731BC"/>
    <w:rsid w:val="009731E0"/>
    <w:rsid w:val="00973E15"/>
    <w:rsid w:val="00974459"/>
    <w:rsid w:val="00975227"/>
    <w:rsid w:val="00976421"/>
    <w:rsid w:val="009771CC"/>
    <w:rsid w:val="009810B1"/>
    <w:rsid w:val="00981457"/>
    <w:rsid w:val="00981C77"/>
    <w:rsid w:val="00982CE1"/>
    <w:rsid w:val="00982DCD"/>
    <w:rsid w:val="009833E7"/>
    <w:rsid w:val="00983D27"/>
    <w:rsid w:val="00983D34"/>
    <w:rsid w:val="00984E5C"/>
    <w:rsid w:val="00984EFD"/>
    <w:rsid w:val="00986726"/>
    <w:rsid w:val="00986A90"/>
    <w:rsid w:val="009876F9"/>
    <w:rsid w:val="0099084A"/>
    <w:rsid w:val="009915D7"/>
    <w:rsid w:val="00991ED7"/>
    <w:rsid w:val="00992E8B"/>
    <w:rsid w:val="00992FAF"/>
    <w:rsid w:val="009940F6"/>
    <w:rsid w:val="0099425D"/>
    <w:rsid w:val="009946E4"/>
    <w:rsid w:val="009950D5"/>
    <w:rsid w:val="0099543E"/>
    <w:rsid w:val="009959EB"/>
    <w:rsid w:val="00995C9C"/>
    <w:rsid w:val="009962C2"/>
    <w:rsid w:val="0099645E"/>
    <w:rsid w:val="009969AC"/>
    <w:rsid w:val="009A05A8"/>
    <w:rsid w:val="009A1077"/>
    <w:rsid w:val="009A1203"/>
    <w:rsid w:val="009A1D6B"/>
    <w:rsid w:val="009A1F67"/>
    <w:rsid w:val="009A2320"/>
    <w:rsid w:val="009A38A7"/>
    <w:rsid w:val="009A3DAD"/>
    <w:rsid w:val="009A3DDB"/>
    <w:rsid w:val="009A445D"/>
    <w:rsid w:val="009A4503"/>
    <w:rsid w:val="009A4810"/>
    <w:rsid w:val="009A5698"/>
    <w:rsid w:val="009A6479"/>
    <w:rsid w:val="009A7A6D"/>
    <w:rsid w:val="009B12E6"/>
    <w:rsid w:val="009B2534"/>
    <w:rsid w:val="009B2B01"/>
    <w:rsid w:val="009B2BAB"/>
    <w:rsid w:val="009B3695"/>
    <w:rsid w:val="009B44AD"/>
    <w:rsid w:val="009B46F2"/>
    <w:rsid w:val="009B5578"/>
    <w:rsid w:val="009B5658"/>
    <w:rsid w:val="009B5CDE"/>
    <w:rsid w:val="009B7790"/>
    <w:rsid w:val="009B7EA3"/>
    <w:rsid w:val="009C037E"/>
    <w:rsid w:val="009C0592"/>
    <w:rsid w:val="009C0DCC"/>
    <w:rsid w:val="009C107D"/>
    <w:rsid w:val="009C1F99"/>
    <w:rsid w:val="009C2257"/>
    <w:rsid w:val="009C2F68"/>
    <w:rsid w:val="009C36C1"/>
    <w:rsid w:val="009C53C3"/>
    <w:rsid w:val="009C552F"/>
    <w:rsid w:val="009C5810"/>
    <w:rsid w:val="009C5E1C"/>
    <w:rsid w:val="009C71DD"/>
    <w:rsid w:val="009C7B32"/>
    <w:rsid w:val="009C7D05"/>
    <w:rsid w:val="009C7E8A"/>
    <w:rsid w:val="009D0041"/>
    <w:rsid w:val="009D118A"/>
    <w:rsid w:val="009D297B"/>
    <w:rsid w:val="009D2B80"/>
    <w:rsid w:val="009D3084"/>
    <w:rsid w:val="009D3D84"/>
    <w:rsid w:val="009D5408"/>
    <w:rsid w:val="009D5516"/>
    <w:rsid w:val="009D5D90"/>
    <w:rsid w:val="009D5DAA"/>
    <w:rsid w:val="009D5E2B"/>
    <w:rsid w:val="009D5E58"/>
    <w:rsid w:val="009D659A"/>
    <w:rsid w:val="009D667B"/>
    <w:rsid w:val="009D6C76"/>
    <w:rsid w:val="009D6EDD"/>
    <w:rsid w:val="009D701F"/>
    <w:rsid w:val="009D7033"/>
    <w:rsid w:val="009D731E"/>
    <w:rsid w:val="009D78C2"/>
    <w:rsid w:val="009E03CA"/>
    <w:rsid w:val="009E0F7D"/>
    <w:rsid w:val="009E1E98"/>
    <w:rsid w:val="009E2616"/>
    <w:rsid w:val="009E2CEA"/>
    <w:rsid w:val="009E41EF"/>
    <w:rsid w:val="009E470F"/>
    <w:rsid w:val="009E524B"/>
    <w:rsid w:val="009E5B12"/>
    <w:rsid w:val="009E603A"/>
    <w:rsid w:val="009E6177"/>
    <w:rsid w:val="009E6B89"/>
    <w:rsid w:val="009E6C2D"/>
    <w:rsid w:val="009E718F"/>
    <w:rsid w:val="009F03BE"/>
    <w:rsid w:val="009F05ED"/>
    <w:rsid w:val="009F07F5"/>
    <w:rsid w:val="009F08A5"/>
    <w:rsid w:val="009F0C48"/>
    <w:rsid w:val="009F4A68"/>
    <w:rsid w:val="009F652A"/>
    <w:rsid w:val="009F6CB7"/>
    <w:rsid w:val="009F7691"/>
    <w:rsid w:val="00A0081A"/>
    <w:rsid w:val="00A0218F"/>
    <w:rsid w:val="00A02898"/>
    <w:rsid w:val="00A03705"/>
    <w:rsid w:val="00A03DBE"/>
    <w:rsid w:val="00A03EF6"/>
    <w:rsid w:val="00A043A1"/>
    <w:rsid w:val="00A044ED"/>
    <w:rsid w:val="00A06282"/>
    <w:rsid w:val="00A063B3"/>
    <w:rsid w:val="00A0684F"/>
    <w:rsid w:val="00A0757C"/>
    <w:rsid w:val="00A077A2"/>
    <w:rsid w:val="00A10E53"/>
    <w:rsid w:val="00A110B6"/>
    <w:rsid w:val="00A112FB"/>
    <w:rsid w:val="00A1222C"/>
    <w:rsid w:val="00A13DAB"/>
    <w:rsid w:val="00A13EFD"/>
    <w:rsid w:val="00A14AE5"/>
    <w:rsid w:val="00A15FB2"/>
    <w:rsid w:val="00A16145"/>
    <w:rsid w:val="00A17120"/>
    <w:rsid w:val="00A1780F"/>
    <w:rsid w:val="00A20DAB"/>
    <w:rsid w:val="00A2103C"/>
    <w:rsid w:val="00A22173"/>
    <w:rsid w:val="00A223B8"/>
    <w:rsid w:val="00A22F24"/>
    <w:rsid w:val="00A22FDC"/>
    <w:rsid w:val="00A238C5"/>
    <w:rsid w:val="00A243E9"/>
    <w:rsid w:val="00A2461C"/>
    <w:rsid w:val="00A249F8"/>
    <w:rsid w:val="00A24FBE"/>
    <w:rsid w:val="00A251C8"/>
    <w:rsid w:val="00A25360"/>
    <w:rsid w:val="00A2546A"/>
    <w:rsid w:val="00A25BA4"/>
    <w:rsid w:val="00A2657C"/>
    <w:rsid w:val="00A26774"/>
    <w:rsid w:val="00A27136"/>
    <w:rsid w:val="00A27E76"/>
    <w:rsid w:val="00A30263"/>
    <w:rsid w:val="00A3088C"/>
    <w:rsid w:val="00A30C69"/>
    <w:rsid w:val="00A30FBB"/>
    <w:rsid w:val="00A3144C"/>
    <w:rsid w:val="00A3179A"/>
    <w:rsid w:val="00A317CC"/>
    <w:rsid w:val="00A31971"/>
    <w:rsid w:val="00A32AF1"/>
    <w:rsid w:val="00A335CB"/>
    <w:rsid w:val="00A33B51"/>
    <w:rsid w:val="00A34564"/>
    <w:rsid w:val="00A355D6"/>
    <w:rsid w:val="00A3688F"/>
    <w:rsid w:val="00A36A70"/>
    <w:rsid w:val="00A37AD5"/>
    <w:rsid w:val="00A4162E"/>
    <w:rsid w:val="00A416A4"/>
    <w:rsid w:val="00A420DC"/>
    <w:rsid w:val="00A432B9"/>
    <w:rsid w:val="00A434B1"/>
    <w:rsid w:val="00A443AF"/>
    <w:rsid w:val="00A4449D"/>
    <w:rsid w:val="00A44741"/>
    <w:rsid w:val="00A45F55"/>
    <w:rsid w:val="00A462AA"/>
    <w:rsid w:val="00A46407"/>
    <w:rsid w:val="00A4669F"/>
    <w:rsid w:val="00A4759C"/>
    <w:rsid w:val="00A504C5"/>
    <w:rsid w:val="00A50E33"/>
    <w:rsid w:val="00A52A3F"/>
    <w:rsid w:val="00A534D3"/>
    <w:rsid w:val="00A550F2"/>
    <w:rsid w:val="00A55350"/>
    <w:rsid w:val="00A55B43"/>
    <w:rsid w:val="00A56292"/>
    <w:rsid w:val="00A57280"/>
    <w:rsid w:val="00A5781D"/>
    <w:rsid w:val="00A578A3"/>
    <w:rsid w:val="00A57E0D"/>
    <w:rsid w:val="00A607DB"/>
    <w:rsid w:val="00A6170E"/>
    <w:rsid w:val="00A6173E"/>
    <w:rsid w:val="00A61C12"/>
    <w:rsid w:val="00A61D7E"/>
    <w:rsid w:val="00A62F9C"/>
    <w:rsid w:val="00A64EEF"/>
    <w:rsid w:val="00A66D34"/>
    <w:rsid w:val="00A714A4"/>
    <w:rsid w:val="00A71838"/>
    <w:rsid w:val="00A728C1"/>
    <w:rsid w:val="00A72C75"/>
    <w:rsid w:val="00A72DDE"/>
    <w:rsid w:val="00A73258"/>
    <w:rsid w:val="00A73286"/>
    <w:rsid w:val="00A7385A"/>
    <w:rsid w:val="00A748DE"/>
    <w:rsid w:val="00A77A25"/>
    <w:rsid w:val="00A77C39"/>
    <w:rsid w:val="00A80242"/>
    <w:rsid w:val="00A81777"/>
    <w:rsid w:val="00A81B46"/>
    <w:rsid w:val="00A82431"/>
    <w:rsid w:val="00A82680"/>
    <w:rsid w:val="00A83BA3"/>
    <w:rsid w:val="00A8419C"/>
    <w:rsid w:val="00A841A3"/>
    <w:rsid w:val="00A84AF9"/>
    <w:rsid w:val="00A857F8"/>
    <w:rsid w:val="00A878FA"/>
    <w:rsid w:val="00A87C97"/>
    <w:rsid w:val="00A90161"/>
    <w:rsid w:val="00A90617"/>
    <w:rsid w:val="00A90E35"/>
    <w:rsid w:val="00A91AA1"/>
    <w:rsid w:val="00A91EE7"/>
    <w:rsid w:val="00A92321"/>
    <w:rsid w:val="00A92C13"/>
    <w:rsid w:val="00A94632"/>
    <w:rsid w:val="00A9549B"/>
    <w:rsid w:val="00A9556D"/>
    <w:rsid w:val="00A95AA4"/>
    <w:rsid w:val="00A95AA9"/>
    <w:rsid w:val="00AA0922"/>
    <w:rsid w:val="00AA2E3A"/>
    <w:rsid w:val="00AA2ECF"/>
    <w:rsid w:val="00AA35F0"/>
    <w:rsid w:val="00AA49DA"/>
    <w:rsid w:val="00AA4CA9"/>
    <w:rsid w:val="00AA4F35"/>
    <w:rsid w:val="00AA5538"/>
    <w:rsid w:val="00AA5AB5"/>
    <w:rsid w:val="00AA63F3"/>
    <w:rsid w:val="00AA720D"/>
    <w:rsid w:val="00AA78B6"/>
    <w:rsid w:val="00AB07EC"/>
    <w:rsid w:val="00AB0EA5"/>
    <w:rsid w:val="00AB12E2"/>
    <w:rsid w:val="00AB3770"/>
    <w:rsid w:val="00AB38BD"/>
    <w:rsid w:val="00AB3CE6"/>
    <w:rsid w:val="00AB3E0E"/>
    <w:rsid w:val="00AB4C47"/>
    <w:rsid w:val="00AB4DB4"/>
    <w:rsid w:val="00AB6974"/>
    <w:rsid w:val="00AB7757"/>
    <w:rsid w:val="00AC0344"/>
    <w:rsid w:val="00AC06A3"/>
    <w:rsid w:val="00AC0CFE"/>
    <w:rsid w:val="00AC0FB6"/>
    <w:rsid w:val="00AC15C9"/>
    <w:rsid w:val="00AC263F"/>
    <w:rsid w:val="00AC5159"/>
    <w:rsid w:val="00AC5395"/>
    <w:rsid w:val="00AC5C21"/>
    <w:rsid w:val="00AC5FFA"/>
    <w:rsid w:val="00AC734D"/>
    <w:rsid w:val="00AD034D"/>
    <w:rsid w:val="00AD063B"/>
    <w:rsid w:val="00AD083B"/>
    <w:rsid w:val="00AD0E9E"/>
    <w:rsid w:val="00AD164B"/>
    <w:rsid w:val="00AD2B35"/>
    <w:rsid w:val="00AD4180"/>
    <w:rsid w:val="00AD4376"/>
    <w:rsid w:val="00AD4F79"/>
    <w:rsid w:val="00AD5022"/>
    <w:rsid w:val="00AD7D33"/>
    <w:rsid w:val="00AE0327"/>
    <w:rsid w:val="00AE0359"/>
    <w:rsid w:val="00AE03B9"/>
    <w:rsid w:val="00AE1C38"/>
    <w:rsid w:val="00AE1D1A"/>
    <w:rsid w:val="00AE1F17"/>
    <w:rsid w:val="00AE34F5"/>
    <w:rsid w:val="00AE3556"/>
    <w:rsid w:val="00AE3FA4"/>
    <w:rsid w:val="00AE55D4"/>
    <w:rsid w:val="00AE5C0D"/>
    <w:rsid w:val="00AE60D7"/>
    <w:rsid w:val="00AE67F2"/>
    <w:rsid w:val="00AE784C"/>
    <w:rsid w:val="00AE7933"/>
    <w:rsid w:val="00AE7A84"/>
    <w:rsid w:val="00AE7DB4"/>
    <w:rsid w:val="00AF047D"/>
    <w:rsid w:val="00AF078A"/>
    <w:rsid w:val="00AF079C"/>
    <w:rsid w:val="00AF2CFA"/>
    <w:rsid w:val="00AF331E"/>
    <w:rsid w:val="00AF3916"/>
    <w:rsid w:val="00AF3AE4"/>
    <w:rsid w:val="00AF577D"/>
    <w:rsid w:val="00AF7F9E"/>
    <w:rsid w:val="00B00B81"/>
    <w:rsid w:val="00B0153F"/>
    <w:rsid w:val="00B015E5"/>
    <w:rsid w:val="00B020AE"/>
    <w:rsid w:val="00B0236E"/>
    <w:rsid w:val="00B0249E"/>
    <w:rsid w:val="00B03177"/>
    <w:rsid w:val="00B037DA"/>
    <w:rsid w:val="00B042A3"/>
    <w:rsid w:val="00B04923"/>
    <w:rsid w:val="00B063BF"/>
    <w:rsid w:val="00B06718"/>
    <w:rsid w:val="00B0698F"/>
    <w:rsid w:val="00B07084"/>
    <w:rsid w:val="00B0720C"/>
    <w:rsid w:val="00B07257"/>
    <w:rsid w:val="00B07F4A"/>
    <w:rsid w:val="00B100A5"/>
    <w:rsid w:val="00B10BF5"/>
    <w:rsid w:val="00B11623"/>
    <w:rsid w:val="00B1227E"/>
    <w:rsid w:val="00B1273A"/>
    <w:rsid w:val="00B134C8"/>
    <w:rsid w:val="00B13E7B"/>
    <w:rsid w:val="00B15584"/>
    <w:rsid w:val="00B15765"/>
    <w:rsid w:val="00B16114"/>
    <w:rsid w:val="00B161D4"/>
    <w:rsid w:val="00B165E0"/>
    <w:rsid w:val="00B16A1B"/>
    <w:rsid w:val="00B17ADA"/>
    <w:rsid w:val="00B17D82"/>
    <w:rsid w:val="00B17E90"/>
    <w:rsid w:val="00B20259"/>
    <w:rsid w:val="00B20A00"/>
    <w:rsid w:val="00B21852"/>
    <w:rsid w:val="00B223EB"/>
    <w:rsid w:val="00B229DC"/>
    <w:rsid w:val="00B23389"/>
    <w:rsid w:val="00B2449B"/>
    <w:rsid w:val="00B24E88"/>
    <w:rsid w:val="00B3035D"/>
    <w:rsid w:val="00B30B14"/>
    <w:rsid w:val="00B3176E"/>
    <w:rsid w:val="00B32286"/>
    <w:rsid w:val="00B323B5"/>
    <w:rsid w:val="00B323E0"/>
    <w:rsid w:val="00B32CC7"/>
    <w:rsid w:val="00B33240"/>
    <w:rsid w:val="00B333D3"/>
    <w:rsid w:val="00B338A2"/>
    <w:rsid w:val="00B34E90"/>
    <w:rsid w:val="00B3647C"/>
    <w:rsid w:val="00B36789"/>
    <w:rsid w:val="00B37258"/>
    <w:rsid w:val="00B374A0"/>
    <w:rsid w:val="00B37E2C"/>
    <w:rsid w:val="00B3FA39"/>
    <w:rsid w:val="00B4109F"/>
    <w:rsid w:val="00B41671"/>
    <w:rsid w:val="00B4236D"/>
    <w:rsid w:val="00B431D9"/>
    <w:rsid w:val="00B432E0"/>
    <w:rsid w:val="00B43550"/>
    <w:rsid w:val="00B43AB3"/>
    <w:rsid w:val="00B43B4A"/>
    <w:rsid w:val="00B43D10"/>
    <w:rsid w:val="00B44C39"/>
    <w:rsid w:val="00B4597B"/>
    <w:rsid w:val="00B4640A"/>
    <w:rsid w:val="00B469DE"/>
    <w:rsid w:val="00B46BED"/>
    <w:rsid w:val="00B477A0"/>
    <w:rsid w:val="00B47C1C"/>
    <w:rsid w:val="00B50387"/>
    <w:rsid w:val="00B51B52"/>
    <w:rsid w:val="00B51E03"/>
    <w:rsid w:val="00B52EBA"/>
    <w:rsid w:val="00B54F7D"/>
    <w:rsid w:val="00B55032"/>
    <w:rsid w:val="00B55284"/>
    <w:rsid w:val="00B56474"/>
    <w:rsid w:val="00B56D0F"/>
    <w:rsid w:val="00B57258"/>
    <w:rsid w:val="00B57B43"/>
    <w:rsid w:val="00B57B85"/>
    <w:rsid w:val="00B6096E"/>
    <w:rsid w:val="00B61936"/>
    <w:rsid w:val="00B61D72"/>
    <w:rsid w:val="00B62E7C"/>
    <w:rsid w:val="00B63FC6"/>
    <w:rsid w:val="00B64B0A"/>
    <w:rsid w:val="00B64C9D"/>
    <w:rsid w:val="00B662A3"/>
    <w:rsid w:val="00B668FB"/>
    <w:rsid w:val="00B678FF"/>
    <w:rsid w:val="00B71FA5"/>
    <w:rsid w:val="00B7202B"/>
    <w:rsid w:val="00B731E5"/>
    <w:rsid w:val="00B73F48"/>
    <w:rsid w:val="00B73FC4"/>
    <w:rsid w:val="00B740FF"/>
    <w:rsid w:val="00B74357"/>
    <w:rsid w:val="00B7456C"/>
    <w:rsid w:val="00B75507"/>
    <w:rsid w:val="00B75F20"/>
    <w:rsid w:val="00B761BC"/>
    <w:rsid w:val="00B766BF"/>
    <w:rsid w:val="00B76A04"/>
    <w:rsid w:val="00B76F71"/>
    <w:rsid w:val="00B770DA"/>
    <w:rsid w:val="00B7712A"/>
    <w:rsid w:val="00B80D1E"/>
    <w:rsid w:val="00B8190B"/>
    <w:rsid w:val="00B81B11"/>
    <w:rsid w:val="00B81C5F"/>
    <w:rsid w:val="00B8276F"/>
    <w:rsid w:val="00B82943"/>
    <w:rsid w:val="00B83D1E"/>
    <w:rsid w:val="00B83FCB"/>
    <w:rsid w:val="00B860B1"/>
    <w:rsid w:val="00B8796C"/>
    <w:rsid w:val="00B9062F"/>
    <w:rsid w:val="00B90B26"/>
    <w:rsid w:val="00B91244"/>
    <w:rsid w:val="00B9148E"/>
    <w:rsid w:val="00B9329B"/>
    <w:rsid w:val="00B932C3"/>
    <w:rsid w:val="00B93539"/>
    <w:rsid w:val="00B93612"/>
    <w:rsid w:val="00B946E7"/>
    <w:rsid w:val="00B948CF"/>
    <w:rsid w:val="00B94B78"/>
    <w:rsid w:val="00B95067"/>
    <w:rsid w:val="00B966D7"/>
    <w:rsid w:val="00B96ABF"/>
    <w:rsid w:val="00BA0394"/>
    <w:rsid w:val="00BA0624"/>
    <w:rsid w:val="00BA137B"/>
    <w:rsid w:val="00BA22B7"/>
    <w:rsid w:val="00BA2317"/>
    <w:rsid w:val="00BA2FC7"/>
    <w:rsid w:val="00BA3152"/>
    <w:rsid w:val="00BA36F2"/>
    <w:rsid w:val="00BA4C13"/>
    <w:rsid w:val="00BA527E"/>
    <w:rsid w:val="00BA7360"/>
    <w:rsid w:val="00BA753B"/>
    <w:rsid w:val="00BA76AD"/>
    <w:rsid w:val="00BA7A78"/>
    <w:rsid w:val="00BA7EF4"/>
    <w:rsid w:val="00BB0193"/>
    <w:rsid w:val="00BB021C"/>
    <w:rsid w:val="00BB12EF"/>
    <w:rsid w:val="00BB1C78"/>
    <w:rsid w:val="00BB265B"/>
    <w:rsid w:val="00BB2B62"/>
    <w:rsid w:val="00BB41AA"/>
    <w:rsid w:val="00BB47D2"/>
    <w:rsid w:val="00BB4E52"/>
    <w:rsid w:val="00BB51CD"/>
    <w:rsid w:val="00BB5E11"/>
    <w:rsid w:val="00BB6F97"/>
    <w:rsid w:val="00BC0CC3"/>
    <w:rsid w:val="00BC0D3F"/>
    <w:rsid w:val="00BC10DC"/>
    <w:rsid w:val="00BC1A73"/>
    <w:rsid w:val="00BC2DAC"/>
    <w:rsid w:val="00BC3243"/>
    <w:rsid w:val="00BC34FD"/>
    <w:rsid w:val="00BC43B9"/>
    <w:rsid w:val="00BC4849"/>
    <w:rsid w:val="00BC4A3C"/>
    <w:rsid w:val="00BC4F2E"/>
    <w:rsid w:val="00BC65CF"/>
    <w:rsid w:val="00BC68E7"/>
    <w:rsid w:val="00BC6C23"/>
    <w:rsid w:val="00BC7FB2"/>
    <w:rsid w:val="00BD0029"/>
    <w:rsid w:val="00BD02D9"/>
    <w:rsid w:val="00BD0A71"/>
    <w:rsid w:val="00BD1D01"/>
    <w:rsid w:val="00BD21B4"/>
    <w:rsid w:val="00BD25FE"/>
    <w:rsid w:val="00BD2E71"/>
    <w:rsid w:val="00BD43CD"/>
    <w:rsid w:val="00BD47F6"/>
    <w:rsid w:val="00BD4A6B"/>
    <w:rsid w:val="00BD532B"/>
    <w:rsid w:val="00BD5528"/>
    <w:rsid w:val="00BD65EC"/>
    <w:rsid w:val="00BD710B"/>
    <w:rsid w:val="00BD7882"/>
    <w:rsid w:val="00BD7B24"/>
    <w:rsid w:val="00BE122F"/>
    <w:rsid w:val="00BE1812"/>
    <w:rsid w:val="00BE2A3E"/>
    <w:rsid w:val="00BE317A"/>
    <w:rsid w:val="00BE370F"/>
    <w:rsid w:val="00BE38F4"/>
    <w:rsid w:val="00BE3EB1"/>
    <w:rsid w:val="00BE40A6"/>
    <w:rsid w:val="00BE53C2"/>
    <w:rsid w:val="00BE5604"/>
    <w:rsid w:val="00BE602D"/>
    <w:rsid w:val="00BE735E"/>
    <w:rsid w:val="00BE7ABB"/>
    <w:rsid w:val="00BE7F49"/>
    <w:rsid w:val="00BF0AF9"/>
    <w:rsid w:val="00BF2062"/>
    <w:rsid w:val="00BF27EA"/>
    <w:rsid w:val="00BF2C7F"/>
    <w:rsid w:val="00BF2C9C"/>
    <w:rsid w:val="00BF3C26"/>
    <w:rsid w:val="00BF402B"/>
    <w:rsid w:val="00BF43AB"/>
    <w:rsid w:val="00BF4B5A"/>
    <w:rsid w:val="00BF4BB6"/>
    <w:rsid w:val="00BF4C11"/>
    <w:rsid w:val="00BF50EF"/>
    <w:rsid w:val="00BF52DF"/>
    <w:rsid w:val="00BF5C19"/>
    <w:rsid w:val="00BF6181"/>
    <w:rsid w:val="00BF6935"/>
    <w:rsid w:val="00BF694A"/>
    <w:rsid w:val="00BF6967"/>
    <w:rsid w:val="00BF7090"/>
    <w:rsid w:val="00BF78B1"/>
    <w:rsid w:val="00BF7B31"/>
    <w:rsid w:val="00BF7BDC"/>
    <w:rsid w:val="00C0042B"/>
    <w:rsid w:val="00C00C16"/>
    <w:rsid w:val="00C0108F"/>
    <w:rsid w:val="00C01B19"/>
    <w:rsid w:val="00C02094"/>
    <w:rsid w:val="00C023D5"/>
    <w:rsid w:val="00C02491"/>
    <w:rsid w:val="00C02684"/>
    <w:rsid w:val="00C02FA3"/>
    <w:rsid w:val="00C03129"/>
    <w:rsid w:val="00C0423D"/>
    <w:rsid w:val="00C046D3"/>
    <w:rsid w:val="00C051EA"/>
    <w:rsid w:val="00C05203"/>
    <w:rsid w:val="00C0568E"/>
    <w:rsid w:val="00C05847"/>
    <w:rsid w:val="00C06A10"/>
    <w:rsid w:val="00C079FB"/>
    <w:rsid w:val="00C10210"/>
    <w:rsid w:val="00C105FA"/>
    <w:rsid w:val="00C109F0"/>
    <w:rsid w:val="00C12681"/>
    <w:rsid w:val="00C12A77"/>
    <w:rsid w:val="00C13B49"/>
    <w:rsid w:val="00C14B07"/>
    <w:rsid w:val="00C14B1E"/>
    <w:rsid w:val="00C14C2E"/>
    <w:rsid w:val="00C15064"/>
    <w:rsid w:val="00C15755"/>
    <w:rsid w:val="00C158E6"/>
    <w:rsid w:val="00C15F97"/>
    <w:rsid w:val="00C15FFF"/>
    <w:rsid w:val="00C17EAB"/>
    <w:rsid w:val="00C20094"/>
    <w:rsid w:val="00C20188"/>
    <w:rsid w:val="00C20810"/>
    <w:rsid w:val="00C20AFC"/>
    <w:rsid w:val="00C210DF"/>
    <w:rsid w:val="00C21441"/>
    <w:rsid w:val="00C214FB"/>
    <w:rsid w:val="00C21A3A"/>
    <w:rsid w:val="00C21C2D"/>
    <w:rsid w:val="00C21E21"/>
    <w:rsid w:val="00C222AE"/>
    <w:rsid w:val="00C24FBE"/>
    <w:rsid w:val="00C2549A"/>
    <w:rsid w:val="00C25E55"/>
    <w:rsid w:val="00C25F1A"/>
    <w:rsid w:val="00C263F6"/>
    <w:rsid w:val="00C2650D"/>
    <w:rsid w:val="00C2699E"/>
    <w:rsid w:val="00C26DC4"/>
    <w:rsid w:val="00C2795E"/>
    <w:rsid w:val="00C27DEB"/>
    <w:rsid w:val="00C302F9"/>
    <w:rsid w:val="00C3071D"/>
    <w:rsid w:val="00C30D73"/>
    <w:rsid w:val="00C30F09"/>
    <w:rsid w:val="00C31741"/>
    <w:rsid w:val="00C31F32"/>
    <w:rsid w:val="00C32294"/>
    <w:rsid w:val="00C33F3E"/>
    <w:rsid w:val="00C34449"/>
    <w:rsid w:val="00C34B1A"/>
    <w:rsid w:val="00C36400"/>
    <w:rsid w:val="00C36679"/>
    <w:rsid w:val="00C36D4D"/>
    <w:rsid w:val="00C37542"/>
    <w:rsid w:val="00C42086"/>
    <w:rsid w:val="00C42173"/>
    <w:rsid w:val="00C421D3"/>
    <w:rsid w:val="00C4239D"/>
    <w:rsid w:val="00C425D8"/>
    <w:rsid w:val="00C42E35"/>
    <w:rsid w:val="00C42F82"/>
    <w:rsid w:val="00C43AC2"/>
    <w:rsid w:val="00C44283"/>
    <w:rsid w:val="00C44EA2"/>
    <w:rsid w:val="00C45A3E"/>
    <w:rsid w:val="00C45FC7"/>
    <w:rsid w:val="00C472C8"/>
    <w:rsid w:val="00C508A5"/>
    <w:rsid w:val="00C51121"/>
    <w:rsid w:val="00C513B9"/>
    <w:rsid w:val="00C51400"/>
    <w:rsid w:val="00C5265B"/>
    <w:rsid w:val="00C537B7"/>
    <w:rsid w:val="00C53AA3"/>
    <w:rsid w:val="00C542D5"/>
    <w:rsid w:val="00C54436"/>
    <w:rsid w:val="00C546E9"/>
    <w:rsid w:val="00C55A61"/>
    <w:rsid w:val="00C56603"/>
    <w:rsid w:val="00C56627"/>
    <w:rsid w:val="00C5689B"/>
    <w:rsid w:val="00C61137"/>
    <w:rsid w:val="00C612F9"/>
    <w:rsid w:val="00C6160B"/>
    <w:rsid w:val="00C623A6"/>
    <w:rsid w:val="00C6296E"/>
    <w:rsid w:val="00C62CC0"/>
    <w:rsid w:val="00C633ED"/>
    <w:rsid w:val="00C636B0"/>
    <w:rsid w:val="00C63DA4"/>
    <w:rsid w:val="00C63F95"/>
    <w:rsid w:val="00C640C9"/>
    <w:rsid w:val="00C64369"/>
    <w:rsid w:val="00C650BF"/>
    <w:rsid w:val="00C6519F"/>
    <w:rsid w:val="00C658D8"/>
    <w:rsid w:val="00C65FFD"/>
    <w:rsid w:val="00C661DA"/>
    <w:rsid w:val="00C66228"/>
    <w:rsid w:val="00C66F45"/>
    <w:rsid w:val="00C67948"/>
    <w:rsid w:val="00C67A7F"/>
    <w:rsid w:val="00C705CF"/>
    <w:rsid w:val="00C71411"/>
    <w:rsid w:val="00C728CA"/>
    <w:rsid w:val="00C73146"/>
    <w:rsid w:val="00C7352D"/>
    <w:rsid w:val="00C74186"/>
    <w:rsid w:val="00C75249"/>
    <w:rsid w:val="00C760F9"/>
    <w:rsid w:val="00C76D4A"/>
    <w:rsid w:val="00C771CA"/>
    <w:rsid w:val="00C778E0"/>
    <w:rsid w:val="00C80099"/>
    <w:rsid w:val="00C80839"/>
    <w:rsid w:val="00C80C60"/>
    <w:rsid w:val="00C80CBE"/>
    <w:rsid w:val="00C8252A"/>
    <w:rsid w:val="00C8283E"/>
    <w:rsid w:val="00C83455"/>
    <w:rsid w:val="00C845BE"/>
    <w:rsid w:val="00C854D8"/>
    <w:rsid w:val="00C867A8"/>
    <w:rsid w:val="00C90067"/>
    <w:rsid w:val="00C909D3"/>
    <w:rsid w:val="00C90B36"/>
    <w:rsid w:val="00C929DB"/>
    <w:rsid w:val="00C92A35"/>
    <w:rsid w:val="00C92AAA"/>
    <w:rsid w:val="00C9323E"/>
    <w:rsid w:val="00C93391"/>
    <w:rsid w:val="00C93586"/>
    <w:rsid w:val="00C93687"/>
    <w:rsid w:val="00C941E0"/>
    <w:rsid w:val="00C94553"/>
    <w:rsid w:val="00C94F6B"/>
    <w:rsid w:val="00C9505B"/>
    <w:rsid w:val="00C9624B"/>
    <w:rsid w:val="00CA09C4"/>
    <w:rsid w:val="00CA166B"/>
    <w:rsid w:val="00CA1832"/>
    <w:rsid w:val="00CA18EB"/>
    <w:rsid w:val="00CA240E"/>
    <w:rsid w:val="00CA269B"/>
    <w:rsid w:val="00CA2BD2"/>
    <w:rsid w:val="00CA2CD0"/>
    <w:rsid w:val="00CA33F6"/>
    <w:rsid w:val="00CA5A16"/>
    <w:rsid w:val="00CA6D75"/>
    <w:rsid w:val="00CA70BF"/>
    <w:rsid w:val="00CB00EA"/>
    <w:rsid w:val="00CB0434"/>
    <w:rsid w:val="00CB0877"/>
    <w:rsid w:val="00CB0B4C"/>
    <w:rsid w:val="00CB0B67"/>
    <w:rsid w:val="00CB0C0C"/>
    <w:rsid w:val="00CB11D2"/>
    <w:rsid w:val="00CB120A"/>
    <w:rsid w:val="00CB1B3A"/>
    <w:rsid w:val="00CB28BB"/>
    <w:rsid w:val="00CB2F69"/>
    <w:rsid w:val="00CB4A69"/>
    <w:rsid w:val="00CB532B"/>
    <w:rsid w:val="00CB5580"/>
    <w:rsid w:val="00CB5DD7"/>
    <w:rsid w:val="00CB63B9"/>
    <w:rsid w:val="00CB6BB6"/>
    <w:rsid w:val="00CB6E5D"/>
    <w:rsid w:val="00CB76D6"/>
    <w:rsid w:val="00CC085E"/>
    <w:rsid w:val="00CC10EE"/>
    <w:rsid w:val="00CC2593"/>
    <w:rsid w:val="00CC3312"/>
    <w:rsid w:val="00CC3658"/>
    <w:rsid w:val="00CC3A0E"/>
    <w:rsid w:val="00CC4475"/>
    <w:rsid w:val="00CC4489"/>
    <w:rsid w:val="00CC550D"/>
    <w:rsid w:val="00CC571C"/>
    <w:rsid w:val="00CC5B3C"/>
    <w:rsid w:val="00CC6583"/>
    <w:rsid w:val="00CC6751"/>
    <w:rsid w:val="00CC6DFA"/>
    <w:rsid w:val="00CC7294"/>
    <w:rsid w:val="00CC7604"/>
    <w:rsid w:val="00CC7D6A"/>
    <w:rsid w:val="00CD0D03"/>
    <w:rsid w:val="00CD159B"/>
    <w:rsid w:val="00CD1DB0"/>
    <w:rsid w:val="00CD2180"/>
    <w:rsid w:val="00CD2705"/>
    <w:rsid w:val="00CD2760"/>
    <w:rsid w:val="00CD2CDD"/>
    <w:rsid w:val="00CD3BEC"/>
    <w:rsid w:val="00CD430A"/>
    <w:rsid w:val="00CD4345"/>
    <w:rsid w:val="00CD595E"/>
    <w:rsid w:val="00CD61E7"/>
    <w:rsid w:val="00CE13BD"/>
    <w:rsid w:val="00CE14CF"/>
    <w:rsid w:val="00CE16C3"/>
    <w:rsid w:val="00CE1C32"/>
    <w:rsid w:val="00CE35C3"/>
    <w:rsid w:val="00CE3D99"/>
    <w:rsid w:val="00CE445F"/>
    <w:rsid w:val="00CE44C8"/>
    <w:rsid w:val="00CE5C87"/>
    <w:rsid w:val="00CE5CF1"/>
    <w:rsid w:val="00CE615A"/>
    <w:rsid w:val="00CE6A97"/>
    <w:rsid w:val="00CE6F35"/>
    <w:rsid w:val="00CE6F3B"/>
    <w:rsid w:val="00CE7144"/>
    <w:rsid w:val="00CE7614"/>
    <w:rsid w:val="00CF05D2"/>
    <w:rsid w:val="00CF1992"/>
    <w:rsid w:val="00CF2207"/>
    <w:rsid w:val="00CF2D57"/>
    <w:rsid w:val="00CF2E90"/>
    <w:rsid w:val="00CF3A6F"/>
    <w:rsid w:val="00CF4561"/>
    <w:rsid w:val="00CF48F5"/>
    <w:rsid w:val="00D018AD"/>
    <w:rsid w:val="00D01A14"/>
    <w:rsid w:val="00D01EC1"/>
    <w:rsid w:val="00D02538"/>
    <w:rsid w:val="00D02610"/>
    <w:rsid w:val="00D02CCB"/>
    <w:rsid w:val="00D0304A"/>
    <w:rsid w:val="00D03BF8"/>
    <w:rsid w:val="00D03C80"/>
    <w:rsid w:val="00D048AF"/>
    <w:rsid w:val="00D04BD0"/>
    <w:rsid w:val="00D04EE5"/>
    <w:rsid w:val="00D04FB6"/>
    <w:rsid w:val="00D05EFE"/>
    <w:rsid w:val="00D0652A"/>
    <w:rsid w:val="00D06B89"/>
    <w:rsid w:val="00D073C2"/>
    <w:rsid w:val="00D07895"/>
    <w:rsid w:val="00D112FF"/>
    <w:rsid w:val="00D11C21"/>
    <w:rsid w:val="00D13579"/>
    <w:rsid w:val="00D13CDA"/>
    <w:rsid w:val="00D144C7"/>
    <w:rsid w:val="00D1512B"/>
    <w:rsid w:val="00D15D87"/>
    <w:rsid w:val="00D15FC4"/>
    <w:rsid w:val="00D16760"/>
    <w:rsid w:val="00D17461"/>
    <w:rsid w:val="00D17FD6"/>
    <w:rsid w:val="00D21861"/>
    <w:rsid w:val="00D230E3"/>
    <w:rsid w:val="00D23350"/>
    <w:rsid w:val="00D242CC"/>
    <w:rsid w:val="00D246EA"/>
    <w:rsid w:val="00D24D48"/>
    <w:rsid w:val="00D25468"/>
    <w:rsid w:val="00D256C4"/>
    <w:rsid w:val="00D25A2C"/>
    <w:rsid w:val="00D25C5C"/>
    <w:rsid w:val="00D2644C"/>
    <w:rsid w:val="00D26EA9"/>
    <w:rsid w:val="00D270DC"/>
    <w:rsid w:val="00D27393"/>
    <w:rsid w:val="00D27556"/>
    <w:rsid w:val="00D305C0"/>
    <w:rsid w:val="00D30E4C"/>
    <w:rsid w:val="00D31326"/>
    <w:rsid w:val="00D31B46"/>
    <w:rsid w:val="00D31CBA"/>
    <w:rsid w:val="00D320C6"/>
    <w:rsid w:val="00D32154"/>
    <w:rsid w:val="00D32792"/>
    <w:rsid w:val="00D33816"/>
    <w:rsid w:val="00D34029"/>
    <w:rsid w:val="00D34332"/>
    <w:rsid w:val="00D3494F"/>
    <w:rsid w:val="00D354D3"/>
    <w:rsid w:val="00D357FE"/>
    <w:rsid w:val="00D36105"/>
    <w:rsid w:val="00D36A37"/>
    <w:rsid w:val="00D418E6"/>
    <w:rsid w:val="00D42554"/>
    <w:rsid w:val="00D42658"/>
    <w:rsid w:val="00D42ABE"/>
    <w:rsid w:val="00D431CB"/>
    <w:rsid w:val="00D43936"/>
    <w:rsid w:val="00D44752"/>
    <w:rsid w:val="00D46E4F"/>
    <w:rsid w:val="00D47DBD"/>
    <w:rsid w:val="00D50DC1"/>
    <w:rsid w:val="00D51353"/>
    <w:rsid w:val="00D516EF"/>
    <w:rsid w:val="00D519A0"/>
    <w:rsid w:val="00D52257"/>
    <w:rsid w:val="00D52CA9"/>
    <w:rsid w:val="00D5314A"/>
    <w:rsid w:val="00D54E91"/>
    <w:rsid w:val="00D562DE"/>
    <w:rsid w:val="00D56BC5"/>
    <w:rsid w:val="00D60624"/>
    <w:rsid w:val="00D62506"/>
    <w:rsid w:val="00D62566"/>
    <w:rsid w:val="00D62571"/>
    <w:rsid w:val="00D62606"/>
    <w:rsid w:val="00D62CE8"/>
    <w:rsid w:val="00D63DFE"/>
    <w:rsid w:val="00D63EB7"/>
    <w:rsid w:val="00D640B7"/>
    <w:rsid w:val="00D6425E"/>
    <w:rsid w:val="00D64310"/>
    <w:rsid w:val="00D64EEC"/>
    <w:rsid w:val="00D6501E"/>
    <w:rsid w:val="00D65310"/>
    <w:rsid w:val="00D66135"/>
    <w:rsid w:val="00D6629C"/>
    <w:rsid w:val="00D66709"/>
    <w:rsid w:val="00D6711F"/>
    <w:rsid w:val="00D70807"/>
    <w:rsid w:val="00D71809"/>
    <w:rsid w:val="00D7200F"/>
    <w:rsid w:val="00D72E0F"/>
    <w:rsid w:val="00D73542"/>
    <w:rsid w:val="00D73E7E"/>
    <w:rsid w:val="00D73E86"/>
    <w:rsid w:val="00D74252"/>
    <w:rsid w:val="00D74E81"/>
    <w:rsid w:val="00D760FC"/>
    <w:rsid w:val="00D76580"/>
    <w:rsid w:val="00D76C86"/>
    <w:rsid w:val="00D76DA8"/>
    <w:rsid w:val="00D7715D"/>
    <w:rsid w:val="00D77CE1"/>
    <w:rsid w:val="00D77DBA"/>
    <w:rsid w:val="00D8051A"/>
    <w:rsid w:val="00D805AC"/>
    <w:rsid w:val="00D811BB"/>
    <w:rsid w:val="00D813C2"/>
    <w:rsid w:val="00D81594"/>
    <w:rsid w:val="00D818F4"/>
    <w:rsid w:val="00D81AEB"/>
    <w:rsid w:val="00D83924"/>
    <w:rsid w:val="00D83A91"/>
    <w:rsid w:val="00D83B88"/>
    <w:rsid w:val="00D84525"/>
    <w:rsid w:val="00D85090"/>
    <w:rsid w:val="00D86D8F"/>
    <w:rsid w:val="00D87163"/>
    <w:rsid w:val="00D900FA"/>
    <w:rsid w:val="00D91783"/>
    <w:rsid w:val="00D92064"/>
    <w:rsid w:val="00D92137"/>
    <w:rsid w:val="00D9237D"/>
    <w:rsid w:val="00D939EF"/>
    <w:rsid w:val="00D93A96"/>
    <w:rsid w:val="00D9446C"/>
    <w:rsid w:val="00D95EAE"/>
    <w:rsid w:val="00D965E1"/>
    <w:rsid w:val="00D96826"/>
    <w:rsid w:val="00D96AE6"/>
    <w:rsid w:val="00D97B95"/>
    <w:rsid w:val="00D97F93"/>
    <w:rsid w:val="00DA00EA"/>
    <w:rsid w:val="00DA0209"/>
    <w:rsid w:val="00DA2699"/>
    <w:rsid w:val="00DA27BC"/>
    <w:rsid w:val="00DA2858"/>
    <w:rsid w:val="00DA306C"/>
    <w:rsid w:val="00DA4733"/>
    <w:rsid w:val="00DA5304"/>
    <w:rsid w:val="00DA61BB"/>
    <w:rsid w:val="00DA756E"/>
    <w:rsid w:val="00DA77F0"/>
    <w:rsid w:val="00DA7BB7"/>
    <w:rsid w:val="00DB02A6"/>
    <w:rsid w:val="00DB0B3B"/>
    <w:rsid w:val="00DB0C74"/>
    <w:rsid w:val="00DB2202"/>
    <w:rsid w:val="00DB3744"/>
    <w:rsid w:val="00DB4026"/>
    <w:rsid w:val="00DB467D"/>
    <w:rsid w:val="00DB4DB3"/>
    <w:rsid w:val="00DB4F0B"/>
    <w:rsid w:val="00DB51F9"/>
    <w:rsid w:val="00DB576F"/>
    <w:rsid w:val="00DB5967"/>
    <w:rsid w:val="00DB5B84"/>
    <w:rsid w:val="00DB617F"/>
    <w:rsid w:val="00DB6A82"/>
    <w:rsid w:val="00DB6ACB"/>
    <w:rsid w:val="00DB7CAF"/>
    <w:rsid w:val="00DB7DA8"/>
    <w:rsid w:val="00DC00AC"/>
    <w:rsid w:val="00DC1797"/>
    <w:rsid w:val="00DC2ADF"/>
    <w:rsid w:val="00DC39AD"/>
    <w:rsid w:val="00DC4538"/>
    <w:rsid w:val="00DC4972"/>
    <w:rsid w:val="00DC54CE"/>
    <w:rsid w:val="00DC5982"/>
    <w:rsid w:val="00DC5AA0"/>
    <w:rsid w:val="00DC5ADB"/>
    <w:rsid w:val="00DC6086"/>
    <w:rsid w:val="00DC7092"/>
    <w:rsid w:val="00DC70E9"/>
    <w:rsid w:val="00DC717F"/>
    <w:rsid w:val="00DC77FD"/>
    <w:rsid w:val="00DD05DE"/>
    <w:rsid w:val="00DD0FA5"/>
    <w:rsid w:val="00DD1070"/>
    <w:rsid w:val="00DD1354"/>
    <w:rsid w:val="00DD148A"/>
    <w:rsid w:val="00DD3254"/>
    <w:rsid w:val="00DD358B"/>
    <w:rsid w:val="00DD4393"/>
    <w:rsid w:val="00DD43E8"/>
    <w:rsid w:val="00DD47C1"/>
    <w:rsid w:val="00DD5016"/>
    <w:rsid w:val="00DD51AE"/>
    <w:rsid w:val="00DD5333"/>
    <w:rsid w:val="00DD541A"/>
    <w:rsid w:val="00DD5B70"/>
    <w:rsid w:val="00DD6272"/>
    <w:rsid w:val="00DD6503"/>
    <w:rsid w:val="00DD6A55"/>
    <w:rsid w:val="00DD6A8A"/>
    <w:rsid w:val="00DD6F2D"/>
    <w:rsid w:val="00DD720F"/>
    <w:rsid w:val="00DD7279"/>
    <w:rsid w:val="00DE0873"/>
    <w:rsid w:val="00DE1FC6"/>
    <w:rsid w:val="00DE2B7E"/>
    <w:rsid w:val="00DE2D07"/>
    <w:rsid w:val="00DE2E1C"/>
    <w:rsid w:val="00DE2F4E"/>
    <w:rsid w:val="00DE38D6"/>
    <w:rsid w:val="00DE3E25"/>
    <w:rsid w:val="00DE400A"/>
    <w:rsid w:val="00DE452A"/>
    <w:rsid w:val="00DE4EBF"/>
    <w:rsid w:val="00DE517A"/>
    <w:rsid w:val="00DE6B05"/>
    <w:rsid w:val="00DE7020"/>
    <w:rsid w:val="00DE750A"/>
    <w:rsid w:val="00DF00BF"/>
    <w:rsid w:val="00DF0BDB"/>
    <w:rsid w:val="00DF1349"/>
    <w:rsid w:val="00DF13F7"/>
    <w:rsid w:val="00DF1E3C"/>
    <w:rsid w:val="00DF2619"/>
    <w:rsid w:val="00DF329B"/>
    <w:rsid w:val="00DF3FDC"/>
    <w:rsid w:val="00DF43BE"/>
    <w:rsid w:val="00DF46A4"/>
    <w:rsid w:val="00DF4B56"/>
    <w:rsid w:val="00DF516A"/>
    <w:rsid w:val="00DF6756"/>
    <w:rsid w:val="00DF6EE7"/>
    <w:rsid w:val="00DF7009"/>
    <w:rsid w:val="00DF7DC0"/>
    <w:rsid w:val="00E00109"/>
    <w:rsid w:val="00E008DA"/>
    <w:rsid w:val="00E009F8"/>
    <w:rsid w:val="00E0165D"/>
    <w:rsid w:val="00E01A13"/>
    <w:rsid w:val="00E02128"/>
    <w:rsid w:val="00E025D5"/>
    <w:rsid w:val="00E02637"/>
    <w:rsid w:val="00E03DDC"/>
    <w:rsid w:val="00E04259"/>
    <w:rsid w:val="00E04ADA"/>
    <w:rsid w:val="00E0531B"/>
    <w:rsid w:val="00E056E6"/>
    <w:rsid w:val="00E06916"/>
    <w:rsid w:val="00E06F9C"/>
    <w:rsid w:val="00E07F43"/>
    <w:rsid w:val="00E1048D"/>
    <w:rsid w:val="00E104B0"/>
    <w:rsid w:val="00E10872"/>
    <w:rsid w:val="00E10E5F"/>
    <w:rsid w:val="00E1160B"/>
    <w:rsid w:val="00E120F7"/>
    <w:rsid w:val="00E13687"/>
    <w:rsid w:val="00E13F3D"/>
    <w:rsid w:val="00E1585C"/>
    <w:rsid w:val="00E16FC4"/>
    <w:rsid w:val="00E17622"/>
    <w:rsid w:val="00E17E5B"/>
    <w:rsid w:val="00E2142F"/>
    <w:rsid w:val="00E218BA"/>
    <w:rsid w:val="00E2191D"/>
    <w:rsid w:val="00E219EC"/>
    <w:rsid w:val="00E21ABB"/>
    <w:rsid w:val="00E21B62"/>
    <w:rsid w:val="00E21D14"/>
    <w:rsid w:val="00E22001"/>
    <w:rsid w:val="00E2216F"/>
    <w:rsid w:val="00E226D9"/>
    <w:rsid w:val="00E23357"/>
    <w:rsid w:val="00E244DD"/>
    <w:rsid w:val="00E2477B"/>
    <w:rsid w:val="00E247D8"/>
    <w:rsid w:val="00E2490E"/>
    <w:rsid w:val="00E24D4E"/>
    <w:rsid w:val="00E25413"/>
    <w:rsid w:val="00E25D28"/>
    <w:rsid w:val="00E26D96"/>
    <w:rsid w:val="00E26F38"/>
    <w:rsid w:val="00E270E4"/>
    <w:rsid w:val="00E2736C"/>
    <w:rsid w:val="00E278DF"/>
    <w:rsid w:val="00E27A66"/>
    <w:rsid w:val="00E27C4D"/>
    <w:rsid w:val="00E303A0"/>
    <w:rsid w:val="00E30BBF"/>
    <w:rsid w:val="00E31DF0"/>
    <w:rsid w:val="00E32734"/>
    <w:rsid w:val="00E3348B"/>
    <w:rsid w:val="00E33E57"/>
    <w:rsid w:val="00E3456F"/>
    <w:rsid w:val="00E3525D"/>
    <w:rsid w:val="00E3628D"/>
    <w:rsid w:val="00E3670B"/>
    <w:rsid w:val="00E37DAE"/>
    <w:rsid w:val="00E40498"/>
    <w:rsid w:val="00E411EE"/>
    <w:rsid w:val="00E41D78"/>
    <w:rsid w:val="00E41F28"/>
    <w:rsid w:val="00E4216B"/>
    <w:rsid w:val="00E42B12"/>
    <w:rsid w:val="00E42DC9"/>
    <w:rsid w:val="00E42F5D"/>
    <w:rsid w:val="00E43AAA"/>
    <w:rsid w:val="00E44A7B"/>
    <w:rsid w:val="00E4517F"/>
    <w:rsid w:val="00E456B9"/>
    <w:rsid w:val="00E45A3F"/>
    <w:rsid w:val="00E45B3D"/>
    <w:rsid w:val="00E45DD4"/>
    <w:rsid w:val="00E45EF7"/>
    <w:rsid w:val="00E46728"/>
    <w:rsid w:val="00E4675C"/>
    <w:rsid w:val="00E46C75"/>
    <w:rsid w:val="00E46E09"/>
    <w:rsid w:val="00E47CFC"/>
    <w:rsid w:val="00E512DA"/>
    <w:rsid w:val="00E52F39"/>
    <w:rsid w:val="00E531A9"/>
    <w:rsid w:val="00E533EB"/>
    <w:rsid w:val="00E5347B"/>
    <w:rsid w:val="00E5406C"/>
    <w:rsid w:val="00E5473D"/>
    <w:rsid w:val="00E548A9"/>
    <w:rsid w:val="00E55D55"/>
    <w:rsid w:val="00E56015"/>
    <w:rsid w:val="00E6095E"/>
    <w:rsid w:val="00E60F23"/>
    <w:rsid w:val="00E61853"/>
    <w:rsid w:val="00E61C91"/>
    <w:rsid w:val="00E62116"/>
    <w:rsid w:val="00E6324C"/>
    <w:rsid w:val="00E63CAD"/>
    <w:rsid w:val="00E63D26"/>
    <w:rsid w:val="00E642DC"/>
    <w:rsid w:val="00E6450F"/>
    <w:rsid w:val="00E64965"/>
    <w:rsid w:val="00E658F2"/>
    <w:rsid w:val="00E659D3"/>
    <w:rsid w:val="00E6648E"/>
    <w:rsid w:val="00E66911"/>
    <w:rsid w:val="00E67353"/>
    <w:rsid w:val="00E67653"/>
    <w:rsid w:val="00E704A1"/>
    <w:rsid w:val="00E7054F"/>
    <w:rsid w:val="00E71C52"/>
    <w:rsid w:val="00E722DE"/>
    <w:rsid w:val="00E72313"/>
    <w:rsid w:val="00E72D8F"/>
    <w:rsid w:val="00E72FAF"/>
    <w:rsid w:val="00E73BC0"/>
    <w:rsid w:val="00E75134"/>
    <w:rsid w:val="00E7660E"/>
    <w:rsid w:val="00E77DDE"/>
    <w:rsid w:val="00E77EE8"/>
    <w:rsid w:val="00E8046B"/>
    <w:rsid w:val="00E810E5"/>
    <w:rsid w:val="00E81319"/>
    <w:rsid w:val="00E8168D"/>
    <w:rsid w:val="00E81DC4"/>
    <w:rsid w:val="00E850B1"/>
    <w:rsid w:val="00E85336"/>
    <w:rsid w:val="00E85A09"/>
    <w:rsid w:val="00E85B43"/>
    <w:rsid w:val="00E85B8C"/>
    <w:rsid w:val="00E86293"/>
    <w:rsid w:val="00E86CF3"/>
    <w:rsid w:val="00E86EF4"/>
    <w:rsid w:val="00E87BC2"/>
    <w:rsid w:val="00E90DDF"/>
    <w:rsid w:val="00E91064"/>
    <w:rsid w:val="00E910F6"/>
    <w:rsid w:val="00E9238F"/>
    <w:rsid w:val="00E93109"/>
    <w:rsid w:val="00E975E8"/>
    <w:rsid w:val="00E97CB3"/>
    <w:rsid w:val="00E97D84"/>
    <w:rsid w:val="00EA110B"/>
    <w:rsid w:val="00EA2821"/>
    <w:rsid w:val="00EA5B57"/>
    <w:rsid w:val="00EA5BD7"/>
    <w:rsid w:val="00EA6653"/>
    <w:rsid w:val="00EA6CB2"/>
    <w:rsid w:val="00EA6EFC"/>
    <w:rsid w:val="00EA74B3"/>
    <w:rsid w:val="00EA7766"/>
    <w:rsid w:val="00EB0CD6"/>
    <w:rsid w:val="00EB143A"/>
    <w:rsid w:val="00EB1560"/>
    <w:rsid w:val="00EB1DBD"/>
    <w:rsid w:val="00EB25C2"/>
    <w:rsid w:val="00EB2EF8"/>
    <w:rsid w:val="00EB357A"/>
    <w:rsid w:val="00EB4C8C"/>
    <w:rsid w:val="00EB4E8A"/>
    <w:rsid w:val="00EB4EBA"/>
    <w:rsid w:val="00EB4EF0"/>
    <w:rsid w:val="00EB542C"/>
    <w:rsid w:val="00EB5C41"/>
    <w:rsid w:val="00EB673B"/>
    <w:rsid w:val="00EB6CAF"/>
    <w:rsid w:val="00EB75DF"/>
    <w:rsid w:val="00EB7799"/>
    <w:rsid w:val="00EB78E5"/>
    <w:rsid w:val="00EC062D"/>
    <w:rsid w:val="00EC086D"/>
    <w:rsid w:val="00EC0DA4"/>
    <w:rsid w:val="00EC1BEA"/>
    <w:rsid w:val="00EC1C5D"/>
    <w:rsid w:val="00EC3973"/>
    <w:rsid w:val="00EC47CA"/>
    <w:rsid w:val="00EC4AE9"/>
    <w:rsid w:val="00EC4B3C"/>
    <w:rsid w:val="00EC5536"/>
    <w:rsid w:val="00EC5740"/>
    <w:rsid w:val="00EC5C2A"/>
    <w:rsid w:val="00EC5E94"/>
    <w:rsid w:val="00EC5F05"/>
    <w:rsid w:val="00EC656E"/>
    <w:rsid w:val="00EC72E3"/>
    <w:rsid w:val="00EC74D7"/>
    <w:rsid w:val="00ED1EEE"/>
    <w:rsid w:val="00ED2B3D"/>
    <w:rsid w:val="00ED388B"/>
    <w:rsid w:val="00ED3E36"/>
    <w:rsid w:val="00ED48EB"/>
    <w:rsid w:val="00ED513A"/>
    <w:rsid w:val="00ED5A07"/>
    <w:rsid w:val="00ED601F"/>
    <w:rsid w:val="00ED74E5"/>
    <w:rsid w:val="00ED7692"/>
    <w:rsid w:val="00EE031A"/>
    <w:rsid w:val="00EE0856"/>
    <w:rsid w:val="00EE1553"/>
    <w:rsid w:val="00EE16F5"/>
    <w:rsid w:val="00EE1A26"/>
    <w:rsid w:val="00EE2B30"/>
    <w:rsid w:val="00EE412A"/>
    <w:rsid w:val="00EE777B"/>
    <w:rsid w:val="00EE7CFD"/>
    <w:rsid w:val="00EF07FA"/>
    <w:rsid w:val="00EF0844"/>
    <w:rsid w:val="00EF0A10"/>
    <w:rsid w:val="00EF1112"/>
    <w:rsid w:val="00EF1B8D"/>
    <w:rsid w:val="00EF2268"/>
    <w:rsid w:val="00EF27B4"/>
    <w:rsid w:val="00EF2AD4"/>
    <w:rsid w:val="00EF2CE7"/>
    <w:rsid w:val="00EF3DC5"/>
    <w:rsid w:val="00EF450A"/>
    <w:rsid w:val="00EF4C26"/>
    <w:rsid w:val="00EF656D"/>
    <w:rsid w:val="00EF6779"/>
    <w:rsid w:val="00EF701A"/>
    <w:rsid w:val="00EF7BF3"/>
    <w:rsid w:val="00F015C3"/>
    <w:rsid w:val="00F02581"/>
    <w:rsid w:val="00F0327D"/>
    <w:rsid w:val="00F03614"/>
    <w:rsid w:val="00F049DA"/>
    <w:rsid w:val="00F059E8"/>
    <w:rsid w:val="00F0723C"/>
    <w:rsid w:val="00F0785D"/>
    <w:rsid w:val="00F07FEF"/>
    <w:rsid w:val="00F10598"/>
    <w:rsid w:val="00F105CB"/>
    <w:rsid w:val="00F10840"/>
    <w:rsid w:val="00F108BF"/>
    <w:rsid w:val="00F109F6"/>
    <w:rsid w:val="00F10CFD"/>
    <w:rsid w:val="00F114D6"/>
    <w:rsid w:val="00F12E16"/>
    <w:rsid w:val="00F13611"/>
    <w:rsid w:val="00F13D0C"/>
    <w:rsid w:val="00F1475C"/>
    <w:rsid w:val="00F152C4"/>
    <w:rsid w:val="00F16488"/>
    <w:rsid w:val="00F16569"/>
    <w:rsid w:val="00F166B2"/>
    <w:rsid w:val="00F16A68"/>
    <w:rsid w:val="00F16E55"/>
    <w:rsid w:val="00F16F5A"/>
    <w:rsid w:val="00F17110"/>
    <w:rsid w:val="00F173BB"/>
    <w:rsid w:val="00F17D00"/>
    <w:rsid w:val="00F17D0C"/>
    <w:rsid w:val="00F2094D"/>
    <w:rsid w:val="00F213A6"/>
    <w:rsid w:val="00F21A30"/>
    <w:rsid w:val="00F2267D"/>
    <w:rsid w:val="00F2293D"/>
    <w:rsid w:val="00F22A1D"/>
    <w:rsid w:val="00F22DC9"/>
    <w:rsid w:val="00F231BD"/>
    <w:rsid w:val="00F23B03"/>
    <w:rsid w:val="00F24033"/>
    <w:rsid w:val="00F246B1"/>
    <w:rsid w:val="00F24BA9"/>
    <w:rsid w:val="00F2542D"/>
    <w:rsid w:val="00F2770C"/>
    <w:rsid w:val="00F30502"/>
    <w:rsid w:val="00F31FF5"/>
    <w:rsid w:val="00F32B82"/>
    <w:rsid w:val="00F339DF"/>
    <w:rsid w:val="00F33C65"/>
    <w:rsid w:val="00F34E37"/>
    <w:rsid w:val="00F352C2"/>
    <w:rsid w:val="00F36CE0"/>
    <w:rsid w:val="00F377A5"/>
    <w:rsid w:val="00F40FF0"/>
    <w:rsid w:val="00F411C3"/>
    <w:rsid w:val="00F411F0"/>
    <w:rsid w:val="00F422EC"/>
    <w:rsid w:val="00F434FC"/>
    <w:rsid w:val="00F4386D"/>
    <w:rsid w:val="00F43AC4"/>
    <w:rsid w:val="00F4440D"/>
    <w:rsid w:val="00F4464B"/>
    <w:rsid w:val="00F47954"/>
    <w:rsid w:val="00F47B44"/>
    <w:rsid w:val="00F47ED8"/>
    <w:rsid w:val="00F507A3"/>
    <w:rsid w:val="00F512C0"/>
    <w:rsid w:val="00F5292E"/>
    <w:rsid w:val="00F531A7"/>
    <w:rsid w:val="00F540BB"/>
    <w:rsid w:val="00F5523C"/>
    <w:rsid w:val="00F55DAE"/>
    <w:rsid w:val="00F55E7B"/>
    <w:rsid w:val="00F5625E"/>
    <w:rsid w:val="00F56FE6"/>
    <w:rsid w:val="00F57348"/>
    <w:rsid w:val="00F575EC"/>
    <w:rsid w:val="00F57703"/>
    <w:rsid w:val="00F57759"/>
    <w:rsid w:val="00F60B76"/>
    <w:rsid w:val="00F6224B"/>
    <w:rsid w:val="00F634B4"/>
    <w:rsid w:val="00F64550"/>
    <w:rsid w:val="00F6462A"/>
    <w:rsid w:val="00F64B86"/>
    <w:rsid w:val="00F655E7"/>
    <w:rsid w:val="00F657EA"/>
    <w:rsid w:val="00F65981"/>
    <w:rsid w:val="00F65EAC"/>
    <w:rsid w:val="00F664EE"/>
    <w:rsid w:val="00F66B1F"/>
    <w:rsid w:val="00F67102"/>
    <w:rsid w:val="00F67271"/>
    <w:rsid w:val="00F675AD"/>
    <w:rsid w:val="00F675EB"/>
    <w:rsid w:val="00F704FC"/>
    <w:rsid w:val="00F70737"/>
    <w:rsid w:val="00F712C1"/>
    <w:rsid w:val="00F715AF"/>
    <w:rsid w:val="00F7177B"/>
    <w:rsid w:val="00F71B69"/>
    <w:rsid w:val="00F7282B"/>
    <w:rsid w:val="00F730F7"/>
    <w:rsid w:val="00F7335B"/>
    <w:rsid w:val="00F735ED"/>
    <w:rsid w:val="00F73777"/>
    <w:rsid w:val="00F7602A"/>
    <w:rsid w:val="00F76509"/>
    <w:rsid w:val="00F76FFD"/>
    <w:rsid w:val="00F77436"/>
    <w:rsid w:val="00F77D05"/>
    <w:rsid w:val="00F80009"/>
    <w:rsid w:val="00F801DD"/>
    <w:rsid w:val="00F81C22"/>
    <w:rsid w:val="00F81D69"/>
    <w:rsid w:val="00F83751"/>
    <w:rsid w:val="00F83E5A"/>
    <w:rsid w:val="00F84B25"/>
    <w:rsid w:val="00F84EA8"/>
    <w:rsid w:val="00F870AC"/>
    <w:rsid w:val="00F874E5"/>
    <w:rsid w:val="00F87B1A"/>
    <w:rsid w:val="00F90384"/>
    <w:rsid w:val="00F90E27"/>
    <w:rsid w:val="00F91173"/>
    <w:rsid w:val="00F918B2"/>
    <w:rsid w:val="00F919C2"/>
    <w:rsid w:val="00F92043"/>
    <w:rsid w:val="00F92CF4"/>
    <w:rsid w:val="00F92E76"/>
    <w:rsid w:val="00F9392B"/>
    <w:rsid w:val="00F94CB3"/>
    <w:rsid w:val="00F956E9"/>
    <w:rsid w:val="00F95715"/>
    <w:rsid w:val="00F9593E"/>
    <w:rsid w:val="00F95BAC"/>
    <w:rsid w:val="00F96A78"/>
    <w:rsid w:val="00F96CD9"/>
    <w:rsid w:val="00F9766D"/>
    <w:rsid w:val="00FA062A"/>
    <w:rsid w:val="00FA0BD5"/>
    <w:rsid w:val="00FA0C4F"/>
    <w:rsid w:val="00FA20C4"/>
    <w:rsid w:val="00FA2240"/>
    <w:rsid w:val="00FA2C14"/>
    <w:rsid w:val="00FA2E0E"/>
    <w:rsid w:val="00FA2E2B"/>
    <w:rsid w:val="00FA33EF"/>
    <w:rsid w:val="00FA3D70"/>
    <w:rsid w:val="00FA3FC3"/>
    <w:rsid w:val="00FA41CB"/>
    <w:rsid w:val="00FA4341"/>
    <w:rsid w:val="00FA47F4"/>
    <w:rsid w:val="00FA5A88"/>
    <w:rsid w:val="00FA78DC"/>
    <w:rsid w:val="00FA7DEF"/>
    <w:rsid w:val="00FB0320"/>
    <w:rsid w:val="00FB0433"/>
    <w:rsid w:val="00FB0712"/>
    <w:rsid w:val="00FB0CAC"/>
    <w:rsid w:val="00FB10BC"/>
    <w:rsid w:val="00FB1724"/>
    <w:rsid w:val="00FB17A5"/>
    <w:rsid w:val="00FB17FE"/>
    <w:rsid w:val="00FB1BD1"/>
    <w:rsid w:val="00FB1EAF"/>
    <w:rsid w:val="00FB278A"/>
    <w:rsid w:val="00FB27D2"/>
    <w:rsid w:val="00FB2A84"/>
    <w:rsid w:val="00FB3126"/>
    <w:rsid w:val="00FB38D4"/>
    <w:rsid w:val="00FB3B88"/>
    <w:rsid w:val="00FB3C12"/>
    <w:rsid w:val="00FB515A"/>
    <w:rsid w:val="00FB5167"/>
    <w:rsid w:val="00FB637F"/>
    <w:rsid w:val="00FB7FD9"/>
    <w:rsid w:val="00FC0910"/>
    <w:rsid w:val="00FC0CB4"/>
    <w:rsid w:val="00FC2709"/>
    <w:rsid w:val="00FC27B2"/>
    <w:rsid w:val="00FC2919"/>
    <w:rsid w:val="00FC3042"/>
    <w:rsid w:val="00FC33DC"/>
    <w:rsid w:val="00FC39A3"/>
    <w:rsid w:val="00FC4887"/>
    <w:rsid w:val="00FC4EEB"/>
    <w:rsid w:val="00FC5343"/>
    <w:rsid w:val="00FC56F1"/>
    <w:rsid w:val="00FC63AE"/>
    <w:rsid w:val="00FC6F0F"/>
    <w:rsid w:val="00FC70F5"/>
    <w:rsid w:val="00FD0453"/>
    <w:rsid w:val="00FD0A90"/>
    <w:rsid w:val="00FD2942"/>
    <w:rsid w:val="00FD3F84"/>
    <w:rsid w:val="00FD43C5"/>
    <w:rsid w:val="00FD46F2"/>
    <w:rsid w:val="00FD7E30"/>
    <w:rsid w:val="00FE0319"/>
    <w:rsid w:val="00FE04AE"/>
    <w:rsid w:val="00FE08F6"/>
    <w:rsid w:val="00FE09A4"/>
    <w:rsid w:val="00FE20FB"/>
    <w:rsid w:val="00FE32F2"/>
    <w:rsid w:val="00FE4B86"/>
    <w:rsid w:val="00FE4F49"/>
    <w:rsid w:val="00FE68C9"/>
    <w:rsid w:val="00FE7FEC"/>
    <w:rsid w:val="00FF0ED8"/>
    <w:rsid w:val="00FF1BAA"/>
    <w:rsid w:val="00FF1F26"/>
    <w:rsid w:val="00FF1FFD"/>
    <w:rsid w:val="00FF21A2"/>
    <w:rsid w:val="00FF3767"/>
    <w:rsid w:val="00FF37F0"/>
    <w:rsid w:val="00FF3B24"/>
    <w:rsid w:val="00FF48AB"/>
    <w:rsid w:val="00FF7274"/>
    <w:rsid w:val="01176D58"/>
    <w:rsid w:val="018F4239"/>
    <w:rsid w:val="01900A04"/>
    <w:rsid w:val="01957D91"/>
    <w:rsid w:val="01F875D2"/>
    <w:rsid w:val="021E4941"/>
    <w:rsid w:val="0253628E"/>
    <w:rsid w:val="027611E1"/>
    <w:rsid w:val="0297B66F"/>
    <w:rsid w:val="0298CE83"/>
    <w:rsid w:val="0313FEF0"/>
    <w:rsid w:val="0316BDBA"/>
    <w:rsid w:val="0332A14B"/>
    <w:rsid w:val="036DD423"/>
    <w:rsid w:val="0373427A"/>
    <w:rsid w:val="03866C58"/>
    <w:rsid w:val="039FE576"/>
    <w:rsid w:val="03AB449A"/>
    <w:rsid w:val="0407F56A"/>
    <w:rsid w:val="04533EA3"/>
    <w:rsid w:val="046081AE"/>
    <w:rsid w:val="04AF2694"/>
    <w:rsid w:val="05B9699E"/>
    <w:rsid w:val="05C82BA1"/>
    <w:rsid w:val="05E4109C"/>
    <w:rsid w:val="065786A5"/>
    <w:rsid w:val="065B1C04"/>
    <w:rsid w:val="069048A8"/>
    <w:rsid w:val="06938C27"/>
    <w:rsid w:val="06A9B3D5"/>
    <w:rsid w:val="06B1458D"/>
    <w:rsid w:val="06ECEE52"/>
    <w:rsid w:val="07563CAA"/>
    <w:rsid w:val="07A7077C"/>
    <w:rsid w:val="07BD2197"/>
    <w:rsid w:val="07DB5A2A"/>
    <w:rsid w:val="08050428"/>
    <w:rsid w:val="082B4F1A"/>
    <w:rsid w:val="08735699"/>
    <w:rsid w:val="0897A47D"/>
    <w:rsid w:val="08C20AC6"/>
    <w:rsid w:val="08DB5433"/>
    <w:rsid w:val="09073F5C"/>
    <w:rsid w:val="0909417D"/>
    <w:rsid w:val="091994B8"/>
    <w:rsid w:val="0924CBDB"/>
    <w:rsid w:val="092513ED"/>
    <w:rsid w:val="096EDD03"/>
    <w:rsid w:val="09FF8F6A"/>
    <w:rsid w:val="0A4CF18F"/>
    <w:rsid w:val="0A6CD332"/>
    <w:rsid w:val="0AA14767"/>
    <w:rsid w:val="0AAD1653"/>
    <w:rsid w:val="0B261467"/>
    <w:rsid w:val="0B9E35C7"/>
    <w:rsid w:val="0BB3AE63"/>
    <w:rsid w:val="0BCCDD6C"/>
    <w:rsid w:val="0C4095F4"/>
    <w:rsid w:val="0C5DB498"/>
    <w:rsid w:val="0C64C144"/>
    <w:rsid w:val="0C6AAC86"/>
    <w:rsid w:val="0C872008"/>
    <w:rsid w:val="0C8AE946"/>
    <w:rsid w:val="0C9C1710"/>
    <w:rsid w:val="0CC20EA2"/>
    <w:rsid w:val="0CF619A1"/>
    <w:rsid w:val="0D2A5869"/>
    <w:rsid w:val="0D4A10A8"/>
    <w:rsid w:val="0D59BA3F"/>
    <w:rsid w:val="0DAC409F"/>
    <w:rsid w:val="0DC702A7"/>
    <w:rsid w:val="0DEFB11E"/>
    <w:rsid w:val="0E8206BC"/>
    <w:rsid w:val="0EAFEC47"/>
    <w:rsid w:val="0EC4E909"/>
    <w:rsid w:val="0ED2B2BE"/>
    <w:rsid w:val="0EEA9715"/>
    <w:rsid w:val="0EED7859"/>
    <w:rsid w:val="0F3CAB8D"/>
    <w:rsid w:val="0F5A119C"/>
    <w:rsid w:val="0F6DA5D3"/>
    <w:rsid w:val="0F89BC86"/>
    <w:rsid w:val="0F90DAAE"/>
    <w:rsid w:val="0FAA45E3"/>
    <w:rsid w:val="0FC201E4"/>
    <w:rsid w:val="0FE0F4F2"/>
    <w:rsid w:val="0FFCA80E"/>
    <w:rsid w:val="10088B27"/>
    <w:rsid w:val="103C6615"/>
    <w:rsid w:val="105632B0"/>
    <w:rsid w:val="106A0044"/>
    <w:rsid w:val="107610F2"/>
    <w:rsid w:val="108D458E"/>
    <w:rsid w:val="11152D9F"/>
    <w:rsid w:val="114058BE"/>
    <w:rsid w:val="11447E63"/>
    <w:rsid w:val="117CEAED"/>
    <w:rsid w:val="11B78CBC"/>
    <w:rsid w:val="11C6D5C1"/>
    <w:rsid w:val="11E72902"/>
    <w:rsid w:val="11EFD3EC"/>
    <w:rsid w:val="12191A63"/>
    <w:rsid w:val="122A4E9A"/>
    <w:rsid w:val="13A6BF5F"/>
    <w:rsid w:val="13BB5962"/>
    <w:rsid w:val="13DD3D78"/>
    <w:rsid w:val="145DC891"/>
    <w:rsid w:val="14E67311"/>
    <w:rsid w:val="1697399D"/>
    <w:rsid w:val="16F6900B"/>
    <w:rsid w:val="16FB1066"/>
    <w:rsid w:val="1730E11D"/>
    <w:rsid w:val="1764C7B3"/>
    <w:rsid w:val="178DDF11"/>
    <w:rsid w:val="17A478BC"/>
    <w:rsid w:val="17B0898F"/>
    <w:rsid w:val="17D2022B"/>
    <w:rsid w:val="17E14604"/>
    <w:rsid w:val="18067828"/>
    <w:rsid w:val="183756BA"/>
    <w:rsid w:val="1846556F"/>
    <w:rsid w:val="1889A9FA"/>
    <w:rsid w:val="18DC03AE"/>
    <w:rsid w:val="190C010E"/>
    <w:rsid w:val="1968976D"/>
    <w:rsid w:val="19692AA6"/>
    <w:rsid w:val="19DD1BD7"/>
    <w:rsid w:val="19EB61F5"/>
    <w:rsid w:val="19FAF323"/>
    <w:rsid w:val="1A384DB1"/>
    <w:rsid w:val="1A7473F4"/>
    <w:rsid w:val="1AA78980"/>
    <w:rsid w:val="1B4B92A5"/>
    <w:rsid w:val="1B64A1E9"/>
    <w:rsid w:val="1B786B47"/>
    <w:rsid w:val="1B8A0372"/>
    <w:rsid w:val="1BD48D31"/>
    <w:rsid w:val="1BD4A051"/>
    <w:rsid w:val="1C0C5A31"/>
    <w:rsid w:val="1C51BC06"/>
    <w:rsid w:val="1C83613A"/>
    <w:rsid w:val="1CCBD27C"/>
    <w:rsid w:val="1CDBA9E4"/>
    <w:rsid w:val="1CFE86FD"/>
    <w:rsid w:val="1D211363"/>
    <w:rsid w:val="1D417BCA"/>
    <w:rsid w:val="1D51D7CD"/>
    <w:rsid w:val="1D530228"/>
    <w:rsid w:val="1DAAD4AE"/>
    <w:rsid w:val="1E15EDA2"/>
    <w:rsid w:val="1E192734"/>
    <w:rsid w:val="1EABFDEC"/>
    <w:rsid w:val="1F1E7CE6"/>
    <w:rsid w:val="1F41CB9F"/>
    <w:rsid w:val="1F4A825F"/>
    <w:rsid w:val="1F679F55"/>
    <w:rsid w:val="1F6C8AD0"/>
    <w:rsid w:val="1F8B14AD"/>
    <w:rsid w:val="1FA6AD71"/>
    <w:rsid w:val="1FB38A28"/>
    <w:rsid w:val="20033D78"/>
    <w:rsid w:val="206B7714"/>
    <w:rsid w:val="207F0F63"/>
    <w:rsid w:val="2098B848"/>
    <w:rsid w:val="20BC292C"/>
    <w:rsid w:val="20CF53F6"/>
    <w:rsid w:val="21B60DB6"/>
    <w:rsid w:val="22D72351"/>
    <w:rsid w:val="22DC6AD3"/>
    <w:rsid w:val="2303F23D"/>
    <w:rsid w:val="2323C3CE"/>
    <w:rsid w:val="245FD3EA"/>
    <w:rsid w:val="2461240C"/>
    <w:rsid w:val="247DF559"/>
    <w:rsid w:val="24F74C23"/>
    <w:rsid w:val="251CC15D"/>
    <w:rsid w:val="2539E724"/>
    <w:rsid w:val="258B4DE9"/>
    <w:rsid w:val="262C81A2"/>
    <w:rsid w:val="26396B1F"/>
    <w:rsid w:val="266A0849"/>
    <w:rsid w:val="267855CF"/>
    <w:rsid w:val="2694EF7C"/>
    <w:rsid w:val="26973EA7"/>
    <w:rsid w:val="26B02EBB"/>
    <w:rsid w:val="26BA848D"/>
    <w:rsid w:val="26FDA7D3"/>
    <w:rsid w:val="2715BE61"/>
    <w:rsid w:val="277C26C4"/>
    <w:rsid w:val="27DDA2D6"/>
    <w:rsid w:val="27F42F63"/>
    <w:rsid w:val="28C3B1CF"/>
    <w:rsid w:val="28C415ED"/>
    <w:rsid w:val="28D0FB60"/>
    <w:rsid w:val="28E706B2"/>
    <w:rsid w:val="291C95A3"/>
    <w:rsid w:val="291D56B7"/>
    <w:rsid w:val="2923D3FB"/>
    <w:rsid w:val="29488C0F"/>
    <w:rsid w:val="29A9B749"/>
    <w:rsid w:val="2A24A52F"/>
    <w:rsid w:val="2A24FD22"/>
    <w:rsid w:val="2A5588D2"/>
    <w:rsid w:val="2A67F343"/>
    <w:rsid w:val="2A75E294"/>
    <w:rsid w:val="2AEBAB08"/>
    <w:rsid w:val="2B1FE43A"/>
    <w:rsid w:val="2B9AF859"/>
    <w:rsid w:val="2BCE3F0E"/>
    <w:rsid w:val="2C064BD5"/>
    <w:rsid w:val="2C43FD57"/>
    <w:rsid w:val="2CEC5ECB"/>
    <w:rsid w:val="2DDDF58A"/>
    <w:rsid w:val="2DF0F768"/>
    <w:rsid w:val="2E037E8E"/>
    <w:rsid w:val="2E9C3106"/>
    <w:rsid w:val="2EE0CAAC"/>
    <w:rsid w:val="2F41EAEE"/>
    <w:rsid w:val="2F44831A"/>
    <w:rsid w:val="2F601CF6"/>
    <w:rsid w:val="2F6C5AD2"/>
    <w:rsid w:val="30768F53"/>
    <w:rsid w:val="30E63039"/>
    <w:rsid w:val="3143B233"/>
    <w:rsid w:val="31621ECA"/>
    <w:rsid w:val="31B840C4"/>
    <w:rsid w:val="31C50FC7"/>
    <w:rsid w:val="3219F97A"/>
    <w:rsid w:val="3292DB2F"/>
    <w:rsid w:val="32BFE21D"/>
    <w:rsid w:val="32ECC2DF"/>
    <w:rsid w:val="3349CEE2"/>
    <w:rsid w:val="3364D986"/>
    <w:rsid w:val="3373D137"/>
    <w:rsid w:val="338EF4DA"/>
    <w:rsid w:val="339372A8"/>
    <w:rsid w:val="33996966"/>
    <w:rsid w:val="33AABA6B"/>
    <w:rsid w:val="33BB4FAF"/>
    <w:rsid w:val="33E084B8"/>
    <w:rsid w:val="340BE4E3"/>
    <w:rsid w:val="342AC784"/>
    <w:rsid w:val="343A3F28"/>
    <w:rsid w:val="34F3B305"/>
    <w:rsid w:val="35C0F8A8"/>
    <w:rsid w:val="36606037"/>
    <w:rsid w:val="367A3C74"/>
    <w:rsid w:val="3686BAE3"/>
    <w:rsid w:val="36B2AAD4"/>
    <w:rsid w:val="36D22D88"/>
    <w:rsid w:val="36DC08B4"/>
    <w:rsid w:val="36E121A5"/>
    <w:rsid w:val="3722E4E2"/>
    <w:rsid w:val="37611188"/>
    <w:rsid w:val="378FED42"/>
    <w:rsid w:val="37B557B4"/>
    <w:rsid w:val="37E4C2C6"/>
    <w:rsid w:val="37FBE8CE"/>
    <w:rsid w:val="38349A9D"/>
    <w:rsid w:val="3862C594"/>
    <w:rsid w:val="38B3E210"/>
    <w:rsid w:val="3960C67A"/>
    <w:rsid w:val="396B996C"/>
    <w:rsid w:val="39AB1352"/>
    <w:rsid w:val="39DAA023"/>
    <w:rsid w:val="39F7DFB4"/>
    <w:rsid w:val="3A1E1CA4"/>
    <w:rsid w:val="3A52C43E"/>
    <w:rsid w:val="3AAA6AE1"/>
    <w:rsid w:val="3AE79B14"/>
    <w:rsid w:val="3B00E1C8"/>
    <w:rsid w:val="3BBB7221"/>
    <w:rsid w:val="3BD5A46D"/>
    <w:rsid w:val="3C01C194"/>
    <w:rsid w:val="3C6AF148"/>
    <w:rsid w:val="3C8EEEAC"/>
    <w:rsid w:val="3CC7E3D8"/>
    <w:rsid w:val="3CDE7E98"/>
    <w:rsid w:val="3D33411B"/>
    <w:rsid w:val="3DC054F1"/>
    <w:rsid w:val="3DECCBE1"/>
    <w:rsid w:val="3E5C62D7"/>
    <w:rsid w:val="3EBF285A"/>
    <w:rsid w:val="3EE8377B"/>
    <w:rsid w:val="3F0F4513"/>
    <w:rsid w:val="3FB7E596"/>
    <w:rsid w:val="40212750"/>
    <w:rsid w:val="40E6344A"/>
    <w:rsid w:val="426CD636"/>
    <w:rsid w:val="42751C99"/>
    <w:rsid w:val="42A8C75E"/>
    <w:rsid w:val="42FD33DE"/>
    <w:rsid w:val="432AFDD0"/>
    <w:rsid w:val="432C390B"/>
    <w:rsid w:val="43336065"/>
    <w:rsid w:val="4343AAF1"/>
    <w:rsid w:val="434B7A23"/>
    <w:rsid w:val="437D2C61"/>
    <w:rsid w:val="4382F1F0"/>
    <w:rsid w:val="43AB8634"/>
    <w:rsid w:val="43E1E636"/>
    <w:rsid w:val="4406C6AB"/>
    <w:rsid w:val="4426549C"/>
    <w:rsid w:val="44994374"/>
    <w:rsid w:val="449BC588"/>
    <w:rsid w:val="44B57CD5"/>
    <w:rsid w:val="44C368EF"/>
    <w:rsid w:val="44D2182D"/>
    <w:rsid w:val="44E60F3D"/>
    <w:rsid w:val="44EC2630"/>
    <w:rsid w:val="4503E8D6"/>
    <w:rsid w:val="459B203B"/>
    <w:rsid w:val="45EF8303"/>
    <w:rsid w:val="464839E7"/>
    <w:rsid w:val="4649DF49"/>
    <w:rsid w:val="46671F14"/>
    <w:rsid w:val="46798BB3"/>
    <w:rsid w:val="4694DAFC"/>
    <w:rsid w:val="46BD1EF5"/>
    <w:rsid w:val="46DD5CA0"/>
    <w:rsid w:val="46E0E07B"/>
    <w:rsid w:val="47291A5C"/>
    <w:rsid w:val="47443381"/>
    <w:rsid w:val="47C132DA"/>
    <w:rsid w:val="47D0A478"/>
    <w:rsid w:val="47DFACB6"/>
    <w:rsid w:val="48087A4F"/>
    <w:rsid w:val="484D9E69"/>
    <w:rsid w:val="486EA863"/>
    <w:rsid w:val="48A00553"/>
    <w:rsid w:val="48BC1329"/>
    <w:rsid w:val="498B1982"/>
    <w:rsid w:val="49965DB2"/>
    <w:rsid w:val="49B0AAE2"/>
    <w:rsid w:val="49B9A95C"/>
    <w:rsid w:val="4A354AB8"/>
    <w:rsid w:val="4A50731A"/>
    <w:rsid w:val="4A6224C2"/>
    <w:rsid w:val="4AA49807"/>
    <w:rsid w:val="4B096421"/>
    <w:rsid w:val="4BC605BA"/>
    <w:rsid w:val="4CE34398"/>
    <w:rsid w:val="4D194490"/>
    <w:rsid w:val="4D26EA00"/>
    <w:rsid w:val="4D4FDDAB"/>
    <w:rsid w:val="4D9EA107"/>
    <w:rsid w:val="4E73DBB0"/>
    <w:rsid w:val="4ED9AD36"/>
    <w:rsid w:val="4F1CD175"/>
    <w:rsid w:val="4F580A70"/>
    <w:rsid w:val="4FAC6218"/>
    <w:rsid w:val="4FF16390"/>
    <w:rsid w:val="502A8307"/>
    <w:rsid w:val="502AF649"/>
    <w:rsid w:val="502B3C6E"/>
    <w:rsid w:val="503EA3F6"/>
    <w:rsid w:val="5050EF5D"/>
    <w:rsid w:val="506B0956"/>
    <w:rsid w:val="514BBF70"/>
    <w:rsid w:val="52383F9E"/>
    <w:rsid w:val="525467AE"/>
    <w:rsid w:val="530823AD"/>
    <w:rsid w:val="53B2F3BB"/>
    <w:rsid w:val="53D5958C"/>
    <w:rsid w:val="53E1CB9C"/>
    <w:rsid w:val="53E96036"/>
    <w:rsid w:val="542492D6"/>
    <w:rsid w:val="542BA9F8"/>
    <w:rsid w:val="54C2DFA1"/>
    <w:rsid w:val="54F59F1E"/>
    <w:rsid w:val="55237EEA"/>
    <w:rsid w:val="552B9E7E"/>
    <w:rsid w:val="552DB963"/>
    <w:rsid w:val="55987319"/>
    <w:rsid w:val="559EF30D"/>
    <w:rsid w:val="55CF4156"/>
    <w:rsid w:val="56037C80"/>
    <w:rsid w:val="56729A93"/>
    <w:rsid w:val="56929D31"/>
    <w:rsid w:val="57046D1D"/>
    <w:rsid w:val="57050C74"/>
    <w:rsid w:val="570966A6"/>
    <w:rsid w:val="57307B69"/>
    <w:rsid w:val="577C4CB3"/>
    <w:rsid w:val="577F943F"/>
    <w:rsid w:val="5790C636"/>
    <w:rsid w:val="582D7590"/>
    <w:rsid w:val="587A4E3B"/>
    <w:rsid w:val="58B3EF27"/>
    <w:rsid w:val="58B42BD7"/>
    <w:rsid w:val="58C441EF"/>
    <w:rsid w:val="58C83E3E"/>
    <w:rsid w:val="591C7DBE"/>
    <w:rsid w:val="592C154E"/>
    <w:rsid w:val="5999255E"/>
    <w:rsid w:val="59CBA3A2"/>
    <w:rsid w:val="59D9C672"/>
    <w:rsid w:val="5A05723F"/>
    <w:rsid w:val="5AB542FB"/>
    <w:rsid w:val="5AE5A570"/>
    <w:rsid w:val="5AE96774"/>
    <w:rsid w:val="5AEE4A76"/>
    <w:rsid w:val="5BA5D547"/>
    <w:rsid w:val="5BD9F376"/>
    <w:rsid w:val="5C4AF772"/>
    <w:rsid w:val="5CD48724"/>
    <w:rsid w:val="5CF3B62A"/>
    <w:rsid w:val="5CF50C7A"/>
    <w:rsid w:val="5D6429CB"/>
    <w:rsid w:val="5D71A81D"/>
    <w:rsid w:val="5DD6DCAF"/>
    <w:rsid w:val="5EAE35CF"/>
    <w:rsid w:val="5EB93D74"/>
    <w:rsid w:val="5EFB97FB"/>
    <w:rsid w:val="5F29DD33"/>
    <w:rsid w:val="5F3DB99B"/>
    <w:rsid w:val="5F5467A5"/>
    <w:rsid w:val="5F72EF14"/>
    <w:rsid w:val="5FB15C1E"/>
    <w:rsid w:val="5FBE75D8"/>
    <w:rsid w:val="6003D410"/>
    <w:rsid w:val="60058A6C"/>
    <w:rsid w:val="602CFF65"/>
    <w:rsid w:val="603D4B6C"/>
    <w:rsid w:val="605136A1"/>
    <w:rsid w:val="6064B632"/>
    <w:rsid w:val="60AAB3B5"/>
    <w:rsid w:val="60D2D255"/>
    <w:rsid w:val="61958306"/>
    <w:rsid w:val="619BC036"/>
    <w:rsid w:val="61AF398D"/>
    <w:rsid w:val="61E81110"/>
    <w:rsid w:val="61F8CE2D"/>
    <w:rsid w:val="622CB08E"/>
    <w:rsid w:val="62951625"/>
    <w:rsid w:val="62F7F4BE"/>
    <w:rsid w:val="637C71ED"/>
    <w:rsid w:val="63AB7D46"/>
    <w:rsid w:val="63B4EFB8"/>
    <w:rsid w:val="64391522"/>
    <w:rsid w:val="64808931"/>
    <w:rsid w:val="6482816F"/>
    <w:rsid w:val="648CCB56"/>
    <w:rsid w:val="6496C717"/>
    <w:rsid w:val="64A7222C"/>
    <w:rsid w:val="64BE7CC7"/>
    <w:rsid w:val="652861D7"/>
    <w:rsid w:val="656E5210"/>
    <w:rsid w:val="65A09A88"/>
    <w:rsid w:val="65EB3C76"/>
    <w:rsid w:val="65FD6BC5"/>
    <w:rsid w:val="6617C60B"/>
    <w:rsid w:val="664CF878"/>
    <w:rsid w:val="6652594B"/>
    <w:rsid w:val="66648DC1"/>
    <w:rsid w:val="66BD7A7C"/>
    <w:rsid w:val="66DB5CC8"/>
    <w:rsid w:val="674A03AC"/>
    <w:rsid w:val="6768D68B"/>
    <w:rsid w:val="679A8FCD"/>
    <w:rsid w:val="67C954B3"/>
    <w:rsid w:val="67E0F9A8"/>
    <w:rsid w:val="680AD73C"/>
    <w:rsid w:val="680D36F3"/>
    <w:rsid w:val="6847CAE4"/>
    <w:rsid w:val="685EFC44"/>
    <w:rsid w:val="697C3439"/>
    <w:rsid w:val="6983D8D2"/>
    <w:rsid w:val="6989390A"/>
    <w:rsid w:val="69B3550A"/>
    <w:rsid w:val="69F31127"/>
    <w:rsid w:val="6A3E25FF"/>
    <w:rsid w:val="6A52251E"/>
    <w:rsid w:val="6A65C471"/>
    <w:rsid w:val="6A7B3ADE"/>
    <w:rsid w:val="6AC13E01"/>
    <w:rsid w:val="6B1F8ABE"/>
    <w:rsid w:val="6B313673"/>
    <w:rsid w:val="6B35D2F3"/>
    <w:rsid w:val="6BD7295A"/>
    <w:rsid w:val="6BDB3B84"/>
    <w:rsid w:val="6C06843B"/>
    <w:rsid w:val="6C140E3E"/>
    <w:rsid w:val="6C28DFE8"/>
    <w:rsid w:val="6C926003"/>
    <w:rsid w:val="6CB32BDF"/>
    <w:rsid w:val="6CBF5E98"/>
    <w:rsid w:val="6D0C394A"/>
    <w:rsid w:val="6D2F9B3A"/>
    <w:rsid w:val="6D9CBE1B"/>
    <w:rsid w:val="6DCC333F"/>
    <w:rsid w:val="6E19AB8B"/>
    <w:rsid w:val="6E3FFB02"/>
    <w:rsid w:val="6E536CDA"/>
    <w:rsid w:val="6E6849B1"/>
    <w:rsid w:val="6E81F140"/>
    <w:rsid w:val="6EBA51AF"/>
    <w:rsid w:val="6EDB2CEF"/>
    <w:rsid w:val="6FD56DCF"/>
    <w:rsid w:val="7027ACA2"/>
    <w:rsid w:val="70671946"/>
    <w:rsid w:val="7078E21D"/>
    <w:rsid w:val="707A7820"/>
    <w:rsid w:val="70AA8D6E"/>
    <w:rsid w:val="70E98AF8"/>
    <w:rsid w:val="710F5872"/>
    <w:rsid w:val="716F81DF"/>
    <w:rsid w:val="71D57814"/>
    <w:rsid w:val="71E21B64"/>
    <w:rsid w:val="722EA429"/>
    <w:rsid w:val="7252150B"/>
    <w:rsid w:val="728AFD0D"/>
    <w:rsid w:val="7297F06F"/>
    <w:rsid w:val="72F2B1AF"/>
    <w:rsid w:val="733BAF41"/>
    <w:rsid w:val="736B20CE"/>
    <w:rsid w:val="73756F5F"/>
    <w:rsid w:val="7386733F"/>
    <w:rsid w:val="739D2FFC"/>
    <w:rsid w:val="739FCE4C"/>
    <w:rsid w:val="73EA2BDE"/>
    <w:rsid w:val="73F27C29"/>
    <w:rsid w:val="745F7D60"/>
    <w:rsid w:val="749A22A5"/>
    <w:rsid w:val="74A0CE47"/>
    <w:rsid w:val="74A9A6C4"/>
    <w:rsid w:val="74D775EC"/>
    <w:rsid w:val="75328099"/>
    <w:rsid w:val="753B5DB6"/>
    <w:rsid w:val="75466466"/>
    <w:rsid w:val="757D56A4"/>
    <w:rsid w:val="75A2574D"/>
    <w:rsid w:val="7608C7CB"/>
    <w:rsid w:val="761667E6"/>
    <w:rsid w:val="763A20C5"/>
    <w:rsid w:val="76BFA11D"/>
    <w:rsid w:val="76F99BE1"/>
    <w:rsid w:val="7702AEE2"/>
    <w:rsid w:val="773FB4FF"/>
    <w:rsid w:val="77650C65"/>
    <w:rsid w:val="776710D4"/>
    <w:rsid w:val="776E012A"/>
    <w:rsid w:val="7812F118"/>
    <w:rsid w:val="78542D7E"/>
    <w:rsid w:val="788C534A"/>
    <w:rsid w:val="78E63429"/>
    <w:rsid w:val="78E8ADC8"/>
    <w:rsid w:val="79016FE9"/>
    <w:rsid w:val="790549B4"/>
    <w:rsid w:val="79415BFF"/>
    <w:rsid w:val="79655D32"/>
    <w:rsid w:val="796E1A2D"/>
    <w:rsid w:val="7A44B659"/>
    <w:rsid w:val="7AEE6DC9"/>
    <w:rsid w:val="7B0EFE67"/>
    <w:rsid w:val="7B387511"/>
    <w:rsid w:val="7B6218D1"/>
    <w:rsid w:val="7BA8ACE3"/>
    <w:rsid w:val="7BBF5C28"/>
    <w:rsid w:val="7BCC9B67"/>
    <w:rsid w:val="7C210279"/>
    <w:rsid w:val="7C435BB0"/>
    <w:rsid w:val="7C77AFA0"/>
    <w:rsid w:val="7CF60E24"/>
    <w:rsid w:val="7CFA4E2D"/>
    <w:rsid w:val="7DD4F507"/>
    <w:rsid w:val="7DF50BA3"/>
    <w:rsid w:val="7E58F7DD"/>
    <w:rsid w:val="7E8EAC33"/>
    <w:rsid w:val="7EF08DA6"/>
    <w:rsid w:val="7F6E9F9A"/>
    <w:rsid w:val="7F875CDF"/>
    <w:rsid w:val="7FD2E90D"/>
    <w:rsid w:val="7FDE66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0A5CD"/>
  <w15:docId w15:val="{B04769AA-AB6F-492A-BA75-A535E636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2AC7"/>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F47954"/>
    <w:pPr>
      <w:keepNext/>
      <w:keepLines/>
      <w:spacing w:before="480"/>
      <w:outlineLvl w:val="0"/>
    </w:pPr>
    <w:rPr>
      <w:rFonts w:ascii="SansaSoft Pro SemiBold" w:eastAsiaTheme="majorEastAsia" w:hAnsi="SansaSoft Pro SemiBold" w:cstheme="majorBidi"/>
      <w:bCs/>
      <w:color w:val="B58C0A"/>
      <w:sz w:val="40"/>
      <w:szCs w:val="28"/>
    </w:rPr>
  </w:style>
  <w:style w:type="paragraph" w:styleId="Heading2">
    <w:name w:val="heading 2"/>
    <w:basedOn w:val="Normal"/>
    <w:next w:val="Normal"/>
    <w:link w:val="Heading2Char"/>
    <w:uiPriority w:val="9"/>
    <w:unhideWhenUsed/>
    <w:qFormat/>
    <w:rsid w:val="004B3B9E"/>
    <w:pPr>
      <w:keepNext/>
      <w:keepLines/>
      <w:spacing w:before="200"/>
      <w:outlineLvl w:val="1"/>
    </w:pPr>
    <w:rPr>
      <w:rFonts w:ascii="SansaSoft Pro Normal" w:eastAsiaTheme="majorEastAsia" w:hAnsi="SansaSoft Pro Normal" w:cstheme="majorBidi"/>
      <w:b/>
      <w:bCs/>
      <w:sz w:val="26"/>
      <w:szCs w:val="26"/>
    </w:rPr>
  </w:style>
  <w:style w:type="paragraph" w:styleId="Heading3">
    <w:name w:val="heading 3"/>
    <w:basedOn w:val="Normal"/>
    <w:next w:val="Normal"/>
    <w:link w:val="Heading3Char"/>
    <w:uiPriority w:val="9"/>
    <w:unhideWhenUsed/>
    <w:qFormat/>
    <w:rsid w:val="00C472C8"/>
    <w:pPr>
      <w:keepNext/>
      <w:keepLines/>
      <w:spacing w:before="200"/>
      <w:outlineLvl w:val="2"/>
    </w:pPr>
    <w:rPr>
      <w:rFonts w:eastAsiaTheme="majorEastAsia" w:cstheme="majorBidi"/>
      <w:b/>
      <w:bCs/>
      <w:color w:val="919296"/>
    </w:rPr>
  </w:style>
  <w:style w:type="paragraph" w:styleId="Heading4">
    <w:name w:val="heading 4"/>
    <w:basedOn w:val="Normal"/>
    <w:next w:val="Normal"/>
    <w:link w:val="Heading4Char"/>
    <w:uiPriority w:val="9"/>
    <w:unhideWhenUsed/>
    <w:qFormat/>
    <w:rsid w:val="00C472C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L,List Paragraph11,Recommendation,bullet point list,Bullet point,DDM Gen Text,List Paragraph - bullets,NFP GP Bulleted List,List Paragraph Number,List Paragraph2,Indented bullet,0Bullet,Bullets"/>
    <w:basedOn w:val="Normal"/>
    <w:link w:val="ListParagraphChar"/>
    <w:uiPriority w:val="34"/>
    <w:qFormat/>
    <w:rsid w:val="00833A14"/>
    <w:pPr>
      <w:ind w:left="720"/>
      <w:contextualSpacing/>
    </w:pPr>
  </w:style>
  <w:style w:type="paragraph" w:customStyle="1" w:styleId="Default">
    <w:name w:val="Default"/>
    <w:rsid w:val="007D5988"/>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7D5988"/>
    <w:rPr>
      <w:rFonts w:ascii="Calibri" w:hAnsi="Calibri"/>
      <w:szCs w:val="21"/>
    </w:rPr>
  </w:style>
  <w:style w:type="character" w:customStyle="1" w:styleId="PlainTextChar">
    <w:name w:val="Plain Text Char"/>
    <w:basedOn w:val="DefaultParagraphFont"/>
    <w:link w:val="PlainText"/>
    <w:uiPriority w:val="99"/>
    <w:rsid w:val="007D5988"/>
    <w:rPr>
      <w:rFonts w:ascii="Calibri" w:hAnsi="Calibri"/>
      <w:szCs w:val="21"/>
    </w:rPr>
  </w:style>
  <w:style w:type="character" w:customStyle="1" w:styleId="ListParagraphChar">
    <w:name w:val="List Paragraph Char"/>
    <w:aliases w:val="List Paragraph1 Char,Single bullet style Char,L Char,List Paragraph11 Char,Recommendation Char,bullet point list Char,Bullet point Char,DDM Gen Text Char,List Paragraph - bullets Char,NFP GP Bulleted List Char,List Paragraph2 Char"/>
    <w:basedOn w:val="DefaultParagraphFont"/>
    <w:link w:val="ListParagraph"/>
    <w:uiPriority w:val="34"/>
    <w:rsid w:val="007D5988"/>
  </w:style>
  <w:style w:type="character" w:styleId="Emphasis">
    <w:name w:val="Emphasis"/>
    <w:basedOn w:val="DefaultParagraphFont"/>
    <w:uiPriority w:val="20"/>
    <w:qFormat/>
    <w:rsid w:val="003A5DF9"/>
    <w:rPr>
      <w:i/>
      <w:iCs/>
    </w:rPr>
  </w:style>
  <w:style w:type="table" w:styleId="TableGrid">
    <w:name w:val="Table Grid"/>
    <w:basedOn w:val="TableNormal"/>
    <w:uiPriority w:val="39"/>
    <w:rsid w:val="008E2B2F"/>
    <w:pPr>
      <w:spacing w:after="0" w:line="240" w:lineRule="auto"/>
    </w:pPr>
    <w:rPr>
      <w:rFonts w:ascii="Arial" w:eastAsia="Times New Roman" w:hAnsi="Arial" w:cs="Times New Roman"/>
      <w:sz w:val="20"/>
      <w:szCs w:val="20"/>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rPr>
        <w:rFonts w:ascii="Arial" w:hAnsi="Arial"/>
        <w:color w:val="FFFFFF" w:themeColor="background1"/>
      </w:rPr>
      <w:tblPr/>
      <w:tcPr>
        <w:shd w:val="clear" w:color="auto" w:fill="C79D15"/>
      </w:tcPr>
    </w:tblStylePr>
    <w:tblStylePr w:type="band1Horz">
      <w:rPr>
        <w:color w:val="auto"/>
      </w:rPr>
      <w:tblPr/>
      <w:tcPr>
        <w:shd w:val="clear" w:color="auto" w:fill="FFFFFF" w:themeFill="background1"/>
      </w:tcPr>
    </w:tblStylePr>
    <w:tblStylePr w:type="band2Horz">
      <w:tblPr/>
      <w:tcPr>
        <w:shd w:val="clear" w:color="auto" w:fill="FFF6E0"/>
      </w:tcPr>
    </w:tblStylePr>
  </w:style>
  <w:style w:type="paragraph" w:customStyle="1" w:styleId="TableHeading">
    <w:name w:val="Table Heading"/>
    <w:basedOn w:val="Heading1"/>
    <w:autoRedefine/>
    <w:qFormat/>
    <w:rsid w:val="003E7CF9"/>
    <w:pPr>
      <w:keepLines w:val="0"/>
      <w:tabs>
        <w:tab w:val="left" w:pos="709"/>
      </w:tabs>
      <w:spacing w:before="360" w:after="120" w:line="300" w:lineRule="auto"/>
      <w:ind w:left="709" w:hanging="720"/>
    </w:pPr>
    <w:rPr>
      <w:rFonts w:ascii="Arial" w:eastAsia="Times New Roman" w:hAnsi="Arial" w:cs="Times New Roman"/>
      <w:bCs w:val="0"/>
      <w:color w:val="auto"/>
      <w:kern w:val="28"/>
      <w:sz w:val="20"/>
      <w:szCs w:val="22"/>
      <w:lang w:val="en-US"/>
    </w:rPr>
  </w:style>
  <w:style w:type="character" w:customStyle="1" w:styleId="Heading1Char">
    <w:name w:val="Heading 1 Char"/>
    <w:basedOn w:val="DefaultParagraphFont"/>
    <w:link w:val="Heading1"/>
    <w:uiPriority w:val="9"/>
    <w:rsid w:val="00F47954"/>
    <w:rPr>
      <w:rFonts w:ascii="SansaSoft Pro SemiBold" w:eastAsiaTheme="majorEastAsia" w:hAnsi="SansaSoft Pro SemiBold" w:cstheme="majorBidi"/>
      <w:bCs/>
      <w:color w:val="B58C0A"/>
      <w:sz w:val="40"/>
      <w:szCs w:val="28"/>
      <w:lang w:eastAsia="en-GB"/>
    </w:rPr>
  </w:style>
  <w:style w:type="paragraph" w:customStyle="1" w:styleId="H2">
    <w:name w:val="H2"/>
    <w:basedOn w:val="Normal"/>
    <w:autoRedefine/>
    <w:rsid w:val="00FC2709"/>
    <w:pPr>
      <w:ind w:left="720" w:hanging="720"/>
      <w:jc w:val="center"/>
    </w:pPr>
    <w:rPr>
      <w:rFonts w:ascii="SansaSoft Pro SemiBold" w:hAnsi="SansaSoft Pro SemiBold"/>
      <w:b/>
      <w:sz w:val="20"/>
      <w:szCs w:val="20"/>
      <w:lang w:eastAsia="en-AU"/>
    </w:rPr>
  </w:style>
  <w:style w:type="paragraph" w:styleId="BalloonText">
    <w:name w:val="Balloon Text"/>
    <w:basedOn w:val="Normal"/>
    <w:link w:val="BalloonTextChar"/>
    <w:uiPriority w:val="99"/>
    <w:semiHidden/>
    <w:unhideWhenUsed/>
    <w:rsid w:val="0082440D"/>
    <w:rPr>
      <w:rFonts w:ascii="Tahoma" w:hAnsi="Tahoma" w:cs="Tahoma"/>
      <w:sz w:val="16"/>
      <w:szCs w:val="16"/>
    </w:rPr>
  </w:style>
  <w:style w:type="character" w:customStyle="1" w:styleId="BalloonTextChar">
    <w:name w:val="Balloon Text Char"/>
    <w:basedOn w:val="DefaultParagraphFont"/>
    <w:link w:val="BalloonText"/>
    <w:uiPriority w:val="99"/>
    <w:semiHidden/>
    <w:rsid w:val="0082440D"/>
    <w:rPr>
      <w:rFonts w:ascii="Tahoma" w:hAnsi="Tahoma" w:cs="Tahoma"/>
      <w:sz w:val="16"/>
      <w:szCs w:val="16"/>
    </w:rPr>
  </w:style>
  <w:style w:type="paragraph" w:styleId="Header">
    <w:name w:val="header"/>
    <w:basedOn w:val="Normal"/>
    <w:link w:val="HeaderChar"/>
    <w:uiPriority w:val="99"/>
    <w:unhideWhenUsed/>
    <w:rsid w:val="009D6EDD"/>
    <w:pPr>
      <w:tabs>
        <w:tab w:val="center" w:pos="4513"/>
        <w:tab w:val="right" w:pos="9026"/>
      </w:tabs>
    </w:pPr>
  </w:style>
  <w:style w:type="character" w:customStyle="1" w:styleId="HeaderChar">
    <w:name w:val="Header Char"/>
    <w:basedOn w:val="DefaultParagraphFont"/>
    <w:link w:val="Header"/>
    <w:uiPriority w:val="99"/>
    <w:rsid w:val="009D6EDD"/>
  </w:style>
  <w:style w:type="paragraph" w:styleId="Footer">
    <w:name w:val="footer"/>
    <w:basedOn w:val="Normal"/>
    <w:link w:val="FooterChar"/>
    <w:uiPriority w:val="99"/>
    <w:unhideWhenUsed/>
    <w:rsid w:val="00EB5C41"/>
    <w:pPr>
      <w:tabs>
        <w:tab w:val="center" w:pos="4513"/>
        <w:tab w:val="right" w:pos="9026"/>
      </w:tabs>
    </w:pPr>
    <w:rPr>
      <w:sz w:val="18"/>
    </w:rPr>
  </w:style>
  <w:style w:type="character" w:customStyle="1" w:styleId="FooterChar">
    <w:name w:val="Footer Char"/>
    <w:basedOn w:val="DefaultParagraphFont"/>
    <w:link w:val="Footer"/>
    <w:uiPriority w:val="99"/>
    <w:rsid w:val="00EB5C41"/>
    <w:rPr>
      <w:rFonts w:ascii="Arial" w:eastAsia="Times New Roman" w:hAnsi="Arial" w:cs="Times New Roman"/>
      <w:sz w:val="18"/>
      <w:szCs w:val="24"/>
      <w:lang w:eastAsia="en-GB"/>
    </w:rPr>
  </w:style>
  <w:style w:type="paragraph" w:styleId="Title">
    <w:name w:val="Title"/>
    <w:basedOn w:val="Default"/>
    <w:next w:val="Default"/>
    <w:link w:val="TitleChar"/>
    <w:uiPriority w:val="99"/>
    <w:qFormat/>
    <w:rsid w:val="00F67271"/>
    <w:rPr>
      <w:rFonts w:ascii="Arial" w:hAnsi="Arial" w:cs="Arial"/>
      <w:color w:val="auto"/>
    </w:rPr>
  </w:style>
  <w:style w:type="character" w:customStyle="1" w:styleId="TitleChar">
    <w:name w:val="Title Char"/>
    <w:basedOn w:val="DefaultParagraphFont"/>
    <w:link w:val="Title"/>
    <w:uiPriority w:val="99"/>
    <w:rsid w:val="00F67271"/>
    <w:rPr>
      <w:rFonts w:ascii="Arial" w:hAnsi="Arial" w:cs="Arial"/>
      <w:sz w:val="24"/>
      <w:szCs w:val="24"/>
    </w:rPr>
  </w:style>
  <w:style w:type="character" w:styleId="CommentReference">
    <w:name w:val="annotation reference"/>
    <w:basedOn w:val="DefaultParagraphFont"/>
    <w:uiPriority w:val="99"/>
    <w:semiHidden/>
    <w:unhideWhenUsed/>
    <w:rsid w:val="000200AC"/>
    <w:rPr>
      <w:sz w:val="16"/>
      <w:szCs w:val="16"/>
    </w:rPr>
  </w:style>
  <w:style w:type="paragraph" w:styleId="CommentText">
    <w:name w:val="annotation text"/>
    <w:basedOn w:val="Normal"/>
    <w:link w:val="CommentTextChar"/>
    <w:uiPriority w:val="99"/>
    <w:unhideWhenUsed/>
    <w:rsid w:val="000200AC"/>
    <w:rPr>
      <w:sz w:val="20"/>
      <w:szCs w:val="20"/>
    </w:rPr>
  </w:style>
  <w:style w:type="character" w:customStyle="1" w:styleId="CommentTextChar">
    <w:name w:val="Comment Text Char"/>
    <w:basedOn w:val="DefaultParagraphFont"/>
    <w:link w:val="CommentText"/>
    <w:uiPriority w:val="99"/>
    <w:rsid w:val="000200AC"/>
    <w:rPr>
      <w:sz w:val="20"/>
      <w:szCs w:val="20"/>
    </w:rPr>
  </w:style>
  <w:style w:type="paragraph" w:styleId="CommentSubject">
    <w:name w:val="annotation subject"/>
    <w:basedOn w:val="CommentText"/>
    <w:next w:val="CommentText"/>
    <w:link w:val="CommentSubjectChar"/>
    <w:uiPriority w:val="99"/>
    <w:semiHidden/>
    <w:unhideWhenUsed/>
    <w:rsid w:val="000200AC"/>
    <w:rPr>
      <w:b/>
      <w:bCs/>
    </w:rPr>
  </w:style>
  <w:style w:type="character" w:customStyle="1" w:styleId="CommentSubjectChar">
    <w:name w:val="Comment Subject Char"/>
    <w:basedOn w:val="CommentTextChar"/>
    <w:link w:val="CommentSubject"/>
    <w:uiPriority w:val="99"/>
    <w:semiHidden/>
    <w:rsid w:val="000200AC"/>
    <w:rPr>
      <w:b/>
      <w:bCs/>
      <w:sz w:val="20"/>
      <w:szCs w:val="20"/>
    </w:rPr>
  </w:style>
  <w:style w:type="paragraph" w:styleId="TOCHeading">
    <w:name w:val="TOC Heading"/>
    <w:basedOn w:val="Heading1"/>
    <w:next w:val="Normal"/>
    <w:uiPriority w:val="39"/>
    <w:unhideWhenUsed/>
    <w:qFormat/>
    <w:rsid w:val="0040271B"/>
    <w:pPr>
      <w:outlineLvl w:val="9"/>
    </w:pPr>
    <w:rPr>
      <w:lang w:val="en-US" w:eastAsia="ja-JP"/>
    </w:rPr>
  </w:style>
  <w:style w:type="paragraph" w:styleId="TOC2">
    <w:name w:val="toc 2"/>
    <w:basedOn w:val="Normal"/>
    <w:next w:val="Normal"/>
    <w:autoRedefine/>
    <w:uiPriority w:val="39"/>
    <w:unhideWhenUsed/>
    <w:qFormat/>
    <w:rsid w:val="000A4526"/>
    <w:pPr>
      <w:tabs>
        <w:tab w:val="right" w:leader="dot" w:pos="9638"/>
      </w:tabs>
      <w:spacing w:before="120" w:after="120" w:line="360" w:lineRule="auto"/>
      <w:ind w:left="221"/>
    </w:pPr>
    <w:rPr>
      <w:rFonts w:eastAsiaTheme="minorEastAsia"/>
      <w:lang w:val="en-US" w:eastAsia="ja-JP"/>
    </w:rPr>
  </w:style>
  <w:style w:type="paragraph" w:styleId="TOC1">
    <w:name w:val="toc 1"/>
    <w:basedOn w:val="Normal"/>
    <w:next w:val="Normal"/>
    <w:autoRedefine/>
    <w:uiPriority w:val="39"/>
    <w:unhideWhenUsed/>
    <w:qFormat/>
    <w:rsid w:val="00296E13"/>
    <w:pPr>
      <w:tabs>
        <w:tab w:val="right" w:leader="dot" w:pos="9638"/>
      </w:tabs>
      <w:spacing w:after="100"/>
    </w:pPr>
    <w:rPr>
      <w:rFonts w:eastAsiaTheme="minorEastAsia" w:cs="Arial"/>
      <w:noProof/>
      <w:szCs w:val="22"/>
      <w:lang w:eastAsia="en-AU"/>
    </w:rPr>
  </w:style>
  <w:style w:type="paragraph" w:styleId="TOC3">
    <w:name w:val="toc 3"/>
    <w:basedOn w:val="Normal"/>
    <w:next w:val="Normal"/>
    <w:autoRedefine/>
    <w:uiPriority w:val="39"/>
    <w:unhideWhenUsed/>
    <w:qFormat/>
    <w:rsid w:val="0040271B"/>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4B3B9E"/>
    <w:rPr>
      <w:rFonts w:ascii="SansaSoft Pro Normal" w:eastAsiaTheme="majorEastAsia" w:hAnsi="SansaSoft Pro Normal" w:cstheme="majorBidi"/>
      <w:b/>
      <w:bCs/>
      <w:sz w:val="26"/>
      <w:szCs w:val="26"/>
    </w:rPr>
  </w:style>
  <w:style w:type="character" w:styleId="Hyperlink">
    <w:name w:val="Hyperlink"/>
    <w:basedOn w:val="DefaultParagraphFont"/>
    <w:uiPriority w:val="99"/>
    <w:unhideWhenUsed/>
    <w:rsid w:val="00CC3A0E"/>
    <w:rPr>
      <w:color w:val="CC9900" w:themeColor="hyperlink"/>
      <w:u w:val="single"/>
    </w:rPr>
  </w:style>
  <w:style w:type="character" w:customStyle="1" w:styleId="Heading3Char">
    <w:name w:val="Heading 3 Char"/>
    <w:basedOn w:val="DefaultParagraphFont"/>
    <w:link w:val="Heading3"/>
    <w:uiPriority w:val="9"/>
    <w:rsid w:val="00C472C8"/>
    <w:rPr>
      <w:rFonts w:ascii="Arial" w:eastAsiaTheme="majorEastAsia" w:hAnsi="Arial" w:cstheme="majorBidi"/>
      <w:b/>
      <w:bCs/>
      <w:color w:val="919296"/>
      <w:sz w:val="24"/>
    </w:rPr>
  </w:style>
  <w:style w:type="character" w:styleId="FollowedHyperlink">
    <w:name w:val="FollowedHyperlink"/>
    <w:basedOn w:val="DefaultParagraphFont"/>
    <w:uiPriority w:val="99"/>
    <w:semiHidden/>
    <w:unhideWhenUsed/>
    <w:rsid w:val="00B8190B"/>
    <w:rPr>
      <w:color w:val="969696" w:themeColor="followedHyperlink"/>
      <w:u w:val="single"/>
    </w:rPr>
  </w:style>
  <w:style w:type="table" w:customStyle="1" w:styleId="TableGrid1">
    <w:name w:val="Table Grid1"/>
    <w:basedOn w:val="TableNormal"/>
    <w:next w:val="TableGrid"/>
    <w:uiPriority w:val="59"/>
    <w:rsid w:val="00F2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7920"/>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3C7920"/>
    <w:rPr>
      <w:sz w:val="20"/>
      <w:szCs w:val="20"/>
    </w:rPr>
  </w:style>
  <w:style w:type="character" w:styleId="FootnoteReference">
    <w:name w:val="footnote reference"/>
    <w:basedOn w:val="DefaultParagraphFont"/>
    <w:uiPriority w:val="99"/>
    <w:semiHidden/>
    <w:unhideWhenUsed/>
    <w:rsid w:val="003C7920"/>
    <w:rPr>
      <w:vertAlign w:val="superscript"/>
    </w:rPr>
  </w:style>
  <w:style w:type="paragraph" w:styleId="EndnoteText">
    <w:name w:val="endnote text"/>
    <w:basedOn w:val="Normal"/>
    <w:link w:val="EndnoteTextChar"/>
    <w:uiPriority w:val="99"/>
    <w:semiHidden/>
    <w:unhideWhenUsed/>
    <w:rsid w:val="00DF329B"/>
    <w:rPr>
      <w:sz w:val="20"/>
      <w:szCs w:val="20"/>
    </w:rPr>
  </w:style>
  <w:style w:type="character" w:customStyle="1" w:styleId="EndnoteTextChar">
    <w:name w:val="Endnote Text Char"/>
    <w:basedOn w:val="DefaultParagraphFont"/>
    <w:link w:val="EndnoteText"/>
    <w:uiPriority w:val="99"/>
    <w:semiHidden/>
    <w:rsid w:val="00DF329B"/>
    <w:rPr>
      <w:rFonts w:ascii="Arial" w:hAnsi="Arial"/>
      <w:sz w:val="20"/>
      <w:szCs w:val="20"/>
    </w:rPr>
  </w:style>
  <w:style w:type="character" w:styleId="EndnoteReference">
    <w:name w:val="endnote reference"/>
    <w:basedOn w:val="DefaultParagraphFont"/>
    <w:uiPriority w:val="99"/>
    <w:semiHidden/>
    <w:unhideWhenUsed/>
    <w:rsid w:val="00DF329B"/>
    <w:rPr>
      <w:vertAlign w:val="superscript"/>
    </w:rPr>
  </w:style>
  <w:style w:type="character" w:customStyle="1" w:styleId="Heading4Char">
    <w:name w:val="Heading 4 Char"/>
    <w:basedOn w:val="DefaultParagraphFont"/>
    <w:link w:val="Heading4"/>
    <w:uiPriority w:val="9"/>
    <w:rsid w:val="00C472C8"/>
    <w:rPr>
      <w:rFonts w:ascii="Arial" w:hAnsi="Arial"/>
      <w:b/>
    </w:rPr>
  </w:style>
  <w:style w:type="character" w:styleId="Strong">
    <w:name w:val="Strong"/>
    <w:basedOn w:val="DefaultParagraphFont"/>
    <w:uiPriority w:val="22"/>
    <w:qFormat/>
    <w:rsid w:val="00654755"/>
    <w:rPr>
      <w:b/>
      <w:bCs/>
    </w:rPr>
  </w:style>
  <w:style w:type="character" w:customStyle="1" w:styleId="lexicon-term">
    <w:name w:val="lexicon-term"/>
    <w:basedOn w:val="DefaultParagraphFont"/>
    <w:rsid w:val="00654755"/>
    <w:rPr>
      <w:strike w:val="0"/>
      <w:dstrike w:val="0"/>
      <w:u w:val="none"/>
      <w:effect w:val="none"/>
    </w:rPr>
  </w:style>
  <w:style w:type="paragraph" w:styleId="Caption">
    <w:name w:val="caption"/>
    <w:basedOn w:val="Normal"/>
    <w:next w:val="Normal"/>
    <w:uiPriority w:val="35"/>
    <w:unhideWhenUsed/>
    <w:rsid w:val="00653E52"/>
    <w:pPr>
      <w:spacing w:after="200"/>
    </w:pPr>
    <w:rPr>
      <w:rFonts w:eastAsiaTheme="minorEastAsia"/>
      <w:b/>
      <w:bCs/>
      <w:color w:val="7A7A7A" w:themeColor="accent1"/>
      <w:sz w:val="18"/>
      <w:szCs w:val="18"/>
    </w:rPr>
  </w:style>
  <w:style w:type="paragraph" w:styleId="NormalWeb">
    <w:name w:val="Normal (Web)"/>
    <w:basedOn w:val="Normal"/>
    <w:uiPriority w:val="99"/>
    <w:unhideWhenUsed/>
    <w:rsid w:val="009D5E2B"/>
    <w:pPr>
      <w:spacing w:after="300"/>
    </w:pPr>
    <w:rPr>
      <w:lang w:eastAsia="en-AU"/>
    </w:rPr>
  </w:style>
  <w:style w:type="paragraph" w:styleId="Revision">
    <w:name w:val="Revision"/>
    <w:hidden/>
    <w:uiPriority w:val="99"/>
    <w:semiHidden/>
    <w:rsid w:val="005A63CB"/>
    <w:pPr>
      <w:spacing w:after="0" w:line="240" w:lineRule="auto"/>
    </w:pPr>
    <w:rPr>
      <w:rFonts w:ascii="Arial" w:hAnsi="Arial"/>
    </w:rPr>
  </w:style>
  <w:style w:type="paragraph" w:customStyle="1" w:styleId="xmsolistparagraph">
    <w:name w:val="x_msolistparagraph"/>
    <w:basedOn w:val="Normal"/>
    <w:rsid w:val="005378FE"/>
    <w:pPr>
      <w:spacing w:before="100" w:beforeAutospacing="1" w:after="100" w:afterAutospacing="1"/>
    </w:pPr>
  </w:style>
  <w:style w:type="character" w:customStyle="1" w:styleId="A7">
    <w:name w:val="A7"/>
    <w:uiPriority w:val="99"/>
    <w:rsid w:val="007738F6"/>
    <w:rPr>
      <w:rFonts w:cs="SansaSoft Pro Normal"/>
      <w:color w:val="403F41"/>
      <w:sz w:val="18"/>
      <w:szCs w:val="18"/>
    </w:rPr>
  </w:style>
  <w:style w:type="character" w:customStyle="1" w:styleId="UnresolvedMention1">
    <w:name w:val="Unresolved Mention1"/>
    <w:basedOn w:val="DefaultParagraphFont"/>
    <w:uiPriority w:val="99"/>
    <w:semiHidden/>
    <w:unhideWhenUsed/>
    <w:rsid w:val="001C4694"/>
    <w:rPr>
      <w:color w:val="605E5C"/>
      <w:shd w:val="clear" w:color="auto" w:fill="E1DFDD"/>
    </w:rPr>
  </w:style>
  <w:style w:type="character" w:customStyle="1" w:styleId="apple-converted-space">
    <w:name w:val="apple-converted-space"/>
    <w:basedOn w:val="DefaultParagraphFont"/>
    <w:rsid w:val="00F43AC4"/>
  </w:style>
  <w:style w:type="character" w:customStyle="1" w:styleId="UnresolvedMention2">
    <w:name w:val="Unresolved Mention2"/>
    <w:basedOn w:val="DefaultParagraphFont"/>
    <w:uiPriority w:val="99"/>
    <w:semiHidden/>
    <w:unhideWhenUsed/>
    <w:rsid w:val="00E05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0383">
      <w:bodyDiv w:val="1"/>
      <w:marLeft w:val="0"/>
      <w:marRight w:val="0"/>
      <w:marTop w:val="0"/>
      <w:marBottom w:val="0"/>
      <w:divBdr>
        <w:top w:val="none" w:sz="0" w:space="0" w:color="auto"/>
        <w:left w:val="none" w:sz="0" w:space="0" w:color="auto"/>
        <w:bottom w:val="none" w:sz="0" w:space="0" w:color="auto"/>
        <w:right w:val="none" w:sz="0" w:space="0" w:color="auto"/>
      </w:divBdr>
    </w:div>
    <w:div w:id="86198195">
      <w:bodyDiv w:val="1"/>
      <w:marLeft w:val="0"/>
      <w:marRight w:val="0"/>
      <w:marTop w:val="0"/>
      <w:marBottom w:val="0"/>
      <w:divBdr>
        <w:top w:val="none" w:sz="0" w:space="0" w:color="auto"/>
        <w:left w:val="none" w:sz="0" w:space="0" w:color="auto"/>
        <w:bottom w:val="none" w:sz="0" w:space="0" w:color="auto"/>
        <w:right w:val="none" w:sz="0" w:space="0" w:color="auto"/>
      </w:divBdr>
    </w:div>
    <w:div w:id="108937097">
      <w:bodyDiv w:val="1"/>
      <w:marLeft w:val="0"/>
      <w:marRight w:val="0"/>
      <w:marTop w:val="0"/>
      <w:marBottom w:val="0"/>
      <w:divBdr>
        <w:top w:val="none" w:sz="0" w:space="0" w:color="auto"/>
        <w:left w:val="none" w:sz="0" w:space="0" w:color="auto"/>
        <w:bottom w:val="none" w:sz="0" w:space="0" w:color="auto"/>
        <w:right w:val="none" w:sz="0" w:space="0" w:color="auto"/>
      </w:divBdr>
      <w:divsChild>
        <w:div w:id="1481311916">
          <w:marLeft w:val="0"/>
          <w:marRight w:val="0"/>
          <w:marTop w:val="0"/>
          <w:marBottom w:val="0"/>
          <w:divBdr>
            <w:top w:val="none" w:sz="0" w:space="0" w:color="auto"/>
            <w:left w:val="none" w:sz="0" w:space="0" w:color="auto"/>
            <w:bottom w:val="none" w:sz="0" w:space="0" w:color="auto"/>
            <w:right w:val="none" w:sz="0" w:space="0" w:color="auto"/>
          </w:divBdr>
          <w:divsChild>
            <w:div w:id="7273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5639">
      <w:bodyDiv w:val="1"/>
      <w:marLeft w:val="0"/>
      <w:marRight w:val="0"/>
      <w:marTop w:val="0"/>
      <w:marBottom w:val="0"/>
      <w:divBdr>
        <w:top w:val="none" w:sz="0" w:space="0" w:color="auto"/>
        <w:left w:val="none" w:sz="0" w:space="0" w:color="auto"/>
        <w:bottom w:val="none" w:sz="0" w:space="0" w:color="auto"/>
        <w:right w:val="none" w:sz="0" w:space="0" w:color="auto"/>
      </w:divBdr>
    </w:div>
    <w:div w:id="190187448">
      <w:bodyDiv w:val="1"/>
      <w:marLeft w:val="0"/>
      <w:marRight w:val="0"/>
      <w:marTop w:val="0"/>
      <w:marBottom w:val="0"/>
      <w:divBdr>
        <w:top w:val="none" w:sz="0" w:space="0" w:color="auto"/>
        <w:left w:val="none" w:sz="0" w:space="0" w:color="auto"/>
        <w:bottom w:val="none" w:sz="0" w:space="0" w:color="auto"/>
        <w:right w:val="none" w:sz="0" w:space="0" w:color="auto"/>
      </w:divBdr>
    </w:div>
    <w:div w:id="251551836">
      <w:bodyDiv w:val="1"/>
      <w:marLeft w:val="0"/>
      <w:marRight w:val="0"/>
      <w:marTop w:val="0"/>
      <w:marBottom w:val="0"/>
      <w:divBdr>
        <w:top w:val="none" w:sz="0" w:space="0" w:color="auto"/>
        <w:left w:val="none" w:sz="0" w:space="0" w:color="auto"/>
        <w:bottom w:val="none" w:sz="0" w:space="0" w:color="auto"/>
        <w:right w:val="none" w:sz="0" w:space="0" w:color="auto"/>
      </w:divBdr>
    </w:div>
    <w:div w:id="294913579">
      <w:bodyDiv w:val="1"/>
      <w:marLeft w:val="0"/>
      <w:marRight w:val="0"/>
      <w:marTop w:val="0"/>
      <w:marBottom w:val="0"/>
      <w:divBdr>
        <w:top w:val="none" w:sz="0" w:space="0" w:color="auto"/>
        <w:left w:val="none" w:sz="0" w:space="0" w:color="auto"/>
        <w:bottom w:val="none" w:sz="0" w:space="0" w:color="auto"/>
        <w:right w:val="none" w:sz="0" w:space="0" w:color="auto"/>
      </w:divBdr>
    </w:div>
    <w:div w:id="313489047">
      <w:bodyDiv w:val="1"/>
      <w:marLeft w:val="0"/>
      <w:marRight w:val="0"/>
      <w:marTop w:val="0"/>
      <w:marBottom w:val="0"/>
      <w:divBdr>
        <w:top w:val="none" w:sz="0" w:space="0" w:color="auto"/>
        <w:left w:val="none" w:sz="0" w:space="0" w:color="auto"/>
        <w:bottom w:val="none" w:sz="0" w:space="0" w:color="auto"/>
        <w:right w:val="none" w:sz="0" w:space="0" w:color="auto"/>
      </w:divBdr>
    </w:div>
    <w:div w:id="321156912">
      <w:bodyDiv w:val="1"/>
      <w:marLeft w:val="0"/>
      <w:marRight w:val="0"/>
      <w:marTop w:val="0"/>
      <w:marBottom w:val="0"/>
      <w:divBdr>
        <w:top w:val="none" w:sz="0" w:space="0" w:color="auto"/>
        <w:left w:val="none" w:sz="0" w:space="0" w:color="auto"/>
        <w:bottom w:val="none" w:sz="0" w:space="0" w:color="auto"/>
        <w:right w:val="none" w:sz="0" w:space="0" w:color="auto"/>
      </w:divBdr>
    </w:div>
    <w:div w:id="325592223">
      <w:bodyDiv w:val="1"/>
      <w:marLeft w:val="0"/>
      <w:marRight w:val="0"/>
      <w:marTop w:val="0"/>
      <w:marBottom w:val="0"/>
      <w:divBdr>
        <w:top w:val="none" w:sz="0" w:space="0" w:color="auto"/>
        <w:left w:val="none" w:sz="0" w:space="0" w:color="auto"/>
        <w:bottom w:val="none" w:sz="0" w:space="0" w:color="auto"/>
        <w:right w:val="none" w:sz="0" w:space="0" w:color="auto"/>
      </w:divBdr>
    </w:div>
    <w:div w:id="372660290">
      <w:bodyDiv w:val="1"/>
      <w:marLeft w:val="0"/>
      <w:marRight w:val="0"/>
      <w:marTop w:val="0"/>
      <w:marBottom w:val="0"/>
      <w:divBdr>
        <w:top w:val="none" w:sz="0" w:space="0" w:color="auto"/>
        <w:left w:val="none" w:sz="0" w:space="0" w:color="auto"/>
        <w:bottom w:val="none" w:sz="0" w:space="0" w:color="auto"/>
        <w:right w:val="none" w:sz="0" w:space="0" w:color="auto"/>
      </w:divBdr>
    </w:div>
    <w:div w:id="399137977">
      <w:bodyDiv w:val="1"/>
      <w:marLeft w:val="0"/>
      <w:marRight w:val="0"/>
      <w:marTop w:val="0"/>
      <w:marBottom w:val="0"/>
      <w:divBdr>
        <w:top w:val="none" w:sz="0" w:space="0" w:color="auto"/>
        <w:left w:val="none" w:sz="0" w:space="0" w:color="auto"/>
        <w:bottom w:val="none" w:sz="0" w:space="0" w:color="auto"/>
        <w:right w:val="none" w:sz="0" w:space="0" w:color="auto"/>
      </w:divBdr>
    </w:div>
    <w:div w:id="459498408">
      <w:bodyDiv w:val="1"/>
      <w:marLeft w:val="0"/>
      <w:marRight w:val="0"/>
      <w:marTop w:val="0"/>
      <w:marBottom w:val="0"/>
      <w:divBdr>
        <w:top w:val="none" w:sz="0" w:space="0" w:color="auto"/>
        <w:left w:val="none" w:sz="0" w:space="0" w:color="auto"/>
        <w:bottom w:val="none" w:sz="0" w:space="0" w:color="auto"/>
        <w:right w:val="none" w:sz="0" w:space="0" w:color="auto"/>
      </w:divBdr>
    </w:div>
    <w:div w:id="493452940">
      <w:bodyDiv w:val="1"/>
      <w:marLeft w:val="0"/>
      <w:marRight w:val="0"/>
      <w:marTop w:val="0"/>
      <w:marBottom w:val="0"/>
      <w:divBdr>
        <w:top w:val="none" w:sz="0" w:space="0" w:color="auto"/>
        <w:left w:val="none" w:sz="0" w:space="0" w:color="auto"/>
        <w:bottom w:val="none" w:sz="0" w:space="0" w:color="auto"/>
        <w:right w:val="none" w:sz="0" w:space="0" w:color="auto"/>
      </w:divBdr>
    </w:div>
    <w:div w:id="494496646">
      <w:bodyDiv w:val="1"/>
      <w:marLeft w:val="0"/>
      <w:marRight w:val="0"/>
      <w:marTop w:val="0"/>
      <w:marBottom w:val="0"/>
      <w:divBdr>
        <w:top w:val="none" w:sz="0" w:space="0" w:color="auto"/>
        <w:left w:val="none" w:sz="0" w:space="0" w:color="auto"/>
        <w:bottom w:val="none" w:sz="0" w:space="0" w:color="auto"/>
        <w:right w:val="none" w:sz="0" w:space="0" w:color="auto"/>
      </w:divBdr>
    </w:div>
    <w:div w:id="616566952">
      <w:bodyDiv w:val="1"/>
      <w:marLeft w:val="0"/>
      <w:marRight w:val="0"/>
      <w:marTop w:val="0"/>
      <w:marBottom w:val="0"/>
      <w:divBdr>
        <w:top w:val="none" w:sz="0" w:space="0" w:color="auto"/>
        <w:left w:val="none" w:sz="0" w:space="0" w:color="auto"/>
        <w:bottom w:val="none" w:sz="0" w:space="0" w:color="auto"/>
        <w:right w:val="none" w:sz="0" w:space="0" w:color="auto"/>
      </w:divBdr>
      <w:divsChild>
        <w:div w:id="641663641">
          <w:marLeft w:val="0"/>
          <w:marRight w:val="0"/>
          <w:marTop w:val="0"/>
          <w:marBottom w:val="0"/>
          <w:divBdr>
            <w:top w:val="none" w:sz="0" w:space="0" w:color="auto"/>
            <w:left w:val="none" w:sz="0" w:space="0" w:color="auto"/>
            <w:bottom w:val="none" w:sz="0" w:space="0" w:color="auto"/>
            <w:right w:val="none" w:sz="0" w:space="0" w:color="auto"/>
          </w:divBdr>
        </w:div>
        <w:div w:id="821501448">
          <w:marLeft w:val="0"/>
          <w:marRight w:val="0"/>
          <w:marTop w:val="0"/>
          <w:marBottom w:val="0"/>
          <w:divBdr>
            <w:top w:val="none" w:sz="0" w:space="0" w:color="auto"/>
            <w:left w:val="none" w:sz="0" w:space="0" w:color="auto"/>
            <w:bottom w:val="none" w:sz="0" w:space="0" w:color="auto"/>
            <w:right w:val="none" w:sz="0" w:space="0" w:color="auto"/>
          </w:divBdr>
        </w:div>
        <w:div w:id="1476024264">
          <w:marLeft w:val="0"/>
          <w:marRight w:val="0"/>
          <w:marTop w:val="0"/>
          <w:marBottom w:val="0"/>
          <w:divBdr>
            <w:top w:val="none" w:sz="0" w:space="0" w:color="auto"/>
            <w:left w:val="none" w:sz="0" w:space="0" w:color="auto"/>
            <w:bottom w:val="none" w:sz="0" w:space="0" w:color="auto"/>
            <w:right w:val="none" w:sz="0" w:space="0" w:color="auto"/>
          </w:divBdr>
        </w:div>
      </w:divsChild>
    </w:div>
    <w:div w:id="680014847">
      <w:bodyDiv w:val="1"/>
      <w:marLeft w:val="0"/>
      <w:marRight w:val="0"/>
      <w:marTop w:val="0"/>
      <w:marBottom w:val="0"/>
      <w:divBdr>
        <w:top w:val="none" w:sz="0" w:space="0" w:color="auto"/>
        <w:left w:val="none" w:sz="0" w:space="0" w:color="auto"/>
        <w:bottom w:val="none" w:sz="0" w:space="0" w:color="auto"/>
        <w:right w:val="none" w:sz="0" w:space="0" w:color="auto"/>
      </w:divBdr>
    </w:div>
    <w:div w:id="726143825">
      <w:bodyDiv w:val="1"/>
      <w:marLeft w:val="0"/>
      <w:marRight w:val="0"/>
      <w:marTop w:val="0"/>
      <w:marBottom w:val="0"/>
      <w:divBdr>
        <w:top w:val="none" w:sz="0" w:space="0" w:color="auto"/>
        <w:left w:val="none" w:sz="0" w:space="0" w:color="auto"/>
        <w:bottom w:val="none" w:sz="0" w:space="0" w:color="auto"/>
        <w:right w:val="none" w:sz="0" w:space="0" w:color="auto"/>
      </w:divBdr>
    </w:div>
    <w:div w:id="870530927">
      <w:bodyDiv w:val="1"/>
      <w:marLeft w:val="0"/>
      <w:marRight w:val="0"/>
      <w:marTop w:val="0"/>
      <w:marBottom w:val="0"/>
      <w:divBdr>
        <w:top w:val="none" w:sz="0" w:space="0" w:color="auto"/>
        <w:left w:val="none" w:sz="0" w:space="0" w:color="auto"/>
        <w:bottom w:val="none" w:sz="0" w:space="0" w:color="auto"/>
        <w:right w:val="none" w:sz="0" w:space="0" w:color="auto"/>
      </w:divBdr>
    </w:div>
    <w:div w:id="873809985">
      <w:bodyDiv w:val="1"/>
      <w:marLeft w:val="0"/>
      <w:marRight w:val="0"/>
      <w:marTop w:val="0"/>
      <w:marBottom w:val="0"/>
      <w:divBdr>
        <w:top w:val="none" w:sz="0" w:space="0" w:color="auto"/>
        <w:left w:val="none" w:sz="0" w:space="0" w:color="auto"/>
        <w:bottom w:val="none" w:sz="0" w:space="0" w:color="auto"/>
        <w:right w:val="none" w:sz="0" w:space="0" w:color="auto"/>
      </w:divBdr>
    </w:div>
    <w:div w:id="886798006">
      <w:bodyDiv w:val="1"/>
      <w:marLeft w:val="0"/>
      <w:marRight w:val="0"/>
      <w:marTop w:val="0"/>
      <w:marBottom w:val="0"/>
      <w:divBdr>
        <w:top w:val="none" w:sz="0" w:space="0" w:color="auto"/>
        <w:left w:val="none" w:sz="0" w:space="0" w:color="auto"/>
        <w:bottom w:val="none" w:sz="0" w:space="0" w:color="auto"/>
        <w:right w:val="none" w:sz="0" w:space="0" w:color="auto"/>
      </w:divBdr>
    </w:div>
    <w:div w:id="947735828">
      <w:bodyDiv w:val="1"/>
      <w:marLeft w:val="0"/>
      <w:marRight w:val="0"/>
      <w:marTop w:val="0"/>
      <w:marBottom w:val="0"/>
      <w:divBdr>
        <w:top w:val="none" w:sz="0" w:space="0" w:color="auto"/>
        <w:left w:val="none" w:sz="0" w:space="0" w:color="auto"/>
        <w:bottom w:val="none" w:sz="0" w:space="0" w:color="auto"/>
        <w:right w:val="none" w:sz="0" w:space="0" w:color="auto"/>
      </w:divBdr>
    </w:div>
    <w:div w:id="951321748">
      <w:bodyDiv w:val="1"/>
      <w:marLeft w:val="0"/>
      <w:marRight w:val="0"/>
      <w:marTop w:val="0"/>
      <w:marBottom w:val="0"/>
      <w:divBdr>
        <w:top w:val="none" w:sz="0" w:space="0" w:color="auto"/>
        <w:left w:val="none" w:sz="0" w:space="0" w:color="auto"/>
        <w:bottom w:val="none" w:sz="0" w:space="0" w:color="auto"/>
        <w:right w:val="none" w:sz="0" w:space="0" w:color="auto"/>
      </w:divBdr>
    </w:div>
    <w:div w:id="959264892">
      <w:bodyDiv w:val="1"/>
      <w:marLeft w:val="0"/>
      <w:marRight w:val="0"/>
      <w:marTop w:val="0"/>
      <w:marBottom w:val="0"/>
      <w:divBdr>
        <w:top w:val="none" w:sz="0" w:space="0" w:color="auto"/>
        <w:left w:val="none" w:sz="0" w:space="0" w:color="auto"/>
        <w:bottom w:val="none" w:sz="0" w:space="0" w:color="auto"/>
        <w:right w:val="none" w:sz="0" w:space="0" w:color="auto"/>
      </w:divBdr>
    </w:div>
    <w:div w:id="966544168">
      <w:bodyDiv w:val="1"/>
      <w:marLeft w:val="0"/>
      <w:marRight w:val="0"/>
      <w:marTop w:val="0"/>
      <w:marBottom w:val="0"/>
      <w:divBdr>
        <w:top w:val="none" w:sz="0" w:space="0" w:color="auto"/>
        <w:left w:val="none" w:sz="0" w:space="0" w:color="auto"/>
        <w:bottom w:val="none" w:sz="0" w:space="0" w:color="auto"/>
        <w:right w:val="none" w:sz="0" w:space="0" w:color="auto"/>
      </w:divBdr>
    </w:div>
    <w:div w:id="1102258445">
      <w:bodyDiv w:val="1"/>
      <w:marLeft w:val="0"/>
      <w:marRight w:val="0"/>
      <w:marTop w:val="0"/>
      <w:marBottom w:val="0"/>
      <w:divBdr>
        <w:top w:val="none" w:sz="0" w:space="0" w:color="auto"/>
        <w:left w:val="none" w:sz="0" w:space="0" w:color="auto"/>
        <w:bottom w:val="none" w:sz="0" w:space="0" w:color="auto"/>
        <w:right w:val="none" w:sz="0" w:space="0" w:color="auto"/>
      </w:divBdr>
    </w:div>
    <w:div w:id="1105688242">
      <w:bodyDiv w:val="1"/>
      <w:marLeft w:val="0"/>
      <w:marRight w:val="0"/>
      <w:marTop w:val="0"/>
      <w:marBottom w:val="0"/>
      <w:divBdr>
        <w:top w:val="none" w:sz="0" w:space="0" w:color="auto"/>
        <w:left w:val="none" w:sz="0" w:space="0" w:color="auto"/>
        <w:bottom w:val="none" w:sz="0" w:space="0" w:color="auto"/>
        <w:right w:val="none" w:sz="0" w:space="0" w:color="auto"/>
      </w:divBdr>
    </w:div>
    <w:div w:id="1113867668">
      <w:bodyDiv w:val="1"/>
      <w:marLeft w:val="0"/>
      <w:marRight w:val="0"/>
      <w:marTop w:val="0"/>
      <w:marBottom w:val="0"/>
      <w:divBdr>
        <w:top w:val="none" w:sz="0" w:space="0" w:color="auto"/>
        <w:left w:val="none" w:sz="0" w:space="0" w:color="auto"/>
        <w:bottom w:val="none" w:sz="0" w:space="0" w:color="auto"/>
        <w:right w:val="none" w:sz="0" w:space="0" w:color="auto"/>
      </w:divBdr>
    </w:div>
    <w:div w:id="1130394291">
      <w:bodyDiv w:val="1"/>
      <w:marLeft w:val="0"/>
      <w:marRight w:val="0"/>
      <w:marTop w:val="0"/>
      <w:marBottom w:val="0"/>
      <w:divBdr>
        <w:top w:val="none" w:sz="0" w:space="0" w:color="auto"/>
        <w:left w:val="none" w:sz="0" w:space="0" w:color="auto"/>
        <w:bottom w:val="none" w:sz="0" w:space="0" w:color="auto"/>
        <w:right w:val="none" w:sz="0" w:space="0" w:color="auto"/>
      </w:divBdr>
    </w:div>
    <w:div w:id="1208838955">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1253785130">
      <w:bodyDiv w:val="1"/>
      <w:marLeft w:val="0"/>
      <w:marRight w:val="0"/>
      <w:marTop w:val="0"/>
      <w:marBottom w:val="0"/>
      <w:divBdr>
        <w:top w:val="none" w:sz="0" w:space="0" w:color="auto"/>
        <w:left w:val="none" w:sz="0" w:space="0" w:color="auto"/>
        <w:bottom w:val="none" w:sz="0" w:space="0" w:color="auto"/>
        <w:right w:val="none" w:sz="0" w:space="0" w:color="auto"/>
      </w:divBdr>
    </w:div>
    <w:div w:id="1270695118">
      <w:bodyDiv w:val="1"/>
      <w:marLeft w:val="0"/>
      <w:marRight w:val="0"/>
      <w:marTop w:val="0"/>
      <w:marBottom w:val="0"/>
      <w:divBdr>
        <w:top w:val="none" w:sz="0" w:space="0" w:color="auto"/>
        <w:left w:val="none" w:sz="0" w:space="0" w:color="auto"/>
        <w:bottom w:val="none" w:sz="0" w:space="0" w:color="auto"/>
        <w:right w:val="none" w:sz="0" w:space="0" w:color="auto"/>
      </w:divBdr>
    </w:div>
    <w:div w:id="1303314930">
      <w:bodyDiv w:val="1"/>
      <w:marLeft w:val="0"/>
      <w:marRight w:val="0"/>
      <w:marTop w:val="0"/>
      <w:marBottom w:val="0"/>
      <w:divBdr>
        <w:top w:val="none" w:sz="0" w:space="0" w:color="auto"/>
        <w:left w:val="none" w:sz="0" w:space="0" w:color="auto"/>
        <w:bottom w:val="none" w:sz="0" w:space="0" w:color="auto"/>
        <w:right w:val="none" w:sz="0" w:space="0" w:color="auto"/>
      </w:divBdr>
      <w:divsChild>
        <w:div w:id="90866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3725">
              <w:marLeft w:val="0"/>
              <w:marRight w:val="0"/>
              <w:marTop w:val="0"/>
              <w:marBottom w:val="0"/>
              <w:divBdr>
                <w:top w:val="none" w:sz="0" w:space="0" w:color="auto"/>
                <w:left w:val="none" w:sz="0" w:space="0" w:color="auto"/>
                <w:bottom w:val="none" w:sz="0" w:space="0" w:color="auto"/>
                <w:right w:val="none" w:sz="0" w:space="0" w:color="auto"/>
              </w:divBdr>
              <w:divsChild>
                <w:div w:id="3370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4779">
      <w:bodyDiv w:val="1"/>
      <w:marLeft w:val="0"/>
      <w:marRight w:val="0"/>
      <w:marTop w:val="0"/>
      <w:marBottom w:val="0"/>
      <w:divBdr>
        <w:top w:val="none" w:sz="0" w:space="0" w:color="auto"/>
        <w:left w:val="none" w:sz="0" w:space="0" w:color="auto"/>
        <w:bottom w:val="none" w:sz="0" w:space="0" w:color="auto"/>
        <w:right w:val="none" w:sz="0" w:space="0" w:color="auto"/>
      </w:divBdr>
    </w:div>
    <w:div w:id="1372725937">
      <w:bodyDiv w:val="1"/>
      <w:marLeft w:val="0"/>
      <w:marRight w:val="0"/>
      <w:marTop w:val="0"/>
      <w:marBottom w:val="0"/>
      <w:divBdr>
        <w:top w:val="none" w:sz="0" w:space="0" w:color="auto"/>
        <w:left w:val="none" w:sz="0" w:space="0" w:color="auto"/>
        <w:bottom w:val="none" w:sz="0" w:space="0" w:color="auto"/>
        <w:right w:val="none" w:sz="0" w:space="0" w:color="auto"/>
      </w:divBdr>
    </w:div>
    <w:div w:id="1382973254">
      <w:bodyDiv w:val="1"/>
      <w:marLeft w:val="0"/>
      <w:marRight w:val="0"/>
      <w:marTop w:val="0"/>
      <w:marBottom w:val="0"/>
      <w:divBdr>
        <w:top w:val="none" w:sz="0" w:space="0" w:color="auto"/>
        <w:left w:val="none" w:sz="0" w:space="0" w:color="auto"/>
        <w:bottom w:val="none" w:sz="0" w:space="0" w:color="auto"/>
        <w:right w:val="none" w:sz="0" w:space="0" w:color="auto"/>
      </w:divBdr>
    </w:div>
    <w:div w:id="1389454661">
      <w:bodyDiv w:val="1"/>
      <w:marLeft w:val="0"/>
      <w:marRight w:val="0"/>
      <w:marTop w:val="0"/>
      <w:marBottom w:val="0"/>
      <w:divBdr>
        <w:top w:val="none" w:sz="0" w:space="0" w:color="auto"/>
        <w:left w:val="none" w:sz="0" w:space="0" w:color="auto"/>
        <w:bottom w:val="none" w:sz="0" w:space="0" w:color="auto"/>
        <w:right w:val="none" w:sz="0" w:space="0" w:color="auto"/>
      </w:divBdr>
    </w:div>
    <w:div w:id="1445618343">
      <w:bodyDiv w:val="1"/>
      <w:marLeft w:val="0"/>
      <w:marRight w:val="0"/>
      <w:marTop w:val="0"/>
      <w:marBottom w:val="0"/>
      <w:divBdr>
        <w:top w:val="none" w:sz="0" w:space="0" w:color="auto"/>
        <w:left w:val="none" w:sz="0" w:space="0" w:color="auto"/>
        <w:bottom w:val="none" w:sz="0" w:space="0" w:color="auto"/>
        <w:right w:val="none" w:sz="0" w:space="0" w:color="auto"/>
      </w:divBdr>
    </w:div>
    <w:div w:id="1501701789">
      <w:bodyDiv w:val="1"/>
      <w:marLeft w:val="0"/>
      <w:marRight w:val="0"/>
      <w:marTop w:val="0"/>
      <w:marBottom w:val="0"/>
      <w:divBdr>
        <w:top w:val="none" w:sz="0" w:space="0" w:color="auto"/>
        <w:left w:val="none" w:sz="0" w:space="0" w:color="auto"/>
        <w:bottom w:val="none" w:sz="0" w:space="0" w:color="auto"/>
        <w:right w:val="none" w:sz="0" w:space="0" w:color="auto"/>
      </w:divBdr>
    </w:div>
    <w:div w:id="1579485504">
      <w:bodyDiv w:val="1"/>
      <w:marLeft w:val="0"/>
      <w:marRight w:val="0"/>
      <w:marTop w:val="0"/>
      <w:marBottom w:val="0"/>
      <w:divBdr>
        <w:top w:val="none" w:sz="0" w:space="0" w:color="auto"/>
        <w:left w:val="none" w:sz="0" w:space="0" w:color="auto"/>
        <w:bottom w:val="none" w:sz="0" w:space="0" w:color="auto"/>
        <w:right w:val="none" w:sz="0" w:space="0" w:color="auto"/>
      </w:divBdr>
    </w:div>
    <w:div w:id="1629580791">
      <w:bodyDiv w:val="1"/>
      <w:marLeft w:val="0"/>
      <w:marRight w:val="0"/>
      <w:marTop w:val="0"/>
      <w:marBottom w:val="0"/>
      <w:divBdr>
        <w:top w:val="none" w:sz="0" w:space="0" w:color="auto"/>
        <w:left w:val="none" w:sz="0" w:space="0" w:color="auto"/>
        <w:bottom w:val="none" w:sz="0" w:space="0" w:color="auto"/>
        <w:right w:val="none" w:sz="0" w:space="0" w:color="auto"/>
      </w:divBdr>
    </w:div>
    <w:div w:id="1659337889">
      <w:bodyDiv w:val="1"/>
      <w:marLeft w:val="0"/>
      <w:marRight w:val="0"/>
      <w:marTop w:val="0"/>
      <w:marBottom w:val="0"/>
      <w:divBdr>
        <w:top w:val="none" w:sz="0" w:space="0" w:color="auto"/>
        <w:left w:val="none" w:sz="0" w:space="0" w:color="auto"/>
        <w:bottom w:val="none" w:sz="0" w:space="0" w:color="auto"/>
        <w:right w:val="none" w:sz="0" w:space="0" w:color="auto"/>
      </w:divBdr>
    </w:div>
    <w:div w:id="1665208250">
      <w:bodyDiv w:val="1"/>
      <w:marLeft w:val="0"/>
      <w:marRight w:val="0"/>
      <w:marTop w:val="0"/>
      <w:marBottom w:val="0"/>
      <w:divBdr>
        <w:top w:val="none" w:sz="0" w:space="0" w:color="auto"/>
        <w:left w:val="none" w:sz="0" w:space="0" w:color="auto"/>
        <w:bottom w:val="none" w:sz="0" w:space="0" w:color="auto"/>
        <w:right w:val="none" w:sz="0" w:space="0" w:color="auto"/>
      </w:divBdr>
    </w:div>
    <w:div w:id="1712027105">
      <w:bodyDiv w:val="1"/>
      <w:marLeft w:val="0"/>
      <w:marRight w:val="0"/>
      <w:marTop w:val="0"/>
      <w:marBottom w:val="0"/>
      <w:divBdr>
        <w:top w:val="none" w:sz="0" w:space="0" w:color="auto"/>
        <w:left w:val="none" w:sz="0" w:space="0" w:color="auto"/>
        <w:bottom w:val="none" w:sz="0" w:space="0" w:color="auto"/>
        <w:right w:val="none" w:sz="0" w:space="0" w:color="auto"/>
      </w:divBdr>
    </w:div>
    <w:div w:id="1756823619">
      <w:bodyDiv w:val="1"/>
      <w:marLeft w:val="0"/>
      <w:marRight w:val="0"/>
      <w:marTop w:val="0"/>
      <w:marBottom w:val="0"/>
      <w:divBdr>
        <w:top w:val="none" w:sz="0" w:space="0" w:color="auto"/>
        <w:left w:val="none" w:sz="0" w:space="0" w:color="auto"/>
        <w:bottom w:val="none" w:sz="0" w:space="0" w:color="auto"/>
        <w:right w:val="none" w:sz="0" w:space="0" w:color="auto"/>
      </w:divBdr>
    </w:div>
    <w:div w:id="1778136274">
      <w:bodyDiv w:val="1"/>
      <w:marLeft w:val="0"/>
      <w:marRight w:val="0"/>
      <w:marTop w:val="0"/>
      <w:marBottom w:val="0"/>
      <w:divBdr>
        <w:top w:val="none" w:sz="0" w:space="0" w:color="auto"/>
        <w:left w:val="none" w:sz="0" w:space="0" w:color="auto"/>
        <w:bottom w:val="none" w:sz="0" w:space="0" w:color="auto"/>
        <w:right w:val="none" w:sz="0" w:space="0" w:color="auto"/>
      </w:divBdr>
    </w:div>
    <w:div w:id="1798256539">
      <w:bodyDiv w:val="1"/>
      <w:marLeft w:val="0"/>
      <w:marRight w:val="0"/>
      <w:marTop w:val="0"/>
      <w:marBottom w:val="0"/>
      <w:divBdr>
        <w:top w:val="none" w:sz="0" w:space="0" w:color="auto"/>
        <w:left w:val="none" w:sz="0" w:space="0" w:color="auto"/>
        <w:bottom w:val="none" w:sz="0" w:space="0" w:color="auto"/>
        <w:right w:val="none" w:sz="0" w:space="0" w:color="auto"/>
      </w:divBdr>
    </w:div>
    <w:div w:id="1839684917">
      <w:bodyDiv w:val="1"/>
      <w:marLeft w:val="0"/>
      <w:marRight w:val="0"/>
      <w:marTop w:val="0"/>
      <w:marBottom w:val="0"/>
      <w:divBdr>
        <w:top w:val="none" w:sz="0" w:space="0" w:color="auto"/>
        <w:left w:val="none" w:sz="0" w:space="0" w:color="auto"/>
        <w:bottom w:val="none" w:sz="0" w:space="0" w:color="auto"/>
        <w:right w:val="none" w:sz="0" w:space="0" w:color="auto"/>
      </w:divBdr>
    </w:div>
    <w:div w:id="1908565461">
      <w:bodyDiv w:val="1"/>
      <w:marLeft w:val="0"/>
      <w:marRight w:val="0"/>
      <w:marTop w:val="0"/>
      <w:marBottom w:val="0"/>
      <w:divBdr>
        <w:top w:val="none" w:sz="0" w:space="0" w:color="auto"/>
        <w:left w:val="none" w:sz="0" w:space="0" w:color="auto"/>
        <w:bottom w:val="none" w:sz="0" w:space="0" w:color="auto"/>
        <w:right w:val="none" w:sz="0" w:space="0" w:color="auto"/>
      </w:divBdr>
    </w:div>
    <w:div w:id="1989243757">
      <w:bodyDiv w:val="1"/>
      <w:marLeft w:val="0"/>
      <w:marRight w:val="0"/>
      <w:marTop w:val="0"/>
      <w:marBottom w:val="0"/>
      <w:divBdr>
        <w:top w:val="none" w:sz="0" w:space="0" w:color="auto"/>
        <w:left w:val="none" w:sz="0" w:space="0" w:color="auto"/>
        <w:bottom w:val="none" w:sz="0" w:space="0" w:color="auto"/>
        <w:right w:val="none" w:sz="0" w:space="0" w:color="auto"/>
      </w:divBdr>
    </w:div>
    <w:div w:id="2015843374">
      <w:bodyDiv w:val="1"/>
      <w:marLeft w:val="0"/>
      <w:marRight w:val="0"/>
      <w:marTop w:val="0"/>
      <w:marBottom w:val="0"/>
      <w:divBdr>
        <w:top w:val="none" w:sz="0" w:space="0" w:color="auto"/>
        <w:left w:val="none" w:sz="0" w:space="0" w:color="auto"/>
        <w:bottom w:val="none" w:sz="0" w:space="0" w:color="auto"/>
        <w:right w:val="none" w:sz="0" w:space="0" w:color="auto"/>
      </w:divBdr>
      <w:divsChild>
        <w:div w:id="2098938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38839">
      <w:bodyDiv w:val="1"/>
      <w:marLeft w:val="0"/>
      <w:marRight w:val="0"/>
      <w:marTop w:val="0"/>
      <w:marBottom w:val="0"/>
      <w:divBdr>
        <w:top w:val="none" w:sz="0" w:space="0" w:color="auto"/>
        <w:left w:val="none" w:sz="0" w:space="0" w:color="auto"/>
        <w:bottom w:val="none" w:sz="0" w:space="0" w:color="auto"/>
        <w:right w:val="none" w:sz="0" w:space="0" w:color="auto"/>
      </w:divBdr>
    </w:div>
    <w:div w:id="2023627883">
      <w:bodyDiv w:val="1"/>
      <w:marLeft w:val="0"/>
      <w:marRight w:val="0"/>
      <w:marTop w:val="0"/>
      <w:marBottom w:val="0"/>
      <w:divBdr>
        <w:top w:val="none" w:sz="0" w:space="0" w:color="auto"/>
        <w:left w:val="none" w:sz="0" w:space="0" w:color="auto"/>
        <w:bottom w:val="none" w:sz="0" w:space="0" w:color="auto"/>
        <w:right w:val="none" w:sz="0" w:space="0" w:color="auto"/>
      </w:divBdr>
    </w:div>
    <w:div w:id="2045667209">
      <w:bodyDiv w:val="1"/>
      <w:marLeft w:val="0"/>
      <w:marRight w:val="0"/>
      <w:marTop w:val="0"/>
      <w:marBottom w:val="0"/>
      <w:divBdr>
        <w:top w:val="none" w:sz="0" w:space="0" w:color="auto"/>
        <w:left w:val="none" w:sz="0" w:space="0" w:color="auto"/>
        <w:bottom w:val="none" w:sz="0" w:space="0" w:color="auto"/>
        <w:right w:val="none" w:sz="0" w:space="0" w:color="auto"/>
      </w:divBdr>
    </w:div>
    <w:div w:id="2092655935">
      <w:bodyDiv w:val="1"/>
      <w:marLeft w:val="0"/>
      <w:marRight w:val="0"/>
      <w:marTop w:val="0"/>
      <w:marBottom w:val="0"/>
      <w:divBdr>
        <w:top w:val="none" w:sz="0" w:space="0" w:color="auto"/>
        <w:left w:val="none" w:sz="0" w:space="0" w:color="auto"/>
        <w:bottom w:val="none" w:sz="0" w:space="0" w:color="auto"/>
        <w:right w:val="none" w:sz="0" w:space="0" w:color="auto"/>
      </w:divBdr>
      <w:divsChild>
        <w:div w:id="38864657">
          <w:marLeft w:val="0"/>
          <w:marRight w:val="0"/>
          <w:marTop w:val="0"/>
          <w:marBottom w:val="0"/>
          <w:divBdr>
            <w:top w:val="none" w:sz="0" w:space="0" w:color="auto"/>
            <w:left w:val="none" w:sz="0" w:space="0" w:color="auto"/>
            <w:bottom w:val="none" w:sz="0" w:space="0" w:color="auto"/>
            <w:right w:val="none" w:sz="0" w:space="0" w:color="auto"/>
          </w:divBdr>
        </w:div>
        <w:div w:id="650141736">
          <w:marLeft w:val="0"/>
          <w:marRight w:val="0"/>
          <w:marTop w:val="0"/>
          <w:marBottom w:val="0"/>
          <w:divBdr>
            <w:top w:val="none" w:sz="0" w:space="0" w:color="auto"/>
            <w:left w:val="none" w:sz="0" w:space="0" w:color="auto"/>
            <w:bottom w:val="none" w:sz="0" w:space="0" w:color="auto"/>
            <w:right w:val="none" w:sz="0" w:space="0" w:color="auto"/>
          </w:divBdr>
        </w:div>
        <w:div w:id="710419300">
          <w:marLeft w:val="0"/>
          <w:marRight w:val="0"/>
          <w:marTop w:val="0"/>
          <w:marBottom w:val="0"/>
          <w:divBdr>
            <w:top w:val="none" w:sz="0" w:space="0" w:color="auto"/>
            <w:left w:val="none" w:sz="0" w:space="0" w:color="auto"/>
            <w:bottom w:val="none" w:sz="0" w:space="0" w:color="auto"/>
            <w:right w:val="none" w:sz="0" w:space="0" w:color="auto"/>
          </w:divBdr>
        </w:div>
        <w:div w:id="825517084">
          <w:marLeft w:val="0"/>
          <w:marRight w:val="0"/>
          <w:marTop w:val="0"/>
          <w:marBottom w:val="0"/>
          <w:divBdr>
            <w:top w:val="none" w:sz="0" w:space="0" w:color="auto"/>
            <w:left w:val="none" w:sz="0" w:space="0" w:color="auto"/>
            <w:bottom w:val="none" w:sz="0" w:space="0" w:color="auto"/>
            <w:right w:val="none" w:sz="0" w:space="0" w:color="auto"/>
          </w:divBdr>
        </w:div>
        <w:div w:id="836505691">
          <w:marLeft w:val="0"/>
          <w:marRight w:val="0"/>
          <w:marTop w:val="0"/>
          <w:marBottom w:val="0"/>
          <w:divBdr>
            <w:top w:val="none" w:sz="0" w:space="0" w:color="auto"/>
            <w:left w:val="none" w:sz="0" w:space="0" w:color="auto"/>
            <w:bottom w:val="none" w:sz="0" w:space="0" w:color="auto"/>
            <w:right w:val="none" w:sz="0" w:space="0" w:color="auto"/>
          </w:divBdr>
        </w:div>
        <w:div w:id="924848631">
          <w:marLeft w:val="0"/>
          <w:marRight w:val="0"/>
          <w:marTop w:val="0"/>
          <w:marBottom w:val="0"/>
          <w:divBdr>
            <w:top w:val="none" w:sz="0" w:space="0" w:color="auto"/>
            <w:left w:val="none" w:sz="0" w:space="0" w:color="auto"/>
            <w:bottom w:val="none" w:sz="0" w:space="0" w:color="auto"/>
            <w:right w:val="none" w:sz="0" w:space="0" w:color="auto"/>
          </w:divBdr>
        </w:div>
        <w:div w:id="1136490579">
          <w:marLeft w:val="0"/>
          <w:marRight w:val="0"/>
          <w:marTop w:val="0"/>
          <w:marBottom w:val="0"/>
          <w:divBdr>
            <w:top w:val="none" w:sz="0" w:space="0" w:color="auto"/>
            <w:left w:val="none" w:sz="0" w:space="0" w:color="auto"/>
            <w:bottom w:val="none" w:sz="0" w:space="0" w:color="auto"/>
            <w:right w:val="none" w:sz="0" w:space="0" w:color="auto"/>
          </w:divBdr>
        </w:div>
        <w:div w:id="1320697599">
          <w:marLeft w:val="0"/>
          <w:marRight w:val="0"/>
          <w:marTop w:val="0"/>
          <w:marBottom w:val="0"/>
          <w:divBdr>
            <w:top w:val="none" w:sz="0" w:space="0" w:color="auto"/>
            <w:left w:val="none" w:sz="0" w:space="0" w:color="auto"/>
            <w:bottom w:val="none" w:sz="0" w:space="0" w:color="auto"/>
            <w:right w:val="none" w:sz="0" w:space="0" w:color="auto"/>
          </w:divBdr>
        </w:div>
        <w:div w:id="1345790560">
          <w:marLeft w:val="0"/>
          <w:marRight w:val="0"/>
          <w:marTop w:val="0"/>
          <w:marBottom w:val="0"/>
          <w:divBdr>
            <w:top w:val="none" w:sz="0" w:space="0" w:color="auto"/>
            <w:left w:val="none" w:sz="0" w:space="0" w:color="auto"/>
            <w:bottom w:val="none" w:sz="0" w:space="0" w:color="auto"/>
            <w:right w:val="none" w:sz="0" w:space="0" w:color="auto"/>
          </w:divBdr>
        </w:div>
        <w:div w:id="1712268101">
          <w:marLeft w:val="0"/>
          <w:marRight w:val="0"/>
          <w:marTop w:val="0"/>
          <w:marBottom w:val="0"/>
          <w:divBdr>
            <w:top w:val="none" w:sz="0" w:space="0" w:color="auto"/>
            <w:left w:val="none" w:sz="0" w:space="0" w:color="auto"/>
            <w:bottom w:val="none" w:sz="0" w:space="0" w:color="auto"/>
            <w:right w:val="none" w:sz="0" w:space="0" w:color="auto"/>
          </w:divBdr>
        </w:div>
        <w:div w:id="1931236904">
          <w:marLeft w:val="0"/>
          <w:marRight w:val="0"/>
          <w:marTop w:val="0"/>
          <w:marBottom w:val="0"/>
          <w:divBdr>
            <w:top w:val="none" w:sz="0" w:space="0" w:color="auto"/>
            <w:left w:val="none" w:sz="0" w:space="0" w:color="auto"/>
            <w:bottom w:val="none" w:sz="0" w:space="0" w:color="auto"/>
            <w:right w:val="none" w:sz="0" w:space="0" w:color="auto"/>
          </w:divBdr>
        </w:div>
      </w:divsChild>
    </w:div>
    <w:div w:id="2122140628">
      <w:bodyDiv w:val="1"/>
      <w:marLeft w:val="0"/>
      <w:marRight w:val="0"/>
      <w:marTop w:val="0"/>
      <w:marBottom w:val="0"/>
      <w:divBdr>
        <w:top w:val="none" w:sz="0" w:space="0" w:color="auto"/>
        <w:left w:val="none" w:sz="0" w:space="0" w:color="auto"/>
        <w:bottom w:val="none" w:sz="0" w:space="0" w:color="auto"/>
        <w:right w:val="none" w:sz="0" w:space="0" w:color="auto"/>
      </w:divBdr>
    </w:div>
    <w:div w:id="212927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sehe.edu.au/publications/discussion-paper-2020-review-disability-standards-for-education-2005/" TargetMode="External"/><Relationship Id="rId18" Type="http://schemas.openxmlformats.org/officeDocument/2006/relationships/hyperlink" Target="https://docs.education.gov.au/documents/australian-government-initial-response-2015-review-disability-standards-education-200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eimshelp.education.gov.au/sites/default/files/2020-he-data-element-dictionary.pdf?v=1593405978" TargetMode="External"/><Relationship Id="rId7" Type="http://schemas.openxmlformats.org/officeDocument/2006/relationships/settings" Target="settings.xml"/><Relationship Id="rId12" Type="http://schemas.openxmlformats.org/officeDocument/2006/relationships/hyperlink" Target="mailto:ncsehe@curtin.edu.au" TargetMode="External"/><Relationship Id="rId17" Type="http://schemas.openxmlformats.org/officeDocument/2006/relationships/hyperlink" Target="https://www.education.gov.au/higher-education-disability-support-programme" TargetMode="External"/><Relationship Id="rId25" Type="http://schemas.openxmlformats.org/officeDocument/2006/relationships/hyperlink" Target="https://www.ncsehe.edu.au/wp-content/uploads/2019/03/Equity2030_FINAL.pdf" TargetMode="External"/><Relationship Id="rId2" Type="http://schemas.openxmlformats.org/officeDocument/2006/relationships/customXml" Target="../customXml/item2.xml"/><Relationship Id="rId16" Type="http://schemas.openxmlformats.org/officeDocument/2006/relationships/hyperlink" Target="https://www.tcsisupport.gov.au/element/615" TargetMode="External"/><Relationship Id="rId20" Type="http://schemas.openxmlformats.org/officeDocument/2006/relationships/hyperlink" Target="https://uploadstorage.blob.core.windows.net/public-assets/education-au/pathways/Final%20report%20-%2018%20Jun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ocs.education.gov.au/system/files/doc/other/final-report-2015-dse-review.pdf" TargetMode="External"/><Relationship Id="rId5" Type="http://schemas.openxmlformats.org/officeDocument/2006/relationships/numbering" Target="numbering.xml"/><Relationship Id="rId15" Type="http://schemas.openxmlformats.org/officeDocument/2006/relationships/hyperlink" Target="https://www.ncsehe.edu.au/publications/the-role-of-inherent-requirement-statements-in-australian-universities/" TargetMode="External"/><Relationship Id="rId23" Type="http://schemas.openxmlformats.org/officeDocument/2006/relationships/hyperlink" Target="https://www.qilt.edu.au/qilt-surveys/graduate-employmen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gage.dss.gov.au/nds-stage2-consultation/national-disability-strategy-position-pap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AUSSTATS/abs@.nsf/DetailsPage/4159.02014?OpenDocument" TargetMode="External"/><Relationship Id="rId22" Type="http://schemas.openxmlformats.org/officeDocument/2006/relationships/hyperlink" Target="http://www.orygen.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1ABFB25EE934439F574BC264F0B8E6" ma:contentTypeVersion="12" ma:contentTypeDescription="Create a new document." ma:contentTypeScope="" ma:versionID="977a3e45d4cde6bf58397d3671bee3c5">
  <xsd:schema xmlns:xsd="http://www.w3.org/2001/XMLSchema" xmlns:xs="http://www.w3.org/2001/XMLSchema" xmlns:p="http://schemas.microsoft.com/office/2006/metadata/properties" xmlns:ns3="5053a65b-a790-45aa-b23d-3e4902a85933" xmlns:ns4="6b707ee7-774c-4141-8c69-3f50efb0eaa0" targetNamespace="http://schemas.microsoft.com/office/2006/metadata/properties" ma:root="true" ma:fieldsID="ec251999200366ac70558579825a0d65" ns3:_="" ns4:_="">
    <xsd:import namespace="5053a65b-a790-45aa-b23d-3e4902a85933"/>
    <xsd:import namespace="6b707ee7-774c-4141-8c69-3f50efb0ea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3a65b-a790-45aa-b23d-3e4902a85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707ee7-774c-4141-8c69-3f50efb0ea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B51C-5990-4A57-B831-D0FEEAA0DCBB}">
  <ds:schemaRefs>
    <ds:schemaRef ds:uri="http://schemas.microsoft.com/sharepoint/v3/contenttype/forms"/>
  </ds:schemaRefs>
</ds:datastoreItem>
</file>

<file path=customXml/itemProps2.xml><?xml version="1.0" encoding="utf-8"?>
<ds:datastoreItem xmlns:ds="http://schemas.openxmlformats.org/officeDocument/2006/customXml" ds:itemID="{69052E79-0AF2-441A-A67C-437FFBE997FA}">
  <ds:schemaRefs>
    <ds:schemaRef ds:uri="http://purl.org/dc/terms/"/>
    <ds:schemaRef ds:uri="http://schemas.openxmlformats.org/package/2006/metadata/core-properties"/>
    <ds:schemaRef ds:uri="6b707ee7-774c-4141-8c69-3f50efb0eaa0"/>
    <ds:schemaRef ds:uri="http://purl.org/dc/dcmitype/"/>
    <ds:schemaRef ds:uri="http://purl.org/dc/elements/1.1/"/>
    <ds:schemaRef ds:uri="http://schemas.microsoft.com/office/infopath/2007/PartnerControls"/>
    <ds:schemaRef ds:uri="http://schemas.microsoft.com/office/2006/documentManagement/types"/>
    <ds:schemaRef ds:uri="5053a65b-a790-45aa-b23d-3e4902a8593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2CFECF5-07F4-4CE7-9BC3-3759AF937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3a65b-a790-45aa-b23d-3e4902a85933"/>
    <ds:schemaRef ds:uri="6b707ee7-774c-4141-8c69-3f50efb0e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EFD875-2711-4928-AE70-67472DE6D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4052</Words>
  <Characters>23097</Characters>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2017-08-03T14:07:00Z</cp:lastPrinted>
  <dcterms:created xsi:type="dcterms:W3CDTF">2020-11-26T05:05:00Z</dcterms:created>
  <dcterms:modified xsi:type="dcterms:W3CDTF">2020-11-26T05:05:00Z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5a23ac58-d4cc-3b79-8c41-87984e2f0b66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0x010100CD1ABFB25EE934439F574BC264F0B8E6</vt:lpwstr>
  </property>
</Properties>
</file>