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A556C" w14:textId="77777777" w:rsidR="00937712" w:rsidRPr="00DF38CB" w:rsidRDefault="00937712" w:rsidP="00937712">
      <w:pPr>
        <w:rPr>
          <w:color w:val="1F497D" w:themeColor="text2"/>
          <w:sz w:val="52"/>
          <w:szCs w:val="52"/>
        </w:rPr>
      </w:pPr>
      <w:bookmarkStart w:id="0" w:name="_Hlk489356740"/>
      <w:bookmarkStart w:id="1" w:name="_GoBack"/>
      <w:bookmarkEnd w:id="0"/>
      <w:bookmarkEnd w:id="1"/>
    </w:p>
    <w:p w14:paraId="204BD7CB" w14:textId="77777777" w:rsidR="00937712" w:rsidRDefault="00937712" w:rsidP="00937712">
      <w:pPr>
        <w:rPr>
          <w:color w:val="1F497D" w:themeColor="text2"/>
          <w:sz w:val="52"/>
          <w:szCs w:val="52"/>
        </w:rPr>
      </w:pPr>
    </w:p>
    <w:p w14:paraId="44B8F506" w14:textId="58732BE7" w:rsidR="00937712" w:rsidRDefault="00015063" w:rsidP="00937712">
      <w:pPr>
        <w:rPr>
          <w:color w:val="1F497D" w:themeColor="text2"/>
          <w:sz w:val="52"/>
          <w:szCs w:val="52"/>
          <w:lang w:val="en"/>
        </w:rPr>
      </w:pPr>
      <w:r w:rsidRPr="00015063">
        <w:rPr>
          <w:color w:val="1F497D" w:themeColor="text2"/>
          <w:sz w:val="52"/>
          <w:szCs w:val="52"/>
          <w:lang w:val="en"/>
        </w:rPr>
        <w:t>2020 Review of the Disability Standards for Education 2005</w:t>
      </w:r>
    </w:p>
    <w:p w14:paraId="5568303B" w14:textId="77777777" w:rsidR="00015063" w:rsidRPr="003235E9" w:rsidRDefault="00015063" w:rsidP="00937712">
      <w:pPr>
        <w:rPr>
          <w:color w:val="1F497D" w:themeColor="text2"/>
          <w:sz w:val="52"/>
          <w:szCs w:val="52"/>
        </w:rPr>
      </w:pPr>
    </w:p>
    <w:p w14:paraId="7374347E" w14:textId="412C2202" w:rsidR="00937712" w:rsidRPr="003235E9" w:rsidRDefault="00937712" w:rsidP="00937712">
      <w:pPr>
        <w:rPr>
          <w:color w:val="1F497D" w:themeColor="text2"/>
          <w:sz w:val="52"/>
          <w:szCs w:val="52"/>
        </w:rPr>
      </w:pPr>
      <w:r w:rsidRPr="003235E9">
        <w:rPr>
          <w:color w:val="1F497D" w:themeColor="text2"/>
          <w:sz w:val="52"/>
          <w:szCs w:val="52"/>
        </w:rPr>
        <w:t>Submission by</w:t>
      </w:r>
      <w:r w:rsidRPr="003235E9">
        <w:rPr>
          <w:color w:val="1F497D" w:themeColor="text2"/>
          <w:sz w:val="52"/>
          <w:szCs w:val="52"/>
        </w:rPr>
        <w:br/>
        <w:t>Independent Schools Australia</w:t>
      </w:r>
    </w:p>
    <w:p w14:paraId="4C0EC72D" w14:textId="567D1B68" w:rsidR="00937712" w:rsidRDefault="00937712" w:rsidP="00937712">
      <w:pPr>
        <w:rPr>
          <w:color w:val="1F497D" w:themeColor="text2"/>
          <w:sz w:val="52"/>
          <w:szCs w:val="52"/>
        </w:rPr>
      </w:pPr>
    </w:p>
    <w:p w14:paraId="18914C1C" w14:textId="77777777" w:rsidR="00CF3A22" w:rsidRPr="003235E9" w:rsidRDefault="00CF3A22" w:rsidP="00937712">
      <w:pPr>
        <w:rPr>
          <w:color w:val="1F497D" w:themeColor="text2"/>
          <w:sz w:val="52"/>
          <w:szCs w:val="52"/>
        </w:rPr>
      </w:pPr>
    </w:p>
    <w:p w14:paraId="6DFBD77F" w14:textId="2027AB3F" w:rsidR="00937712" w:rsidRPr="003235E9" w:rsidRDefault="001C383C" w:rsidP="00937712">
      <w:pPr>
        <w:rPr>
          <w:color w:val="1F497D" w:themeColor="text2"/>
          <w:sz w:val="52"/>
          <w:szCs w:val="52"/>
        </w:rPr>
      </w:pPr>
      <w:r>
        <w:rPr>
          <w:color w:val="1F497D" w:themeColor="text2"/>
          <w:sz w:val="52"/>
          <w:szCs w:val="52"/>
        </w:rPr>
        <w:t>25</w:t>
      </w:r>
      <w:r w:rsidR="009342A5">
        <w:rPr>
          <w:color w:val="1F497D" w:themeColor="text2"/>
          <w:sz w:val="52"/>
          <w:szCs w:val="52"/>
        </w:rPr>
        <w:t xml:space="preserve"> </w:t>
      </w:r>
      <w:r>
        <w:rPr>
          <w:color w:val="1F497D" w:themeColor="text2"/>
          <w:sz w:val="52"/>
          <w:szCs w:val="52"/>
        </w:rPr>
        <w:t>September</w:t>
      </w:r>
      <w:r w:rsidR="00937712" w:rsidRPr="003235E9">
        <w:rPr>
          <w:color w:val="1F497D" w:themeColor="text2"/>
          <w:sz w:val="52"/>
          <w:szCs w:val="52"/>
        </w:rPr>
        <w:t xml:space="preserve"> 20</w:t>
      </w:r>
      <w:r w:rsidR="00E14396">
        <w:rPr>
          <w:color w:val="1F497D" w:themeColor="text2"/>
          <w:sz w:val="52"/>
          <w:szCs w:val="52"/>
        </w:rPr>
        <w:t>20</w:t>
      </w:r>
    </w:p>
    <w:p w14:paraId="71870E48" w14:textId="77777777" w:rsidR="00937712" w:rsidRPr="00770849" w:rsidRDefault="00937712" w:rsidP="00937712">
      <w:pPr>
        <w:spacing w:after="0" w:line="240" w:lineRule="auto"/>
      </w:pPr>
      <w:r>
        <w:br w:type="page"/>
      </w:r>
    </w:p>
    <w:sdt>
      <w:sdtPr>
        <w:rPr>
          <w:rFonts w:ascii="Calibri" w:eastAsia="Calibri" w:hAnsi="Calibri" w:cs="Times New Roman"/>
          <w:color w:val="auto"/>
          <w:sz w:val="22"/>
          <w:szCs w:val="22"/>
          <w:lang w:val="en-AU"/>
        </w:rPr>
        <w:id w:val="-1528164827"/>
        <w:docPartObj>
          <w:docPartGallery w:val="Table of Contents"/>
          <w:docPartUnique/>
        </w:docPartObj>
      </w:sdtPr>
      <w:sdtEndPr>
        <w:rPr>
          <w:b/>
          <w:bCs/>
          <w:noProof/>
        </w:rPr>
      </w:sdtEndPr>
      <w:sdtContent>
        <w:p w14:paraId="7352C533" w14:textId="55BBDA82" w:rsidR="008B4D13" w:rsidRDefault="008B4D13">
          <w:pPr>
            <w:pStyle w:val="TOCHeading"/>
          </w:pPr>
          <w:r>
            <w:t>Contents</w:t>
          </w:r>
        </w:p>
        <w:p w14:paraId="4C43754C" w14:textId="1A541419" w:rsidR="00A15EE4" w:rsidRDefault="008B4D13">
          <w:pPr>
            <w:pStyle w:val="TOC2"/>
            <w:tabs>
              <w:tab w:val="right" w:leader="dot" w:pos="9010"/>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51932333" w:history="1">
            <w:r w:rsidR="00A15EE4" w:rsidRPr="00E701F8">
              <w:rPr>
                <w:rStyle w:val="Hyperlink"/>
                <w:noProof/>
              </w:rPr>
              <w:t>About ISA</w:t>
            </w:r>
            <w:r w:rsidR="00A15EE4">
              <w:rPr>
                <w:noProof/>
                <w:webHidden/>
              </w:rPr>
              <w:tab/>
            </w:r>
            <w:r w:rsidR="00A15EE4">
              <w:rPr>
                <w:noProof/>
                <w:webHidden/>
              </w:rPr>
              <w:fldChar w:fldCharType="begin"/>
            </w:r>
            <w:r w:rsidR="00A15EE4">
              <w:rPr>
                <w:noProof/>
                <w:webHidden/>
              </w:rPr>
              <w:instrText xml:space="preserve"> PAGEREF _Toc51932333 \h </w:instrText>
            </w:r>
            <w:r w:rsidR="00A15EE4">
              <w:rPr>
                <w:noProof/>
                <w:webHidden/>
              </w:rPr>
            </w:r>
            <w:r w:rsidR="00A15EE4">
              <w:rPr>
                <w:noProof/>
                <w:webHidden/>
              </w:rPr>
              <w:fldChar w:fldCharType="separate"/>
            </w:r>
            <w:r w:rsidR="00DA752A">
              <w:rPr>
                <w:noProof/>
                <w:webHidden/>
              </w:rPr>
              <w:t>3</w:t>
            </w:r>
            <w:r w:rsidR="00A15EE4">
              <w:rPr>
                <w:noProof/>
                <w:webHidden/>
              </w:rPr>
              <w:fldChar w:fldCharType="end"/>
            </w:r>
          </w:hyperlink>
        </w:p>
        <w:p w14:paraId="52F7BCE0" w14:textId="01D2004B" w:rsidR="00A15EE4" w:rsidRDefault="009B3252">
          <w:pPr>
            <w:pStyle w:val="TOC2"/>
            <w:tabs>
              <w:tab w:val="right" w:leader="dot" w:pos="9010"/>
            </w:tabs>
            <w:rPr>
              <w:rFonts w:asciiTheme="minorHAnsi" w:eastAsiaTheme="minorEastAsia" w:hAnsiTheme="minorHAnsi" w:cstheme="minorBidi"/>
              <w:noProof/>
              <w:lang w:eastAsia="en-AU"/>
            </w:rPr>
          </w:pPr>
          <w:hyperlink w:anchor="_Toc51932334" w:history="1">
            <w:r w:rsidR="00A15EE4" w:rsidRPr="00E701F8">
              <w:rPr>
                <w:rStyle w:val="Hyperlink"/>
                <w:noProof/>
              </w:rPr>
              <w:t>Introduction</w:t>
            </w:r>
            <w:r w:rsidR="00A15EE4">
              <w:rPr>
                <w:noProof/>
                <w:webHidden/>
              </w:rPr>
              <w:tab/>
            </w:r>
            <w:r w:rsidR="00A15EE4">
              <w:rPr>
                <w:noProof/>
                <w:webHidden/>
              </w:rPr>
              <w:fldChar w:fldCharType="begin"/>
            </w:r>
            <w:r w:rsidR="00A15EE4">
              <w:rPr>
                <w:noProof/>
                <w:webHidden/>
              </w:rPr>
              <w:instrText xml:space="preserve"> PAGEREF _Toc51932334 \h </w:instrText>
            </w:r>
            <w:r w:rsidR="00A15EE4">
              <w:rPr>
                <w:noProof/>
                <w:webHidden/>
              </w:rPr>
            </w:r>
            <w:r w:rsidR="00A15EE4">
              <w:rPr>
                <w:noProof/>
                <w:webHidden/>
              </w:rPr>
              <w:fldChar w:fldCharType="separate"/>
            </w:r>
            <w:r w:rsidR="00DA752A">
              <w:rPr>
                <w:noProof/>
                <w:webHidden/>
              </w:rPr>
              <w:t>4</w:t>
            </w:r>
            <w:r w:rsidR="00A15EE4">
              <w:rPr>
                <w:noProof/>
                <w:webHidden/>
              </w:rPr>
              <w:fldChar w:fldCharType="end"/>
            </w:r>
          </w:hyperlink>
        </w:p>
        <w:p w14:paraId="0515B62B" w14:textId="767F9059" w:rsidR="00A15EE4" w:rsidRDefault="009B3252">
          <w:pPr>
            <w:pStyle w:val="TOC2"/>
            <w:tabs>
              <w:tab w:val="right" w:leader="dot" w:pos="9010"/>
            </w:tabs>
            <w:rPr>
              <w:rFonts w:asciiTheme="minorHAnsi" w:eastAsiaTheme="minorEastAsia" w:hAnsiTheme="minorHAnsi" w:cstheme="minorBidi"/>
              <w:noProof/>
              <w:lang w:eastAsia="en-AU"/>
            </w:rPr>
          </w:pPr>
          <w:hyperlink w:anchor="_Toc51932335" w:history="1">
            <w:r w:rsidR="00A15EE4" w:rsidRPr="00E701F8">
              <w:rPr>
                <w:rStyle w:val="Hyperlink"/>
                <w:noProof/>
              </w:rPr>
              <w:t>Background Information about the Independent Sector</w:t>
            </w:r>
            <w:r w:rsidR="00A15EE4">
              <w:rPr>
                <w:noProof/>
                <w:webHidden/>
              </w:rPr>
              <w:tab/>
            </w:r>
            <w:r w:rsidR="00A15EE4">
              <w:rPr>
                <w:noProof/>
                <w:webHidden/>
              </w:rPr>
              <w:fldChar w:fldCharType="begin"/>
            </w:r>
            <w:r w:rsidR="00A15EE4">
              <w:rPr>
                <w:noProof/>
                <w:webHidden/>
              </w:rPr>
              <w:instrText xml:space="preserve"> PAGEREF _Toc51932335 \h </w:instrText>
            </w:r>
            <w:r w:rsidR="00A15EE4">
              <w:rPr>
                <w:noProof/>
                <w:webHidden/>
              </w:rPr>
            </w:r>
            <w:r w:rsidR="00A15EE4">
              <w:rPr>
                <w:noProof/>
                <w:webHidden/>
              </w:rPr>
              <w:fldChar w:fldCharType="separate"/>
            </w:r>
            <w:r w:rsidR="00DA752A">
              <w:rPr>
                <w:noProof/>
                <w:webHidden/>
              </w:rPr>
              <w:t>4</w:t>
            </w:r>
            <w:r w:rsidR="00A15EE4">
              <w:rPr>
                <w:noProof/>
                <w:webHidden/>
              </w:rPr>
              <w:fldChar w:fldCharType="end"/>
            </w:r>
          </w:hyperlink>
        </w:p>
        <w:p w14:paraId="2CFA4C77" w14:textId="009BCDCD" w:rsidR="00A15EE4" w:rsidRDefault="009B3252">
          <w:pPr>
            <w:pStyle w:val="TOC3"/>
            <w:tabs>
              <w:tab w:val="right" w:leader="dot" w:pos="9010"/>
            </w:tabs>
            <w:rPr>
              <w:rFonts w:asciiTheme="minorHAnsi" w:eastAsiaTheme="minorEastAsia" w:hAnsiTheme="minorHAnsi" w:cstheme="minorBidi"/>
              <w:noProof/>
              <w:lang w:eastAsia="en-AU"/>
            </w:rPr>
          </w:pPr>
          <w:hyperlink w:anchor="_Toc51932336" w:history="1">
            <w:r w:rsidR="00A15EE4" w:rsidRPr="00E701F8">
              <w:rPr>
                <w:rStyle w:val="Hyperlink"/>
                <w:noProof/>
              </w:rPr>
              <w:t>The Role of State and Territory Associations of Independent Schools</w:t>
            </w:r>
            <w:r w:rsidR="00A15EE4">
              <w:rPr>
                <w:noProof/>
                <w:webHidden/>
              </w:rPr>
              <w:tab/>
            </w:r>
            <w:r w:rsidR="00A15EE4">
              <w:rPr>
                <w:noProof/>
                <w:webHidden/>
              </w:rPr>
              <w:fldChar w:fldCharType="begin"/>
            </w:r>
            <w:r w:rsidR="00A15EE4">
              <w:rPr>
                <w:noProof/>
                <w:webHidden/>
              </w:rPr>
              <w:instrText xml:space="preserve"> PAGEREF _Toc51932336 \h </w:instrText>
            </w:r>
            <w:r w:rsidR="00A15EE4">
              <w:rPr>
                <w:noProof/>
                <w:webHidden/>
              </w:rPr>
            </w:r>
            <w:r w:rsidR="00A15EE4">
              <w:rPr>
                <w:noProof/>
                <w:webHidden/>
              </w:rPr>
              <w:fldChar w:fldCharType="separate"/>
            </w:r>
            <w:r w:rsidR="00DA752A">
              <w:rPr>
                <w:noProof/>
                <w:webHidden/>
              </w:rPr>
              <w:t>4</w:t>
            </w:r>
            <w:r w:rsidR="00A15EE4">
              <w:rPr>
                <w:noProof/>
                <w:webHidden/>
              </w:rPr>
              <w:fldChar w:fldCharType="end"/>
            </w:r>
          </w:hyperlink>
        </w:p>
        <w:p w14:paraId="19543797" w14:textId="5F553226" w:rsidR="00A15EE4" w:rsidRDefault="009B3252">
          <w:pPr>
            <w:pStyle w:val="TOC3"/>
            <w:tabs>
              <w:tab w:val="right" w:leader="dot" w:pos="9010"/>
            </w:tabs>
            <w:rPr>
              <w:rFonts w:asciiTheme="minorHAnsi" w:eastAsiaTheme="minorEastAsia" w:hAnsiTheme="minorHAnsi" w:cstheme="minorBidi"/>
              <w:noProof/>
              <w:lang w:eastAsia="en-AU"/>
            </w:rPr>
          </w:pPr>
          <w:hyperlink w:anchor="_Toc51932337" w:history="1">
            <w:r w:rsidR="00A15EE4" w:rsidRPr="00E701F8">
              <w:rPr>
                <w:rStyle w:val="Hyperlink"/>
                <w:noProof/>
              </w:rPr>
              <w:t>Types of Independent school</w:t>
            </w:r>
            <w:r w:rsidR="00A15EE4">
              <w:rPr>
                <w:noProof/>
                <w:webHidden/>
              </w:rPr>
              <w:tab/>
            </w:r>
            <w:r w:rsidR="00A15EE4">
              <w:rPr>
                <w:noProof/>
                <w:webHidden/>
              </w:rPr>
              <w:fldChar w:fldCharType="begin"/>
            </w:r>
            <w:r w:rsidR="00A15EE4">
              <w:rPr>
                <w:noProof/>
                <w:webHidden/>
              </w:rPr>
              <w:instrText xml:space="preserve"> PAGEREF _Toc51932337 \h </w:instrText>
            </w:r>
            <w:r w:rsidR="00A15EE4">
              <w:rPr>
                <w:noProof/>
                <w:webHidden/>
              </w:rPr>
            </w:r>
            <w:r w:rsidR="00A15EE4">
              <w:rPr>
                <w:noProof/>
                <w:webHidden/>
              </w:rPr>
              <w:fldChar w:fldCharType="separate"/>
            </w:r>
            <w:r w:rsidR="00DA752A">
              <w:rPr>
                <w:noProof/>
                <w:webHidden/>
              </w:rPr>
              <w:t>5</w:t>
            </w:r>
            <w:r w:rsidR="00A15EE4">
              <w:rPr>
                <w:noProof/>
                <w:webHidden/>
              </w:rPr>
              <w:fldChar w:fldCharType="end"/>
            </w:r>
          </w:hyperlink>
        </w:p>
        <w:p w14:paraId="4EE564D6" w14:textId="3FFEC4DB" w:rsidR="00A15EE4" w:rsidRDefault="009B3252">
          <w:pPr>
            <w:pStyle w:val="TOC3"/>
            <w:tabs>
              <w:tab w:val="right" w:leader="dot" w:pos="9010"/>
            </w:tabs>
            <w:rPr>
              <w:rFonts w:asciiTheme="minorHAnsi" w:eastAsiaTheme="minorEastAsia" w:hAnsiTheme="minorHAnsi" w:cstheme="minorBidi"/>
              <w:noProof/>
              <w:lang w:eastAsia="en-AU"/>
            </w:rPr>
          </w:pPr>
          <w:hyperlink w:anchor="_Toc51932338" w:history="1">
            <w:r w:rsidR="00A15EE4" w:rsidRPr="00E701F8">
              <w:rPr>
                <w:rStyle w:val="Hyperlink"/>
                <w:noProof/>
              </w:rPr>
              <w:t>Independent School Enrolments and Trends</w:t>
            </w:r>
            <w:r w:rsidR="00A15EE4">
              <w:rPr>
                <w:noProof/>
                <w:webHidden/>
              </w:rPr>
              <w:tab/>
            </w:r>
            <w:r w:rsidR="00A15EE4">
              <w:rPr>
                <w:noProof/>
                <w:webHidden/>
              </w:rPr>
              <w:fldChar w:fldCharType="begin"/>
            </w:r>
            <w:r w:rsidR="00A15EE4">
              <w:rPr>
                <w:noProof/>
                <w:webHidden/>
              </w:rPr>
              <w:instrText xml:space="preserve"> PAGEREF _Toc51932338 \h </w:instrText>
            </w:r>
            <w:r w:rsidR="00A15EE4">
              <w:rPr>
                <w:noProof/>
                <w:webHidden/>
              </w:rPr>
            </w:r>
            <w:r w:rsidR="00A15EE4">
              <w:rPr>
                <w:noProof/>
                <w:webHidden/>
              </w:rPr>
              <w:fldChar w:fldCharType="separate"/>
            </w:r>
            <w:r w:rsidR="00DA752A">
              <w:rPr>
                <w:noProof/>
                <w:webHidden/>
              </w:rPr>
              <w:t>6</w:t>
            </w:r>
            <w:r w:rsidR="00A15EE4">
              <w:rPr>
                <w:noProof/>
                <w:webHidden/>
              </w:rPr>
              <w:fldChar w:fldCharType="end"/>
            </w:r>
          </w:hyperlink>
        </w:p>
        <w:p w14:paraId="515A3C6F" w14:textId="51307BFD" w:rsidR="00A15EE4" w:rsidRDefault="009B3252">
          <w:pPr>
            <w:pStyle w:val="TOC3"/>
            <w:tabs>
              <w:tab w:val="right" w:leader="dot" w:pos="9010"/>
            </w:tabs>
            <w:rPr>
              <w:rFonts w:asciiTheme="minorHAnsi" w:eastAsiaTheme="minorEastAsia" w:hAnsiTheme="minorHAnsi" w:cstheme="minorBidi"/>
              <w:noProof/>
              <w:lang w:eastAsia="en-AU"/>
            </w:rPr>
          </w:pPr>
          <w:hyperlink w:anchor="_Toc51932339" w:history="1">
            <w:r w:rsidR="00A15EE4" w:rsidRPr="00E701F8">
              <w:rPr>
                <w:rStyle w:val="Hyperlink"/>
                <w:noProof/>
              </w:rPr>
              <w:t>Independent School Size and Location</w:t>
            </w:r>
            <w:r w:rsidR="00A15EE4">
              <w:rPr>
                <w:noProof/>
                <w:webHidden/>
              </w:rPr>
              <w:tab/>
            </w:r>
            <w:r w:rsidR="00A15EE4">
              <w:rPr>
                <w:noProof/>
                <w:webHidden/>
              </w:rPr>
              <w:fldChar w:fldCharType="begin"/>
            </w:r>
            <w:r w:rsidR="00A15EE4">
              <w:rPr>
                <w:noProof/>
                <w:webHidden/>
              </w:rPr>
              <w:instrText xml:space="preserve"> PAGEREF _Toc51932339 \h </w:instrText>
            </w:r>
            <w:r w:rsidR="00A15EE4">
              <w:rPr>
                <w:noProof/>
                <w:webHidden/>
              </w:rPr>
            </w:r>
            <w:r w:rsidR="00A15EE4">
              <w:rPr>
                <w:noProof/>
                <w:webHidden/>
              </w:rPr>
              <w:fldChar w:fldCharType="separate"/>
            </w:r>
            <w:r w:rsidR="00DA752A">
              <w:rPr>
                <w:noProof/>
                <w:webHidden/>
              </w:rPr>
              <w:t>7</w:t>
            </w:r>
            <w:r w:rsidR="00A15EE4">
              <w:rPr>
                <w:noProof/>
                <w:webHidden/>
              </w:rPr>
              <w:fldChar w:fldCharType="end"/>
            </w:r>
          </w:hyperlink>
        </w:p>
        <w:p w14:paraId="0DCD4E3C" w14:textId="5523F925" w:rsidR="00A15EE4" w:rsidRDefault="009B3252">
          <w:pPr>
            <w:pStyle w:val="TOC3"/>
            <w:tabs>
              <w:tab w:val="right" w:leader="dot" w:pos="9010"/>
            </w:tabs>
            <w:rPr>
              <w:rFonts w:asciiTheme="minorHAnsi" w:eastAsiaTheme="minorEastAsia" w:hAnsiTheme="minorHAnsi" w:cstheme="minorBidi"/>
              <w:noProof/>
              <w:lang w:eastAsia="en-AU"/>
            </w:rPr>
          </w:pPr>
          <w:hyperlink w:anchor="_Toc51932340" w:history="1">
            <w:r w:rsidR="00A15EE4" w:rsidRPr="00E701F8">
              <w:rPr>
                <w:rStyle w:val="Hyperlink"/>
                <w:noProof/>
              </w:rPr>
              <w:t>Students with Disability Enrolled in Independent Schools</w:t>
            </w:r>
            <w:r w:rsidR="00A15EE4">
              <w:rPr>
                <w:noProof/>
                <w:webHidden/>
              </w:rPr>
              <w:tab/>
            </w:r>
            <w:r w:rsidR="00A15EE4">
              <w:rPr>
                <w:noProof/>
                <w:webHidden/>
              </w:rPr>
              <w:fldChar w:fldCharType="begin"/>
            </w:r>
            <w:r w:rsidR="00A15EE4">
              <w:rPr>
                <w:noProof/>
                <w:webHidden/>
              </w:rPr>
              <w:instrText xml:space="preserve"> PAGEREF _Toc51932340 \h </w:instrText>
            </w:r>
            <w:r w:rsidR="00A15EE4">
              <w:rPr>
                <w:noProof/>
                <w:webHidden/>
              </w:rPr>
            </w:r>
            <w:r w:rsidR="00A15EE4">
              <w:rPr>
                <w:noProof/>
                <w:webHidden/>
              </w:rPr>
              <w:fldChar w:fldCharType="separate"/>
            </w:r>
            <w:r w:rsidR="00DA752A">
              <w:rPr>
                <w:noProof/>
                <w:webHidden/>
              </w:rPr>
              <w:t>8</w:t>
            </w:r>
            <w:r w:rsidR="00A15EE4">
              <w:rPr>
                <w:noProof/>
                <w:webHidden/>
              </w:rPr>
              <w:fldChar w:fldCharType="end"/>
            </w:r>
          </w:hyperlink>
        </w:p>
        <w:p w14:paraId="183F1A75" w14:textId="5B7E8653" w:rsidR="00A15EE4" w:rsidRDefault="009B3252">
          <w:pPr>
            <w:pStyle w:val="TOC3"/>
            <w:tabs>
              <w:tab w:val="right" w:leader="dot" w:pos="9010"/>
            </w:tabs>
            <w:rPr>
              <w:rFonts w:asciiTheme="minorHAnsi" w:eastAsiaTheme="minorEastAsia" w:hAnsiTheme="minorHAnsi" w:cstheme="minorBidi"/>
              <w:noProof/>
              <w:lang w:eastAsia="en-AU"/>
            </w:rPr>
          </w:pPr>
          <w:hyperlink w:anchor="_Toc51932341" w:history="1">
            <w:r w:rsidR="00A15EE4" w:rsidRPr="00E701F8">
              <w:rPr>
                <w:rStyle w:val="Hyperlink"/>
                <w:noProof/>
              </w:rPr>
              <w:t>Special Education Provision</w:t>
            </w:r>
            <w:r w:rsidR="00A15EE4">
              <w:rPr>
                <w:noProof/>
                <w:webHidden/>
              </w:rPr>
              <w:tab/>
            </w:r>
            <w:r w:rsidR="00A15EE4">
              <w:rPr>
                <w:noProof/>
                <w:webHidden/>
              </w:rPr>
              <w:fldChar w:fldCharType="begin"/>
            </w:r>
            <w:r w:rsidR="00A15EE4">
              <w:rPr>
                <w:noProof/>
                <w:webHidden/>
              </w:rPr>
              <w:instrText xml:space="preserve"> PAGEREF _Toc51932341 \h </w:instrText>
            </w:r>
            <w:r w:rsidR="00A15EE4">
              <w:rPr>
                <w:noProof/>
                <w:webHidden/>
              </w:rPr>
            </w:r>
            <w:r w:rsidR="00A15EE4">
              <w:rPr>
                <w:noProof/>
                <w:webHidden/>
              </w:rPr>
              <w:fldChar w:fldCharType="separate"/>
            </w:r>
            <w:r w:rsidR="00DA752A">
              <w:rPr>
                <w:noProof/>
                <w:webHidden/>
              </w:rPr>
              <w:t>9</w:t>
            </w:r>
            <w:r w:rsidR="00A15EE4">
              <w:rPr>
                <w:noProof/>
                <w:webHidden/>
              </w:rPr>
              <w:fldChar w:fldCharType="end"/>
            </w:r>
          </w:hyperlink>
        </w:p>
        <w:p w14:paraId="47E6B8FE" w14:textId="71D8EAC4" w:rsidR="00A15EE4" w:rsidRDefault="009B3252">
          <w:pPr>
            <w:pStyle w:val="TOC2"/>
            <w:tabs>
              <w:tab w:val="right" w:leader="dot" w:pos="9010"/>
            </w:tabs>
            <w:rPr>
              <w:rFonts w:asciiTheme="minorHAnsi" w:eastAsiaTheme="minorEastAsia" w:hAnsiTheme="minorHAnsi" w:cstheme="minorBidi"/>
              <w:noProof/>
              <w:lang w:eastAsia="en-AU"/>
            </w:rPr>
          </w:pPr>
          <w:hyperlink w:anchor="_Toc51932342" w:history="1">
            <w:r w:rsidR="00A15EE4" w:rsidRPr="00E701F8">
              <w:rPr>
                <w:rStyle w:val="Hyperlink"/>
                <w:noProof/>
              </w:rPr>
              <w:t>Rights and Obligations of the Standards</w:t>
            </w:r>
            <w:r w:rsidR="00A15EE4">
              <w:rPr>
                <w:noProof/>
                <w:webHidden/>
              </w:rPr>
              <w:tab/>
            </w:r>
            <w:r w:rsidR="00A15EE4">
              <w:rPr>
                <w:noProof/>
                <w:webHidden/>
              </w:rPr>
              <w:fldChar w:fldCharType="begin"/>
            </w:r>
            <w:r w:rsidR="00A15EE4">
              <w:rPr>
                <w:noProof/>
                <w:webHidden/>
              </w:rPr>
              <w:instrText xml:space="preserve"> PAGEREF _Toc51932342 \h </w:instrText>
            </w:r>
            <w:r w:rsidR="00A15EE4">
              <w:rPr>
                <w:noProof/>
                <w:webHidden/>
              </w:rPr>
            </w:r>
            <w:r w:rsidR="00A15EE4">
              <w:rPr>
                <w:noProof/>
                <w:webHidden/>
              </w:rPr>
              <w:fldChar w:fldCharType="separate"/>
            </w:r>
            <w:r w:rsidR="00DA752A">
              <w:rPr>
                <w:noProof/>
                <w:webHidden/>
              </w:rPr>
              <w:t>10</w:t>
            </w:r>
            <w:r w:rsidR="00A15EE4">
              <w:rPr>
                <w:noProof/>
                <w:webHidden/>
              </w:rPr>
              <w:fldChar w:fldCharType="end"/>
            </w:r>
          </w:hyperlink>
        </w:p>
        <w:p w14:paraId="7953D4D7" w14:textId="5DB3124F" w:rsidR="00A15EE4" w:rsidRDefault="009B3252">
          <w:pPr>
            <w:pStyle w:val="TOC3"/>
            <w:tabs>
              <w:tab w:val="right" w:leader="dot" w:pos="9010"/>
            </w:tabs>
            <w:rPr>
              <w:rFonts w:asciiTheme="minorHAnsi" w:eastAsiaTheme="minorEastAsia" w:hAnsiTheme="minorHAnsi" w:cstheme="minorBidi"/>
              <w:noProof/>
              <w:lang w:eastAsia="en-AU"/>
            </w:rPr>
          </w:pPr>
          <w:hyperlink w:anchor="_Toc51932343" w:history="1">
            <w:r w:rsidR="00A15EE4" w:rsidRPr="00E701F8">
              <w:rPr>
                <w:rStyle w:val="Hyperlink"/>
                <w:noProof/>
              </w:rPr>
              <w:t>Clarity of Terminology and Concepts in the Standards</w:t>
            </w:r>
            <w:r w:rsidR="00A15EE4">
              <w:rPr>
                <w:noProof/>
                <w:webHidden/>
              </w:rPr>
              <w:tab/>
            </w:r>
            <w:r w:rsidR="00A15EE4">
              <w:rPr>
                <w:noProof/>
                <w:webHidden/>
              </w:rPr>
              <w:fldChar w:fldCharType="begin"/>
            </w:r>
            <w:r w:rsidR="00A15EE4">
              <w:rPr>
                <w:noProof/>
                <w:webHidden/>
              </w:rPr>
              <w:instrText xml:space="preserve"> PAGEREF _Toc51932343 \h </w:instrText>
            </w:r>
            <w:r w:rsidR="00A15EE4">
              <w:rPr>
                <w:noProof/>
                <w:webHidden/>
              </w:rPr>
            </w:r>
            <w:r w:rsidR="00A15EE4">
              <w:rPr>
                <w:noProof/>
                <w:webHidden/>
              </w:rPr>
              <w:fldChar w:fldCharType="separate"/>
            </w:r>
            <w:r w:rsidR="00DA752A">
              <w:rPr>
                <w:noProof/>
                <w:webHidden/>
              </w:rPr>
              <w:t>10</w:t>
            </w:r>
            <w:r w:rsidR="00A15EE4">
              <w:rPr>
                <w:noProof/>
                <w:webHidden/>
              </w:rPr>
              <w:fldChar w:fldCharType="end"/>
            </w:r>
          </w:hyperlink>
        </w:p>
        <w:p w14:paraId="201943E1" w14:textId="523EE4BE" w:rsidR="00A15EE4" w:rsidRDefault="009B3252">
          <w:pPr>
            <w:pStyle w:val="TOC3"/>
            <w:tabs>
              <w:tab w:val="right" w:leader="dot" w:pos="9010"/>
            </w:tabs>
            <w:rPr>
              <w:rFonts w:asciiTheme="minorHAnsi" w:eastAsiaTheme="minorEastAsia" w:hAnsiTheme="minorHAnsi" w:cstheme="minorBidi"/>
              <w:noProof/>
              <w:lang w:eastAsia="en-AU"/>
            </w:rPr>
          </w:pPr>
          <w:hyperlink w:anchor="_Toc51932344" w:history="1">
            <w:r w:rsidR="00A15EE4" w:rsidRPr="00E701F8">
              <w:rPr>
                <w:rStyle w:val="Hyperlink"/>
                <w:noProof/>
              </w:rPr>
              <w:t>Access to Education</w:t>
            </w:r>
            <w:r w:rsidR="00A15EE4">
              <w:rPr>
                <w:noProof/>
                <w:webHidden/>
              </w:rPr>
              <w:tab/>
            </w:r>
            <w:r w:rsidR="00A15EE4">
              <w:rPr>
                <w:noProof/>
                <w:webHidden/>
              </w:rPr>
              <w:fldChar w:fldCharType="begin"/>
            </w:r>
            <w:r w:rsidR="00A15EE4">
              <w:rPr>
                <w:noProof/>
                <w:webHidden/>
              </w:rPr>
              <w:instrText xml:space="preserve"> PAGEREF _Toc51932344 \h </w:instrText>
            </w:r>
            <w:r w:rsidR="00A15EE4">
              <w:rPr>
                <w:noProof/>
                <w:webHidden/>
              </w:rPr>
            </w:r>
            <w:r w:rsidR="00A15EE4">
              <w:rPr>
                <w:noProof/>
                <w:webHidden/>
              </w:rPr>
              <w:fldChar w:fldCharType="separate"/>
            </w:r>
            <w:r w:rsidR="00DA752A">
              <w:rPr>
                <w:noProof/>
                <w:webHidden/>
              </w:rPr>
              <w:t>12</w:t>
            </w:r>
            <w:r w:rsidR="00A15EE4">
              <w:rPr>
                <w:noProof/>
                <w:webHidden/>
              </w:rPr>
              <w:fldChar w:fldCharType="end"/>
            </w:r>
          </w:hyperlink>
        </w:p>
        <w:p w14:paraId="044DC750" w14:textId="39DDD4C7" w:rsidR="00A15EE4" w:rsidRDefault="009B3252">
          <w:pPr>
            <w:pStyle w:val="TOC3"/>
            <w:tabs>
              <w:tab w:val="right" w:leader="dot" w:pos="9010"/>
            </w:tabs>
            <w:rPr>
              <w:rFonts w:asciiTheme="minorHAnsi" w:eastAsiaTheme="minorEastAsia" w:hAnsiTheme="minorHAnsi" w:cstheme="minorBidi"/>
              <w:noProof/>
              <w:lang w:eastAsia="en-AU"/>
            </w:rPr>
          </w:pPr>
          <w:hyperlink w:anchor="_Toc51932345" w:history="1">
            <w:r w:rsidR="00A15EE4" w:rsidRPr="00E701F8">
              <w:rPr>
                <w:rStyle w:val="Hyperlink"/>
                <w:noProof/>
              </w:rPr>
              <w:t>Professional Learning to Support the Standards</w:t>
            </w:r>
            <w:r w:rsidR="00A15EE4">
              <w:rPr>
                <w:noProof/>
                <w:webHidden/>
              </w:rPr>
              <w:tab/>
            </w:r>
            <w:r w:rsidR="00A15EE4">
              <w:rPr>
                <w:noProof/>
                <w:webHidden/>
              </w:rPr>
              <w:fldChar w:fldCharType="begin"/>
            </w:r>
            <w:r w:rsidR="00A15EE4">
              <w:rPr>
                <w:noProof/>
                <w:webHidden/>
              </w:rPr>
              <w:instrText xml:space="preserve"> PAGEREF _Toc51932345 \h </w:instrText>
            </w:r>
            <w:r w:rsidR="00A15EE4">
              <w:rPr>
                <w:noProof/>
                <w:webHidden/>
              </w:rPr>
            </w:r>
            <w:r w:rsidR="00A15EE4">
              <w:rPr>
                <w:noProof/>
                <w:webHidden/>
              </w:rPr>
              <w:fldChar w:fldCharType="separate"/>
            </w:r>
            <w:r w:rsidR="00DA752A">
              <w:rPr>
                <w:noProof/>
                <w:webHidden/>
              </w:rPr>
              <w:t>13</w:t>
            </w:r>
            <w:r w:rsidR="00A15EE4">
              <w:rPr>
                <w:noProof/>
                <w:webHidden/>
              </w:rPr>
              <w:fldChar w:fldCharType="end"/>
            </w:r>
          </w:hyperlink>
        </w:p>
        <w:p w14:paraId="36E400DC" w14:textId="2C1DE451" w:rsidR="00A15EE4" w:rsidRDefault="009B3252">
          <w:pPr>
            <w:pStyle w:val="TOC2"/>
            <w:tabs>
              <w:tab w:val="right" w:leader="dot" w:pos="9010"/>
            </w:tabs>
            <w:rPr>
              <w:rFonts w:asciiTheme="minorHAnsi" w:eastAsiaTheme="minorEastAsia" w:hAnsiTheme="minorHAnsi" w:cstheme="minorBidi"/>
              <w:noProof/>
              <w:lang w:eastAsia="en-AU"/>
            </w:rPr>
          </w:pPr>
          <w:hyperlink w:anchor="_Toc51932346" w:history="1">
            <w:r w:rsidR="00A15EE4" w:rsidRPr="00E701F8">
              <w:rPr>
                <w:rStyle w:val="Hyperlink"/>
                <w:noProof/>
              </w:rPr>
              <w:t>The Experience of Aboriginal and Torres Strait Islander Students with Disability</w:t>
            </w:r>
            <w:r w:rsidR="00A15EE4">
              <w:rPr>
                <w:noProof/>
                <w:webHidden/>
              </w:rPr>
              <w:tab/>
            </w:r>
            <w:r w:rsidR="00A15EE4">
              <w:rPr>
                <w:noProof/>
                <w:webHidden/>
              </w:rPr>
              <w:fldChar w:fldCharType="begin"/>
            </w:r>
            <w:r w:rsidR="00A15EE4">
              <w:rPr>
                <w:noProof/>
                <w:webHidden/>
              </w:rPr>
              <w:instrText xml:space="preserve"> PAGEREF _Toc51932346 \h </w:instrText>
            </w:r>
            <w:r w:rsidR="00A15EE4">
              <w:rPr>
                <w:noProof/>
                <w:webHidden/>
              </w:rPr>
            </w:r>
            <w:r w:rsidR="00A15EE4">
              <w:rPr>
                <w:noProof/>
                <w:webHidden/>
              </w:rPr>
              <w:fldChar w:fldCharType="separate"/>
            </w:r>
            <w:r w:rsidR="00DA752A">
              <w:rPr>
                <w:noProof/>
                <w:webHidden/>
              </w:rPr>
              <w:t>14</w:t>
            </w:r>
            <w:r w:rsidR="00A15EE4">
              <w:rPr>
                <w:noProof/>
                <w:webHidden/>
              </w:rPr>
              <w:fldChar w:fldCharType="end"/>
            </w:r>
          </w:hyperlink>
        </w:p>
        <w:p w14:paraId="6401C59F" w14:textId="746EC9F5" w:rsidR="00A15EE4" w:rsidRDefault="009B3252">
          <w:pPr>
            <w:pStyle w:val="TOC2"/>
            <w:tabs>
              <w:tab w:val="right" w:leader="dot" w:pos="9010"/>
            </w:tabs>
            <w:rPr>
              <w:rFonts w:asciiTheme="minorHAnsi" w:eastAsiaTheme="minorEastAsia" w:hAnsiTheme="minorHAnsi" w:cstheme="minorBidi"/>
              <w:noProof/>
              <w:lang w:eastAsia="en-AU"/>
            </w:rPr>
          </w:pPr>
          <w:hyperlink w:anchor="_Toc51932347" w:history="1">
            <w:r w:rsidR="00A15EE4" w:rsidRPr="00E701F8">
              <w:rPr>
                <w:rStyle w:val="Hyperlink"/>
                <w:noProof/>
              </w:rPr>
              <w:t>Children with Disability in Early Childhood Education and Care</w:t>
            </w:r>
            <w:r w:rsidR="00A15EE4">
              <w:rPr>
                <w:noProof/>
                <w:webHidden/>
              </w:rPr>
              <w:tab/>
            </w:r>
            <w:r w:rsidR="00A15EE4">
              <w:rPr>
                <w:noProof/>
                <w:webHidden/>
              </w:rPr>
              <w:fldChar w:fldCharType="begin"/>
            </w:r>
            <w:r w:rsidR="00A15EE4">
              <w:rPr>
                <w:noProof/>
                <w:webHidden/>
              </w:rPr>
              <w:instrText xml:space="preserve"> PAGEREF _Toc51932347 \h </w:instrText>
            </w:r>
            <w:r w:rsidR="00A15EE4">
              <w:rPr>
                <w:noProof/>
                <w:webHidden/>
              </w:rPr>
            </w:r>
            <w:r w:rsidR="00A15EE4">
              <w:rPr>
                <w:noProof/>
                <w:webHidden/>
              </w:rPr>
              <w:fldChar w:fldCharType="separate"/>
            </w:r>
            <w:r w:rsidR="00DA752A">
              <w:rPr>
                <w:noProof/>
                <w:webHidden/>
              </w:rPr>
              <w:t>15</w:t>
            </w:r>
            <w:r w:rsidR="00A15EE4">
              <w:rPr>
                <w:noProof/>
                <w:webHidden/>
              </w:rPr>
              <w:fldChar w:fldCharType="end"/>
            </w:r>
          </w:hyperlink>
        </w:p>
        <w:p w14:paraId="33074C77" w14:textId="07AC8614" w:rsidR="00A15EE4" w:rsidRDefault="009B3252">
          <w:pPr>
            <w:pStyle w:val="TOC2"/>
            <w:tabs>
              <w:tab w:val="right" w:leader="dot" w:pos="9010"/>
            </w:tabs>
            <w:rPr>
              <w:rFonts w:asciiTheme="minorHAnsi" w:eastAsiaTheme="minorEastAsia" w:hAnsiTheme="minorHAnsi" w:cstheme="minorBidi"/>
              <w:noProof/>
              <w:lang w:eastAsia="en-AU"/>
            </w:rPr>
          </w:pPr>
          <w:hyperlink w:anchor="_Toc51932348" w:history="1">
            <w:r w:rsidR="00A15EE4" w:rsidRPr="00E701F8">
              <w:rPr>
                <w:rStyle w:val="Hyperlink"/>
                <w:noProof/>
              </w:rPr>
              <w:t>The Impact of COVID-19</w:t>
            </w:r>
            <w:r w:rsidR="00A15EE4">
              <w:rPr>
                <w:noProof/>
                <w:webHidden/>
              </w:rPr>
              <w:tab/>
            </w:r>
            <w:r w:rsidR="00A15EE4">
              <w:rPr>
                <w:noProof/>
                <w:webHidden/>
              </w:rPr>
              <w:fldChar w:fldCharType="begin"/>
            </w:r>
            <w:r w:rsidR="00A15EE4">
              <w:rPr>
                <w:noProof/>
                <w:webHidden/>
              </w:rPr>
              <w:instrText xml:space="preserve"> PAGEREF _Toc51932348 \h </w:instrText>
            </w:r>
            <w:r w:rsidR="00A15EE4">
              <w:rPr>
                <w:noProof/>
                <w:webHidden/>
              </w:rPr>
            </w:r>
            <w:r w:rsidR="00A15EE4">
              <w:rPr>
                <w:noProof/>
                <w:webHidden/>
              </w:rPr>
              <w:fldChar w:fldCharType="separate"/>
            </w:r>
            <w:r w:rsidR="00DA752A">
              <w:rPr>
                <w:noProof/>
                <w:webHidden/>
              </w:rPr>
              <w:t>16</w:t>
            </w:r>
            <w:r w:rsidR="00A15EE4">
              <w:rPr>
                <w:noProof/>
                <w:webHidden/>
              </w:rPr>
              <w:fldChar w:fldCharType="end"/>
            </w:r>
          </w:hyperlink>
        </w:p>
        <w:p w14:paraId="3A0D33B1" w14:textId="24EB3C58" w:rsidR="00A15EE4" w:rsidRDefault="009B3252">
          <w:pPr>
            <w:pStyle w:val="TOC2"/>
            <w:tabs>
              <w:tab w:val="right" w:leader="dot" w:pos="9010"/>
            </w:tabs>
            <w:rPr>
              <w:rFonts w:asciiTheme="minorHAnsi" w:eastAsiaTheme="minorEastAsia" w:hAnsiTheme="minorHAnsi" w:cstheme="minorBidi"/>
              <w:noProof/>
              <w:lang w:eastAsia="en-AU"/>
            </w:rPr>
          </w:pPr>
          <w:hyperlink w:anchor="_Toc51932349" w:history="1">
            <w:r w:rsidR="00A15EE4" w:rsidRPr="00E701F8">
              <w:rPr>
                <w:rStyle w:val="Hyperlink"/>
                <w:noProof/>
              </w:rPr>
              <w:t>Conclusion</w:t>
            </w:r>
            <w:r w:rsidR="00A15EE4">
              <w:rPr>
                <w:noProof/>
                <w:webHidden/>
              </w:rPr>
              <w:tab/>
            </w:r>
            <w:r w:rsidR="00A15EE4">
              <w:rPr>
                <w:noProof/>
                <w:webHidden/>
              </w:rPr>
              <w:fldChar w:fldCharType="begin"/>
            </w:r>
            <w:r w:rsidR="00A15EE4">
              <w:rPr>
                <w:noProof/>
                <w:webHidden/>
              </w:rPr>
              <w:instrText xml:space="preserve"> PAGEREF _Toc51932349 \h </w:instrText>
            </w:r>
            <w:r w:rsidR="00A15EE4">
              <w:rPr>
                <w:noProof/>
                <w:webHidden/>
              </w:rPr>
            </w:r>
            <w:r w:rsidR="00A15EE4">
              <w:rPr>
                <w:noProof/>
                <w:webHidden/>
              </w:rPr>
              <w:fldChar w:fldCharType="separate"/>
            </w:r>
            <w:r w:rsidR="00DA752A">
              <w:rPr>
                <w:noProof/>
                <w:webHidden/>
              </w:rPr>
              <w:t>17</w:t>
            </w:r>
            <w:r w:rsidR="00A15EE4">
              <w:rPr>
                <w:noProof/>
                <w:webHidden/>
              </w:rPr>
              <w:fldChar w:fldCharType="end"/>
            </w:r>
          </w:hyperlink>
        </w:p>
        <w:p w14:paraId="75DF1F39" w14:textId="2784EB90" w:rsidR="00031E14" w:rsidRPr="00E81117" w:rsidRDefault="008B4D13" w:rsidP="00E17A96">
          <w:r>
            <w:rPr>
              <w:b/>
              <w:bCs/>
              <w:noProof/>
            </w:rPr>
            <w:fldChar w:fldCharType="end"/>
          </w:r>
        </w:p>
      </w:sdtContent>
    </w:sdt>
    <w:p w14:paraId="0BBDCA51" w14:textId="0E0DB15B" w:rsidR="00E210C9" w:rsidRDefault="00E210C9" w:rsidP="007340CA">
      <w:pPr>
        <w:tabs>
          <w:tab w:val="right" w:pos="9020"/>
        </w:tabs>
        <w:spacing w:after="0" w:line="240" w:lineRule="auto"/>
        <w:rPr>
          <w:rFonts w:asciiTheme="majorHAnsi" w:hAnsiTheme="majorHAnsi"/>
          <w:sz w:val="23"/>
          <w:szCs w:val="23"/>
        </w:rPr>
      </w:pPr>
      <w:r>
        <w:rPr>
          <w:rFonts w:asciiTheme="majorHAnsi" w:hAnsiTheme="majorHAnsi"/>
          <w:sz w:val="23"/>
          <w:szCs w:val="23"/>
        </w:rPr>
        <w:br w:type="page"/>
      </w:r>
      <w:r w:rsidR="007340CA">
        <w:rPr>
          <w:rFonts w:asciiTheme="majorHAnsi" w:hAnsiTheme="majorHAnsi"/>
          <w:sz w:val="23"/>
          <w:szCs w:val="23"/>
        </w:rPr>
        <w:lastRenderedPageBreak/>
        <w:tab/>
      </w:r>
    </w:p>
    <w:p w14:paraId="4726347F" w14:textId="1948CC1A" w:rsidR="001A33D1" w:rsidRPr="00E550A1" w:rsidRDefault="001A33D1" w:rsidP="00E550A1">
      <w:pPr>
        <w:pStyle w:val="Heading2"/>
      </w:pPr>
      <w:bookmarkStart w:id="2" w:name="_Toc51932333"/>
      <w:r w:rsidRPr="00197974">
        <w:t>About ISA</w:t>
      </w:r>
      <w:bookmarkEnd w:id="2"/>
    </w:p>
    <w:p w14:paraId="0C4853C0" w14:textId="2BE73C4A" w:rsidR="001A33D1" w:rsidRPr="00E550A1" w:rsidRDefault="001A33D1" w:rsidP="00E550A1">
      <w:pPr>
        <w:rPr>
          <w:rFonts w:asciiTheme="majorHAnsi" w:hAnsiTheme="majorHAnsi"/>
          <w:sz w:val="23"/>
          <w:szCs w:val="23"/>
          <w:lang w:val="en"/>
        </w:rPr>
      </w:pPr>
      <w:r w:rsidRPr="00E550A1">
        <w:rPr>
          <w:rFonts w:asciiTheme="majorHAnsi" w:hAnsiTheme="majorHAnsi"/>
          <w:sz w:val="23"/>
          <w:szCs w:val="23"/>
          <w:lang w:val="en"/>
        </w:rPr>
        <w:t>I</w:t>
      </w:r>
      <w:r w:rsidR="003152C6">
        <w:rPr>
          <w:rFonts w:asciiTheme="majorHAnsi" w:hAnsiTheme="majorHAnsi"/>
          <w:sz w:val="23"/>
          <w:szCs w:val="23"/>
          <w:lang w:val="en"/>
        </w:rPr>
        <w:t xml:space="preserve">ndependent </w:t>
      </w:r>
      <w:r w:rsidRPr="00E550A1">
        <w:rPr>
          <w:rFonts w:asciiTheme="majorHAnsi" w:hAnsiTheme="majorHAnsi"/>
          <w:sz w:val="23"/>
          <w:szCs w:val="23"/>
          <w:lang w:val="en"/>
        </w:rPr>
        <w:t>S</w:t>
      </w:r>
      <w:r w:rsidR="003152C6">
        <w:rPr>
          <w:rFonts w:asciiTheme="majorHAnsi" w:hAnsiTheme="majorHAnsi"/>
          <w:sz w:val="23"/>
          <w:szCs w:val="23"/>
          <w:lang w:val="en"/>
        </w:rPr>
        <w:t xml:space="preserve">chools </w:t>
      </w:r>
      <w:r w:rsidRPr="00E550A1">
        <w:rPr>
          <w:rFonts w:asciiTheme="majorHAnsi" w:hAnsiTheme="majorHAnsi"/>
          <w:sz w:val="23"/>
          <w:szCs w:val="23"/>
          <w:lang w:val="en"/>
        </w:rPr>
        <w:t>A</w:t>
      </w:r>
      <w:r w:rsidR="003152C6">
        <w:rPr>
          <w:rFonts w:asciiTheme="majorHAnsi" w:hAnsiTheme="majorHAnsi"/>
          <w:sz w:val="23"/>
          <w:szCs w:val="23"/>
          <w:lang w:val="en"/>
        </w:rPr>
        <w:t>ustralia</w:t>
      </w:r>
      <w:r w:rsidRPr="00E550A1">
        <w:rPr>
          <w:rFonts w:asciiTheme="majorHAnsi" w:hAnsiTheme="majorHAnsi"/>
          <w:sz w:val="23"/>
          <w:szCs w:val="23"/>
          <w:lang w:val="en"/>
        </w:rPr>
        <w:t xml:space="preserve"> </w:t>
      </w:r>
      <w:r w:rsidR="003152C6">
        <w:rPr>
          <w:rFonts w:asciiTheme="majorHAnsi" w:hAnsiTheme="majorHAnsi"/>
          <w:sz w:val="23"/>
          <w:szCs w:val="23"/>
          <w:lang w:val="en"/>
        </w:rPr>
        <w:t>(</w:t>
      </w:r>
      <w:r w:rsidRPr="00E550A1">
        <w:rPr>
          <w:rFonts w:asciiTheme="majorHAnsi" w:hAnsiTheme="majorHAnsi"/>
          <w:sz w:val="23"/>
          <w:szCs w:val="23"/>
          <w:lang w:val="en"/>
        </w:rPr>
        <w:t>ISA</w:t>
      </w:r>
      <w:r w:rsidR="003152C6">
        <w:rPr>
          <w:rFonts w:asciiTheme="majorHAnsi" w:hAnsiTheme="majorHAnsi"/>
          <w:sz w:val="23"/>
          <w:szCs w:val="23"/>
          <w:lang w:val="en"/>
        </w:rPr>
        <w:t>)</w:t>
      </w:r>
      <w:r w:rsidRPr="00E550A1">
        <w:rPr>
          <w:rFonts w:asciiTheme="majorHAnsi" w:hAnsiTheme="majorHAnsi"/>
          <w:sz w:val="23"/>
          <w:szCs w:val="23"/>
          <w:lang w:val="en"/>
        </w:rPr>
        <w:t xml:space="preserve"> is the national peak body representing the Independent school sector. It comprises the </w:t>
      </w:r>
      <w:r w:rsidRPr="00E179CB">
        <w:rPr>
          <w:rFonts w:asciiTheme="majorHAnsi" w:hAnsiTheme="majorHAnsi"/>
          <w:sz w:val="23"/>
          <w:szCs w:val="23"/>
          <w:lang w:val="en"/>
        </w:rPr>
        <w:t>eight</w:t>
      </w:r>
      <w:r w:rsidRPr="00E550A1">
        <w:rPr>
          <w:rFonts w:asciiTheme="majorHAnsi" w:hAnsiTheme="majorHAnsi"/>
          <w:sz w:val="23"/>
          <w:szCs w:val="23"/>
          <w:lang w:val="en"/>
        </w:rPr>
        <w:t xml:space="preserve"> state and territory Associations of Independent Schools (AISs). Through these Associations, ISA represents a sector with </w:t>
      </w:r>
      <w:r w:rsidR="00A07CCF">
        <w:rPr>
          <w:rFonts w:asciiTheme="majorHAnsi" w:hAnsiTheme="majorHAnsi"/>
          <w:sz w:val="23"/>
          <w:szCs w:val="23"/>
          <w:lang w:val="en"/>
        </w:rPr>
        <w:t>1,148</w:t>
      </w:r>
      <w:r w:rsidRPr="00E550A1">
        <w:rPr>
          <w:rFonts w:asciiTheme="majorHAnsi" w:hAnsiTheme="majorHAnsi"/>
          <w:sz w:val="23"/>
          <w:szCs w:val="23"/>
          <w:lang w:val="en"/>
        </w:rPr>
        <w:t xml:space="preserve"> schools and </w:t>
      </w:r>
      <w:r w:rsidR="00614E54">
        <w:rPr>
          <w:rFonts w:asciiTheme="majorHAnsi" w:hAnsiTheme="majorHAnsi"/>
          <w:sz w:val="23"/>
          <w:szCs w:val="23"/>
          <w:lang w:val="en"/>
        </w:rPr>
        <w:t>almost 632,000</w:t>
      </w:r>
      <w:r w:rsidRPr="00E550A1">
        <w:rPr>
          <w:rFonts w:asciiTheme="majorHAnsi" w:hAnsiTheme="majorHAnsi"/>
          <w:sz w:val="23"/>
          <w:szCs w:val="23"/>
          <w:lang w:val="en"/>
        </w:rPr>
        <w:t xml:space="preserve"> students, accounting for approximately </w:t>
      </w:r>
      <w:r w:rsidRPr="00E179CB">
        <w:rPr>
          <w:rFonts w:asciiTheme="majorHAnsi" w:hAnsiTheme="majorHAnsi"/>
          <w:sz w:val="23"/>
          <w:szCs w:val="23"/>
          <w:lang w:val="en"/>
        </w:rPr>
        <w:t>16</w:t>
      </w:r>
      <w:r w:rsidRPr="00E550A1">
        <w:rPr>
          <w:rFonts w:asciiTheme="majorHAnsi" w:hAnsiTheme="majorHAnsi"/>
          <w:sz w:val="23"/>
          <w:szCs w:val="23"/>
          <w:lang w:val="en"/>
        </w:rPr>
        <w:t xml:space="preserve"> per cent of Australian school enrolments. ISA’s major role is to bring the unique needs of Independent schools to the attention of the Australian Government and to represent</w:t>
      </w:r>
      <w:r w:rsidR="00E550A1">
        <w:rPr>
          <w:rFonts w:asciiTheme="majorHAnsi" w:hAnsiTheme="majorHAnsi"/>
          <w:sz w:val="23"/>
          <w:szCs w:val="23"/>
          <w:lang w:val="en"/>
        </w:rPr>
        <w:t xml:space="preserve"> the sector on national issues.</w:t>
      </w:r>
    </w:p>
    <w:p w14:paraId="16FED053" w14:textId="14BDEED4" w:rsidR="001A33D1" w:rsidRPr="00E550A1" w:rsidRDefault="001A33D1" w:rsidP="00E550A1">
      <w:pPr>
        <w:rPr>
          <w:rFonts w:asciiTheme="majorHAnsi" w:hAnsiTheme="majorHAnsi"/>
          <w:sz w:val="23"/>
          <w:szCs w:val="23"/>
          <w:lang w:val="en"/>
        </w:rPr>
      </w:pPr>
      <w:r w:rsidRPr="00E550A1">
        <w:rPr>
          <w:rFonts w:asciiTheme="majorHAnsi" w:hAnsiTheme="majorHAnsi"/>
          <w:sz w:val="23"/>
          <w:szCs w:val="23"/>
          <w:lang w:val="en"/>
        </w:rPr>
        <w:t>Independent schools are a diverse group of non-government schools serving a range of different communities.</w:t>
      </w:r>
      <w:r w:rsidR="0032366B">
        <w:rPr>
          <w:rFonts w:asciiTheme="majorHAnsi" w:hAnsiTheme="majorHAnsi"/>
          <w:sz w:val="23"/>
          <w:szCs w:val="23"/>
          <w:lang w:val="en"/>
        </w:rPr>
        <w:t xml:space="preserve"> </w:t>
      </w:r>
      <w:r w:rsidRPr="00E550A1">
        <w:rPr>
          <w:rFonts w:asciiTheme="majorHAnsi" w:hAnsiTheme="majorHAnsi"/>
          <w:sz w:val="23"/>
          <w:szCs w:val="23"/>
          <w:lang w:val="en"/>
        </w:rPr>
        <w:t>Many Independent schools provide a religious or values-based education. Others promote a particular educational philosophy or interpretation of mainstream education.</w:t>
      </w:r>
      <w:r w:rsidR="0032366B">
        <w:rPr>
          <w:rFonts w:asciiTheme="majorHAnsi" w:hAnsiTheme="majorHAnsi"/>
          <w:sz w:val="23"/>
          <w:szCs w:val="23"/>
          <w:lang w:val="en"/>
        </w:rPr>
        <w:t xml:space="preserve"> </w:t>
      </w:r>
      <w:r w:rsidRPr="00E550A1">
        <w:rPr>
          <w:rFonts w:asciiTheme="majorHAnsi" w:hAnsiTheme="majorHAnsi"/>
          <w:sz w:val="23"/>
          <w:szCs w:val="23"/>
          <w:lang w:val="en"/>
        </w:rPr>
        <w:t xml:space="preserve">Independent schools include: </w:t>
      </w:r>
    </w:p>
    <w:p w14:paraId="488ABDE5"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Schools affiliated with Christian denominations for example, Anglican, Catholic, Greek Orthodox, Lutheran, Uniting Church, Seventh Day Adventist and Presbyterian schools</w:t>
      </w:r>
    </w:p>
    <w:p w14:paraId="0DA3C772"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Non-denominational Christian schools</w:t>
      </w:r>
    </w:p>
    <w:p w14:paraId="5F271E4E"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Islamic schools</w:t>
      </w:r>
    </w:p>
    <w:p w14:paraId="7AC27185"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Jewish schools</w:t>
      </w:r>
    </w:p>
    <w:p w14:paraId="1089FDB2"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Montessori schools</w:t>
      </w:r>
    </w:p>
    <w:p w14:paraId="18D64B3E"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Rudolf Steiner schools</w:t>
      </w:r>
    </w:p>
    <w:p w14:paraId="70113820"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Schools constituted under specific Acts of Parliament, such as grammar schools in some states</w:t>
      </w:r>
    </w:p>
    <w:p w14:paraId="5FA32314"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Community schools</w:t>
      </w:r>
    </w:p>
    <w:p w14:paraId="10858F0F"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Indigenous community schools</w:t>
      </w:r>
    </w:p>
    <w:p w14:paraId="6ECDEF4A"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 xml:space="preserve">Schools that </w:t>
      </w:r>
      <w:r w:rsidRPr="00B413C5">
        <w:rPr>
          <w:rFonts w:asciiTheme="majorHAnsi" w:hAnsiTheme="majorHAnsi"/>
          <w:sz w:val="23"/>
          <w:szCs w:val="23"/>
        </w:rPr>
        <w:t>specialise</w:t>
      </w:r>
      <w:r w:rsidRPr="00E550A1">
        <w:rPr>
          <w:rFonts w:asciiTheme="majorHAnsi" w:hAnsiTheme="majorHAnsi"/>
          <w:sz w:val="23"/>
          <w:szCs w:val="23"/>
          <w:lang w:val="en"/>
        </w:rPr>
        <w:t xml:space="preserve"> in meeting the needs of students with disabilities</w:t>
      </w:r>
    </w:p>
    <w:p w14:paraId="6D61D69A" w14:textId="77777777" w:rsidR="001A33D1" w:rsidRPr="00E550A1" w:rsidRDefault="001A33D1" w:rsidP="00E550A1">
      <w:pPr>
        <w:pStyle w:val="ListParagraph"/>
        <w:numPr>
          <w:ilvl w:val="0"/>
          <w:numId w:val="15"/>
        </w:numPr>
        <w:rPr>
          <w:rFonts w:asciiTheme="majorHAnsi" w:hAnsiTheme="majorHAnsi"/>
          <w:sz w:val="23"/>
          <w:szCs w:val="23"/>
          <w:lang w:val="en"/>
        </w:rPr>
      </w:pPr>
      <w:r w:rsidRPr="00E550A1">
        <w:rPr>
          <w:rFonts w:asciiTheme="majorHAnsi" w:hAnsiTheme="majorHAnsi"/>
          <w:sz w:val="23"/>
          <w:szCs w:val="23"/>
          <w:lang w:val="en"/>
        </w:rPr>
        <w:t>Schools that cater for students at severe educational risk due to a range of social/emotional/</w:t>
      </w:r>
      <w:r w:rsidRPr="00B413C5">
        <w:rPr>
          <w:rFonts w:asciiTheme="majorHAnsi" w:hAnsiTheme="majorHAnsi"/>
          <w:sz w:val="23"/>
          <w:szCs w:val="23"/>
        </w:rPr>
        <w:t>behavioural</w:t>
      </w:r>
      <w:r w:rsidRPr="00E550A1">
        <w:rPr>
          <w:rFonts w:asciiTheme="majorHAnsi" w:hAnsiTheme="majorHAnsi"/>
          <w:sz w:val="23"/>
          <w:szCs w:val="23"/>
          <w:lang w:val="en"/>
        </w:rPr>
        <w:t xml:space="preserve"> and other risk factors.</w:t>
      </w:r>
    </w:p>
    <w:p w14:paraId="04E1D313" w14:textId="7C6E2AE5" w:rsidR="001A33D1" w:rsidRPr="00387D51" w:rsidRDefault="001A33D1" w:rsidP="00E550A1">
      <w:pPr>
        <w:rPr>
          <w:rFonts w:asciiTheme="majorHAnsi" w:hAnsiTheme="majorHAnsi"/>
          <w:sz w:val="23"/>
          <w:szCs w:val="23"/>
        </w:rPr>
      </w:pPr>
      <w:r w:rsidRPr="00E550A1">
        <w:rPr>
          <w:rFonts w:asciiTheme="majorHAnsi" w:hAnsiTheme="majorHAnsi"/>
          <w:sz w:val="23"/>
          <w:szCs w:val="23"/>
          <w:lang w:val="en"/>
        </w:rPr>
        <w:t xml:space="preserve">Many Independent schools have been established by community groups seeking to meet particular needs. Examples include the Independent community schools for Indigenous students in remote areas, </w:t>
      </w:r>
      <w:r w:rsidR="00E65F88">
        <w:rPr>
          <w:rFonts w:asciiTheme="majorHAnsi" w:hAnsiTheme="majorHAnsi"/>
          <w:sz w:val="23"/>
          <w:szCs w:val="23"/>
          <w:lang w:val="en"/>
        </w:rPr>
        <w:t>S</w:t>
      </w:r>
      <w:r w:rsidRPr="00E550A1">
        <w:rPr>
          <w:rFonts w:asciiTheme="majorHAnsi" w:hAnsiTheme="majorHAnsi"/>
          <w:sz w:val="23"/>
          <w:szCs w:val="23"/>
          <w:lang w:val="en"/>
        </w:rPr>
        <w:t>pecial school</w:t>
      </w:r>
      <w:r w:rsidR="00CF3A22" w:rsidRPr="00E550A1">
        <w:rPr>
          <w:rFonts w:asciiTheme="majorHAnsi" w:hAnsiTheme="majorHAnsi"/>
          <w:sz w:val="23"/>
          <w:szCs w:val="23"/>
          <w:lang w:val="en"/>
        </w:rPr>
        <w:t>s for students with disability</w:t>
      </w:r>
      <w:r w:rsidRPr="00E550A1">
        <w:rPr>
          <w:rFonts w:asciiTheme="majorHAnsi" w:hAnsiTheme="majorHAnsi"/>
          <w:sz w:val="23"/>
          <w:szCs w:val="23"/>
          <w:lang w:val="en"/>
        </w:rPr>
        <w:t xml:space="preserve"> and boarding schools to educate children from </w:t>
      </w:r>
      <w:r w:rsidR="00571A9C">
        <w:rPr>
          <w:rFonts w:asciiTheme="majorHAnsi" w:hAnsiTheme="majorHAnsi"/>
          <w:sz w:val="23"/>
          <w:szCs w:val="23"/>
          <w:lang w:val="en"/>
        </w:rPr>
        <w:t xml:space="preserve">regional </w:t>
      </w:r>
      <w:r w:rsidRPr="00E550A1">
        <w:rPr>
          <w:rFonts w:asciiTheme="majorHAnsi" w:hAnsiTheme="majorHAnsi"/>
          <w:sz w:val="23"/>
          <w:szCs w:val="23"/>
          <w:lang w:val="en"/>
        </w:rPr>
        <w:t>and remote areas.</w:t>
      </w:r>
      <w:r w:rsidR="0032366B">
        <w:rPr>
          <w:rFonts w:asciiTheme="majorHAnsi" w:hAnsiTheme="majorHAnsi"/>
          <w:sz w:val="23"/>
          <w:szCs w:val="23"/>
          <w:lang w:val="en"/>
        </w:rPr>
        <w:t xml:space="preserve"> </w:t>
      </w:r>
      <w:r w:rsidRPr="00E550A1">
        <w:rPr>
          <w:rFonts w:asciiTheme="majorHAnsi" w:hAnsiTheme="majorHAnsi"/>
          <w:sz w:val="23"/>
          <w:szCs w:val="23"/>
          <w:lang w:val="en"/>
        </w:rPr>
        <w:t xml:space="preserve">There are also schools that seek to reflect the religious values of a particular community or that seek to </w:t>
      </w:r>
      <w:r w:rsidRPr="00387D51">
        <w:rPr>
          <w:rFonts w:asciiTheme="majorHAnsi" w:hAnsiTheme="majorHAnsi"/>
          <w:sz w:val="23"/>
          <w:szCs w:val="23"/>
        </w:rPr>
        <w:t>practise</w:t>
      </w:r>
      <w:r w:rsidRPr="00E550A1">
        <w:rPr>
          <w:rFonts w:asciiTheme="majorHAnsi" w:hAnsiTheme="majorHAnsi"/>
          <w:sz w:val="23"/>
          <w:szCs w:val="23"/>
          <w:lang w:val="en"/>
        </w:rPr>
        <w:t xml:space="preserve"> an internationally </w:t>
      </w:r>
      <w:r w:rsidRPr="005727A9">
        <w:rPr>
          <w:rFonts w:asciiTheme="majorHAnsi" w:hAnsiTheme="majorHAnsi"/>
          <w:sz w:val="23"/>
          <w:szCs w:val="23"/>
        </w:rPr>
        <w:t>recognised</w:t>
      </w:r>
      <w:r w:rsidRPr="00E550A1">
        <w:rPr>
          <w:rFonts w:asciiTheme="majorHAnsi" w:hAnsiTheme="majorHAnsi"/>
          <w:sz w:val="23"/>
          <w:szCs w:val="23"/>
          <w:lang w:val="en"/>
        </w:rPr>
        <w:t xml:space="preserve"> educational philosophy such as Rudolf Steiner or Montessori schools.</w:t>
      </w:r>
      <w:r w:rsidR="0032366B">
        <w:rPr>
          <w:rFonts w:asciiTheme="majorHAnsi" w:hAnsiTheme="majorHAnsi"/>
          <w:sz w:val="23"/>
          <w:szCs w:val="23"/>
          <w:lang w:val="en"/>
        </w:rPr>
        <w:t xml:space="preserve"> </w:t>
      </w:r>
      <w:r w:rsidRPr="00E550A1">
        <w:rPr>
          <w:rFonts w:asciiTheme="majorHAnsi" w:hAnsiTheme="majorHAnsi"/>
          <w:sz w:val="23"/>
          <w:szCs w:val="23"/>
          <w:lang w:val="en"/>
        </w:rPr>
        <w:t xml:space="preserve">Independent Catholic schools are a significant part of the sector, accounting for </w:t>
      </w:r>
      <w:bookmarkStart w:id="3" w:name="_Hlk30080580"/>
      <w:r w:rsidRPr="00E179CB">
        <w:rPr>
          <w:rFonts w:asciiTheme="majorHAnsi" w:hAnsiTheme="majorHAnsi"/>
          <w:sz w:val="23"/>
          <w:szCs w:val="23"/>
          <w:lang w:val="en"/>
        </w:rPr>
        <w:t>e</w:t>
      </w:r>
      <w:bookmarkEnd w:id="3"/>
      <w:r w:rsidRPr="00E179CB">
        <w:rPr>
          <w:rFonts w:asciiTheme="majorHAnsi" w:hAnsiTheme="majorHAnsi"/>
          <w:sz w:val="23"/>
          <w:szCs w:val="23"/>
          <w:lang w:val="en"/>
        </w:rPr>
        <w:t>ight</w:t>
      </w:r>
      <w:r w:rsidRPr="00E550A1">
        <w:rPr>
          <w:rFonts w:asciiTheme="majorHAnsi" w:hAnsiTheme="majorHAnsi"/>
          <w:sz w:val="23"/>
          <w:szCs w:val="23"/>
          <w:lang w:val="en"/>
        </w:rPr>
        <w:t xml:space="preserve"> per cent of the I</w:t>
      </w:r>
      <w:r w:rsidR="00E550A1">
        <w:rPr>
          <w:rFonts w:asciiTheme="majorHAnsi" w:hAnsiTheme="majorHAnsi"/>
          <w:sz w:val="23"/>
          <w:szCs w:val="23"/>
          <w:lang w:val="en"/>
        </w:rPr>
        <w:t>ndependent sector’s enrolments.</w:t>
      </w:r>
    </w:p>
    <w:p w14:paraId="5C6EF81B" w14:textId="6594DA31" w:rsidR="001A33D1" w:rsidRPr="00E550A1" w:rsidRDefault="001A33D1" w:rsidP="00E550A1">
      <w:pPr>
        <w:rPr>
          <w:rFonts w:asciiTheme="majorHAnsi" w:hAnsiTheme="majorHAnsi"/>
          <w:sz w:val="23"/>
          <w:szCs w:val="23"/>
          <w:lang w:val="en"/>
        </w:rPr>
      </w:pPr>
      <w:r w:rsidRPr="00E550A1">
        <w:rPr>
          <w:rFonts w:asciiTheme="majorHAnsi" w:hAnsiTheme="majorHAnsi"/>
          <w:sz w:val="23"/>
          <w:szCs w:val="23"/>
          <w:lang w:val="en"/>
        </w:rPr>
        <w:t>Most Independent schools are set up and governed independently on an individual school basis.</w:t>
      </w:r>
      <w:r w:rsidR="0032366B">
        <w:rPr>
          <w:rFonts w:asciiTheme="majorHAnsi" w:hAnsiTheme="majorHAnsi"/>
          <w:sz w:val="23"/>
          <w:szCs w:val="23"/>
          <w:lang w:val="en"/>
        </w:rPr>
        <w:t xml:space="preserve"> </w:t>
      </w:r>
      <w:r w:rsidRPr="00E550A1">
        <w:rPr>
          <w:rFonts w:asciiTheme="majorHAnsi" w:hAnsiTheme="majorHAnsi"/>
          <w:sz w:val="23"/>
          <w:szCs w:val="23"/>
          <w:lang w:val="en"/>
        </w:rPr>
        <w:t xml:space="preserve">However, some Independent schools with common aims and educational philosophies are governed and administered as systems, for example </w:t>
      </w:r>
      <w:r w:rsidR="00C35F6B">
        <w:rPr>
          <w:rFonts w:asciiTheme="majorHAnsi" w:hAnsiTheme="majorHAnsi"/>
          <w:sz w:val="23"/>
          <w:szCs w:val="23"/>
          <w:lang w:val="en"/>
        </w:rPr>
        <w:t xml:space="preserve">the </w:t>
      </w:r>
      <w:r w:rsidRPr="00E550A1">
        <w:rPr>
          <w:rFonts w:asciiTheme="majorHAnsi" w:hAnsiTheme="majorHAnsi"/>
          <w:sz w:val="23"/>
          <w:szCs w:val="23"/>
          <w:lang w:val="en"/>
        </w:rPr>
        <w:t>Lutheran systems.</w:t>
      </w:r>
      <w:r w:rsidR="0032366B">
        <w:rPr>
          <w:rFonts w:asciiTheme="majorHAnsi" w:hAnsiTheme="majorHAnsi"/>
          <w:sz w:val="23"/>
          <w:szCs w:val="23"/>
          <w:lang w:val="en"/>
        </w:rPr>
        <w:t xml:space="preserve"> </w:t>
      </w:r>
      <w:r w:rsidRPr="00E550A1">
        <w:rPr>
          <w:rFonts w:asciiTheme="majorHAnsi" w:hAnsiTheme="majorHAnsi"/>
          <w:sz w:val="23"/>
          <w:szCs w:val="23"/>
          <w:lang w:val="en"/>
        </w:rPr>
        <w:t xml:space="preserve">Systemic schools account for </w:t>
      </w:r>
      <w:r w:rsidRPr="00E179CB">
        <w:rPr>
          <w:rFonts w:asciiTheme="majorHAnsi" w:hAnsiTheme="majorHAnsi"/>
          <w:sz w:val="23"/>
          <w:szCs w:val="23"/>
          <w:lang w:val="en"/>
        </w:rPr>
        <w:t>18</w:t>
      </w:r>
      <w:r w:rsidRPr="00E550A1">
        <w:rPr>
          <w:rFonts w:asciiTheme="majorHAnsi" w:hAnsiTheme="majorHAnsi"/>
          <w:sz w:val="23"/>
          <w:szCs w:val="23"/>
          <w:lang w:val="en"/>
        </w:rPr>
        <w:t xml:space="preserve"> per cent of schools in the Independent sector.</w:t>
      </w:r>
      <w:r w:rsidR="0032366B">
        <w:rPr>
          <w:rFonts w:asciiTheme="majorHAnsi" w:hAnsiTheme="majorHAnsi"/>
          <w:sz w:val="23"/>
          <w:szCs w:val="23"/>
          <w:lang w:val="en"/>
        </w:rPr>
        <w:t xml:space="preserve"> </w:t>
      </w:r>
      <w:r w:rsidRPr="00E179CB">
        <w:rPr>
          <w:rFonts w:asciiTheme="majorHAnsi" w:hAnsiTheme="majorHAnsi"/>
          <w:sz w:val="23"/>
          <w:szCs w:val="23"/>
          <w:lang w:val="en"/>
        </w:rPr>
        <w:t>Four</w:t>
      </w:r>
      <w:r w:rsidRPr="00E550A1">
        <w:rPr>
          <w:rFonts w:asciiTheme="majorHAnsi" w:hAnsiTheme="majorHAnsi"/>
          <w:sz w:val="23"/>
          <w:szCs w:val="23"/>
          <w:lang w:val="en"/>
        </w:rPr>
        <w:t xml:space="preserve"> out of five schools in the sector are autonomous non-systemic school</w:t>
      </w:r>
      <w:r w:rsidR="004E687F">
        <w:rPr>
          <w:rFonts w:asciiTheme="majorHAnsi" w:hAnsiTheme="majorHAnsi"/>
          <w:sz w:val="23"/>
          <w:szCs w:val="23"/>
          <w:lang w:val="en"/>
        </w:rPr>
        <w:t>s.</w:t>
      </w:r>
    </w:p>
    <w:p w14:paraId="3261B2FD" w14:textId="0CCA589B" w:rsidR="007340CA" w:rsidRPr="007340CA" w:rsidRDefault="007340CA" w:rsidP="00A06DAB">
      <w:pPr>
        <w:pStyle w:val="Heading2"/>
      </w:pPr>
      <w:bookmarkStart w:id="4" w:name="_Toc51932334"/>
      <w:r>
        <w:lastRenderedPageBreak/>
        <w:t>Introduction</w:t>
      </w:r>
      <w:bookmarkEnd w:id="4"/>
    </w:p>
    <w:p w14:paraId="0B073B9A" w14:textId="59DEB15D" w:rsidR="00C30352" w:rsidRDefault="000E5E99" w:rsidP="00E92E3A">
      <w:pPr>
        <w:rPr>
          <w:rFonts w:asciiTheme="majorHAnsi" w:hAnsiTheme="majorHAnsi"/>
          <w:sz w:val="23"/>
          <w:szCs w:val="23"/>
        </w:rPr>
      </w:pPr>
      <w:r>
        <w:rPr>
          <w:rFonts w:asciiTheme="majorHAnsi" w:hAnsiTheme="majorHAnsi"/>
          <w:sz w:val="23"/>
          <w:szCs w:val="23"/>
        </w:rPr>
        <w:t xml:space="preserve">Independent Schools Australia (ISA) welcomes the opportunity to provide a submission </w:t>
      </w:r>
      <w:r w:rsidR="00E14396">
        <w:rPr>
          <w:rFonts w:asciiTheme="majorHAnsi" w:hAnsiTheme="majorHAnsi"/>
          <w:sz w:val="23"/>
          <w:szCs w:val="23"/>
        </w:rPr>
        <w:t xml:space="preserve">to </w:t>
      </w:r>
      <w:r w:rsidR="00E14396" w:rsidRPr="00513CA8">
        <w:rPr>
          <w:rFonts w:asciiTheme="majorHAnsi" w:hAnsiTheme="majorHAnsi"/>
          <w:sz w:val="23"/>
          <w:szCs w:val="23"/>
        </w:rPr>
        <w:t xml:space="preserve">the </w:t>
      </w:r>
      <w:r w:rsidR="00461E8A" w:rsidRPr="00513CA8">
        <w:rPr>
          <w:rFonts w:asciiTheme="majorHAnsi" w:hAnsiTheme="majorHAnsi"/>
          <w:sz w:val="23"/>
          <w:szCs w:val="23"/>
        </w:rPr>
        <w:t xml:space="preserve">2020 Review of the </w:t>
      </w:r>
      <w:r w:rsidR="00461E8A" w:rsidRPr="005B4394">
        <w:rPr>
          <w:rFonts w:asciiTheme="majorHAnsi" w:hAnsiTheme="majorHAnsi"/>
          <w:i/>
          <w:sz w:val="23"/>
          <w:szCs w:val="23"/>
        </w:rPr>
        <w:t>Disability Standards for Education 2005</w:t>
      </w:r>
      <w:r w:rsidR="0014072F">
        <w:rPr>
          <w:rFonts w:asciiTheme="majorHAnsi" w:hAnsiTheme="majorHAnsi"/>
          <w:sz w:val="23"/>
          <w:szCs w:val="23"/>
        </w:rPr>
        <w:t>.</w:t>
      </w:r>
    </w:p>
    <w:p w14:paraId="567FDB5C" w14:textId="43C9E7CC" w:rsidR="009636B9" w:rsidRDefault="009636B9" w:rsidP="009636B9">
      <w:pPr>
        <w:rPr>
          <w:rFonts w:asciiTheme="majorHAnsi" w:hAnsiTheme="majorHAnsi"/>
          <w:sz w:val="23"/>
          <w:szCs w:val="23"/>
          <w:lang w:val="en-GB"/>
        </w:rPr>
      </w:pPr>
      <w:r w:rsidRPr="00B65942">
        <w:rPr>
          <w:rFonts w:asciiTheme="majorHAnsi" w:hAnsiTheme="majorHAnsi"/>
          <w:sz w:val="23"/>
          <w:szCs w:val="23"/>
          <w:lang w:val="en-GB"/>
        </w:rPr>
        <w:t>Independent schools serve a broad range of students</w:t>
      </w:r>
      <w:r w:rsidR="0083395D">
        <w:rPr>
          <w:rFonts w:asciiTheme="majorHAnsi" w:hAnsiTheme="majorHAnsi"/>
          <w:sz w:val="23"/>
          <w:szCs w:val="23"/>
          <w:lang w:val="en-GB"/>
        </w:rPr>
        <w:t xml:space="preserve"> and communities</w:t>
      </w:r>
      <w:r w:rsidRPr="00B65942">
        <w:rPr>
          <w:rFonts w:asciiTheme="majorHAnsi" w:hAnsiTheme="majorHAnsi"/>
          <w:sz w:val="23"/>
          <w:szCs w:val="23"/>
          <w:lang w:val="en-GB"/>
        </w:rPr>
        <w:t>, reflecting the diversity of Australian society</w:t>
      </w:r>
      <w:r>
        <w:rPr>
          <w:rFonts w:asciiTheme="majorHAnsi" w:hAnsiTheme="majorHAnsi"/>
          <w:sz w:val="23"/>
          <w:szCs w:val="23"/>
          <w:lang w:val="en-GB"/>
        </w:rPr>
        <w:t>,</w:t>
      </w:r>
      <w:r w:rsidRPr="00B65942">
        <w:rPr>
          <w:rFonts w:asciiTheme="majorHAnsi" w:hAnsiTheme="majorHAnsi"/>
          <w:sz w:val="23"/>
          <w:szCs w:val="23"/>
          <w:lang w:val="en-GB"/>
        </w:rPr>
        <w:t xml:space="preserve"> and have a long-standing commitment to supporting quality education for </w:t>
      </w:r>
      <w:r w:rsidR="008438F3">
        <w:rPr>
          <w:rFonts w:asciiTheme="majorHAnsi" w:hAnsiTheme="majorHAnsi"/>
          <w:sz w:val="23"/>
          <w:szCs w:val="23"/>
          <w:lang w:val="en-GB"/>
        </w:rPr>
        <w:t xml:space="preserve">all </w:t>
      </w:r>
      <w:r w:rsidRPr="00B65942">
        <w:rPr>
          <w:rFonts w:asciiTheme="majorHAnsi" w:hAnsiTheme="majorHAnsi"/>
          <w:sz w:val="23"/>
          <w:szCs w:val="23"/>
          <w:lang w:val="en-GB"/>
        </w:rPr>
        <w:t>students across Australia</w:t>
      </w:r>
      <w:r w:rsidR="006B1D63">
        <w:rPr>
          <w:rFonts w:asciiTheme="majorHAnsi" w:hAnsiTheme="majorHAnsi"/>
          <w:sz w:val="23"/>
          <w:szCs w:val="23"/>
          <w:lang w:val="en-GB"/>
        </w:rPr>
        <w:t xml:space="preserve">, including </w:t>
      </w:r>
      <w:r w:rsidR="008438F3">
        <w:rPr>
          <w:rFonts w:asciiTheme="majorHAnsi" w:hAnsiTheme="majorHAnsi"/>
          <w:sz w:val="23"/>
          <w:szCs w:val="23"/>
          <w:lang w:val="en-GB"/>
        </w:rPr>
        <w:t>students with disability</w:t>
      </w:r>
      <w:r w:rsidRPr="00B65942">
        <w:rPr>
          <w:rFonts w:asciiTheme="majorHAnsi" w:hAnsiTheme="majorHAnsi"/>
          <w:sz w:val="23"/>
          <w:szCs w:val="23"/>
          <w:lang w:val="en-GB"/>
        </w:rPr>
        <w:t>.</w:t>
      </w:r>
    </w:p>
    <w:p w14:paraId="0E9CCE62" w14:textId="77777777" w:rsidR="001474E1" w:rsidRPr="00E92E3A" w:rsidRDefault="00D738B4" w:rsidP="00D738B4">
      <w:pPr>
        <w:rPr>
          <w:rFonts w:asciiTheme="majorHAnsi" w:hAnsiTheme="majorHAnsi"/>
          <w:sz w:val="23"/>
          <w:szCs w:val="23"/>
        </w:rPr>
      </w:pPr>
      <w:r w:rsidRPr="00E92E3A">
        <w:rPr>
          <w:rFonts w:asciiTheme="majorHAnsi" w:hAnsiTheme="majorHAnsi"/>
          <w:sz w:val="23"/>
          <w:szCs w:val="23"/>
        </w:rPr>
        <w:t xml:space="preserve">The autonomy of Independent schools enables them to respond flexibly, </w:t>
      </w:r>
      <w:r w:rsidR="00AD7734" w:rsidRPr="00E92E3A">
        <w:rPr>
          <w:rFonts w:asciiTheme="majorHAnsi" w:hAnsiTheme="majorHAnsi"/>
          <w:sz w:val="23"/>
          <w:szCs w:val="23"/>
        </w:rPr>
        <w:t>effectively,</w:t>
      </w:r>
      <w:r w:rsidRPr="00E92E3A">
        <w:rPr>
          <w:rFonts w:asciiTheme="majorHAnsi" w:hAnsiTheme="majorHAnsi"/>
          <w:sz w:val="23"/>
          <w:szCs w:val="23"/>
        </w:rPr>
        <w:t xml:space="preserve"> and creatively as professional educational organisations to meet the needs of their school community and to </w:t>
      </w:r>
      <w:r w:rsidR="003E6066">
        <w:rPr>
          <w:rFonts w:asciiTheme="majorHAnsi" w:hAnsiTheme="majorHAnsi"/>
          <w:sz w:val="23"/>
          <w:szCs w:val="23"/>
        </w:rPr>
        <w:t xml:space="preserve">continuously </w:t>
      </w:r>
      <w:r w:rsidRPr="00E92E3A">
        <w:rPr>
          <w:rFonts w:asciiTheme="majorHAnsi" w:hAnsiTheme="majorHAnsi"/>
          <w:sz w:val="23"/>
          <w:szCs w:val="23"/>
        </w:rPr>
        <w:t>develop, innovate and improve to enhance outcomes for students.</w:t>
      </w:r>
    </w:p>
    <w:p w14:paraId="33CE4BB6" w14:textId="13B55ECF" w:rsidR="00F87E2E" w:rsidRPr="00F87E2E" w:rsidRDefault="00F87E2E" w:rsidP="009636B9">
      <w:pPr>
        <w:rPr>
          <w:rFonts w:asciiTheme="majorHAnsi" w:hAnsiTheme="majorHAnsi"/>
          <w:sz w:val="23"/>
          <w:szCs w:val="23"/>
        </w:rPr>
      </w:pPr>
      <w:r w:rsidRPr="00F87E2E">
        <w:rPr>
          <w:rFonts w:asciiTheme="majorHAnsi" w:hAnsiTheme="majorHAnsi"/>
          <w:sz w:val="23"/>
          <w:szCs w:val="23"/>
        </w:rPr>
        <w:t>There has been significant, sustained growth in enrolments of students with disability in Independent schools and Special schools over the past twenty-five years. The rate of growth of students with disability enrolling in Independent schools has been four times that of the sector’s overall enrolment growth.</w:t>
      </w:r>
    </w:p>
    <w:p w14:paraId="02C7D17E" w14:textId="1BC96AC3" w:rsidR="00A43311" w:rsidRPr="00513CA8" w:rsidRDefault="00A43311" w:rsidP="00A43311">
      <w:pPr>
        <w:rPr>
          <w:rFonts w:asciiTheme="majorHAnsi" w:hAnsiTheme="majorHAnsi"/>
          <w:sz w:val="23"/>
          <w:szCs w:val="23"/>
          <w:lang w:val="en"/>
        </w:rPr>
      </w:pPr>
      <w:r w:rsidRPr="00513CA8">
        <w:rPr>
          <w:rFonts w:asciiTheme="majorHAnsi" w:hAnsiTheme="majorHAnsi"/>
          <w:sz w:val="23"/>
          <w:szCs w:val="23"/>
        </w:rPr>
        <w:t xml:space="preserve">ISA previously made submissions to both the 2010 and 2015 Reviews of the Standards. </w:t>
      </w:r>
      <w:r w:rsidR="0014072F">
        <w:rPr>
          <w:rFonts w:asciiTheme="majorHAnsi" w:hAnsiTheme="majorHAnsi"/>
          <w:sz w:val="23"/>
          <w:szCs w:val="23"/>
        </w:rPr>
        <w:t>S</w:t>
      </w:r>
      <w:r w:rsidRPr="00513CA8">
        <w:rPr>
          <w:rFonts w:asciiTheme="majorHAnsi" w:hAnsiTheme="majorHAnsi"/>
          <w:sz w:val="23"/>
          <w:szCs w:val="23"/>
        </w:rPr>
        <w:t xml:space="preserve">ome of the Independent sector’s concerns and issues raised during these previous Reviews </w:t>
      </w:r>
      <w:r w:rsidR="0014072F">
        <w:rPr>
          <w:rFonts w:asciiTheme="majorHAnsi" w:hAnsiTheme="majorHAnsi"/>
          <w:sz w:val="23"/>
          <w:szCs w:val="23"/>
        </w:rPr>
        <w:t>will again be raised in this submission</w:t>
      </w:r>
      <w:r w:rsidR="00181C42" w:rsidRPr="00513CA8">
        <w:rPr>
          <w:rFonts w:asciiTheme="majorHAnsi" w:hAnsiTheme="majorHAnsi"/>
          <w:sz w:val="23"/>
          <w:szCs w:val="23"/>
        </w:rPr>
        <w:t>.</w:t>
      </w:r>
    </w:p>
    <w:p w14:paraId="6F9A6EF4" w14:textId="2BB3E6DD" w:rsidR="00D07B9B" w:rsidRPr="00513CA8" w:rsidRDefault="00D07B9B" w:rsidP="00D07B9B">
      <w:pPr>
        <w:rPr>
          <w:rFonts w:asciiTheme="majorHAnsi" w:hAnsiTheme="majorHAnsi"/>
          <w:sz w:val="23"/>
          <w:szCs w:val="23"/>
          <w:lang w:val="en"/>
        </w:rPr>
      </w:pPr>
      <w:r w:rsidRPr="00513CA8">
        <w:rPr>
          <w:rFonts w:asciiTheme="majorHAnsi" w:hAnsiTheme="majorHAnsi"/>
          <w:sz w:val="23"/>
          <w:szCs w:val="23"/>
          <w:lang w:val="en"/>
        </w:rPr>
        <w:t xml:space="preserve">This submission will provide a background to the nature of the Independent school sector, with a particular focus on </w:t>
      </w:r>
      <w:r w:rsidRPr="00513CA8">
        <w:rPr>
          <w:rFonts w:asciiTheme="majorHAnsi" w:hAnsiTheme="majorHAnsi"/>
          <w:sz w:val="23"/>
          <w:szCs w:val="23"/>
          <w:lang w:val="en-GB"/>
        </w:rPr>
        <w:t xml:space="preserve">the provision of educational services by Independent schools for </w:t>
      </w:r>
      <w:r w:rsidR="00B06D4A">
        <w:rPr>
          <w:rFonts w:asciiTheme="majorHAnsi" w:hAnsiTheme="majorHAnsi"/>
          <w:sz w:val="23"/>
          <w:szCs w:val="23"/>
          <w:lang w:val="en-GB"/>
        </w:rPr>
        <w:t>s</w:t>
      </w:r>
      <w:r w:rsidRPr="00513CA8">
        <w:rPr>
          <w:rFonts w:asciiTheme="majorHAnsi" w:hAnsiTheme="majorHAnsi"/>
          <w:sz w:val="23"/>
          <w:szCs w:val="23"/>
          <w:lang w:val="en-GB"/>
        </w:rPr>
        <w:t xml:space="preserve">tudents with </w:t>
      </w:r>
      <w:r w:rsidR="00B06D4A">
        <w:rPr>
          <w:rFonts w:asciiTheme="majorHAnsi" w:hAnsiTheme="majorHAnsi"/>
          <w:sz w:val="23"/>
          <w:szCs w:val="23"/>
          <w:lang w:val="en-GB"/>
        </w:rPr>
        <w:t>d</w:t>
      </w:r>
      <w:r w:rsidRPr="00513CA8">
        <w:rPr>
          <w:rFonts w:asciiTheme="majorHAnsi" w:hAnsiTheme="majorHAnsi"/>
          <w:sz w:val="23"/>
          <w:szCs w:val="23"/>
          <w:lang w:val="en-GB"/>
        </w:rPr>
        <w:t>isability, either in mainstream schools or through special education provision</w:t>
      </w:r>
      <w:r w:rsidR="00875FE1" w:rsidRPr="00513CA8">
        <w:rPr>
          <w:rFonts w:asciiTheme="majorHAnsi" w:hAnsiTheme="majorHAnsi"/>
          <w:sz w:val="23"/>
          <w:szCs w:val="23"/>
          <w:lang w:val="en-GB"/>
        </w:rPr>
        <w:t xml:space="preserve">, </w:t>
      </w:r>
      <w:r w:rsidRPr="00513CA8">
        <w:rPr>
          <w:rFonts w:asciiTheme="majorHAnsi" w:hAnsiTheme="majorHAnsi"/>
          <w:sz w:val="23"/>
          <w:szCs w:val="23"/>
          <w:lang w:val="en"/>
        </w:rPr>
        <w:t>and address a range of issues</w:t>
      </w:r>
      <w:r w:rsidR="0014072F">
        <w:rPr>
          <w:rFonts w:asciiTheme="majorHAnsi" w:hAnsiTheme="majorHAnsi"/>
          <w:sz w:val="23"/>
          <w:szCs w:val="23"/>
          <w:lang w:val="en"/>
        </w:rPr>
        <w:t xml:space="preserve"> highlighted in</w:t>
      </w:r>
      <w:r w:rsidRPr="00513CA8">
        <w:rPr>
          <w:rFonts w:asciiTheme="majorHAnsi" w:hAnsiTheme="majorHAnsi"/>
          <w:sz w:val="23"/>
          <w:szCs w:val="23"/>
          <w:lang w:val="en"/>
        </w:rPr>
        <w:t xml:space="preserve"> the </w:t>
      </w:r>
      <w:r w:rsidR="00875FE1" w:rsidRPr="00513CA8">
        <w:rPr>
          <w:rFonts w:asciiTheme="majorHAnsi" w:hAnsiTheme="majorHAnsi"/>
          <w:sz w:val="23"/>
          <w:szCs w:val="23"/>
          <w:lang w:val="en"/>
        </w:rPr>
        <w:t>Review</w:t>
      </w:r>
      <w:r w:rsidRPr="00513CA8">
        <w:rPr>
          <w:rFonts w:asciiTheme="majorHAnsi" w:hAnsiTheme="majorHAnsi"/>
          <w:sz w:val="23"/>
          <w:szCs w:val="23"/>
          <w:lang w:val="en"/>
        </w:rPr>
        <w:t xml:space="preserve">’s </w:t>
      </w:r>
      <w:r w:rsidR="00875FE1" w:rsidRPr="00513CA8">
        <w:rPr>
          <w:rFonts w:asciiTheme="majorHAnsi" w:hAnsiTheme="majorHAnsi"/>
          <w:sz w:val="23"/>
          <w:szCs w:val="23"/>
          <w:lang w:val="en"/>
        </w:rPr>
        <w:t>Discussion Paper</w:t>
      </w:r>
      <w:r w:rsidRPr="00513CA8">
        <w:rPr>
          <w:rFonts w:asciiTheme="majorHAnsi" w:hAnsiTheme="majorHAnsi"/>
          <w:sz w:val="23"/>
          <w:szCs w:val="23"/>
          <w:lang w:val="en"/>
        </w:rPr>
        <w:t>.</w:t>
      </w:r>
    </w:p>
    <w:p w14:paraId="10B14C5E" w14:textId="77777777" w:rsidR="0081602A" w:rsidRDefault="009D64D8" w:rsidP="006873E6">
      <w:pPr>
        <w:pStyle w:val="Heading2"/>
      </w:pPr>
      <w:bookmarkStart w:id="5" w:name="_Toc51932335"/>
      <w:bookmarkStart w:id="6" w:name="_Hlk489005687"/>
      <w:r>
        <w:t>Background</w:t>
      </w:r>
      <w:r w:rsidR="00C30352">
        <w:t xml:space="preserve"> Information about the Independent Sector</w:t>
      </w:r>
      <w:bookmarkEnd w:id="5"/>
    </w:p>
    <w:p w14:paraId="7CCB7295" w14:textId="77777777" w:rsidR="00E92E3A" w:rsidRPr="006873E6" w:rsidRDefault="00FF7EFB" w:rsidP="000E5805">
      <w:pPr>
        <w:pStyle w:val="Heading3"/>
      </w:pPr>
      <w:bookmarkStart w:id="7" w:name="_Toc51932336"/>
      <w:bookmarkEnd w:id="6"/>
      <w:r w:rsidRPr="006873E6">
        <w:t>The Role of State and Territory Associations of Independent Schools</w:t>
      </w:r>
      <w:bookmarkEnd w:id="7"/>
    </w:p>
    <w:p w14:paraId="3F93F5B5" w14:textId="77777777" w:rsidR="00457E97" w:rsidRDefault="00FF7EFB" w:rsidP="00E92E3A">
      <w:pPr>
        <w:rPr>
          <w:rFonts w:asciiTheme="majorHAnsi" w:hAnsiTheme="majorHAnsi"/>
          <w:sz w:val="23"/>
          <w:szCs w:val="23"/>
        </w:rPr>
      </w:pPr>
      <w:r>
        <w:rPr>
          <w:rFonts w:asciiTheme="majorHAnsi" w:hAnsiTheme="majorHAnsi"/>
          <w:sz w:val="23"/>
          <w:szCs w:val="23"/>
        </w:rPr>
        <w:t xml:space="preserve">Independent schools in each state and territory are directly represented and supported by the Association of Independent Schools </w:t>
      </w:r>
      <w:r w:rsidRPr="00E92E3A">
        <w:rPr>
          <w:rFonts w:asciiTheme="majorHAnsi" w:hAnsiTheme="majorHAnsi"/>
          <w:sz w:val="23"/>
          <w:szCs w:val="23"/>
        </w:rPr>
        <w:t xml:space="preserve">(AIS) </w:t>
      </w:r>
      <w:r>
        <w:rPr>
          <w:rFonts w:asciiTheme="majorHAnsi" w:hAnsiTheme="majorHAnsi"/>
          <w:sz w:val="23"/>
          <w:szCs w:val="23"/>
        </w:rPr>
        <w:t xml:space="preserve">in their jurisdiction. </w:t>
      </w:r>
    </w:p>
    <w:p w14:paraId="23F7C66D" w14:textId="219DE3D7" w:rsidR="00E92E3A" w:rsidRPr="00E92E3A" w:rsidRDefault="00457E97" w:rsidP="00E92E3A">
      <w:pPr>
        <w:rPr>
          <w:rFonts w:asciiTheme="majorHAnsi" w:hAnsiTheme="majorHAnsi"/>
          <w:sz w:val="23"/>
          <w:szCs w:val="23"/>
        </w:rPr>
      </w:pPr>
      <w:r>
        <w:rPr>
          <w:rFonts w:asciiTheme="majorHAnsi" w:hAnsiTheme="majorHAnsi"/>
          <w:sz w:val="23"/>
          <w:szCs w:val="23"/>
        </w:rPr>
        <w:t xml:space="preserve">Neither ISA nor the eight state and territory AISs are “education providers” as defined by the </w:t>
      </w:r>
      <w:r w:rsidR="009542A7" w:rsidRPr="005B4394">
        <w:rPr>
          <w:rFonts w:asciiTheme="majorHAnsi" w:hAnsiTheme="majorHAnsi"/>
          <w:i/>
          <w:sz w:val="23"/>
          <w:szCs w:val="23"/>
        </w:rPr>
        <w:t xml:space="preserve">Disability Standards </w:t>
      </w:r>
      <w:r w:rsidR="0014072F" w:rsidRPr="005B4394">
        <w:rPr>
          <w:rFonts w:asciiTheme="majorHAnsi" w:hAnsiTheme="majorHAnsi"/>
          <w:i/>
          <w:sz w:val="23"/>
          <w:szCs w:val="23"/>
        </w:rPr>
        <w:t xml:space="preserve">for </w:t>
      </w:r>
      <w:r w:rsidR="009542A7" w:rsidRPr="005B4394">
        <w:rPr>
          <w:rFonts w:asciiTheme="majorHAnsi" w:hAnsiTheme="majorHAnsi"/>
          <w:i/>
          <w:sz w:val="23"/>
          <w:szCs w:val="23"/>
        </w:rPr>
        <w:t>Education 2005</w:t>
      </w:r>
      <w:r w:rsidR="0014072F">
        <w:rPr>
          <w:rFonts w:asciiTheme="majorHAnsi" w:hAnsiTheme="majorHAnsi"/>
          <w:sz w:val="23"/>
          <w:szCs w:val="23"/>
        </w:rPr>
        <w:t xml:space="preserve"> </w:t>
      </w:r>
      <w:r w:rsidR="0014072F" w:rsidRPr="0014072F">
        <w:rPr>
          <w:rFonts w:asciiTheme="majorHAnsi" w:hAnsiTheme="majorHAnsi"/>
          <w:sz w:val="23"/>
          <w:szCs w:val="23"/>
        </w:rPr>
        <w:t>(the Standards)</w:t>
      </w:r>
      <w:r>
        <w:rPr>
          <w:rFonts w:asciiTheme="majorHAnsi" w:hAnsiTheme="majorHAnsi"/>
          <w:sz w:val="23"/>
          <w:szCs w:val="23"/>
        </w:rPr>
        <w:t xml:space="preserve">. </w:t>
      </w:r>
      <w:r w:rsidR="00E92E3A" w:rsidRPr="00E92E3A">
        <w:rPr>
          <w:rFonts w:asciiTheme="majorHAnsi" w:hAnsiTheme="majorHAnsi"/>
          <w:sz w:val="23"/>
          <w:szCs w:val="23"/>
        </w:rPr>
        <w:t>While almost all Independent schoo</w:t>
      </w:r>
      <w:r w:rsidR="00E92E3A">
        <w:rPr>
          <w:rFonts w:asciiTheme="majorHAnsi" w:hAnsiTheme="majorHAnsi"/>
          <w:sz w:val="23"/>
          <w:szCs w:val="23"/>
        </w:rPr>
        <w:t xml:space="preserve">ls choose to </w:t>
      </w:r>
      <w:r w:rsidR="00E92E3A" w:rsidRPr="00E92E3A">
        <w:rPr>
          <w:rFonts w:asciiTheme="majorHAnsi" w:hAnsiTheme="majorHAnsi"/>
          <w:sz w:val="23"/>
          <w:szCs w:val="23"/>
        </w:rPr>
        <w:t>become members of their State or Territory Association of Indepe</w:t>
      </w:r>
      <w:r w:rsidR="00FA4B07">
        <w:rPr>
          <w:rFonts w:asciiTheme="majorHAnsi" w:hAnsiTheme="majorHAnsi"/>
          <w:sz w:val="23"/>
          <w:szCs w:val="23"/>
        </w:rPr>
        <w:t>ndent Schools</w:t>
      </w:r>
      <w:r w:rsidR="00E92E3A" w:rsidRPr="00E92E3A">
        <w:rPr>
          <w:rFonts w:asciiTheme="majorHAnsi" w:hAnsiTheme="majorHAnsi"/>
          <w:sz w:val="23"/>
          <w:szCs w:val="23"/>
        </w:rPr>
        <w:t>, the AIS does not act as a ‘</w:t>
      </w:r>
      <w:r w:rsidR="00CB0D6E">
        <w:rPr>
          <w:rFonts w:asciiTheme="majorHAnsi" w:hAnsiTheme="majorHAnsi"/>
          <w:sz w:val="23"/>
          <w:szCs w:val="23"/>
        </w:rPr>
        <w:t>system authority’ for member schools</w:t>
      </w:r>
      <w:r w:rsidR="00E92E3A" w:rsidRPr="00E92E3A">
        <w:rPr>
          <w:rFonts w:asciiTheme="majorHAnsi" w:hAnsiTheme="majorHAnsi"/>
          <w:sz w:val="23"/>
          <w:szCs w:val="23"/>
        </w:rPr>
        <w:t>.</w:t>
      </w:r>
    </w:p>
    <w:p w14:paraId="738406A8" w14:textId="02939337" w:rsidR="00E92E3A" w:rsidRPr="00E92E3A" w:rsidRDefault="00E92E3A" w:rsidP="00E92E3A">
      <w:pPr>
        <w:rPr>
          <w:rFonts w:asciiTheme="majorHAnsi" w:hAnsiTheme="majorHAnsi"/>
          <w:sz w:val="23"/>
          <w:szCs w:val="23"/>
        </w:rPr>
      </w:pPr>
      <w:r w:rsidRPr="00E92E3A">
        <w:rPr>
          <w:rFonts w:asciiTheme="majorHAnsi" w:hAnsiTheme="majorHAnsi"/>
          <w:sz w:val="23"/>
          <w:szCs w:val="23"/>
        </w:rPr>
        <w:t xml:space="preserve">AISs provide a range of professional services directly to schools, as well as providing educational support such as learning opportunities, </w:t>
      </w:r>
      <w:r w:rsidR="00AD7734" w:rsidRPr="00E92E3A">
        <w:rPr>
          <w:rFonts w:asciiTheme="majorHAnsi" w:hAnsiTheme="majorHAnsi"/>
          <w:sz w:val="23"/>
          <w:szCs w:val="23"/>
        </w:rPr>
        <w:t>advice,</w:t>
      </w:r>
      <w:r w:rsidRPr="00E92E3A">
        <w:rPr>
          <w:rFonts w:asciiTheme="majorHAnsi" w:hAnsiTheme="majorHAnsi"/>
          <w:sz w:val="23"/>
          <w:szCs w:val="23"/>
        </w:rPr>
        <w:t xml:space="preserve"> and information. Many AISs also offer industrial relations ser</w:t>
      </w:r>
      <w:r w:rsidR="00B40DDD">
        <w:rPr>
          <w:rFonts w:asciiTheme="majorHAnsi" w:hAnsiTheme="majorHAnsi"/>
          <w:sz w:val="23"/>
          <w:szCs w:val="23"/>
        </w:rPr>
        <w:t xml:space="preserve">vices, </w:t>
      </w:r>
      <w:r w:rsidR="00CB0D6E">
        <w:rPr>
          <w:rFonts w:asciiTheme="majorHAnsi" w:hAnsiTheme="majorHAnsi"/>
          <w:sz w:val="23"/>
          <w:szCs w:val="23"/>
        </w:rPr>
        <w:t>policy and compliance support, professional learning services</w:t>
      </w:r>
      <w:r w:rsidRPr="00E92E3A">
        <w:rPr>
          <w:rFonts w:asciiTheme="majorHAnsi" w:hAnsiTheme="majorHAnsi"/>
          <w:sz w:val="23"/>
          <w:szCs w:val="23"/>
        </w:rPr>
        <w:t>, and implement government programs, for example the Australian Government Capital Grants Program. In addition, AISs represent the views of the Independent school sector at the state and territory level.</w:t>
      </w:r>
    </w:p>
    <w:p w14:paraId="776A02C3" w14:textId="377E56F8" w:rsidR="00457E97" w:rsidRPr="00E92E3A" w:rsidRDefault="000F4BD2" w:rsidP="00E92E3A">
      <w:pPr>
        <w:rPr>
          <w:rFonts w:asciiTheme="majorHAnsi" w:hAnsiTheme="majorHAnsi"/>
          <w:sz w:val="23"/>
          <w:szCs w:val="23"/>
        </w:rPr>
      </w:pPr>
      <w:r w:rsidRPr="00E7324B">
        <w:rPr>
          <w:rFonts w:asciiTheme="majorHAnsi" w:hAnsiTheme="majorHAnsi"/>
          <w:sz w:val="23"/>
          <w:szCs w:val="23"/>
        </w:rPr>
        <w:lastRenderedPageBreak/>
        <w:t>As the Independent sector is not a system, and therefore does not develop systemic policies or programs, the introduction of the Standards</w:t>
      </w:r>
      <w:r w:rsidR="00200290" w:rsidRPr="00E7324B">
        <w:rPr>
          <w:rFonts w:asciiTheme="majorHAnsi" w:hAnsiTheme="majorHAnsi"/>
          <w:sz w:val="23"/>
          <w:szCs w:val="23"/>
        </w:rPr>
        <w:t xml:space="preserve"> in 2005</w:t>
      </w:r>
      <w:r w:rsidR="00612EFF" w:rsidRPr="00E7324B">
        <w:rPr>
          <w:rFonts w:asciiTheme="majorHAnsi" w:hAnsiTheme="majorHAnsi"/>
          <w:sz w:val="23"/>
          <w:szCs w:val="23"/>
        </w:rPr>
        <w:t xml:space="preserve"> was significant in </w:t>
      </w:r>
      <w:r w:rsidR="003F3DF5" w:rsidRPr="00E7324B">
        <w:rPr>
          <w:rFonts w:asciiTheme="majorHAnsi" w:hAnsiTheme="majorHAnsi"/>
          <w:sz w:val="23"/>
          <w:szCs w:val="23"/>
        </w:rPr>
        <w:t>outlining the</w:t>
      </w:r>
      <w:r w:rsidR="008A173D" w:rsidRPr="00E7324B">
        <w:rPr>
          <w:rFonts w:asciiTheme="majorHAnsi" w:hAnsiTheme="majorHAnsi"/>
          <w:sz w:val="23"/>
          <w:szCs w:val="23"/>
        </w:rPr>
        <w:t xml:space="preserve"> rights and </w:t>
      </w:r>
      <w:r w:rsidR="00E7324B" w:rsidRPr="00E7324B">
        <w:rPr>
          <w:rFonts w:asciiTheme="majorHAnsi" w:hAnsiTheme="majorHAnsi"/>
          <w:sz w:val="23"/>
          <w:szCs w:val="23"/>
        </w:rPr>
        <w:t xml:space="preserve">responsibilities </w:t>
      </w:r>
      <w:r w:rsidR="00344737">
        <w:rPr>
          <w:rFonts w:asciiTheme="majorHAnsi" w:hAnsiTheme="majorHAnsi"/>
          <w:sz w:val="23"/>
          <w:szCs w:val="23"/>
        </w:rPr>
        <w:t xml:space="preserve">of students, their families, and schools in relation to </w:t>
      </w:r>
      <w:r w:rsidR="00E7324B" w:rsidRPr="00E7324B">
        <w:rPr>
          <w:rFonts w:asciiTheme="majorHAnsi" w:hAnsiTheme="majorHAnsi"/>
          <w:sz w:val="23"/>
          <w:szCs w:val="23"/>
        </w:rPr>
        <w:t>equal access and opportunit</w:t>
      </w:r>
      <w:r w:rsidR="00344737">
        <w:rPr>
          <w:rFonts w:asciiTheme="majorHAnsi" w:hAnsiTheme="majorHAnsi"/>
          <w:sz w:val="23"/>
          <w:szCs w:val="23"/>
        </w:rPr>
        <w:t>ies</w:t>
      </w:r>
      <w:r w:rsidR="00E7324B" w:rsidRPr="00E7324B">
        <w:rPr>
          <w:rFonts w:asciiTheme="majorHAnsi" w:hAnsiTheme="majorHAnsi"/>
          <w:sz w:val="23"/>
          <w:szCs w:val="23"/>
        </w:rPr>
        <w:t xml:space="preserve"> for people with a disability </w:t>
      </w:r>
      <w:r w:rsidR="008A173D" w:rsidRPr="00E7324B">
        <w:rPr>
          <w:rFonts w:asciiTheme="majorHAnsi" w:hAnsiTheme="majorHAnsi"/>
          <w:sz w:val="23"/>
          <w:szCs w:val="23"/>
        </w:rPr>
        <w:t xml:space="preserve">under the </w:t>
      </w:r>
      <w:r w:rsidR="008A173D" w:rsidRPr="005B4394">
        <w:rPr>
          <w:rFonts w:asciiTheme="majorHAnsi" w:hAnsiTheme="majorHAnsi"/>
          <w:i/>
          <w:sz w:val="23"/>
          <w:szCs w:val="23"/>
        </w:rPr>
        <w:t>Disability Discrimination Act 1992</w:t>
      </w:r>
      <w:r w:rsidR="008A173D" w:rsidRPr="00E7324B">
        <w:rPr>
          <w:rFonts w:asciiTheme="majorHAnsi" w:hAnsiTheme="majorHAnsi"/>
          <w:sz w:val="23"/>
          <w:szCs w:val="23"/>
        </w:rPr>
        <w:t>.</w:t>
      </w:r>
      <w:r w:rsidR="00F60AC7" w:rsidRPr="00E7324B">
        <w:rPr>
          <w:rFonts w:asciiTheme="majorHAnsi" w:hAnsiTheme="majorHAnsi"/>
          <w:sz w:val="23"/>
          <w:szCs w:val="23"/>
        </w:rPr>
        <w:t xml:space="preserve">The Standards provide a much needed </w:t>
      </w:r>
      <w:r w:rsidR="003E6066" w:rsidRPr="00E7324B">
        <w:rPr>
          <w:rFonts w:asciiTheme="majorHAnsi" w:hAnsiTheme="majorHAnsi"/>
          <w:sz w:val="23"/>
          <w:szCs w:val="23"/>
        </w:rPr>
        <w:t xml:space="preserve">framework </w:t>
      </w:r>
      <w:r w:rsidR="00F60AC7" w:rsidRPr="00E7324B">
        <w:rPr>
          <w:rFonts w:asciiTheme="majorHAnsi" w:hAnsiTheme="majorHAnsi"/>
          <w:sz w:val="23"/>
          <w:szCs w:val="23"/>
        </w:rPr>
        <w:t>and consistent language to enable schools to be compliant with the legislation</w:t>
      </w:r>
      <w:r w:rsidR="0014072F" w:rsidRPr="00E7324B">
        <w:rPr>
          <w:rFonts w:asciiTheme="majorHAnsi" w:hAnsiTheme="majorHAnsi"/>
          <w:sz w:val="23"/>
          <w:szCs w:val="23"/>
        </w:rPr>
        <w:t>,</w:t>
      </w:r>
      <w:r w:rsidR="00840309" w:rsidRPr="00E7324B">
        <w:rPr>
          <w:rFonts w:asciiTheme="majorHAnsi" w:hAnsiTheme="majorHAnsi"/>
          <w:sz w:val="23"/>
          <w:szCs w:val="23"/>
        </w:rPr>
        <w:t xml:space="preserve"> and for state and territory AISs to support schools in </w:t>
      </w:r>
      <w:r w:rsidR="00EC69AF" w:rsidRPr="00E7324B">
        <w:rPr>
          <w:rFonts w:asciiTheme="majorHAnsi" w:hAnsiTheme="majorHAnsi"/>
          <w:sz w:val="23"/>
          <w:szCs w:val="23"/>
        </w:rPr>
        <w:t>understanding their rights and obligations</w:t>
      </w:r>
      <w:r w:rsidR="00235E91" w:rsidRPr="00E7324B">
        <w:rPr>
          <w:rFonts w:asciiTheme="majorHAnsi" w:hAnsiTheme="majorHAnsi"/>
          <w:sz w:val="23"/>
          <w:szCs w:val="23"/>
        </w:rPr>
        <w:t xml:space="preserve"> in order to ensure</w:t>
      </w:r>
      <w:r w:rsidR="00AC2A94">
        <w:rPr>
          <w:rFonts w:asciiTheme="majorHAnsi" w:hAnsiTheme="majorHAnsi"/>
          <w:sz w:val="23"/>
          <w:szCs w:val="23"/>
        </w:rPr>
        <w:t xml:space="preserve"> that </w:t>
      </w:r>
      <w:r w:rsidR="00B06D4A">
        <w:rPr>
          <w:rFonts w:asciiTheme="majorHAnsi" w:hAnsiTheme="majorHAnsi"/>
          <w:sz w:val="23"/>
          <w:szCs w:val="23"/>
        </w:rPr>
        <w:t>s</w:t>
      </w:r>
      <w:r w:rsidR="00AC2A94">
        <w:rPr>
          <w:rFonts w:asciiTheme="majorHAnsi" w:hAnsiTheme="majorHAnsi"/>
          <w:sz w:val="23"/>
          <w:szCs w:val="23"/>
        </w:rPr>
        <w:t xml:space="preserve">tudents with </w:t>
      </w:r>
      <w:r w:rsidR="00B06D4A">
        <w:rPr>
          <w:rFonts w:asciiTheme="majorHAnsi" w:hAnsiTheme="majorHAnsi"/>
          <w:sz w:val="23"/>
          <w:szCs w:val="23"/>
        </w:rPr>
        <w:t>d</w:t>
      </w:r>
      <w:r w:rsidR="00AC2A94">
        <w:rPr>
          <w:rFonts w:asciiTheme="majorHAnsi" w:hAnsiTheme="majorHAnsi"/>
          <w:sz w:val="23"/>
          <w:szCs w:val="23"/>
        </w:rPr>
        <w:t xml:space="preserve">isability </w:t>
      </w:r>
      <w:r w:rsidR="00C92E41">
        <w:rPr>
          <w:rFonts w:asciiTheme="majorHAnsi" w:hAnsiTheme="majorHAnsi"/>
          <w:sz w:val="23"/>
          <w:szCs w:val="23"/>
        </w:rPr>
        <w:t>are able to</w:t>
      </w:r>
      <w:r w:rsidR="00AC2A94">
        <w:rPr>
          <w:rFonts w:asciiTheme="majorHAnsi" w:hAnsiTheme="majorHAnsi"/>
          <w:sz w:val="23"/>
          <w:szCs w:val="23"/>
        </w:rPr>
        <w:t xml:space="preserve"> access and participate in education on the same basis as students with</w:t>
      </w:r>
      <w:r w:rsidR="0014072F">
        <w:rPr>
          <w:rFonts w:asciiTheme="majorHAnsi" w:hAnsiTheme="majorHAnsi"/>
          <w:sz w:val="23"/>
          <w:szCs w:val="23"/>
        </w:rPr>
        <w:t>out</w:t>
      </w:r>
      <w:r w:rsidR="00AC2A94">
        <w:rPr>
          <w:rFonts w:asciiTheme="majorHAnsi" w:hAnsiTheme="majorHAnsi"/>
          <w:sz w:val="23"/>
          <w:szCs w:val="23"/>
        </w:rPr>
        <w:t xml:space="preserve"> disability</w:t>
      </w:r>
      <w:r w:rsidR="00AA5D1D">
        <w:rPr>
          <w:rFonts w:asciiTheme="majorHAnsi" w:hAnsiTheme="majorHAnsi"/>
          <w:sz w:val="23"/>
          <w:szCs w:val="23"/>
        </w:rPr>
        <w:t>.</w:t>
      </w:r>
    </w:p>
    <w:p w14:paraId="6777D0E3" w14:textId="77777777" w:rsidR="00E92E3A" w:rsidRPr="006873E6" w:rsidRDefault="00746A65" w:rsidP="000E5805">
      <w:pPr>
        <w:pStyle w:val="Heading3"/>
      </w:pPr>
      <w:bookmarkStart w:id="8" w:name="_Toc51932337"/>
      <w:bookmarkStart w:id="9" w:name="_Hlk31283674"/>
      <w:r w:rsidRPr="006873E6">
        <w:t>Types of Independent school</w:t>
      </w:r>
      <w:bookmarkEnd w:id="8"/>
    </w:p>
    <w:bookmarkEnd w:id="9"/>
    <w:p w14:paraId="7A957ABD" w14:textId="42CC4EB8" w:rsidR="00E92E3A" w:rsidRPr="00C06C08" w:rsidRDefault="00E92E3A" w:rsidP="00E92E3A">
      <w:pPr>
        <w:rPr>
          <w:rFonts w:asciiTheme="majorHAnsi" w:hAnsiTheme="majorHAnsi"/>
          <w:sz w:val="23"/>
          <w:szCs w:val="23"/>
        </w:rPr>
      </w:pPr>
      <w:r w:rsidRPr="00E92E3A">
        <w:rPr>
          <w:rFonts w:asciiTheme="majorHAnsi" w:hAnsiTheme="majorHAnsi"/>
          <w:sz w:val="23"/>
          <w:szCs w:val="23"/>
        </w:rPr>
        <w:t xml:space="preserve">There is a common perception, encouraged by media portrayal, that Independent schools are large, urban schools which only cater to high income families. In fact, </w:t>
      </w:r>
      <w:r w:rsidRPr="00E179CB">
        <w:rPr>
          <w:rFonts w:asciiTheme="majorHAnsi" w:hAnsiTheme="majorHAnsi"/>
          <w:sz w:val="23"/>
          <w:szCs w:val="23"/>
        </w:rPr>
        <w:t>ninety</w:t>
      </w:r>
      <w:r w:rsidRPr="00E92E3A">
        <w:rPr>
          <w:rFonts w:asciiTheme="majorHAnsi" w:hAnsiTheme="majorHAnsi"/>
          <w:sz w:val="23"/>
          <w:szCs w:val="23"/>
        </w:rPr>
        <w:t xml:space="preserve"> percent of Independent schools are low to medium fee </w:t>
      </w:r>
      <w:r w:rsidR="007340CA">
        <w:rPr>
          <w:rFonts w:asciiTheme="majorHAnsi" w:hAnsiTheme="majorHAnsi"/>
          <w:sz w:val="23"/>
          <w:szCs w:val="23"/>
        </w:rPr>
        <w:t>schools</w:t>
      </w:r>
      <w:r w:rsidR="00CB0D6E">
        <w:rPr>
          <w:rFonts w:asciiTheme="majorHAnsi" w:hAnsiTheme="majorHAnsi"/>
          <w:sz w:val="23"/>
          <w:szCs w:val="23"/>
        </w:rPr>
        <w:t xml:space="preserve"> which</w:t>
      </w:r>
      <w:r w:rsidRPr="00E92E3A">
        <w:rPr>
          <w:rFonts w:asciiTheme="majorHAnsi" w:hAnsiTheme="majorHAnsi"/>
          <w:sz w:val="23"/>
          <w:szCs w:val="23"/>
        </w:rPr>
        <w:t xml:space="preserve"> cater to the full spectrum of </w:t>
      </w:r>
      <w:r w:rsidRPr="00C06C08">
        <w:rPr>
          <w:rFonts w:asciiTheme="majorHAnsi" w:hAnsiTheme="majorHAnsi"/>
          <w:sz w:val="23"/>
          <w:szCs w:val="23"/>
        </w:rPr>
        <w:t>Australian society.</w:t>
      </w:r>
    </w:p>
    <w:p w14:paraId="54BF459A" w14:textId="05F3B9F6" w:rsidR="00C06C08" w:rsidRPr="00C06C08" w:rsidRDefault="00C06C08" w:rsidP="00C06C08">
      <w:pPr>
        <w:rPr>
          <w:rFonts w:asciiTheme="majorHAnsi" w:hAnsiTheme="majorHAnsi"/>
          <w:sz w:val="23"/>
          <w:szCs w:val="23"/>
        </w:rPr>
      </w:pPr>
      <w:r w:rsidRPr="00C06C08">
        <w:rPr>
          <w:rFonts w:asciiTheme="majorHAnsi" w:hAnsiTheme="majorHAnsi"/>
          <w:sz w:val="23"/>
          <w:szCs w:val="23"/>
        </w:rPr>
        <w:t xml:space="preserve">Independent schools also cater to specific groups of disadvantaged students including: high needs students with disability attending </w:t>
      </w:r>
      <w:r w:rsidR="00E65F88">
        <w:rPr>
          <w:rFonts w:asciiTheme="majorHAnsi" w:hAnsiTheme="majorHAnsi"/>
          <w:sz w:val="23"/>
          <w:szCs w:val="23"/>
        </w:rPr>
        <w:t>S</w:t>
      </w:r>
      <w:r w:rsidRPr="00C06C08">
        <w:rPr>
          <w:rFonts w:asciiTheme="majorHAnsi" w:hAnsiTheme="majorHAnsi"/>
          <w:sz w:val="23"/>
          <w:szCs w:val="23"/>
        </w:rPr>
        <w:t>pecial schools, Aboriginal and Torres Strait Islander</w:t>
      </w:r>
      <w:r w:rsidRPr="00C06C08">
        <w:rPr>
          <w:rFonts w:asciiTheme="majorHAnsi" w:hAnsiTheme="majorHAnsi"/>
          <w:sz w:val="23"/>
          <w:szCs w:val="23"/>
          <w:vertAlign w:val="superscript"/>
        </w:rPr>
        <w:footnoteReference w:customMarkFollows="1" w:id="2"/>
        <w:sym w:font="Symbol" w:char="F02A"/>
      </w:r>
      <w:r w:rsidRPr="00C06C08">
        <w:rPr>
          <w:rFonts w:asciiTheme="majorHAnsi" w:hAnsiTheme="majorHAnsi"/>
          <w:sz w:val="23"/>
          <w:szCs w:val="23"/>
        </w:rPr>
        <w:t xml:space="preserve"> students attending remote 100 per cent Indigenous schools in Queensland, Western Australia and the Northern Territory; and highly disadvantaged youth who have been excluded from both government and non-government schools and who are now attending Independent special assistance schools.</w:t>
      </w:r>
    </w:p>
    <w:p w14:paraId="49717E7B" w14:textId="5DC3F672" w:rsidR="00995840" w:rsidRDefault="00995840" w:rsidP="00E92E3A">
      <w:pPr>
        <w:rPr>
          <w:rFonts w:asciiTheme="majorHAnsi" w:hAnsiTheme="majorHAnsi"/>
          <w:sz w:val="23"/>
          <w:szCs w:val="23"/>
        </w:rPr>
      </w:pPr>
      <w:r w:rsidRPr="00995840">
        <w:rPr>
          <w:rFonts w:asciiTheme="majorHAnsi" w:hAnsiTheme="majorHAnsi"/>
          <w:sz w:val="23"/>
          <w:szCs w:val="23"/>
        </w:rPr>
        <w:t xml:space="preserve">This diversity has long been considered a major strength of the Australian schooling system, serving well the needs of a geographically dispersed, socially mixed, </w:t>
      </w:r>
      <w:r w:rsidR="00AD7734" w:rsidRPr="00995840">
        <w:rPr>
          <w:rFonts w:asciiTheme="majorHAnsi" w:hAnsiTheme="majorHAnsi"/>
          <w:sz w:val="23"/>
          <w:szCs w:val="23"/>
        </w:rPr>
        <w:t>multicultural,</w:t>
      </w:r>
      <w:r w:rsidRPr="00995840">
        <w:rPr>
          <w:rFonts w:asciiTheme="majorHAnsi" w:hAnsiTheme="majorHAnsi"/>
          <w:sz w:val="23"/>
          <w:szCs w:val="23"/>
        </w:rPr>
        <w:t xml:space="preserve"> and multi-faith population</w:t>
      </w:r>
      <w:r w:rsidR="00D56EB5">
        <w:rPr>
          <w:rFonts w:asciiTheme="majorHAnsi" w:hAnsiTheme="majorHAnsi"/>
          <w:sz w:val="23"/>
          <w:szCs w:val="23"/>
        </w:rPr>
        <w:t xml:space="preserve"> with a variety of learning needs</w:t>
      </w:r>
      <w:r w:rsidR="00A57FA4">
        <w:rPr>
          <w:rFonts w:asciiTheme="majorHAnsi" w:hAnsiTheme="majorHAnsi"/>
          <w:sz w:val="23"/>
          <w:szCs w:val="23"/>
        </w:rPr>
        <w:t xml:space="preserve"> and adjustment</w:t>
      </w:r>
      <w:r w:rsidR="001B52E5">
        <w:rPr>
          <w:rFonts w:asciiTheme="majorHAnsi" w:hAnsiTheme="majorHAnsi"/>
          <w:sz w:val="23"/>
          <w:szCs w:val="23"/>
        </w:rPr>
        <w:t>s</w:t>
      </w:r>
      <w:r w:rsidRPr="00995840">
        <w:rPr>
          <w:rFonts w:asciiTheme="majorHAnsi" w:hAnsiTheme="majorHAnsi"/>
          <w:sz w:val="23"/>
          <w:szCs w:val="23"/>
        </w:rPr>
        <w:t>.</w:t>
      </w:r>
    </w:p>
    <w:p w14:paraId="1F540558" w14:textId="10B92B7A" w:rsidR="00C1368A" w:rsidRPr="00E92E3A" w:rsidRDefault="00540780" w:rsidP="00E92E3A">
      <w:pPr>
        <w:rPr>
          <w:rFonts w:asciiTheme="majorHAnsi" w:hAnsiTheme="majorHAnsi"/>
          <w:sz w:val="23"/>
          <w:szCs w:val="23"/>
        </w:rPr>
      </w:pPr>
      <w:r>
        <w:rPr>
          <w:rFonts w:asciiTheme="majorHAnsi" w:hAnsiTheme="majorHAnsi"/>
          <w:sz w:val="23"/>
          <w:szCs w:val="23"/>
        </w:rPr>
        <w:t xml:space="preserve">Families and communities are the </w:t>
      </w:r>
      <w:r w:rsidR="00A83125">
        <w:rPr>
          <w:rFonts w:asciiTheme="majorHAnsi" w:hAnsiTheme="majorHAnsi"/>
          <w:sz w:val="23"/>
          <w:szCs w:val="23"/>
        </w:rPr>
        <w:t xml:space="preserve">foundation </w:t>
      </w:r>
      <w:r>
        <w:rPr>
          <w:rFonts w:asciiTheme="majorHAnsi" w:hAnsiTheme="majorHAnsi"/>
          <w:sz w:val="23"/>
          <w:szCs w:val="23"/>
        </w:rPr>
        <w:t xml:space="preserve">of all Independent schools and their </w:t>
      </w:r>
      <w:r w:rsidR="007340CA">
        <w:rPr>
          <w:rFonts w:asciiTheme="majorHAnsi" w:hAnsiTheme="majorHAnsi"/>
          <w:sz w:val="23"/>
          <w:szCs w:val="23"/>
        </w:rPr>
        <w:t>broader</w:t>
      </w:r>
      <w:r>
        <w:rPr>
          <w:rFonts w:asciiTheme="majorHAnsi" w:hAnsiTheme="majorHAnsi"/>
          <w:sz w:val="23"/>
          <w:szCs w:val="23"/>
        </w:rPr>
        <w:t xml:space="preserve"> communities </w:t>
      </w:r>
      <w:r w:rsidR="004A19C6">
        <w:rPr>
          <w:rFonts w:asciiTheme="majorHAnsi" w:hAnsiTheme="majorHAnsi"/>
          <w:sz w:val="23"/>
          <w:szCs w:val="23"/>
        </w:rPr>
        <w:t>whatever their situation</w:t>
      </w:r>
      <w:r w:rsidR="003E6066">
        <w:rPr>
          <w:rFonts w:asciiTheme="majorHAnsi" w:hAnsiTheme="majorHAnsi"/>
          <w:sz w:val="23"/>
          <w:szCs w:val="23"/>
        </w:rPr>
        <w:t>,</w:t>
      </w:r>
      <w:r>
        <w:rPr>
          <w:rFonts w:asciiTheme="majorHAnsi" w:hAnsiTheme="majorHAnsi"/>
          <w:sz w:val="23"/>
          <w:szCs w:val="23"/>
        </w:rPr>
        <w:t xml:space="preserve"> but especially so for Independent schools which </w:t>
      </w:r>
      <w:r w:rsidR="001E11C4">
        <w:rPr>
          <w:rFonts w:asciiTheme="majorHAnsi" w:hAnsiTheme="majorHAnsi"/>
          <w:sz w:val="23"/>
          <w:szCs w:val="23"/>
        </w:rPr>
        <w:t xml:space="preserve">meet the needs of </w:t>
      </w:r>
      <w:r w:rsidR="00B06D4A">
        <w:rPr>
          <w:rFonts w:asciiTheme="majorHAnsi" w:hAnsiTheme="majorHAnsi"/>
          <w:sz w:val="23"/>
          <w:szCs w:val="23"/>
        </w:rPr>
        <w:t>s</w:t>
      </w:r>
      <w:r w:rsidR="001E11C4">
        <w:rPr>
          <w:rFonts w:asciiTheme="majorHAnsi" w:hAnsiTheme="majorHAnsi"/>
          <w:sz w:val="23"/>
          <w:szCs w:val="23"/>
        </w:rPr>
        <w:t xml:space="preserve">tudents with </w:t>
      </w:r>
      <w:r w:rsidR="00B06D4A">
        <w:rPr>
          <w:rFonts w:asciiTheme="majorHAnsi" w:hAnsiTheme="majorHAnsi"/>
          <w:sz w:val="23"/>
          <w:szCs w:val="23"/>
        </w:rPr>
        <w:t>d</w:t>
      </w:r>
      <w:r w:rsidR="001E11C4">
        <w:rPr>
          <w:rFonts w:asciiTheme="majorHAnsi" w:hAnsiTheme="majorHAnsi"/>
          <w:sz w:val="23"/>
          <w:szCs w:val="23"/>
        </w:rPr>
        <w:t>isability</w:t>
      </w:r>
      <w:r w:rsidR="00995840" w:rsidRPr="00995840">
        <w:rPr>
          <w:rFonts w:asciiTheme="majorHAnsi" w:hAnsiTheme="majorHAnsi"/>
          <w:sz w:val="23"/>
          <w:szCs w:val="23"/>
        </w:rPr>
        <w:t>.</w:t>
      </w:r>
      <w:r w:rsidR="00842023">
        <w:rPr>
          <w:rFonts w:asciiTheme="majorHAnsi" w:hAnsiTheme="majorHAnsi"/>
          <w:sz w:val="23"/>
          <w:szCs w:val="23"/>
        </w:rPr>
        <w:t xml:space="preserve"> </w:t>
      </w:r>
      <w:r w:rsidR="00B95E2F">
        <w:rPr>
          <w:rFonts w:asciiTheme="majorHAnsi" w:hAnsiTheme="majorHAnsi"/>
          <w:sz w:val="23"/>
          <w:szCs w:val="23"/>
        </w:rPr>
        <w:t>It is the partnerships which are developed between the school, parents, students, families, and the wider community that enable Independent schools to create learning environments in w</w:t>
      </w:r>
      <w:r w:rsidR="00CB0D6E">
        <w:rPr>
          <w:rFonts w:asciiTheme="majorHAnsi" w:hAnsiTheme="majorHAnsi"/>
          <w:sz w:val="23"/>
          <w:szCs w:val="23"/>
        </w:rPr>
        <w:t>hich education can happen in innovative</w:t>
      </w:r>
      <w:r w:rsidR="00B95E2F">
        <w:rPr>
          <w:rFonts w:asciiTheme="majorHAnsi" w:hAnsiTheme="majorHAnsi"/>
          <w:sz w:val="23"/>
          <w:szCs w:val="23"/>
        </w:rPr>
        <w:t xml:space="preserve"> and diverse ways in order to meet the needs of the school community.</w:t>
      </w:r>
    </w:p>
    <w:p w14:paraId="7F34920A" w14:textId="6FCEF431" w:rsidR="00A86B4E" w:rsidRDefault="00A86B4E" w:rsidP="00A86B4E">
      <w:pPr>
        <w:rPr>
          <w:rFonts w:asciiTheme="majorHAnsi" w:hAnsiTheme="majorHAnsi"/>
          <w:sz w:val="23"/>
          <w:szCs w:val="23"/>
        </w:rPr>
      </w:pPr>
      <w:r>
        <w:rPr>
          <w:rFonts w:asciiTheme="majorHAnsi" w:hAnsiTheme="majorHAnsi"/>
          <w:sz w:val="23"/>
          <w:szCs w:val="23"/>
        </w:rPr>
        <w:t xml:space="preserve">While the Australian Government is the main provider of public funding to Independent schools, it should be </w:t>
      </w:r>
      <w:r w:rsidR="00971B94">
        <w:rPr>
          <w:rFonts w:asciiTheme="majorHAnsi" w:hAnsiTheme="majorHAnsi"/>
          <w:sz w:val="23"/>
          <w:szCs w:val="23"/>
        </w:rPr>
        <w:t>recognised</w:t>
      </w:r>
      <w:r w:rsidR="007340CA">
        <w:rPr>
          <w:rFonts w:asciiTheme="majorHAnsi" w:hAnsiTheme="majorHAnsi"/>
          <w:sz w:val="23"/>
          <w:szCs w:val="23"/>
        </w:rPr>
        <w:t xml:space="preserve"> </w:t>
      </w:r>
      <w:r>
        <w:rPr>
          <w:rFonts w:asciiTheme="majorHAnsi" w:hAnsiTheme="majorHAnsi"/>
          <w:sz w:val="23"/>
          <w:szCs w:val="23"/>
        </w:rPr>
        <w:t>that parents</w:t>
      </w:r>
      <w:r w:rsidR="00C764CE">
        <w:rPr>
          <w:rFonts w:asciiTheme="majorHAnsi" w:hAnsiTheme="majorHAnsi"/>
          <w:sz w:val="23"/>
          <w:szCs w:val="23"/>
        </w:rPr>
        <w:t>,</w:t>
      </w:r>
      <w:r>
        <w:rPr>
          <w:rFonts w:asciiTheme="majorHAnsi" w:hAnsiTheme="majorHAnsi"/>
          <w:sz w:val="23"/>
          <w:szCs w:val="23"/>
        </w:rPr>
        <w:t xml:space="preserve"> families</w:t>
      </w:r>
      <w:r w:rsidR="00943205">
        <w:rPr>
          <w:rFonts w:asciiTheme="majorHAnsi" w:hAnsiTheme="majorHAnsi"/>
          <w:sz w:val="23"/>
          <w:szCs w:val="23"/>
        </w:rPr>
        <w:t>,</w:t>
      </w:r>
      <w:r>
        <w:rPr>
          <w:rFonts w:asciiTheme="majorHAnsi" w:hAnsiTheme="majorHAnsi"/>
          <w:sz w:val="23"/>
          <w:szCs w:val="23"/>
        </w:rPr>
        <w:t xml:space="preserve"> </w:t>
      </w:r>
      <w:r w:rsidR="00C764CE">
        <w:rPr>
          <w:rFonts w:asciiTheme="majorHAnsi" w:hAnsiTheme="majorHAnsi"/>
          <w:sz w:val="23"/>
          <w:szCs w:val="23"/>
        </w:rPr>
        <w:t xml:space="preserve">and school communities </w:t>
      </w:r>
      <w:r>
        <w:rPr>
          <w:rFonts w:asciiTheme="majorHAnsi" w:hAnsiTheme="majorHAnsi"/>
          <w:sz w:val="23"/>
          <w:szCs w:val="23"/>
        </w:rPr>
        <w:t xml:space="preserve">are the primary funders of </w:t>
      </w:r>
      <w:r w:rsidR="00FB4745">
        <w:rPr>
          <w:rFonts w:asciiTheme="majorHAnsi" w:hAnsiTheme="majorHAnsi"/>
          <w:sz w:val="23"/>
          <w:szCs w:val="23"/>
        </w:rPr>
        <w:t xml:space="preserve">schools in the </w:t>
      </w:r>
      <w:r>
        <w:rPr>
          <w:rFonts w:asciiTheme="majorHAnsi" w:hAnsiTheme="majorHAnsi"/>
          <w:sz w:val="23"/>
          <w:szCs w:val="23"/>
        </w:rPr>
        <w:t xml:space="preserve">Independent </w:t>
      </w:r>
      <w:r w:rsidR="00FB4745">
        <w:rPr>
          <w:rFonts w:asciiTheme="majorHAnsi" w:hAnsiTheme="majorHAnsi"/>
          <w:sz w:val="23"/>
          <w:szCs w:val="23"/>
        </w:rPr>
        <w:t>sector</w:t>
      </w:r>
      <w:r>
        <w:rPr>
          <w:rFonts w:asciiTheme="majorHAnsi" w:hAnsiTheme="majorHAnsi"/>
          <w:sz w:val="23"/>
          <w:szCs w:val="23"/>
        </w:rPr>
        <w:t>.</w:t>
      </w:r>
    </w:p>
    <w:p w14:paraId="3B7267F7" w14:textId="669E9CAF" w:rsidR="00986E5F" w:rsidRDefault="00E92E3A" w:rsidP="00E92E3A">
      <w:pPr>
        <w:rPr>
          <w:rFonts w:asciiTheme="majorHAnsi" w:hAnsiTheme="majorHAnsi"/>
          <w:sz w:val="23"/>
          <w:szCs w:val="23"/>
        </w:rPr>
      </w:pPr>
      <w:r w:rsidRPr="00E92E3A">
        <w:rPr>
          <w:rFonts w:asciiTheme="majorHAnsi" w:hAnsiTheme="majorHAnsi"/>
          <w:sz w:val="23"/>
          <w:szCs w:val="23"/>
        </w:rPr>
        <w:t xml:space="preserve">The range of tuition fees paid varies greatly from school to school reflecting the diversity of the sector. The spectrum of fees </w:t>
      </w:r>
      <w:r w:rsidR="003D5347" w:rsidRPr="00E92E3A">
        <w:rPr>
          <w:rFonts w:asciiTheme="majorHAnsi" w:hAnsiTheme="majorHAnsi"/>
          <w:sz w:val="23"/>
          <w:szCs w:val="23"/>
        </w:rPr>
        <w:t>ranges</w:t>
      </w:r>
      <w:r w:rsidRPr="00E92E3A">
        <w:rPr>
          <w:rFonts w:asciiTheme="majorHAnsi" w:hAnsiTheme="majorHAnsi"/>
          <w:sz w:val="23"/>
          <w:szCs w:val="23"/>
        </w:rPr>
        <w:t xml:space="preserve"> from schools serving highly disadvantaged communities which charge no fees, through to schools which charge in excess of $</w:t>
      </w:r>
      <w:r w:rsidRPr="00FB1A7D">
        <w:rPr>
          <w:rFonts w:asciiTheme="majorHAnsi" w:hAnsiTheme="majorHAnsi"/>
          <w:sz w:val="23"/>
          <w:szCs w:val="23"/>
        </w:rPr>
        <w:t>20</w:t>
      </w:r>
      <w:r w:rsidRPr="00E92E3A">
        <w:rPr>
          <w:rFonts w:asciiTheme="majorHAnsi" w:hAnsiTheme="majorHAnsi"/>
          <w:sz w:val="23"/>
          <w:szCs w:val="23"/>
        </w:rPr>
        <w:t>,000 per year. It should be noted that schools charging in excess of $</w:t>
      </w:r>
      <w:r w:rsidRPr="00FB1A7D">
        <w:rPr>
          <w:rFonts w:asciiTheme="majorHAnsi" w:hAnsiTheme="majorHAnsi"/>
          <w:sz w:val="23"/>
          <w:szCs w:val="23"/>
        </w:rPr>
        <w:t>20</w:t>
      </w:r>
      <w:r w:rsidRPr="00E92E3A">
        <w:rPr>
          <w:rFonts w:asciiTheme="majorHAnsi" w:hAnsiTheme="majorHAnsi"/>
          <w:sz w:val="23"/>
          <w:szCs w:val="23"/>
        </w:rPr>
        <w:t xml:space="preserve">,000 per year only represent </w:t>
      </w:r>
      <w:r w:rsidR="006F2939" w:rsidRPr="00C06C08">
        <w:rPr>
          <w:rFonts w:asciiTheme="majorHAnsi" w:hAnsiTheme="majorHAnsi"/>
          <w:sz w:val="23"/>
          <w:szCs w:val="23"/>
        </w:rPr>
        <w:t xml:space="preserve">eleven </w:t>
      </w:r>
      <w:r w:rsidRPr="00C06C08">
        <w:rPr>
          <w:rFonts w:asciiTheme="majorHAnsi" w:hAnsiTheme="majorHAnsi"/>
          <w:sz w:val="23"/>
          <w:szCs w:val="23"/>
        </w:rPr>
        <w:t>per</w:t>
      </w:r>
      <w:r w:rsidRPr="00E92E3A">
        <w:rPr>
          <w:rFonts w:asciiTheme="majorHAnsi" w:hAnsiTheme="majorHAnsi"/>
          <w:sz w:val="23"/>
          <w:szCs w:val="23"/>
        </w:rPr>
        <w:t xml:space="preserve"> cent of </w:t>
      </w:r>
      <w:r w:rsidRPr="00E92E3A">
        <w:rPr>
          <w:rFonts w:asciiTheme="majorHAnsi" w:hAnsiTheme="majorHAnsi"/>
          <w:sz w:val="23"/>
          <w:szCs w:val="23"/>
        </w:rPr>
        <w:lastRenderedPageBreak/>
        <w:t xml:space="preserve">Independent schools. The median fees charged per student in Independent schools </w:t>
      </w:r>
      <w:r w:rsidRPr="003B17E2">
        <w:rPr>
          <w:rFonts w:asciiTheme="majorHAnsi" w:hAnsiTheme="majorHAnsi"/>
          <w:sz w:val="23"/>
          <w:szCs w:val="23"/>
        </w:rPr>
        <w:t xml:space="preserve">are </w:t>
      </w:r>
      <w:r w:rsidR="00FA636A" w:rsidRPr="003B17E2">
        <w:rPr>
          <w:rFonts w:asciiTheme="majorHAnsi" w:hAnsiTheme="majorHAnsi"/>
          <w:sz w:val="23"/>
          <w:szCs w:val="23"/>
        </w:rPr>
        <w:t>$</w:t>
      </w:r>
      <w:r w:rsidR="006F2939">
        <w:rPr>
          <w:rFonts w:asciiTheme="majorHAnsi" w:hAnsiTheme="majorHAnsi"/>
          <w:sz w:val="23"/>
          <w:szCs w:val="23"/>
        </w:rPr>
        <w:t>5,423</w:t>
      </w:r>
      <w:r w:rsidRPr="00E92E3A">
        <w:rPr>
          <w:rFonts w:asciiTheme="majorHAnsi" w:hAnsiTheme="majorHAnsi"/>
          <w:sz w:val="23"/>
          <w:szCs w:val="23"/>
        </w:rPr>
        <w:t xml:space="preserve"> per year. </w:t>
      </w:r>
    </w:p>
    <w:p w14:paraId="6DEDC960" w14:textId="7C09AA48" w:rsidR="00192D31" w:rsidRDefault="00170DD1" w:rsidP="00E92E3A">
      <w:pPr>
        <w:rPr>
          <w:rFonts w:asciiTheme="majorHAnsi" w:hAnsiTheme="majorHAnsi"/>
          <w:sz w:val="23"/>
          <w:szCs w:val="23"/>
        </w:rPr>
      </w:pPr>
      <w:r>
        <w:rPr>
          <w:rFonts w:asciiTheme="majorHAnsi" w:hAnsiTheme="majorHAnsi"/>
          <w:sz w:val="23"/>
          <w:szCs w:val="23"/>
        </w:rPr>
        <w:t xml:space="preserve">While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in Independent schools are eligible for funding from </w:t>
      </w:r>
      <w:r w:rsidR="00396015">
        <w:rPr>
          <w:rFonts w:asciiTheme="majorHAnsi" w:hAnsiTheme="majorHAnsi"/>
          <w:sz w:val="23"/>
          <w:szCs w:val="23"/>
        </w:rPr>
        <w:t xml:space="preserve">the Australian Government and states and territory </w:t>
      </w:r>
      <w:r w:rsidR="00943205">
        <w:rPr>
          <w:rFonts w:asciiTheme="majorHAnsi" w:hAnsiTheme="majorHAnsi"/>
          <w:sz w:val="23"/>
          <w:szCs w:val="23"/>
        </w:rPr>
        <w:t>governments</w:t>
      </w:r>
      <w:r w:rsidR="00396015">
        <w:rPr>
          <w:rFonts w:asciiTheme="majorHAnsi" w:hAnsiTheme="majorHAnsi"/>
          <w:sz w:val="23"/>
          <w:szCs w:val="23"/>
        </w:rPr>
        <w:t xml:space="preserve">, </w:t>
      </w:r>
      <w:r w:rsidR="00B06D4A">
        <w:rPr>
          <w:rFonts w:asciiTheme="majorHAnsi" w:hAnsiTheme="majorHAnsi"/>
          <w:sz w:val="23"/>
          <w:szCs w:val="23"/>
        </w:rPr>
        <w:t>s</w:t>
      </w:r>
      <w:r w:rsidR="00396015">
        <w:rPr>
          <w:rFonts w:asciiTheme="majorHAnsi" w:hAnsiTheme="majorHAnsi"/>
          <w:sz w:val="23"/>
          <w:szCs w:val="23"/>
        </w:rPr>
        <w:t xml:space="preserve">tudents with </w:t>
      </w:r>
      <w:r w:rsidR="00B06D4A">
        <w:rPr>
          <w:rFonts w:asciiTheme="majorHAnsi" w:hAnsiTheme="majorHAnsi"/>
          <w:sz w:val="23"/>
          <w:szCs w:val="23"/>
        </w:rPr>
        <w:t>d</w:t>
      </w:r>
      <w:r w:rsidR="00396015">
        <w:rPr>
          <w:rFonts w:asciiTheme="majorHAnsi" w:hAnsiTheme="majorHAnsi"/>
          <w:sz w:val="23"/>
          <w:szCs w:val="23"/>
        </w:rPr>
        <w:t>isability enrolled in Independent schools do not receive the same level of additional funding as their counter</w:t>
      </w:r>
      <w:r w:rsidR="00571BAA">
        <w:rPr>
          <w:rFonts w:asciiTheme="majorHAnsi" w:hAnsiTheme="majorHAnsi"/>
          <w:sz w:val="23"/>
          <w:szCs w:val="23"/>
        </w:rPr>
        <w:t>p</w:t>
      </w:r>
      <w:r w:rsidR="00396015">
        <w:rPr>
          <w:rFonts w:asciiTheme="majorHAnsi" w:hAnsiTheme="majorHAnsi"/>
          <w:sz w:val="23"/>
          <w:szCs w:val="23"/>
        </w:rPr>
        <w:t>arts in government schools.</w:t>
      </w:r>
    </w:p>
    <w:p w14:paraId="015285BD" w14:textId="6AFDBE3A" w:rsidR="00396015" w:rsidRDefault="00396015" w:rsidP="00E92E3A">
      <w:pPr>
        <w:rPr>
          <w:rFonts w:asciiTheme="majorHAnsi" w:hAnsiTheme="majorHAnsi"/>
          <w:sz w:val="23"/>
          <w:szCs w:val="23"/>
        </w:rPr>
      </w:pPr>
      <w:r>
        <w:rPr>
          <w:rFonts w:asciiTheme="majorHAnsi" w:hAnsiTheme="majorHAnsi"/>
          <w:sz w:val="23"/>
          <w:szCs w:val="23"/>
        </w:rPr>
        <w:t xml:space="preserve">The funding </w:t>
      </w:r>
      <w:r w:rsidR="00943205">
        <w:rPr>
          <w:rFonts w:asciiTheme="majorHAnsi" w:hAnsiTheme="majorHAnsi"/>
          <w:sz w:val="23"/>
          <w:szCs w:val="23"/>
        </w:rPr>
        <w:t>differential</w:t>
      </w:r>
      <w:r w:rsidR="00FA5272">
        <w:rPr>
          <w:rFonts w:asciiTheme="majorHAnsi" w:hAnsiTheme="majorHAnsi"/>
          <w:sz w:val="23"/>
          <w:szCs w:val="23"/>
        </w:rPr>
        <w:t xml:space="preserve"> for </w:t>
      </w:r>
      <w:r w:rsidR="00B06D4A">
        <w:rPr>
          <w:rFonts w:asciiTheme="majorHAnsi" w:hAnsiTheme="majorHAnsi"/>
          <w:sz w:val="23"/>
          <w:szCs w:val="23"/>
        </w:rPr>
        <w:t>s</w:t>
      </w:r>
      <w:r w:rsidR="00FA5272">
        <w:rPr>
          <w:rFonts w:asciiTheme="majorHAnsi" w:hAnsiTheme="majorHAnsi"/>
          <w:sz w:val="23"/>
          <w:szCs w:val="23"/>
        </w:rPr>
        <w:t xml:space="preserve">tudents with </w:t>
      </w:r>
      <w:r w:rsidR="00B06D4A">
        <w:rPr>
          <w:rFonts w:asciiTheme="majorHAnsi" w:hAnsiTheme="majorHAnsi"/>
          <w:sz w:val="23"/>
          <w:szCs w:val="23"/>
        </w:rPr>
        <w:t>d</w:t>
      </w:r>
      <w:r w:rsidR="00FA5272">
        <w:rPr>
          <w:rFonts w:asciiTheme="majorHAnsi" w:hAnsiTheme="majorHAnsi"/>
          <w:sz w:val="23"/>
          <w:szCs w:val="23"/>
        </w:rPr>
        <w:t>isability between school sectors can be substantial. For students with high-level needs</w:t>
      </w:r>
      <w:r w:rsidR="00575D7C">
        <w:rPr>
          <w:rFonts w:asciiTheme="majorHAnsi" w:hAnsiTheme="majorHAnsi"/>
          <w:sz w:val="23"/>
          <w:szCs w:val="23"/>
        </w:rPr>
        <w:t xml:space="preserve">, </w:t>
      </w:r>
      <w:r w:rsidR="003E6066">
        <w:rPr>
          <w:rFonts w:asciiTheme="majorHAnsi" w:hAnsiTheme="majorHAnsi"/>
          <w:sz w:val="23"/>
          <w:szCs w:val="23"/>
        </w:rPr>
        <w:t xml:space="preserve">the sector estimates that </w:t>
      </w:r>
      <w:r w:rsidR="00575D7C">
        <w:rPr>
          <w:rFonts w:asciiTheme="majorHAnsi" w:hAnsiTheme="majorHAnsi"/>
          <w:sz w:val="23"/>
          <w:szCs w:val="23"/>
        </w:rPr>
        <w:t>the gap in f</w:t>
      </w:r>
      <w:r w:rsidR="003E6066">
        <w:rPr>
          <w:rFonts w:asciiTheme="majorHAnsi" w:hAnsiTheme="majorHAnsi"/>
          <w:sz w:val="23"/>
          <w:szCs w:val="23"/>
        </w:rPr>
        <w:t>u</w:t>
      </w:r>
      <w:r w:rsidR="00575D7C">
        <w:rPr>
          <w:rFonts w:asciiTheme="majorHAnsi" w:hAnsiTheme="majorHAnsi"/>
          <w:sz w:val="23"/>
          <w:szCs w:val="23"/>
        </w:rPr>
        <w:t xml:space="preserve">nding can be over $40,000 per student per year. </w:t>
      </w:r>
      <w:r w:rsidR="00F90BCA">
        <w:rPr>
          <w:rFonts w:asciiTheme="majorHAnsi" w:hAnsiTheme="majorHAnsi"/>
          <w:sz w:val="23"/>
          <w:szCs w:val="23"/>
        </w:rPr>
        <w:t>In Independent schools</w:t>
      </w:r>
      <w:r w:rsidR="0025276F">
        <w:rPr>
          <w:rFonts w:asciiTheme="majorHAnsi" w:hAnsiTheme="majorHAnsi"/>
          <w:sz w:val="23"/>
          <w:szCs w:val="23"/>
        </w:rPr>
        <w:t xml:space="preserve">, the cost of this </w:t>
      </w:r>
      <w:r w:rsidR="00943205">
        <w:rPr>
          <w:rFonts w:asciiTheme="majorHAnsi" w:hAnsiTheme="majorHAnsi"/>
          <w:sz w:val="23"/>
          <w:szCs w:val="23"/>
        </w:rPr>
        <w:t>funding</w:t>
      </w:r>
      <w:r w:rsidR="0025276F">
        <w:rPr>
          <w:rFonts w:asciiTheme="majorHAnsi" w:hAnsiTheme="majorHAnsi"/>
          <w:sz w:val="23"/>
          <w:szCs w:val="23"/>
        </w:rPr>
        <w:t xml:space="preserve"> gap is borne directly by </w:t>
      </w:r>
      <w:r w:rsidR="00943205">
        <w:rPr>
          <w:rFonts w:asciiTheme="majorHAnsi" w:hAnsiTheme="majorHAnsi"/>
          <w:sz w:val="23"/>
          <w:szCs w:val="23"/>
        </w:rPr>
        <w:t>parents, families, and the school community.</w:t>
      </w:r>
    </w:p>
    <w:p w14:paraId="5007BDAF" w14:textId="77777777" w:rsidR="009D6450" w:rsidRPr="000E5805" w:rsidRDefault="009D6450" w:rsidP="000E5805">
      <w:pPr>
        <w:pStyle w:val="Heading3"/>
      </w:pPr>
      <w:bookmarkStart w:id="10" w:name="_Toc51932338"/>
      <w:r w:rsidRPr="000E5805">
        <w:t>Independent School Enrolments and Trends</w:t>
      </w:r>
      <w:bookmarkEnd w:id="10"/>
      <w:r w:rsidRPr="000E5805">
        <w:t xml:space="preserve"> </w:t>
      </w:r>
    </w:p>
    <w:p w14:paraId="1544A010" w14:textId="554D79E0" w:rsidR="003546B8" w:rsidRDefault="009D6450" w:rsidP="009D6450">
      <w:pPr>
        <w:rPr>
          <w:rFonts w:asciiTheme="majorHAnsi" w:hAnsiTheme="majorHAnsi"/>
          <w:sz w:val="23"/>
          <w:szCs w:val="23"/>
        </w:rPr>
      </w:pPr>
      <w:r w:rsidRPr="009D6450">
        <w:rPr>
          <w:rFonts w:asciiTheme="majorHAnsi" w:hAnsiTheme="majorHAnsi"/>
          <w:sz w:val="23"/>
          <w:szCs w:val="23"/>
        </w:rPr>
        <w:t xml:space="preserve">The Independent school sector is the third largest school education provider in Australia (after the New South Wales Government and the Catholic education systems) and </w:t>
      </w:r>
      <w:r w:rsidR="00ED624F">
        <w:rPr>
          <w:rFonts w:asciiTheme="majorHAnsi" w:hAnsiTheme="majorHAnsi"/>
          <w:sz w:val="23"/>
          <w:szCs w:val="23"/>
        </w:rPr>
        <w:t>at secondary level is the</w:t>
      </w:r>
      <w:r w:rsidRPr="009D6450">
        <w:rPr>
          <w:rFonts w:asciiTheme="majorHAnsi" w:hAnsiTheme="majorHAnsi"/>
          <w:sz w:val="23"/>
          <w:szCs w:val="23"/>
        </w:rPr>
        <w:t xml:space="preserve"> largest provider of schooling services. </w:t>
      </w:r>
    </w:p>
    <w:p w14:paraId="7AEAC1F6" w14:textId="252332F7" w:rsidR="00A4666F" w:rsidRDefault="00A4666F" w:rsidP="00A4666F">
      <w:pPr>
        <w:rPr>
          <w:rFonts w:asciiTheme="majorHAnsi" w:hAnsiTheme="majorHAnsi"/>
          <w:sz w:val="23"/>
          <w:szCs w:val="23"/>
        </w:rPr>
      </w:pPr>
      <w:r w:rsidRPr="009D6450">
        <w:rPr>
          <w:rFonts w:asciiTheme="majorHAnsi" w:hAnsiTheme="majorHAnsi"/>
          <w:sz w:val="23"/>
          <w:szCs w:val="23"/>
        </w:rPr>
        <w:t xml:space="preserve">Enrolments in Independent schools have </w:t>
      </w:r>
      <w:r w:rsidRPr="00C06C08">
        <w:rPr>
          <w:rFonts w:asciiTheme="majorHAnsi" w:hAnsiTheme="majorHAnsi"/>
          <w:sz w:val="23"/>
          <w:szCs w:val="23"/>
        </w:rPr>
        <w:t xml:space="preserve">grown steadily since the 1970s. According to ABS data, in </w:t>
      </w:r>
      <w:r w:rsidR="00614E54" w:rsidRPr="00C06C08">
        <w:rPr>
          <w:rFonts w:asciiTheme="majorHAnsi" w:hAnsiTheme="majorHAnsi"/>
          <w:sz w:val="23"/>
          <w:szCs w:val="23"/>
        </w:rPr>
        <w:t xml:space="preserve">2019 </w:t>
      </w:r>
      <w:r w:rsidRPr="00C06C08">
        <w:rPr>
          <w:rFonts w:asciiTheme="majorHAnsi" w:hAnsiTheme="majorHAnsi"/>
          <w:sz w:val="23"/>
          <w:szCs w:val="23"/>
        </w:rPr>
        <w:t xml:space="preserve">Independent schools accounted for </w:t>
      </w:r>
      <w:r w:rsidR="00614E54" w:rsidRPr="00C06C08">
        <w:rPr>
          <w:rFonts w:asciiTheme="majorHAnsi" w:hAnsiTheme="majorHAnsi"/>
          <w:sz w:val="23"/>
          <w:szCs w:val="23"/>
        </w:rPr>
        <w:t>14.8</w:t>
      </w:r>
      <w:r w:rsidRPr="00C06C08">
        <w:rPr>
          <w:rFonts w:asciiTheme="majorHAnsi" w:hAnsiTheme="majorHAnsi"/>
          <w:sz w:val="23"/>
          <w:szCs w:val="23"/>
        </w:rPr>
        <w:t xml:space="preserve"> per cent of total student enrolments (</w:t>
      </w:r>
      <w:r w:rsidR="00614E54" w:rsidRPr="00C06C08">
        <w:rPr>
          <w:rFonts w:asciiTheme="majorHAnsi" w:hAnsiTheme="majorHAnsi"/>
          <w:sz w:val="23"/>
          <w:szCs w:val="23"/>
        </w:rPr>
        <w:t>19.0</w:t>
      </w:r>
      <w:r w:rsidRPr="00C06C08">
        <w:rPr>
          <w:rFonts w:asciiTheme="majorHAnsi" w:hAnsiTheme="majorHAnsi"/>
          <w:sz w:val="23"/>
          <w:szCs w:val="23"/>
        </w:rPr>
        <w:t xml:space="preserve"> per cent of secondary enrolments) compared to 4 per cent in 1970. Full time enrolments have increased from around 124,000 in 1970 to </w:t>
      </w:r>
      <w:r w:rsidR="00614E54" w:rsidRPr="00C06C08">
        <w:rPr>
          <w:rFonts w:asciiTheme="majorHAnsi" w:hAnsiTheme="majorHAnsi"/>
          <w:sz w:val="23"/>
          <w:szCs w:val="23"/>
        </w:rPr>
        <w:t>over 584,000</w:t>
      </w:r>
      <w:r w:rsidRPr="00C06C08">
        <w:rPr>
          <w:rFonts w:asciiTheme="majorHAnsi" w:hAnsiTheme="majorHAnsi"/>
          <w:sz w:val="23"/>
          <w:szCs w:val="23"/>
        </w:rPr>
        <w:t xml:space="preserve"> in </w:t>
      </w:r>
      <w:r w:rsidR="00614E54" w:rsidRPr="00C06C08">
        <w:rPr>
          <w:rFonts w:asciiTheme="majorHAnsi" w:hAnsiTheme="majorHAnsi"/>
          <w:sz w:val="23"/>
          <w:szCs w:val="23"/>
        </w:rPr>
        <w:t>2019</w:t>
      </w:r>
      <w:r w:rsidRPr="00C06C08">
        <w:rPr>
          <w:rFonts w:asciiTheme="majorHAnsi" w:hAnsiTheme="majorHAnsi"/>
          <w:sz w:val="23"/>
          <w:szCs w:val="23"/>
        </w:rPr>
        <w:t xml:space="preserve">. Including Independent Catholic school enrolments, the sector enrolment is almost </w:t>
      </w:r>
      <w:r w:rsidR="00614E54" w:rsidRPr="00C06C08">
        <w:rPr>
          <w:rFonts w:asciiTheme="majorHAnsi" w:hAnsiTheme="majorHAnsi"/>
          <w:sz w:val="23"/>
          <w:szCs w:val="23"/>
        </w:rPr>
        <w:t>632,000</w:t>
      </w:r>
      <w:r w:rsidRPr="00C06C08">
        <w:rPr>
          <w:rFonts w:asciiTheme="majorHAnsi" w:hAnsiTheme="majorHAnsi"/>
          <w:sz w:val="23"/>
          <w:szCs w:val="23"/>
        </w:rPr>
        <w:t xml:space="preserve"> students.</w:t>
      </w:r>
      <w:r w:rsidRPr="009D6450">
        <w:rPr>
          <w:rFonts w:asciiTheme="majorHAnsi" w:hAnsiTheme="majorHAnsi"/>
          <w:sz w:val="23"/>
          <w:szCs w:val="23"/>
        </w:rPr>
        <w:t xml:space="preserve"> </w:t>
      </w:r>
    </w:p>
    <w:p w14:paraId="0AEFDA63" w14:textId="33446B6C" w:rsidR="00091F32" w:rsidRDefault="003A1DDA" w:rsidP="00F72AAE">
      <w:pPr>
        <w:rPr>
          <w:rFonts w:asciiTheme="majorHAnsi" w:hAnsiTheme="majorHAnsi"/>
          <w:sz w:val="18"/>
          <w:szCs w:val="18"/>
        </w:rPr>
      </w:pPr>
      <w:r w:rsidRPr="00ED105A">
        <w:rPr>
          <w:rFonts w:asciiTheme="majorHAnsi" w:hAnsiTheme="majorHAnsi"/>
          <w:i/>
          <w:sz w:val="23"/>
          <w:szCs w:val="23"/>
          <w:lang w:val="en-GB"/>
        </w:rPr>
        <w:t xml:space="preserve">Chart </w:t>
      </w:r>
      <w:r w:rsidR="00ED105A" w:rsidRPr="00ED105A">
        <w:rPr>
          <w:rFonts w:asciiTheme="majorHAnsi" w:hAnsiTheme="majorHAnsi"/>
          <w:i/>
          <w:sz w:val="23"/>
          <w:szCs w:val="23"/>
          <w:lang w:val="en-GB"/>
        </w:rPr>
        <w:t>1</w:t>
      </w:r>
      <w:r w:rsidRPr="003A1DDA">
        <w:rPr>
          <w:rFonts w:asciiTheme="majorHAnsi" w:hAnsiTheme="majorHAnsi"/>
          <w:i/>
          <w:sz w:val="23"/>
          <w:szCs w:val="23"/>
          <w:lang w:val="en-GB"/>
        </w:rPr>
        <w:t xml:space="preserve">: </w:t>
      </w:r>
      <w:r>
        <w:rPr>
          <w:rFonts w:asciiTheme="majorHAnsi" w:hAnsiTheme="majorHAnsi"/>
          <w:i/>
          <w:sz w:val="23"/>
          <w:szCs w:val="23"/>
          <w:lang w:val="en-GB"/>
        </w:rPr>
        <w:t>Enrolment Share by Sector 1970</w:t>
      </w:r>
      <w:r w:rsidRPr="003A1DDA">
        <w:rPr>
          <w:rFonts w:asciiTheme="majorHAnsi" w:hAnsiTheme="majorHAnsi"/>
          <w:i/>
          <w:sz w:val="23"/>
          <w:szCs w:val="23"/>
          <w:lang w:val="en-GB"/>
        </w:rPr>
        <w:t xml:space="preserve"> to </w:t>
      </w:r>
      <w:r w:rsidR="00614E54">
        <w:rPr>
          <w:rFonts w:asciiTheme="majorHAnsi" w:hAnsiTheme="majorHAnsi"/>
          <w:i/>
          <w:sz w:val="23"/>
          <w:szCs w:val="23"/>
          <w:lang w:val="en-GB"/>
        </w:rPr>
        <w:t>2019</w:t>
      </w:r>
      <w:r w:rsidR="00614E54">
        <w:rPr>
          <w:noProof/>
        </w:rPr>
        <w:drawing>
          <wp:inline distT="0" distB="0" distL="0" distR="0" wp14:anchorId="1E1E2D2E" wp14:editId="128B585A">
            <wp:extent cx="5727700" cy="3742761"/>
            <wp:effectExtent l="0" t="0" r="6350" b="0"/>
            <wp:docPr id="3" name="Chart 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091F32" w:rsidRPr="00FC4CE5">
        <w:rPr>
          <w:rFonts w:asciiTheme="majorHAnsi" w:hAnsiTheme="majorHAnsi"/>
          <w:sz w:val="18"/>
          <w:szCs w:val="18"/>
        </w:rPr>
        <w:t>Source: ABS Schools Australia</w:t>
      </w:r>
      <w:r w:rsidR="00091F32">
        <w:rPr>
          <w:rFonts w:asciiTheme="majorHAnsi" w:hAnsiTheme="majorHAnsi"/>
          <w:sz w:val="18"/>
          <w:szCs w:val="18"/>
        </w:rPr>
        <w:t>. Excludes Independent Catholic schools</w:t>
      </w:r>
      <w:r w:rsidR="002043AB">
        <w:rPr>
          <w:rFonts w:asciiTheme="majorHAnsi" w:hAnsiTheme="majorHAnsi"/>
          <w:sz w:val="18"/>
          <w:szCs w:val="18"/>
        </w:rPr>
        <w:t xml:space="preserve"> from Independent school share</w:t>
      </w:r>
      <w:r w:rsidR="00091F32">
        <w:rPr>
          <w:rFonts w:asciiTheme="majorHAnsi" w:hAnsiTheme="majorHAnsi"/>
          <w:sz w:val="18"/>
          <w:szCs w:val="18"/>
        </w:rPr>
        <w:t>.</w:t>
      </w:r>
    </w:p>
    <w:p w14:paraId="7753AF0A" w14:textId="1CAA81D4" w:rsidR="000F5B86" w:rsidRPr="000F5B86" w:rsidRDefault="006873E6" w:rsidP="000E5805">
      <w:pPr>
        <w:pStyle w:val="Heading3"/>
      </w:pPr>
      <w:bookmarkStart w:id="11" w:name="_Toc51932339"/>
      <w:bookmarkStart w:id="12" w:name="_Hlk31282371"/>
      <w:r>
        <w:lastRenderedPageBreak/>
        <w:t xml:space="preserve">Independent </w:t>
      </w:r>
      <w:r w:rsidR="004E6585" w:rsidRPr="006873E6">
        <w:t xml:space="preserve">School Size </w:t>
      </w:r>
      <w:r w:rsidR="0009383B">
        <w:t>and</w:t>
      </w:r>
      <w:r w:rsidR="004E6585" w:rsidRPr="006873E6">
        <w:t xml:space="preserve"> Location</w:t>
      </w:r>
      <w:bookmarkEnd w:id="11"/>
    </w:p>
    <w:bookmarkEnd w:id="12"/>
    <w:p w14:paraId="40C40E79" w14:textId="77777777" w:rsidR="003D1869" w:rsidRDefault="003D1869" w:rsidP="003D1869">
      <w:pPr>
        <w:rPr>
          <w:rFonts w:asciiTheme="majorHAnsi" w:hAnsiTheme="majorHAnsi"/>
          <w:sz w:val="23"/>
          <w:szCs w:val="23"/>
        </w:rPr>
      </w:pPr>
      <w:r>
        <w:rPr>
          <w:rFonts w:asciiTheme="majorHAnsi" w:hAnsiTheme="majorHAnsi"/>
          <w:sz w:val="23"/>
          <w:szCs w:val="23"/>
        </w:rPr>
        <w:t xml:space="preserve">Independent schools vary greatly in size with the average Independent school size in 2019 being </w:t>
      </w:r>
      <w:r w:rsidRPr="00C06C08">
        <w:rPr>
          <w:rFonts w:asciiTheme="majorHAnsi" w:hAnsiTheme="majorHAnsi"/>
          <w:sz w:val="23"/>
          <w:szCs w:val="23"/>
        </w:rPr>
        <w:t>537 students. This compares with an average of 389 students</w:t>
      </w:r>
      <w:r>
        <w:rPr>
          <w:rFonts w:asciiTheme="majorHAnsi" w:hAnsiTheme="majorHAnsi"/>
          <w:sz w:val="23"/>
          <w:szCs w:val="23"/>
        </w:rPr>
        <w:t xml:space="preserve"> at government schools.</w:t>
      </w:r>
    </w:p>
    <w:p w14:paraId="76DDB47C" w14:textId="77777777" w:rsidR="00857182" w:rsidRDefault="003D1869" w:rsidP="003D1869">
      <w:pPr>
        <w:rPr>
          <w:rFonts w:asciiTheme="majorHAnsi" w:hAnsiTheme="majorHAnsi"/>
          <w:i/>
          <w:sz w:val="23"/>
          <w:szCs w:val="23"/>
          <w:lang w:val="en-GB"/>
        </w:rPr>
      </w:pPr>
      <w:r w:rsidRPr="003A1DDA">
        <w:rPr>
          <w:rFonts w:asciiTheme="majorHAnsi" w:hAnsiTheme="majorHAnsi"/>
          <w:i/>
          <w:sz w:val="23"/>
          <w:szCs w:val="23"/>
          <w:lang w:val="en-GB"/>
        </w:rPr>
        <w:t xml:space="preserve">Chart </w:t>
      </w:r>
      <w:r>
        <w:rPr>
          <w:rFonts w:asciiTheme="majorHAnsi" w:hAnsiTheme="majorHAnsi"/>
          <w:i/>
          <w:sz w:val="23"/>
          <w:szCs w:val="23"/>
          <w:lang w:val="en-GB"/>
        </w:rPr>
        <w:t>2</w:t>
      </w:r>
      <w:r w:rsidRPr="003A1DDA">
        <w:rPr>
          <w:rFonts w:asciiTheme="majorHAnsi" w:hAnsiTheme="majorHAnsi"/>
          <w:i/>
          <w:sz w:val="23"/>
          <w:szCs w:val="23"/>
          <w:lang w:val="en-GB"/>
        </w:rPr>
        <w:t xml:space="preserve">: </w:t>
      </w:r>
      <w:r>
        <w:rPr>
          <w:rFonts w:asciiTheme="majorHAnsi" w:hAnsiTheme="majorHAnsi"/>
          <w:i/>
          <w:sz w:val="23"/>
          <w:szCs w:val="23"/>
          <w:lang w:val="en-GB"/>
        </w:rPr>
        <w:t>Independent School Size 2019</w:t>
      </w:r>
    </w:p>
    <w:p w14:paraId="6A2094E8" w14:textId="54EBD881" w:rsidR="003D1869" w:rsidRPr="002948CC" w:rsidRDefault="003D1869" w:rsidP="003D1869">
      <w:pPr>
        <w:rPr>
          <w:rFonts w:asciiTheme="majorHAnsi" w:hAnsiTheme="majorHAnsi"/>
          <w:i/>
          <w:sz w:val="23"/>
          <w:szCs w:val="23"/>
          <w:lang w:val="en-GB"/>
        </w:rPr>
      </w:pPr>
      <w:r>
        <w:rPr>
          <w:noProof/>
        </w:rPr>
        <w:drawing>
          <wp:inline distT="0" distB="0" distL="0" distR="0" wp14:anchorId="619EE2D3" wp14:editId="27709D82">
            <wp:extent cx="4572000" cy="2314575"/>
            <wp:effectExtent l="0" t="0" r="0" b="9525"/>
            <wp:docPr id="4" name="Chart 4">
              <a:extLst xmlns:a="http://schemas.openxmlformats.org/drawingml/2006/main">
                <a:ext uri="{FF2B5EF4-FFF2-40B4-BE49-F238E27FC236}">
                  <a16:creationId xmlns:a16="http://schemas.microsoft.com/office/drawing/2014/main" id="{A6A180BC-168F-4D6A-A72C-709E10E97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FD8555" w14:textId="1B68DFD3" w:rsidR="003D1869" w:rsidRDefault="003D1869" w:rsidP="003D1869">
      <w:pPr>
        <w:pStyle w:val="NoSpacing"/>
        <w:rPr>
          <w:rFonts w:asciiTheme="majorHAnsi" w:hAnsiTheme="majorHAnsi"/>
          <w:sz w:val="18"/>
          <w:szCs w:val="18"/>
        </w:rPr>
      </w:pPr>
      <w:bookmarkStart w:id="13" w:name="_Hlk50968107"/>
      <w:r w:rsidRPr="00FC4CE5">
        <w:rPr>
          <w:rFonts w:asciiTheme="majorHAnsi" w:hAnsiTheme="majorHAnsi"/>
          <w:sz w:val="18"/>
          <w:szCs w:val="18"/>
        </w:rPr>
        <w:t>Source</w:t>
      </w:r>
      <w:r w:rsidRPr="001B493F">
        <w:rPr>
          <w:rFonts w:asciiTheme="majorHAnsi" w:hAnsiTheme="majorHAnsi"/>
          <w:sz w:val="18"/>
          <w:szCs w:val="18"/>
        </w:rPr>
        <w:t>: DE</w:t>
      </w:r>
      <w:r w:rsidR="00C06C08" w:rsidRPr="001B493F">
        <w:rPr>
          <w:rFonts w:asciiTheme="majorHAnsi" w:hAnsiTheme="majorHAnsi"/>
          <w:sz w:val="18"/>
          <w:szCs w:val="18"/>
        </w:rPr>
        <w:t>SE</w:t>
      </w:r>
      <w:r w:rsidRPr="001B493F">
        <w:rPr>
          <w:rFonts w:asciiTheme="majorHAnsi" w:hAnsiTheme="majorHAnsi"/>
          <w:sz w:val="18"/>
          <w:szCs w:val="18"/>
        </w:rPr>
        <w:t xml:space="preserve"> Non</w:t>
      </w:r>
      <w:r w:rsidRPr="00FC4CE5">
        <w:rPr>
          <w:rFonts w:asciiTheme="majorHAnsi" w:hAnsiTheme="majorHAnsi"/>
          <w:sz w:val="18"/>
          <w:szCs w:val="18"/>
        </w:rPr>
        <w:t>-Government Schools Census 20</w:t>
      </w:r>
      <w:r>
        <w:rPr>
          <w:rFonts w:asciiTheme="majorHAnsi" w:hAnsiTheme="majorHAnsi"/>
          <w:sz w:val="18"/>
          <w:szCs w:val="18"/>
        </w:rPr>
        <w:t>19</w:t>
      </w:r>
      <w:bookmarkEnd w:id="13"/>
      <w:r>
        <w:rPr>
          <w:rFonts w:asciiTheme="majorHAnsi" w:hAnsiTheme="majorHAnsi"/>
          <w:sz w:val="18"/>
          <w:szCs w:val="18"/>
        </w:rPr>
        <w:t>.</w:t>
      </w:r>
    </w:p>
    <w:p w14:paraId="5EF11426" w14:textId="77777777" w:rsidR="003D1869" w:rsidRPr="00F145F6" w:rsidRDefault="003D1869" w:rsidP="003D1869">
      <w:pPr>
        <w:pStyle w:val="NoSpacing"/>
        <w:rPr>
          <w:rFonts w:asciiTheme="majorHAnsi" w:hAnsiTheme="majorHAnsi"/>
          <w:sz w:val="18"/>
          <w:szCs w:val="18"/>
        </w:rPr>
      </w:pPr>
    </w:p>
    <w:p w14:paraId="381C5C4D" w14:textId="5DFA2289" w:rsidR="000F5B86" w:rsidRDefault="0005629A" w:rsidP="000F5B86">
      <w:pPr>
        <w:rPr>
          <w:rFonts w:asciiTheme="majorHAnsi" w:hAnsiTheme="majorHAnsi"/>
          <w:sz w:val="23"/>
          <w:szCs w:val="23"/>
        </w:rPr>
      </w:pPr>
      <w:r w:rsidRPr="00C06C08">
        <w:rPr>
          <w:rFonts w:asciiTheme="majorHAnsi" w:hAnsiTheme="majorHAnsi"/>
          <w:sz w:val="23"/>
          <w:szCs w:val="23"/>
        </w:rPr>
        <w:t>Thirty-six</w:t>
      </w:r>
      <w:r w:rsidR="000F5B86" w:rsidRPr="00C06C08">
        <w:rPr>
          <w:rFonts w:asciiTheme="majorHAnsi" w:hAnsiTheme="majorHAnsi"/>
          <w:sz w:val="23"/>
          <w:szCs w:val="23"/>
        </w:rPr>
        <w:t xml:space="preserve"> per cent of Independent schools have fewer than 200 students; </w:t>
      </w:r>
      <w:r w:rsidRPr="00C06C08">
        <w:rPr>
          <w:rFonts w:asciiTheme="majorHAnsi" w:hAnsiTheme="majorHAnsi"/>
          <w:sz w:val="23"/>
          <w:szCs w:val="23"/>
        </w:rPr>
        <w:t>11</w:t>
      </w:r>
      <w:r>
        <w:rPr>
          <w:rFonts w:asciiTheme="majorHAnsi" w:hAnsiTheme="majorHAnsi"/>
          <w:sz w:val="23"/>
          <w:szCs w:val="23"/>
        </w:rPr>
        <w:t xml:space="preserve"> </w:t>
      </w:r>
      <w:r w:rsidR="000F5B86">
        <w:rPr>
          <w:rFonts w:asciiTheme="majorHAnsi" w:hAnsiTheme="majorHAnsi"/>
          <w:sz w:val="23"/>
          <w:szCs w:val="23"/>
        </w:rPr>
        <w:t>per cent have fewer than 50 students.</w:t>
      </w:r>
    </w:p>
    <w:p w14:paraId="41150A22" w14:textId="15F19796" w:rsidR="00615CE5" w:rsidRDefault="002B088C" w:rsidP="00615CE5">
      <w:pPr>
        <w:rPr>
          <w:rFonts w:asciiTheme="majorHAnsi" w:hAnsiTheme="majorHAnsi"/>
          <w:sz w:val="23"/>
          <w:szCs w:val="23"/>
        </w:rPr>
      </w:pPr>
      <w:r>
        <w:rPr>
          <w:rFonts w:asciiTheme="majorHAnsi" w:hAnsiTheme="majorHAnsi"/>
          <w:sz w:val="23"/>
          <w:szCs w:val="23"/>
        </w:rPr>
        <w:t xml:space="preserve">The </w:t>
      </w:r>
      <w:r w:rsidRPr="003546B8">
        <w:rPr>
          <w:rFonts w:asciiTheme="majorHAnsi" w:hAnsiTheme="majorHAnsi"/>
          <w:sz w:val="23"/>
          <w:szCs w:val="23"/>
        </w:rPr>
        <w:t xml:space="preserve">Independent </w:t>
      </w:r>
      <w:r>
        <w:rPr>
          <w:rFonts w:asciiTheme="majorHAnsi" w:hAnsiTheme="majorHAnsi"/>
          <w:sz w:val="23"/>
          <w:szCs w:val="23"/>
        </w:rPr>
        <w:t>school</w:t>
      </w:r>
      <w:r w:rsidRPr="003519B5">
        <w:rPr>
          <w:rFonts w:asciiTheme="majorHAnsi" w:hAnsiTheme="majorHAnsi"/>
          <w:sz w:val="23"/>
          <w:szCs w:val="23"/>
        </w:rPr>
        <w:t xml:space="preserve"> sector </w:t>
      </w:r>
      <w:r w:rsidRPr="003546B8">
        <w:rPr>
          <w:rFonts w:asciiTheme="majorHAnsi" w:hAnsiTheme="majorHAnsi"/>
          <w:sz w:val="23"/>
          <w:szCs w:val="23"/>
        </w:rPr>
        <w:t>serve</w:t>
      </w:r>
      <w:r>
        <w:rPr>
          <w:rFonts w:asciiTheme="majorHAnsi" w:hAnsiTheme="majorHAnsi"/>
          <w:sz w:val="23"/>
          <w:szCs w:val="23"/>
        </w:rPr>
        <w:t>s</w:t>
      </w:r>
      <w:r w:rsidRPr="003546B8">
        <w:rPr>
          <w:rFonts w:asciiTheme="majorHAnsi" w:hAnsiTheme="majorHAnsi"/>
          <w:sz w:val="23"/>
          <w:szCs w:val="23"/>
        </w:rPr>
        <w:t xml:space="preserve"> diverse communities and not exclusively those located in metropolitan areas</w:t>
      </w:r>
      <w:r>
        <w:rPr>
          <w:rFonts w:asciiTheme="majorHAnsi" w:hAnsiTheme="majorHAnsi"/>
          <w:sz w:val="23"/>
          <w:szCs w:val="23"/>
        </w:rPr>
        <w:t>.</w:t>
      </w:r>
      <w:r w:rsidRPr="003546B8">
        <w:rPr>
          <w:rFonts w:asciiTheme="majorHAnsi" w:hAnsiTheme="majorHAnsi"/>
          <w:sz w:val="23"/>
          <w:szCs w:val="23"/>
        </w:rPr>
        <w:t xml:space="preserve"> </w:t>
      </w:r>
      <w:r w:rsidR="00615CE5">
        <w:rPr>
          <w:rFonts w:asciiTheme="majorHAnsi" w:hAnsiTheme="majorHAnsi"/>
          <w:sz w:val="23"/>
          <w:szCs w:val="23"/>
        </w:rPr>
        <w:t xml:space="preserve">Independent </w:t>
      </w:r>
      <w:r w:rsidRPr="003546B8">
        <w:rPr>
          <w:rFonts w:asciiTheme="majorHAnsi" w:hAnsiTheme="majorHAnsi"/>
          <w:sz w:val="23"/>
          <w:szCs w:val="23"/>
        </w:rPr>
        <w:t>schools</w:t>
      </w:r>
      <w:r>
        <w:rPr>
          <w:rFonts w:asciiTheme="majorHAnsi" w:hAnsiTheme="majorHAnsi"/>
          <w:sz w:val="23"/>
          <w:szCs w:val="23"/>
        </w:rPr>
        <w:t xml:space="preserve"> </w:t>
      </w:r>
      <w:r w:rsidR="00F145F6">
        <w:rPr>
          <w:rFonts w:asciiTheme="majorHAnsi" w:hAnsiTheme="majorHAnsi"/>
          <w:sz w:val="23"/>
          <w:szCs w:val="23"/>
        </w:rPr>
        <w:t>make</w:t>
      </w:r>
      <w:r w:rsidR="00615CE5" w:rsidRPr="003519B5">
        <w:rPr>
          <w:rFonts w:asciiTheme="majorHAnsi" w:hAnsiTheme="majorHAnsi"/>
          <w:sz w:val="23"/>
          <w:szCs w:val="23"/>
        </w:rPr>
        <w:t xml:space="preserve"> a significant contribution to educating students from Australia’s </w:t>
      </w:r>
      <w:r w:rsidR="00615CE5">
        <w:rPr>
          <w:rFonts w:asciiTheme="majorHAnsi" w:hAnsiTheme="majorHAnsi"/>
          <w:sz w:val="23"/>
          <w:szCs w:val="23"/>
        </w:rPr>
        <w:t>regional</w:t>
      </w:r>
      <w:r w:rsidR="00615CE5" w:rsidRPr="003519B5">
        <w:rPr>
          <w:rFonts w:asciiTheme="majorHAnsi" w:hAnsiTheme="majorHAnsi"/>
          <w:sz w:val="23"/>
          <w:szCs w:val="23"/>
        </w:rPr>
        <w:t xml:space="preserve"> and remote areas</w:t>
      </w:r>
      <w:r w:rsidR="002043AB">
        <w:rPr>
          <w:rFonts w:asciiTheme="majorHAnsi" w:hAnsiTheme="majorHAnsi"/>
          <w:sz w:val="23"/>
          <w:szCs w:val="23"/>
        </w:rPr>
        <w:t>.</w:t>
      </w:r>
    </w:p>
    <w:p w14:paraId="33E72BDB" w14:textId="62A7B545" w:rsidR="0064029F" w:rsidRPr="000765F9" w:rsidRDefault="0064029F" w:rsidP="0064029F">
      <w:pPr>
        <w:rPr>
          <w:rFonts w:asciiTheme="majorHAnsi" w:hAnsiTheme="majorHAnsi"/>
          <w:i/>
          <w:sz w:val="23"/>
          <w:szCs w:val="23"/>
          <w:lang w:val="en-GB"/>
        </w:rPr>
      </w:pPr>
      <w:r w:rsidRPr="001B493F">
        <w:rPr>
          <w:rFonts w:asciiTheme="majorHAnsi" w:hAnsiTheme="majorHAnsi"/>
          <w:i/>
          <w:sz w:val="23"/>
          <w:szCs w:val="23"/>
          <w:lang w:val="en-GB"/>
        </w:rPr>
        <w:t xml:space="preserve">Chart </w:t>
      </w:r>
      <w:r w:rsidR="00C06C08" w:rsidRPr="001B493F">
        <w:rPr>
          <w:rFonts w:asciiTheme="majorHAnsi" w:hAnsiTheme="majorHAnsi"/>
          <w:i/>
          <w:sz w:val="23"/>
          <w:szCs w:val="23"/>
          <w:lang w:val="en-GB"/>
        </w:rPr>
        <w:t>3</w:t>
      </w:r>
      <w:r w:rsidRPr="001B493F">
        <w:rPr>
          <w:rFonts w:asciiTheme="majorHAnsi" w:hAnsiTheme="majorHAnsi"/>
          <w:i/>
          <w:sz w:val="23"/>
          <w:szCs w:val="23"/>
          <w:lang w:val="en-GB"/>
        </w:rPr>
        <w:t>: Independent</w:t>
      </w:r>
      <w:r>
        <w:rPr>
          <w:rFonts w:asciiTheme="majorHAnsi" w:hAnsiTheme="majorHAnsi"/>
          <w:i/>
          <w:sz w:val="23"/>
          <w:szCs w:val="23"/>
          <w:lang w:val="en-GB"/>
        </w:rPr>
        <w:t xml:space="preserve"> School Location</w:t>
      </w:r>
      <w:r w:rsidRPr="00EA3969">
        <w:rPr>
          <w:rFonts w:asciiTheme="majorHAnsi" w:hAnsiTheme="majorHAnsi"/>
          <w:i/>
          <w:sz w:val="23"/>
          <w:szCs w:val="23"/>
          <w:lang w:val="en-GB"/>
        </w:rPr>
        <w:t xml:space="preserve"> </w:t>
      </w:r>
      <w:r w:rsidR="001C3CC7" w:rsidRPr="00EA3969">
        <w:rPr>
          <w:rFonts w:asciiTheme="majorHAnsi" w:hAnsiTheme="majorHAnsi"/>
          <w:i/>
          <w:sz w:val="23"/>
          <w:szCs w:val="23"/>
          <w:lang w:val="en-GB"/>
        </w:rPr>
        <w:t>20</w:t>
      </w:r>
      <w:r w:rsidR="001C3CC7">
        <w:rPr>
          <w:rFonts w:asciiTheme="majorHAnsi" w:hAnsiTheme="majorHAnsi"/>
          <w:i/>
          <w:sz w:val="23"/>
          <w:szCs w:val="23"/>
          <w:lang w:val="en-GB"/>
        </w:rPr>
        <w:t>19</w:t>
      </w:r>
    </w:p>
    <w:p w14:paraId="178F0DA5" w14:textId="3B0A48C1" w:rsidR="001C3CC7" w:rsidRDefault="001C3CC7" w:rsidP="0064029F">
      <w:pPr>
        <w:rPr>
          <w:rFonts w:asciiTheme="majorHAnsi" w:hAnsiTheme="majorHAnsi"/>
          <w:sz w:val="23"/>
          <w:szCs w:val="23"/>
          <w:lang w:val="en-GB"/>
        </w:rPr>
      </w:pPr>
      <w:r>
        <w:rPr>
          <w:noProof/>
        </w:rPr>
        <w:drawing>
          <wp:inline distT="0" distB="0" distL="0" distR="0" wp14:anchorId="1495F9F2" wp14:editId="3B3676F7">
            <wp:extent cx="4587766" cy="2617076"/>
            <wp:effectExtent l="0" t="0" r="3810" b="12065"/>
            <wp:docPr id="9" name="Chart 9">
              <a:extLst xmlns:a="http://schemas.openxmlformats.org/drawingml/2006/main">
                <a:ext uri="{FF2B5EF4-FFF2-40B4-BE49-F238E27FC236}">
                  <a16:creationId xmlns:a16="http://schemas.microsoft.com/office/drawing/2014/main" id="{834C7236-DE32-4B11-9682-E259F437B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8A33D8" w14:textId="33E2DC66" w:rsidR="0064029F" w:rsidRDefault="0064029F" w:rsidP="0064029F">
      <w:pPr>
        <w:pStyle w:val="NoSpacing"/>
        <w:rPr>
          <w:rFonts w:asciiTheme="majorHAnsi" w:hAnsiTheme="majorHAnsi"/>
          <w:sz w:val="18"/>
          <w:szCs w:val="18"/>
        </w:rPr>
      </w:pPr>
      <w:r w:rsidRPr="00FC4CE5">
        <w:rPr>
          <w:rFonts w:asciiTheme="majorHAnsi" w:hAnsiTheme="majorHAnsi"/>
          <w:sz w:val="18"/>
          <w:szCs w:val="18"/>
        </w:rPr>
        <w:t>Source: ACARA My School Dataset and ABS Regional Population Growth</w:t>
      </w:r>
      <w:r w:rsidR="001C3CC7">
        <w:rPr>
          <w:rFonts w:asciiTheme="majorHAnsi" w:hAnsiTheme="majorHAnsi"/>
          <w:sz w:val="18"/>
          <w:szCs w:val="18"/>
        </w:rPr>
        <w:t>,</w:t>
      </w:r>
      <w:r w:rsidRPr="00FC4CE5">
        <w:rPr>
          <w:rFonts w:asciiTheme="majorHAnsi" w:hAnsiTheme="majorHAnsi"/>
          <w:sz w:val="18"/>
          <w:szCs w:val="18"/>
        </w:rPr>
        <w:t xml:space="preserve"> Australia</w:t>
      </w:r>
      <w:r w:rsidR="001C3CC7" w:rsidRPr="00620A88">
        <w:rPr>
          <w:rFonts w:asciiTheme="majorHAnsi" w:hAnsiTheme="majorHAnsi"/>
          <w:sz w:val="18"/>
          <w:szCs w:val="18"/>
        </w:rPr>
        <w:t xml:space="preserve"> </w:t>
      </w:r>
      <w:r w:rsidR="001C3CC7" w:rsidRPr="001C3CC7">
        <w:rPr>
          <w:rFonts w:asciiTheme="majorHAnsi" w:hAnsiTheme="majorHAnsi"/>
          <w:sz w:val="18"/>
          <w:szCs w:val="18"/>
        </w:rPr>
        <w:t>(3218</w:t>
      </w:r>
      <w:r w:rsidR="001C3CC7">
        <w:rPr>
          <w:rFonts w:asciiTheme="majorHAnsi" w:hAnsiTheme="majorHAnsi"/>
          <w:sz w:val="18"/>
          <w:szCs w:val="18"/>
        </w:rPr>
        <w:t>.0)</w:t>
      </w:r>
      <w:r w:rsidRPr="00FC4CE5">
        <w:rPr>
          <w:rFonts w:asciiTheme="majorHAnsi" w:hAnsiTheme="majorHAnsi"/>
          <w:sz w:val="18"/>
          <w:szCs w:val="18"/>
        </w:rPr>
        <w:t xml:space="preserve"> </w:t>
      </w:r>
    </w:p>
    <w:p w14:paraId="3EF3C3A7" w14:textId="77777777" w:rsidR="0064029F" w:rsidRPr="00B93179" w:rsidRDefault="0064029F" w:rsidP="0064029F">
      <w:pPr>
        <w:pStyle w:val="NoSpacing"/>
        <w:rPr>
          <w:rFonts w:asciiTheme="majorHAnsi" w:hAnsiTheme="majorHAnsi"/>
          <w:sz w:val="18"/>
          <w:szCs w:val="18"/>
        </w:rPr>
      </w:pPr>
    </w:p>
    <w:p w14:paraId="779E4804" w14:textId="1BCD328D" w:rsidR="00015063" w:rsidRPr="00C06C08" w:rsidRDefault="00A407C0" w:rsidP="00E92E3A">
      <w:pPr>
        <w:rPr>
          <w:rFonts w:asciiTheme="majorHAnsi" w:hAnsiTheme="majorHAnsi"/>
          <w:strike/>
          <w:sz w:val="23"/>
          <w:szCs w:val="23"/>
        </w:rPr>
      </w:pPr>
      <w:r>
        <w:rPr>
          <w:rFonts w:asciiTheme="majorHAnsi" w:hAnsiTheme="majorHAnsi"/>
          <w:sz w:val="23"/>
          <w:szCs w:val="23"/>
        </w:rPr>
        <w:lastRenderedPageBreak/>
        <w:t xml:space="preserve">As demonstrated </w:t>
      </w:r>
      <w:r w:rsidRPr="001B493F">
        <w:rPr>
          <w:rFonts w:asciiTheme="majorHAnsi" w:hAnsiTheme="majorHAnsi"/>
          <w:sz w:val="23"/>
          <w:szCs w:val="23"/>
        </w:rPr>
        <w:t>in Chart 3 above</w:t>
      </w:r>
      <w:r>
        <w:rPr>
          <w:rFonts w:asciiTheme="majorHAnsi" w:hAnsiTheme="majorHAnsi"/>
          <w:sz w:val="23"/>
          <w:szCs w:val="23"/>
        </w:rPr>
        <w:t>, t</w:t>
      </w:r>
      <w:r w:rsidRPr="00E550A1">
        <w:rPr>
          <w:rFonts w:asciiTheme="majorHAnsi" w:hAnsiTheme="majorHAnsi"/>
          <w:sz w:val="23"/>
          <w:szCs w:val="23"/>
        </w:rPr>
        <w:t xml:space="preserve">he distribution of Independent schools is reflective of the distribution of the Australian population as a whole. While </w:t>
      </w:r>
      <w:r>
        <w:rPr>
          <w:rFonts w:asciiTheme="majorHAnsi" w:hAnsiTheme="majorHAnsi"/>
          <w:sz w:val="23"/>
          <w:szCs w:val="23"/>
        </w:rPr>
        <w:t>65</w:t>
      </w:r>
      <w:r w:rsidRPr="00E550A1">
        <w:rPr>
          <w:rFonts w:asciiTheme="majorHAnsi" w:hAnsiTheme="majorHAnsi"/>
          <w:sz w:val="23"/>
          <w:szCs w:val="23"/>
        </w:rPr>
        <w:t xml:space="preserve"> per cent of Independent schools are located in metropolitan areas, </w:t>
      </w:r>
      <w:r>
        <w:rPr>
          <w:rFonts w:asciiTheme="majorHAnsi" w:hAnsiTheme="majorHAnsi"/>
          <w:sz w:val="23"/>
          <w:szCs w:val="23"/>
        </w:rPr>
        <w:t>32</w:t>
      </w:r>
      <w:r w:rsidRPr="00E550A1">
        <w:rPr>
          <w:rFonts w:asciiTheme="majorHAnsi" w:hAnsiTheme="majorHAnsi"/>
          <w:sz w:val="23"/>
          <w:szCs w:val="23"/>
        </w:rPr>
        <w:t xml:space="preserve"> per cent are in regional areas, and </w:t>
      </w:r>
      <w:r w:rsidRPr="00620A88">
        <w:rPr>
          <w:rFonts w:asciiTheme="majorHAnsi" w:hAnsiTheme="majorHAnsi"/>
          <w:sz w:val="23"/>
          <w:szCs w:val="23"/>
        </w:rPr>
        <w:t>three</w:t>
      </w:r>
      <w:r w:rsidRPr="00E550A1">
        <w:rPr>
          <w:rFonts w:asciiTheme="majorHAnsi" w:hAnsiTheme="majorHAnsi"/>
          <w:sz w:val="23"/>
          <w:szCs w:val="23"/>
        </w:rPr>
        <w:t xml:space="preserve"> per cent of Independent schools are located in remote areas. </w:t>
      </w:r>
    </w:p>
    <w:p w14:paraId="088AD9DA" w14:textId="4459623C" w:rsidR="008B74CB" w:rsidRPr="000F5B86" w:rsidRDefault="008B74CB" w:rsidP="008B74CB">
      <w:pPr>
        <w:pStyle w:val="Heading3"/>
      </w:pPr>
      <w:bookmarkStart w:id="14" w:name="_Toc51932340"/>
      <w:r>
        <w:t xml:space="preserve">Students with Disability Enrolled in Independent </w:t>
      </w:r>
      <w:r w:rsidRPr="006873E6">
        <w:t>School</w:t>
      </w:r>
      <w:r>
        <w:t>s</w:t>
      </w:r>
      <w:bookmarkEnd w:id="14"/>
    </w:p>
    <w:p w14:paraId="41F336AB" w14:textId="58FEAFBA" w:rsidR="00015063" w:rsidRDefault="001847CB" w:rsidP="00E92E3A">
      <w:pPr>
        <w:rPr>
          <w:rFonts w:asciiTheme="majorHAnsi" w:hAnsiTheme="majorHAnsi"/>
          <w:sz w:val="23"/>
          <w:szCs w:val="23"/>
        </w:rPr>
      </w:pPr>
      <w:r w:rsidRPr="001847CB">
        <w:rPr>
          <w:rFonts w:asciiTheme="majorHAnsi" w:hAnsiTheme="majorHAnsi"/>
          <w:sz w:val="23"/>
          <w:szCs w:val="23"/>
        </w:rPr>
        <w:t xml:space="preserve">There were 120,533 </w:t>
      </w:r>
      <w:r w:rsidR="00B06D4A">
        <w:rPr>
          <w:rFonts w:asciiTheme="majorHAnsi" w:hAnsiTheme="majorHAnsi"/>
          <w:sz w:val="23"/>
          <w:szCs w:val="23"/>
        </w:rPr>
        <w:t>s</w:t>
      </w:r>
      <w:r w:rsidRPr="001847CB">
        <w:rPr>
          <w:rFonts w:asciiTheme="majorHAnsi" w:hAnsiTheme="majorHAnsi"/>
          <w:sz w:val="23"/>
          <w:szCs w:val="23"/>
        </w:rPr>
        <w:t xml:space="preserve">tudents with </w:t>
      </w:r>
      <w:r w:rsidR="00B06D4A">
        <w:rPr>
          <w:rFonts w:asciiTheme="majorHAnsi" w:hAnsiTheme="majorHAnsi"/>
          <w:sz w:val="23"/>
          <w:szCs w:val="23"/>
        </w:rPr>
        <w:t>d</w:t>
      </w:r>
      <w:r w:rsidRPr="001847CB">
        <w:rPr>
          <w:rFonts w:asciiTheme="majorHAnsi" w:hAnsiTheme="majorHAnsi"/>
          <w:sz w:val="23"/>
          <w:szCs w:val="23"/>
        </w:rPr>
        <w:t xml:space="preserve">isability enrolled in Independent schools in 2019, representing 19 per cent of the Independent school student population. Most of these students attend mainstream Independent schools although more than 8,900 attend one of the 119 </w:t>
      </w:r>
      <w:r w:rsidR="003E6066" w:rsidRPr="00E7324B">
        <w:rPr>
          <w:rFonts w:asciiTheme="majorHAnsi" w:hAnsiTheme="majorHAnsi"/>
          <w:sz w:val="23"/>
          <w:szCs w:val="23"/>
        </w:rPr>
        <w:t>S</w:t>
      </w:r>
      <w:r w:rsidRPr="00E7324B">
        <w:rPr>
          <w:rFonts w:asciiTheme="majorHAnsi" w:hAnsiTheme="majorHAnsi"/>
          <w:sz w:val="23"/>
          <w:szCs w:val="23"/>
        </w:rPr>
        <w:t>pecial schools</w:t>
      </w:r>
      <w:r w:rsidR="00E7324B" w:rsidRPr="00E7324B">
        <w:rPr>
          <w:rFonts w:asciiTheme="majorHAnsi" w:hAnsiTheme="majorHAnsi"/>
          <w:sz w:val="23"/>
          <w:szCs w:val="23"/>
          <w:vertAlign w:val="superscript"/>
        </w:rPr>
        <w:footnoteReference w:customMarkFollows="1" w:id="3"/>
        <w:sym w:font="Symbol" w:char="F02A"/>
      </w:r>
      <w:r w:rsidR="00E7324B" w:rsidRPr="00E7324B">
        <w:rPr>
          <w:rFonts w:asciiTheme="majorHAnsi" w:hAnsiTheme="majorHAnsi"/>
          <w:sz w:val="23"/>
          <w:szCs w:val="23"/>
        </w:rPr>
        <w:t xml:space="preserve"> </w:t>
      </w:r>
      <w:r w:rsidRPr="00E7324B">
        <w:rPr>
          <w:rFonts w:asciiTheme="majorHAnsi" w:hAnsiTheme="majorHAnsi"/>
          <w:sz w:val="23"/>
          <w:szCs w:val="23"/>
        </w:rPr>
        <w:t>in</w:t>
      </w:r>
      <w:r w:rsidRPr="001847CB">
        <w:rPr>
          <w:rFonts w:asciiTheme="majorHAnsi" w:hAnsiTheme="majorHAnsi"/>
          <w:sz w:val="23"/>
          <w:szCs w:val="23"/>
        </w:rPr>
        <w:t xml:space="preserve"> the sector.</w:t>
      </w:r>
    </w:p>
    <w:p w14:paraId="367D4B0A" w14:textId="2AD149DB" w:rsidR="00015063" w:rsidRDefault="0070494C" w:rsidP="00E92E3A">
      <w:pPr>
        <w:rPr>
          <w:rFonts w:asciiTheme="majorHAnsi" w:hAnsiTheme="majorHAnsi"/>
          <w:sz w:val="23"/>
          <w:szCs w:val="23"/>
        </w:rPr>
      </w:pPr>
      <w:r w:rsidRPr="0070494C">
        <w:rPr>
          <w:rFonts w:asciiTheme="majorHAnsi" w:hAnsiTheme="majorHAnsi"/>
          <w:sz w:val="23"/>
          <w:szCs w:val="23"/>
        </w:rPr>
        <w:t xml:space="preserve">The number of </w:t>
      </w:r>
      <w:r w:rsidR="00B06D4A">
        <w:rPr>
          <w:rFonts w:asciiTheme="majorHAnsi" w:hAnsiTheme="majorHAnsi"/>
          <w:sz w:val="23"/>
          <w:szCs w:val="23"/>
        </w:rPr>
        <w:t>s</w:t>
      </w:r>
      <w:r w:rsidRPr="0070494C">
        <w:rPr>
          <w:rFonts w:asciiTheme="majorHAnsi" w:hAnsiTheme="majorHAnsi"/>
          <w:sz w:val="23"/>
          <w:szCs w:val="23"/>
        </w:rPr>
        <w:t xml:space="preserve">tudents with </w:t>
      </w:r>
      <w:r w:rsidR="00B06D4A">
        <w:rPr>
          <w:rFonts w:asciiTheme="majorHAnsi" w:hAnsiTheme="majorHAnsi"/>
          <w:sz w:val="23"/>
          <w:szCs w:val="23"/>
        </w:rPr>
        <w:t>d</w:t>
      </w:r>
      <w:r w:rsidRPr="0070494C">
        <w:rPr>
          <w:rFonts w:asciiTheme="majorHAnsi" w:hAnsiTheme="majorHAnsi"/>
          <w:sz w:val="23"/>
          <w:szCs w:val="23"/>
        </w:rPr>
        <w:t xml:space="preserve">isability in the sector has grown substantially over the past </w:t>
      </w:r>
      <w:r w:rsidR="00A8139E">
        <w:rPr>
          <w:rFonts w:asciiTheme="majorHAnsi" w:hAnsiTheme="majorHAnsi"/>
          <w:sz w:val="23"/>
          <w:szCs w:val="23"/>
        </w:rPr>
        <w:t>two and a half decades</w:t>
      </w:r>
      <w:r w:rsidRPr="0070494C">
        <w:rPr>
          <w:rFonts w:asciiTheme="majorHAnsi" w:hAnsiTheme="majorHAnsi"/>
          <w:sz w:val="23"/>
          <w:szCs w:val="23"/>
        </w:rPr>
        <w:t>, although the growth rate varies from year to year. </w:t>
      </w:r>
      <w:r w:rsidR="009616A1">
        <w:rPr>
          <w:rFonts w:asciiTheme="majorHAnsi" w:hAnsiTheme="majorHAnsi"/>
          <w:sz w:val="23"/>
          <w:szCs w:val="23"/>
        </w:rPr>
        <w:t xml:space="preserve">The rate of </w:t>
      </w:r>
      <w:r w:rsidR="00880CCA">
        <w:rPr>
          <w:rFonts w:asciiTheme="majorHAnsi" w:hAnsiTheme="majorHAnsi"/>
          <w:sz w:val="23"/>
          <w:szCs w:val="23"/>
        </w:rPr>
        <w:t xml:space="preserve">growth of </w:t>
      </w:r>
      <w:r w:rsidR="00B06D4A">
        <w:rPr>
          <w:rFonts w:asciiTheme="majorHAnsi" w:hAnsiTheme="majorHAnsi"/>
          <w:sz w:val="23"/>
          <w:szCs w:val="23"/>
        </w:rPr>
        <w:t>s</w:t>
      </w:r>
      <w:r w:rsidR="00880CCA">
        <w:rPr>
          <w:rFonts w:asciiTheme="majorHAnsi" w:hAnsiTheme="majorHAnsi"/>
          <w:sz w:val="23"/>
          <w:szCs w:val="23"/>
        </w:rPr>
        <w:t xml:space="preserve">tudents with </w:t>
      </w:r>
      <w:r w:rsidR="00B06D4A">
        <w:rPr>
          <w:rFonts w:asciiTheme="majorHAnsi" w:hAnsiTheme="majorHAnsi"/>
          <w:sz w:val="23"/>
          <w:szCs w:val="23"/>
        </w:rPr>
        <w:t>d</w:t>
      </w:r>
      <w:r w:rsidR="00880CCA">
        <w:rPr>
          <w:rFonts w:asciiTheme="majorHAnsi" w:hAnsiTheme="majorHAnsi"/>
          <w:sz w:val="23"/>
          <w:szCs w:val="23"/>
        </w:rPr>
        <w:t>isability enrolling in Independent schools is four times that of the sector’s overall enrolment growth</w:t>
      </w:r>
      <w:r w:rsidR="00832DF8">
        <w:rPr>
          <w:rFonts w:asciiTheme="majorHAnsi" w:hAnsiTheme="majorHAnsi"/>
          <w:sz w:val="23"/>
          <w:szCs w:val="23"/>
        </w:rPr>
        <w:t xml:space="preserve">. </w:t>
      </w:r>
    </w:p>
    <w:p w14:paraId="306C5A5C" w14:textId="3FD0B9F6" w:rsidR="00B7792A" w:rsidRPr="001B493F" w:rsidRDefault="00B7792A" w:rsidP="00A217FE">
      <w:pPr>
        <w:rPr>
          <w:rFonts w:asciiTheme="majorHAnsi" w:hAnsiTheme="majorHAnsi"/>
          <w:i/>
          <w:sz w:val="23"/>
          <w:szCs w:val="23"/>
          <w:lang w:val="en-GB"/>
        </w:rPr>
      </w:pPr>
      <w:r w:rsidRPr="001B493F">
        <w:rPr>
          <w:rFonts w:asciiTheme="majorHAnsi" w:hAnsiTheme="majorHAnsi"/>
          <w:i/>
          <w:sz w:val="23"/>
          <w:szCs w:val="23"/>
          <w:lang w:val="en-GB"/>
        </w:rPr>
        <w:t xml:space="preserve">Chart </w:t>
      </w:r>
      <w:r w:rsidR="00C06C08" w:rsidRPr="001B493F">
        <w:rPr>
          <w:rFonts w:asciiTheme="majorHAnsi" w:hAnsiTheme="majorHAnsi"/>
          <w:i/>
          <w:sz w:val="23"/>
          <w:szCs w:val="23"/>
          <w:lang w:val="en-GB"/>
        </w:rPr>
        <w:t>4</w:t>
      </w:r>
      <w:r w:rsidRPr="001B493F">
        <w:rPr>
          <w:rFonts w:asciiTheme="majorHAnsi" w:hAnsiTheme="majorHAnsi"/>
          <w:i/>
          <w:sz w:val="23"/>
          <w:szCs w:val="23"/>
          <w:lang w:val="en-GB"/>
        </w:rPr>
        <w:t>: Growth Rate of Student with Disability in Independent Schools 1996-2019</w:t>
      </w:r>
    </w:p>
    <w:p w14:paraId="0708DF35" w14:textId="735C0045" w:rsidR="00B7792A" w:rsidRDefault="00B7792A" w:rsidP="00A217FE">
      <w:pPr>
        <w:rPr>
          <w:rFonts w:asciiTheme="majorHAnsi" w:hAnsiTheme="majorHAnsi"/>
          <w:sz w:val="23"/>
          <w:szCs w:val="23"/>
        </w:rPr>
      </w:pPr>
      <w:r>
        <w:rPr>
          <w:noProof/>
        </w:rPr>
        <w:drawing>
          <wp:inline distT="0" distB="0" distL="0" distR="0" wp14:anchorId="2B835DB7" wp14:editId="5F3DAC08">
            <wp:extent cx="5800725" cy="3395345"/>
            <wp:effectExtent l="0" t="0" r="0" b="0"/>
            <wp:docPr id="1" name="Chart 1">
              <a:extLst xmlns:a="http://schemas.openxmlformats.org/drawingml/2006/main">
                <a:ext uri="{FF2B5EF4-FFF2-40B4-BE49-F238E27FC236}">
                  <a16:creationId xmlns:a16="http://schemas.microsoft.com/office/drawing/2014/main" id="{E48ECBE9-337F-482B-B2A8-EE64082A8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CAA983" w14:textId="4728EB87" w:rsidR="00B7792A" w:rsidRDefault="00B7792A" w:rsidP="00A217FE">
      <w:pPr>
        <w:rPr>
          <w:rFonts w:asciiTheme="majorHAnsi" w:hAnsiTheme="majorHAnsi"/>
          <w:sz w:val="23"/>
          <w:szCs w:val="23"/>
        </w:rPr>
      </w:pPr>
      <w:r w:rsidRPr="00FC4CE5">
        <w:rPr>
          <w:rFonts w:asciiTheme="majorHAnsi" w:hAnsiTheme="majorHAnsi"/>
          <w:sz w:val="18"/>
          <w:szCs w:val="18"/>
        </w:rPr>
        <w:t xml:space="preserve">Source: </w:t>
      </w:r>
      <w:r w:rsidRPr="001B493F">
        <w:rPr>
          <w:rFonts w:asciiTheme="majorHAnsi" w:hAnsiTheme="majorHAnsi"/>
          <w:sz w:val="18"/>
          <w:szCs w:val="18"/>
        </w:rPr>
        <w:t>DE</w:t>
      </w:r>
      <w:r w:rsidR="00A407C0" w:rsidRPr="001B493F">
        <w:rPr>
          <w:rFonts w:asciiTheme="majorHAnsi" w:hAnsiTheme="majorHAnsi"/>
          <w:sz w:val="18"/>
          <w:szCs w:val="18"/>
        </w:rPr>
        <w:t>SE</w:t>
      </w:r>
      <w:r w:rsidRPr="001B493F">
        <w:rPr>
          <w:rFonts w:asciiTheme="majorHAnsi" w:hAnsiTheme="majorHAnsi"/>
          <w:sz w:val="18"/>
          <w:szCs w:val="18"/>
        </w:rPr>
        <w:t xml:space="preserve"> Non</w:t>
      </w:r>
      <w:r w:rsidRPr="00FC4CE5">
        <w:rPr>
          <w:rFonts w:asciiTheme="majorHAnsi" w:hAnsiTheme="majorHAnsi"/>
          <w:sz w:val="18"/>
          <w:szCs w:val="18"/>
        </w:rPr>
        <w:t xml:space="preserve">-Government Schools Census </w:t>
      </w:r>
    </w:p>
    <w:p w14:paraId="23BBFC56" w14:textId="73E83003" w:rsidR="006F56E4" w:rsidRDefault="006F56E4" w:rsidP="00A217FE">
      <w:pPr>
        <w:rPr>
          <w:rFonts w:asciiTheme="majorHAnsi" w:hAnsiTheme="majorHAnsi"/>
          <w:sz w:val="23"/>
          <w:szCs w:val="23"/>
        </w:rPr>
      </w:pPr>
      <w:r>
        <w:rPr>
          <w:rFonts w:asciiTheme="majorHAnsi" w:hAnsiTheme="majorHAnsi"/>
          <w:sz w:val="23"/>
          <w:szCs w:val="23"/>
        </w:rPr>
        <w:t>The introduction of the Nationally Consistent Collection of Dat</w:t>
      </w:r>
      <w:r w:rsidR="003E6066">
        <w:rPr>
          <w:rFonts w:asciiTheme="majorHAnsi" w:hAnsiTheme="majorHAnsi"/>
          <w:sz w:val="23"/>
          <w:szCs w:val="23"/>
        </w:rPr>
        <w:t>a</w:t>
      </w:r>
      <w:r>
        <w:rPr>
          <w:rFonts w:asciiTheme="majorHAnsi" w:hAnsiTheme="majorHAnsi"/>
          <w:sz w:val="23"/>
          <w:szCs w:val="23"/>
        </w:rPr>
        <w:t xml:space="preserve"> </w:t>
      </w:r>
      <w:r w:rsidR="00745B21">
        <w:rPr>
          <w:rFonts w:asciiTheme="majorHAnsi" w:hAnsiTheme="majorHAnsi"/>
          <w:sz w:val="23"/>
          <w:szCs w:val="23"/>
        </w:rPr>
        <w:t xml:space="preserve">(NCCD) </w:t>
      </w:r>
      <w:r>
        <w:rPr>
          <w:rFonts w:asciiTheme="majorHAnsi" w:hAnsiTheme="majorHAnsi"/>
          <w:sz w:val="23"/>
          <w:szCs w:val="23"/>
        </w:rPr>
        <w:t xml:space="preserve">on School </w:t>
      </w:r>
      <w:r w:rsidR="00CE36F7">
        <w:rPr>
          <w:rFonts w:asciiTheme="majorHAnsi" w:hAnsiTheme="majorHAnsi"/>
          <w:sz w:val="23"/>
          <w:szCs w:val="23"/>
        </w:rPr>
        <w:t>S</w:t>
      </w:r>
      <w:r>
        <w:rPr>
          <w:rFonts w:asciiTheme="majorHAnsi" w:hAnsiTheme="majorHAnsi"/>
          <w:sz w:val="23"/>
          <w:szCs w:val="23"/>
        </w:rPr>
        <w:t xml:space="preserve">tudents with </w:t>
      </w:r>
      <w:r w:rsidR="00CE36F7">
        <w:rPr>
          <w:rFonts w:asciiTheme="majorHAnsi" w:hAnsiTheme="majorHAnsi"/>
          <w:sz w:val="23"/>
          <w:szCs w:val="23"/>
        </w:rPr>
        <w:t>D</w:t>
      </w:r>
      <w:r>
        <w:rPr>
          <w:rFonts w:asciiTheme="majorHAnsi" w:hAnsiTheme="majorHAnsi"/>
          <w:sz w:val="23"/>
          <w:szCs w:val="23"/>
        </w:rPr>
        <w:t xml:space="preserve">isability in 2018 has resulted in a considerable difference in the way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are counted. While this means that data </w:t>
      </w:r>
      <w:r w:rsidR="003E6066">
        <w:rPr>
          <w:rFonts w:asciiTheme="majorHAnsi" w:hAnsiTheme="majorHAnsi"/>
          <w:sz w:val="23"/>
          <w:szCs w:val="23"/>
        </w:rPr>
        <w:t xml:space="preserve">collected </w:t>
      </w:r>
      <w:r>
        <w:rPr>
          <w:rFonts w:asciiTheme="majorHAnsi" w:hAnsiTheme="majorHAnsi"/>
          <w:sz w:val="23"/>
          <w:szCs w:val="23"/>
        </w:rPr>
        <w:t xml:space="preserve">from 2018 on is not directly comparable with previous years’ data, Chart 4 above shows that significant growth of enrolments of </w:t>
      </w:r>
      <w:r w:rsidR="00B06D4A">
        <w:rPr>
          <w:rFonts w:asciiTheme="majorHAnsi" w:hAnsiTheme="majorHAnsi"/>
          <w:sz w:val="23"/>
          <w:szCs w:val="23"/>
        </w:rPr>
        <w:t>s</w:t>
      </w:r>
      <w:r>
        <w:rPr>
          <w:rFonts w:asciiTheme="majorHAnsi" w:hAnsiTheme="majorHAnsi"/>
          <w:sz w:val="23"/>
          <w:szCs w:val="23"/>
        </w:rPr>
        <w:t xml:space="preserve">tudents </w:t>
      </w:r>
      <w:r>
        <w:rPr>
          <w:rFonts w:asciiTheme="majorHAnsi" w:hAnsiTheme="majorHAnsi"/>
          <w:sz w:val="23"/>
          <w:szCs w:val="23"/>
        </w:rPr>
        <w:lastRenderedPageBreak/>
        <w:t xml:space="preserve">with </w:t>
      </w:r>
      <w:r w:rsidR="00B06D4A">
        <w:rPr>
          <w:rFonts w:asciiTheme="majorHAnsi" w:hAnsiTheme="majorHAnsi"/>
          <w:sz w:val="23"/>
          <w:szCs w:val="23"/>
        </w:rPr>
        <w:t>d</w:t>
      </w:r>
      <w:r>
        <w:rPr>
          <w:rFonts w:asciiTheme="majorHAnsi" w:hAnsiTheme="majorHAnsi"/>
          <w:sz w:val="23"/>
          <w:szCs w:val="23"/>
        </w:rPr>
        <w:t xml:space="preserve">isability in the </w:t>
      </w:r>
      <w:r w:rsidR="00587040">
        <w:rPr>
          <w:rFonts w:asciiTheme="majorHAnsi" w:hAnsiTheme="majorHAnsi"/>
          <w:sz w:val="23"/>
          <w:szCs w:val="23"/>
        </w:rPr>
        <w:t>I</w:t>
      </w:r>
      <w:r>
        <w:rPr>
          <w:rFonts w:asciiTheme="majorHAnsi" w:hAnsiTheme="majorHAnsi"/>
          <w:sz w:val="23"/>
          <w:szCs w:val="23"/>
        </w:rPr>
        <w:t>ndependent sector began before the introduction of the NCCD or, indeed, the Standards in 2005.</w:t>
      </w:r>
    </w:p>
    <w:p w14:paraId="37437828" w14:textId="0DAA0F31" w:rsidR="009616A1" w:rsidRDefault="002F1607" w:rsidP="00A217FE">
      <w:pPr>
        <w:rPr>
          <w:rFonts w:asciiTheme="majorHAnsi" w:hAnsiTheme="majorHAnsi"/>
          <w:sz w:val="23"/>
          <w:szCs w:val="23"/>
        </w:rPr>
      </w:pPr>
      <w:r>
        <w:rPr>
          <w:rFonts w:asciiTheme="majorHAnsi" w:hAnsiTheme="majorHAnsi"/>
          <w:sz w:val="23"/>
          <w:szCs w:val="23"/>
        </w:rPr>
        <w:t>According to the NCC</w:t>
      </w:r>
      <w:r w:rsidR="00F83BA3">
        <w:rPr>
          <w:rFonts w:asciiTheme="majorHAnsi" w:hAnsiTheme="majorHAnsi"/>
          <w:sz w:val="23"/>
          <w:szCs w:val="23"/>
        </w:rPr>
        <w:t>D</w:t>
      </w:r>
      <w:r w:rsidR="0015429E">
        <w:rPr>
          <w:rFonts w:asciiTheme="majorHAnsi" w:hAnsiTheme="majorHAnsi"/>
          <w:sz w:val="23"/>
          <w:szCs w:val="23"/>
        </w:rPr>
        <w:t xml:space="preserve">, </w:t>
      </w:r>
      <w:r w:rsidR="00A217FE" w:rsidRPr="00A217FE">
        <w:rPr>
          <w:rFonts w:asciiTheme="majorHAnsi" w:hAnsiTheme="majorHAnsi"/>
          <w:sz w:val="23"/>
          <w:szCs w:val="23"/>
        </w:rPr>
        <w:t xml:space="preserve">currently 15% of </w:t>
      </w:r>
      <w:r w:rsidR="00B06D4A">
        <w:rPr>
          <w:rFonts w:asciiTheme="majorHAnsi" w:hAnsiTheme="majorHAnsi"/>
          <w:sz w:val="23"/>
          <w:szCs w:val="23"/>
        </w:rPr>
        <w:t>s</w:t>
      </w:r>
      <w:r w:rsidR="00A217FE" w:rsidRPr="00A217FE">
        <w:rPr>
          <w:rFonts w:asciiTheme="majorHAnsi" w:hAnsiTheme="majorHAnsi"/>
          <w:sz w:val="23"/>
          <w:szCs w:val="23"/>
        </w:rPr>
        <w:t xml:space="preserve">tudents with </w:t>
      </w:r>
      <w:r w:rsidR="00B06D4A">
        <w:rPr>
          <w:rFonts w:asciiTheme="majorHAnsi" w:hAnsiTheme="majorHAnsi"/>
          <w:sz w:val="23"/>
          <w:szCs w:val="23"/>
        </w:rPr>
        <w:t>d</w:t>
      </w:r>
      <w:r w:rsidR="00A217FE" w:rsidRPr="00A217FE">
        <w:rPr>
          <w:rFonts w:asciiTheme="majorHAnsi" w:hAnsiTheme="majorHAnsi"/>
          <w:sz w:val="23"/>
          <w:szCs w:val="23"/>
        </w:rPr>
        <w:t>isability receiving an adjustment were in Independent schools, which is in line with the sector’s overall total enrolment share.</w:t>
      </w:r>
      <w:r w:rsidR="00344737" w:rsidRPr="00344737">
        <w:rPr>
          <w:rFonts w:asciiTheme="majorHAnsi" w:hAnsiTheme="majorHAnsi"/>
          <w:sz w:val="23"/>
          <w:szCs w:val="23"/>
          <w:vertAlign w:val="superscript"/>
        </w:rPr>
        <w:t xml:space="preserve"> </w:t>
      </w:r>
      <w:r w:rsidR="00344737" w:rsidRPr="00344737">
        <w:rPr>
          <w:rFonts w:asciiTheme="majorHAnsi" w:hAnsiTheme="majorHAnsi"/>
          <w:sz w:val="23"/>
          <w:szCs w:val="23"/>
          <w:vertAlign w:val="superscript"/>
        </w:rPr>
        <w:footnoteReference w:customMarkFollows="1" w:id="4"/>
        <w:sym w:font="Symbol" w:char="F02A"/>
      </w:r>
      <w:r w:rsidR="00344737" w:rsidRPr="00344737">
        <w:rPr>
          <w:rFonts w:asciiTheme="majorHAnsi" w:hAnsiTheme="majorHAnsi"/>
          <w:sz w:val="23"/>
          <w:szCs w:val="23"/>
        </w:rPr>
        <w:t xml:space="preserve"> </w:t>
      </w:r>
      <w:r w:rsidR="00344737">
        <w:rPr>
          <w:rStyle w:val="FootnoteReference"/>
          <w:rFonts w:asciiTheme="majorHAnsi" w:hAnsiTheme="majorHAnsi"/>
          <w:sz w:val="23"/>
          <w:szCs w:val="23"/>
        </w:rPr>
        <w:footnoteReference w:id="5"/>
      </w:r>
    </w:p>
    <w:p w14:paraId="4207290E" w14:textId="0A975CF5" w:rsidR="00EE782E" w:rsidRDefault="00C60CFB" w:rsidP="00A217FE">
      <w:pPr>
        <w:rPr>
          <w:rFonts w:asciiTheme="majorHAnsi" w:hAnsiTheme="majorHAnsi"/>
          <w:sz w:val="23"/>
          <w:szCs w:val="23"/>
        </w:rPr>
      </w:pPr>
      <w:r>
        <w:rPr>
          <w:rFonts w:asciiTheme="majorHAnsi" w:hAnsiTheme="majorHAnsi"/>
          <w:sz w:val="23"/>
          <w:szCs w:val="23"/>
        </w:rPr>
        <w:t>As noted above</w:t>
      </w:r>
      <w:r w:rsidR="00A217FE" w:rsidRPr="00A217FE">
        <w:rPr>
          <w:rFonts w:asciiTheme="majorHAnsi" w:hAnsiTheme="majorHAnsi"/>
          <w:sz w:val="23"/>
          <w:szCs w:val="23"/>
        </w:rPr>
        <w:t xml:space="preserve">, most </w:t>
      </w:r>
      <w:r w:rsidR="00B06D4A">
        <w:rPr>
          <w:rFonts w:asciiTheme="majorHAnsi" w:hAnsiTheme="majorHAnsi"/>
          <w:sz w:val="23"/>
          <w:szCs w:val="23"/>
        </w:rPr>
        <w:t>s</w:t>
      </w:r>
      <w:r w:rsidR="00A217FE" w:rsidRPr="00A217FE">
        <w:rPr>
          <w:rFonts w:asciiTheme="majorHAnsi" w:hAnsiTheme="majorHAnsi"/>
          <w:sz w:val="23"/>
          <w:szCs w:val="23"/>
        </w:rPr>
        <w:t xml:space="preserve">tudents with </w:t>
      </w:r>
      <w:r w:rsidR="00B06D4A">
        <w:rPr>
          <w:rFonts w:asciiTheme="majorHAnsi" w:hAnsiTheme="majorHAnsi"/>
          <w:sz w:val="23"/>
          <w:szCs w:val="23"/>
        </w:rPr>
        <w:t>d</w:t>
      </w:r>
      <w:r w:rsidR="00A217FE" w:rsidRPr="00A217FE">
        <w:rPr>
          <w:rFonts w:asciiTheme="majorHAnsi" w:hAnsiTheme="majorHAnsi"/>
          <w:sz w:val="23"/>
          <w:szCs w:val="23"/>
        </w:rPr>
        <w:t xml:space="preserve">isability </w:t>
      </w:r>
      <w:r>
        <w:rPr>
          <w:rFonts w:asciiTheme="majorHAnsi" w:hAnsiTheme="majorHAnsi"/>
          <w:sz w:val="23"/>
          <w:szCs w:val="23"/>
        </w:rPr>
        <w:t>i</w:t>
      </w:r>
      <w:r w:rsidRPr="00A217FE">
        <w:rPr>
          <w:rFonts w:asciiTheme="majorHAnsi" w:hAnsiTheme="majorHAnsi"/>
          <w:sz w:val="23"/>
          <w:szCs w:val="23"/>
        </w:rPr>
        <w:t xml:space="preserve">n the Independent sector </w:t>
      </w:r>
      <w:r w:rsidR="00A217FE" w:rsidRPr="00A217FE">
        <w:rPr>
          <w:rFonts w:asciiTheme="majorHAnsi" w:hAnsiTheme="majorHAnsi"/>
          <w:sz w:val="23"/>
          <w:szCs w:val="23"/>
        </w:rPr>
        <w:t xml:space="preserve">attend mainstream schools although more than 8,900 – about 7 per cent of the total – attend one of </w:t>
      </w:r>
      <w:r w:rsidR="00A217FE" w:rsidRPr="00E7324B">
        <w:rPr>
          <w:rFonts w:asciiTheme="majorHAnsi" w:hAnsiTheme="majorHAnsi"/>
          <w:sz w:val="23"/>
          <w:szCs w:val="23"/>
        </w:rPr>
        <w:t xml:space="preserve">the 119 </w:t>
      </w:r>
      <w:r w:rsidR="00E65F88">
        <w:rPr>
          <w:rFonts w:asciiTheme="majorHAnsi" w:hAnsiTheme="majorHAnsi"/>
          <w:sz w:val="23"/>
          <w:szCs w:val="23"/>
        </w:rPr>
        <w:t>S</w:t>
      </w:r>
      <w:r w:rsidR="00A217FE" w:rsidRPr="00E7324B">
        <w:rPr>
          <w:rFonts w:asciiTheme="majorHAnsi" w:hAnsiTheme="majorHAnsi"/>
          <w:sz w:val="23"/>
          <w:szCs w:val="23"/>
        </w:rPr>
        <w:t>pecial</w:t>
      </w:r>
      <w:r w:rsidR="00A217FE" w:rsidRPr="00A217FE">
        <w:rPr>
          <w:rFonts w:asciiTheme="majorHAnsi" w:hAnsiTheme="majorHAnsi"/>
          <w:sz w:val="23"/>
          <w:szCs w:val="23"/>
        </w:rPr>
        <w:t xml:space="preserve"> schools in the sector. This is consistent with the trend over recent decades to in</w:t>
      </w:r>
      <w:r w:rsidR="00C46C7F">
        <w:rPr>
          <w:rFonts w:asciiTheme="majorHAnsi" w:hAnsiTheme="majorHAnsi"/>
          <w:sz w:val="23"/>
          <w:szCs w:val="23"/>
        </w:rPr>
        <w:t>clude</w:t>
      </w:r>
      <w:r w:rsidR="00A217FE" w:rsidRPr="00A217FE">
        <w:rPr>
          <w:rFonts w:asciiTheme="majorHAnsi" w:hAnsiTheme="majorHAnsi"/>
          <w:sz w:val="23"/>
          <w:szCs w:val="23"/>
        </w:rPr>
        <w:t xml:space="preserve"> </w:t>
      </w:r>
      <w:r w:rsidR="00B06D4A">
        <w:rPr>
          <w:rFonts w:asciiTheme="majorHAnsi" w:hAnsiTheme="majorHAnsi"/>
          <w:sz w:val="23"/>
          <w:szCs w:val="23"/>
        </w:rPr>
        <w:t>s</w:t>
      </w:r>
      <w:r w:rsidR="00A217FE" w:rsidRPr="00A217FE">
        <w:rPr>
          <w:rFonts w:asciiTheme="majorHAnsi" w:hAnsiTheme="majorHAnsi"/>
          <w:sz w:val="23"/>
          <w:szCs w:val="23"/>
        </w:rPr>
        <w:t xml:space="preserve">tudents with </w:t>
      </w:r>
      <w:r w:rsidR="00B06D4A">
        <w:rPr>
          <w:rFonts w:asciiTheme="majorHAnsi" w:hAnsiTheme="majorHAnsi"/>
          <w:sz w:val="23"/>
          <w:szCs w:val="23"/>
        </w:rPr>
        <w:t>d</w:t>
      </w:r>
      <w:r w:rsidR="00A217FE" w:rsidRPr="00A217FE">
        <w:rPr>
          <w:rFonts w:asciiTheme="majorHAnsi" w:hAnsiTheme="majorHAnsi"/>
          <w:sz w:val="23"/>
          <w:szCs w:val="23"/>
        </w:rPr>
        <w:t xml:space="preserve">isability into mainstream classrooms or special needs units in mainstream schools. </w:t>
      </w:r>
    </w:p>
    <w:p w14:paraId="44D9C730" w14:textId="1F0AAC49" w:rsidR="00A217FE" w:rsidRPr="00A217FE" w:rsidRDefault="00A217FE" w:rsidP="00A217FE">
      <w:pPr>
        <w:rPr>
          <w:rFonts w:asciiTheme="majorHAnsi" w:hAnsiTheme="majorHAnsi"/>
          <w:sz w:val="23"/>
          <w:szCs w:val="23"/>
        </w:rPr>
      </w:pPr>
      <w:r w:rsidRPr="00A217FE">
        <w:rPr>
          <w:rFonts w:asciiTheme="majorHAnsi" w:hAnsiTheme="majorHAnsi"/>
          <w:sz w:val="23"/>
          <w:szCs w:val="23"/>
        </w:rPr>
        <w:t xml:space="preserve">However, parents should be able to choose a non-mainstream educational environment if a </w:t>
      </w:r>
      <w:r w:rsidR="00E65F88">
        <w:rPr>
          <w:rFonts w:asciiTheme="majorHAnsi" w:hAnsiTheme="majorHAnsi"/>
          <w:sz w:val="23"/>
          <w:szCs w:val="23"/>
        </w:rPr>
        <w:t>S</w:t>
      </w:r>
      <w:r w:rsidRPr="00A217FE">
        <w:rPr>
          <w:rFonts w:asciiTheme="majorHAnsi" w:hAnsiTheme="majorHAnsi"/>
          <w:sz w:val="23"/>
          <w:szCs w:val="23"/>
        </w:rPr>
        <w:t xml:space="preserve">pecial school is the best option for their child, and the Independent sector is a major provider of </w:t>
      </w:r>
      <w:r w:rsidR="00C06C08">
        <w:rPr>
          <w:rFonts w:asciiTheme="majorHAnsi" w:hAnsiTheme="majorHAnsi"/>
          <w:sz w:val="23"/>
          <w:szCs w:val="23"/>
        </w:rPr>
        <w:t>S</w:t>
      </w:r>
      <w:r w:rsidRPr="00A217FE">
        <w:rPr>
          <w:rFonts w:asciiTheme="majorHAnsi" w:hAnsiTheme="majorHAnsi"/>
          <w:sz w:val="23"/>
          <w:szCs w:val="23"/>
        </w:rPr>
        <w:t>pecial schools.</w:t>
      </w:r>
    </w:p>
    <w:p w14:paraId="499F4AED" w14:textId="01E532C4" w:rsidR="0015429E" w:rsidRPr="000F5B86" w:rsidRDefault="0015429E" w:rsidP="0015429E">
      <w:pPr>
        <w:pStyle w:val="Heading3"/>
      </w:pPr>
      <w:bookmarkStart w:id="15" w:name="_Toc51932341"/>
      <w:r>
        <w:t>S</w:t>
      </w:r>
      <w:r w:rsidR="007C604C">
        <w:t>pecial Education Provision</w:t>
      </w:r>
      <w:bookmarkEnd w:id="15"/>
    </w:p>
    <w:p w14:paraId="4BFAE533" w14:textId="10621D8B" w:rsidR="00A217FE" w:rsidRDefault="00A217FE" w:rsidP="00A217FE">
      <w:pPr>
        <w:rPr>
          <w:rFonts w:asciiTheme="majorHAnsi" w:hAnsiTheme="majorHAnsi"/>
          <w:sz w:val="23"/>
          <w:szCs w:val="23"/>
        </w:rPr>
      </w:pPr>
      <w:r w:rsidRPr="00A217FE">
        <w:rPr>
          <w:rFonts w:asciiTheme="majorHAnsi" w:hAnsiTheme="majorHAnsi"/>
          <w:sz w:val="23"/>
          <w:szCs w:val="23"/>
        </w:rPr>
        <w:t xml:space="preserve">Special schools, including Special Assistance Schools, provide alternative educational settings for students with high-level needs and cater for </w:t>
      </w:r>
      <w:r w:rsidR="00B06D4A">
        <w:rPr>
          <w:rFonts w:asciiTheme="majorHAnsi" w:hAnsiTheme="majorHAnsi"/>
          <w:sz w:val="23"/>
          <w:szCs w:val="23"/>
        </w:rPr>
        <w:t>s</w:t>
      </w:r>
      <w:r w:rsidRPr="00A217FE">
        <w:rPr>
          <w:rFonts w:asciiTheme="majorHAnsi" w:hAnsiTheme="majorHAnsi"/>
          <w:sz w:val="23"/>
          <w:szCs w:val="23"/>
        </w:rPr>
        <w:t xml:space="preserve">tudents with </w:t>
      </w:r>
      <w:r w:rsidR="00B06D4A">
        <w:rPr>
          <w:rFonts w:asciiTheme="majorHAnsi" w:hAnsiTheme="majorHAnsi"/>
          <w:sz w:val="23"/>
          <w:szCs w:val="23"/>
        </w:rPr>
        <w:t>d</w:t>
      </w:r>
      <w:r w:rsidRPr="00A217FE">
        <w:rPr>
          <w:rFonts w:asciiTheme="majorHAnsi" w:hAnsiTheme="majorHAnsi"/>
          <w:sz w:val="23"/>
          <w:szCs w:val="23"/>
        </w:rPr>
        <w:t>isability, as well as students who are at risk, have behavioural difficulties, or whose needs are better met by flexible learning structures that may not be available in all mainstream schools.</w:t>
      </w:r>
    </w:p>
    <w:p w14:paraId="2CE10131" w14:textId="31F485C9" w:rsidR="00B7792A" w:rsidRPr="00A217FE" w:rsidRDefault="00C06C08" w:rsidP="00A217FE">
      <w:pPr>
        <w:rPr>
          <w:rFonts w:asciiTheme="majorHAnsi" w:hAnsiTheme="majorHAnsi"/>
          <w:sz w:val="23"/>
          <w:szCs w:val="23"/>
        </w:rPr>
      </w:pPr>
      <w:r w:rsidRPr="00C06C08">
        <w:rPr>
          <w:rFonts w:asciiTheme="majorHAnsi" w:hAnsiTheme="majorHAnsi"/>
          <w:sz w:val="23"/>
          <w:szCs w:val="23"/>
        </w:rPr>
        <w:t xml:space="preserve">According to ABS data, </w:t>
      </w:r>
      <w:r>
        <w:rPr>
          <w:rFonts w:asciiTheme="majorHAnsi" w:hAnsiTheme="majorHAnsi"/>
          <w:sz w:val="23"/>
          <w:szCs w:val="23"/>
        </w:rPr>
        <w:t>o</w:t>
      </w:r>
      <w:r w:rsidR="00F83BA3">
        <w:rPr>
          <w:rFonts w:asciiTheme="majorHAnsi" w:hAnsiTheme="majorHAnsi"/>
          <w:sz w:val="23"/>
          <w:szCs w:val="23"/>
        </w:rPr>
        <w:t>ver the decade 2010-2019, the number of Special schools in the Independent sector double</w:t>
      </w:r>
      <w:r>
        <w:rPr>
          <w:rFonts w:asciiTheme="majorHAnsi" w:hAnsiTheme="majorHAnsi"/>
          <w:sz w:val="23"/>
          <w:szCs w:val="23"/>
        </w:rPr>
        <w:t>d</w:t>
      </w:r>
      <w:r w:rsidR="00F83BA3">
        <w:rPr>
          <w:rFonts w:asciiTheme="majorHAnsi" w:hAnsiTheme="majorHAnsi"/>
          <w:sz w:val="23"/>
          <w:szCs w:val="23"/>
        </w:rPr>
        <w:t xml:space="preserve"> from 55 schools </w:t>
      </w:r>
      <w:r w:rsidR="00F83BA3" w:rsidRPr="00E7324B">
        <w:rPr>
          <w:rFonts w:asciiTheme="majorHAnsi" w:hAnsiTheme="majorHAnsi"/>
          <w:sz w:val="23"/>
          <w:szCs w:val="23"/>
        </w:rPr>
        <w:t>to 1</w:t>
      </w:r>
      <w:r w:rsidRPr="00E7324B">
        <w:rPr>
          <w:rFonts w:asciiTheme="majorHAnsi" w:hAnsiTheme="majorHAnsi"/>
          <w:sz w:val="23"/>
          <w:szCs w:val="23"/>
        </w:rPr>
        <w:t>1</w:t>
      </w:r>
      <w:r w:rsidR="003E6066" w:rsidRPr="00E7324B">
        <w:rPr>
          <w:rFonts w:asciiTheme="majorHAnsi" w:hAnsiTheme="majorHAnsi"/>
          <w:sz w:val="23"/>
          <w:szCs w:val="23"/>
        </w:rPr>
        <w:t>9</w:t>
      </w:r>
      <w:r w:rsidR="00F83BA3" w:rsidRPr="00E7324B">
        <w:rPr>
          <w:rFonts w:asciiTheme="majorHAnsi" w:hAnsiTheme="majorHAnsi"/>
          <w:sz w:val="23"/>
          <w:szCs w:val="23"/>
        </w:rPr>
        <w:t xml:space="preserve"> schools</w:t>
      </w:r>
      <w:r w:rsidR="00F83BA3">
        <w:rPr>
          <w:rFonts w:asciiTheme="majorHAnsi" w:hAnsiTheme="majorHAnsi"/>
          <w:sz w:val="23"/>
          <w:szCs w:val="23"/>
        </w:rPr>
        <w:t>. The average size of an Independent Special school in 2019 was 94 students.</w:t>
      </w:r>
    </w:p>
    <w:p w14:paraId="747BF763" w14:textId="196D6808" w:rsidR="00344737" w:rsidRDefault="00A217FE" w:rsidP="00A217FE">
      <w:pPr>
        <w:rPr>
          <w:rFonts w:asciiTheme="majorHAnsi" w:hAnsiTheme="majorHAnsi"/>
          <w:sz w:val="23"/>
          <w:szCs w:val="23"/>
        </w:rPr>
      </w:pPr>
      <w:r w:rsidRPr="00A217FE">
        <w:rPr>
          <w:rFonts w:asciiTheme="majorHAnsi" w:hAnsiTheme="majorHAnsi"/>
          <w:sz w:val="23"/>
          <w:szCs w:val="23"/>
        </w:rPr>
        <w:t xml:space="preserve">Special Assistance Schools make an important contribution to addressing educational disadvantage by catering for students with severe social, </w:t>
      </w:r>
      <w:r w:rsidR="00AD7734" w:rsidRPr="00A217FE">
        <w:rPr>
          <w:rFonts w:asciiTheme="majorHAnsi" w:hAnsiTheme="majorHAnsi"/>
          <w:sz w:val="23"/>
          <w:szCs w:val="23"/>
        </w:rPr>
        <w:t>emotional,</w:t>
      </w:r>
      <w:r w:rsidRPr="00A217FE">
        <w:rPr>
          <w:rFonts w:asciiTheme="majorHAnsi" w:hAnsiTheme="majorHAnsi"/>
          <w:sz w:val="23"/>
          <w:szCs w:val="23"/>
        </w:rPr>
        <w:t xml:space="preserve"> and behavioural issues. These schools generally serve young people who are disengaged from education and whose needs are not met by mainstream education. </w:t>
      </w:r>
      <w:r w:rsidR="00344737" w:rsidRPr="00344737">
        <w:rPr>
          <w:rFonts w:asciiTheme="majorHAnsi" w:hAnsiTheme="majorHAnsi"/>
          <w:sz w:val="23"/>
          <w:szCs w:val="23"/>
        </w:rPr>
        <w:t>The role of Special Assistance Schools does vary somewhat from state to state however most Special Assistance Schools will have a number, if not all, their students who are counted in the NCCD.</w:t>
      </w:r>
    </w:p>
    <w:p w14:paraId="7337A253" w14:textId="54719710" w:rsidR="00A217FE" w:rsidRPr="00A217FE" w:rsidRDefault="00E601B3" w:rsidP="00A217FE">
      <w:pPr>
        <w:rPr>
          <w:rFonts w:asciiTheme="majorHAnsi" w:hAnsiTheme="majorHAnsi"/>
          <w:sz w:val="23"/>
          <w:szCs w:val="23"/>
        </w:rPr>
      </w:pPr>
      <w:r>
        <w:rPr>
          <w:rFonts w:asciiTheme="majorHAnsi" w:hAnsiTheme="majorHAnsi"/>
          <w:sz w:val="23"/>
          <w:szCs w:val="23"/>
        </w:rPr>
        <w:t>Students</w:t>
      </w:r>
      <w:r w:rsidR="00A217FE" w:rsidRPr="00A217FE">
        <w:rPr>
          <w:rFonts w:asciiTheme="majorHAnsi" w:hAnsiTheme="majorHAnsi"/>
          <w:sz w:val="23"/>
          <w:szCs w:val="23"/>
        </w:rPr>
        <w:t xml:space="preserve"> are often referred from community services, juvenile </w:t>
      </w:r>
      <w:r w:rsidR="00AD7734" w:rsidRPr="00A217FE">
        <w:rPr>
          <w:rFonts w:asciiTheme="majorHAnsi" w:hAnsiTheme="majorHAnsi"/>
          <w:sz w:val="23"/>
          <w:szCs w:val="23"/>
        </w:rPr>
        <w:t>justice,</w:t>
      </w:r>
      <w:r w:rsidR="00A217FE" w:rsidRPr="00A217FE">
        <w:rPr>
          <w:rFonts w:asciiTheme="majorHAnsi" w:hAnsiTheme="majorHAnsi"/>
          <w:sz w:val="23"/>
          <w:szCs w:val="23"/>
        </w:rPr>
        <w:t xml:space="preserve"> and other schools, both government and non-government. Special Assistance Schools have developed specially adapted programs and structures designed to re-engage students in education and prepare them for further training and employment.</w:t>
      </w:r>
    </w:p>
    <w:p w14:paraId="385B5153" w14:textId="77777777" w:rsidR="00A217FE" w:rsidRPr="00A217FE" w:rsidRDefault="00A217FE" w:rsidP="00A217FE">
      <w:pPr>
        <w:rPr>
          <w:rFonts w:asciiTheme="majorHAnsi" w:hAnsiTheme="majorHAnsi"/>
          <w:sz w:val="23"/>
          <w:szCs w:val="23"/>
        </w:rPr>
      </w:pPr>
      <w:r w:rsidRPr="00A217FE">
        <w:rPr>
          <w:rFonts w:asciiTheme="majorHAnsi" w:hAnsiTheme="majorHAnsi"/>
          <w:sz w:val="23"/>
          <w:szCs w:val="23"/>
        </w:rPr>
        <w:t>Some mainstream Independent schools incorporate a unit on campus to cater for students with special needs because of profound hearing loss, severe language disorders, social and emotional disorders, or intellectual disability.</w:t>
      </w:r>
    </w:p>
    <w:p w14:paraId="224BAAB5" w14:textId="77777777" w:rsidR="00A217FE" w:rsidRPr="00A217FE" w:rsidRDefault="00A217FE" w:rsidP="00A217FE">
      <w:pPr>
        <w:rPr>
          <w:rFonts w:asciiTheme="majorHAnsi" w:hAnsiTheme="majorHAnsi"/>
          <w:sz w:val="23"/>
          <w:szCs w:val="23"/>
        </w:rPr>
      </w:pPr>
      <w:r w:rsidRPr="00A217FE">
        <w:rPr>
          <w:rFonts w:asciiTheme="majorHAnsi" w:hAnsiTheme="majorHAnsi"/>
          <w:sz w:val="23"/>
          <w:szCs w:val="23"/>
        </w:rPr>
        <w:lastRenderedPageBreak/>
        <w:t>Many Independent schools employ specialist teachers to work with class teachers and parents to develop individual learning programs for students with special needs and to assist class teachers develop strategies and materials to meet the needs of these students. Some schools employ teacher aides to work with students in class or withdraw students from class to work with specialist teachers.</w:t>
      </w:r>
    </w:p>
    <w:p w14:paraId="333DA589" w14:textId="7FC95E6B" w:rsidR="001611BA" w:rsidRPr="006873E6" w:rsidRDefault="000B713B" w:rsidP="00634F40">
      <w:pPr>
        <w:pStyle w:val="Heading2"/>
      </w:pPr>
      <w:bookmarkStart w:id="16" w:name="_Toc51932342"/>
      <w:r>
        <w:t>Rights and Obligations of the Stan</w:t>
      </w:r>
      <w:r w:rsidR="000115FF">
        <w:t>d</w:t>
      </w:r>
      <w:r>
        <w:t>ards</w:t>
      </w:r>
      <w:bookmarkEnd w:id="16"/>
    </w:p>
    <w:p w14:paraId="48E9FAED" w14:textId="27CB5B3C" w:rsidR="00015063" w:rsidRDefault="001611BA" w:rsidP="001611BA">
      <w:pPr>
        <w:rPr>
          <w:rFonts w:asciiTheme="majorHAnsi" w:hAnsiTheme="majorHAnsi"/>
          <w:sz w:val="23"/>
          <w:szCs w:val="23"/>
        </w:rPr>
      </w:pPr>
      <w:r w:rsidRPr="00E550A1">
        <w:rPr>
          <w:rFonts w:asciiTheme="majorHAnsi" w:hAnsiTheme="majorHAnsi"/>
          <w:sz w:val="23"/>
          <w:szCs w:val="23"/>
        </w:rPr>
        <w:t xml:space="preserve">As </w:t>
      </w:r>
      <w:r w:rsidR="000115FF">
        <w:rPr>
          <w:rFonts w:asciiTheme="majorHAnsi" w:hAnsiTheme="majorHAnsi"/>
          <w:sz w:val="23"/>
          <w:szCs w:val="23"/>
        </w:rPr>
        <w:t xml:space="preserve">noted above, the introduction of the Standards in 2005 </w:t>
      </w:r>
      <w:r w:rsidR="00DB39A5">
        <w:rPr>
          <w:rFonts w:asciiTheme="majorHAnsi" w:hAnsiTheme="majorHAnsi"/>
          <w:sz w:val="23"/>
          <w:szCs w:val="23"/>
        </w:rPr>
        <w:t xml:space="preserve">was significant in providing a </w:t>
      </w:r>
      <w:r w:rsidR="003E6066">
        <w:rPr>
          <w:rFonts w:asciiTheme="majorHAnsi" w:hAnsiTheme="majorHAnsi"/>
          <w:sz w:val="23"/>
          <w:szCs w:val="23"/>
        </w:rPr>
        <w:t>framework</w:t>
      </w:r>
      <w:r w:rsidR="00DB39A5">
        <w:rPr>
          <w:rFonts w:asciiTheme="majorHAnsi" w:hAnsiTheme="majorHAnsi"/>
          <w:sz w:val="23"/>
          <w:szCs w:val="23"/>
        </w:rPr>
        <w:t xml:space="preserve"> and support for schools</w:t>
      </w:r>
      <w:r w:rsidR="00D047E6">
        <w:rPr>
          <w:rFonts w:asciiTheme="majorHAnsi" w:hAnsiTheme="majorHAnsi"/>
          <w:sz w:val="23"/>
          <w:szCs w:val="23"/>
        </w:rPr>
        <w:t xml:space="preserve"> to understand and implement their rights and obligations </w:t>
      </w:r>
      <w:r w:rsidR="00D047E6" w:rsidRPr="00D047E6">
        <w:rPr>
          <w:rFonts w:asciiTheme="majorHAnsi" w:hAnsiTheme="majorHAnsi"/>
          <w:sz w:val="23"/>
          <w:szCs w:val="23"/>
        </w:rPr>
        <w:t xml:space="preserve">under the </w:t>
      </w:r>
      <w:r w:rsidR="00D047E6" w:rsidRPr="005B4394">
        <w:rPr>
          <w:rFonts w:asciiTheme="majorHAnsi" w:hAnsiTheme="majorHAnsi"/>
          <w:i/>
          <w:sz w:val="23"/>
          <w:szCs w:val="23"/>
        </w:rPr>
        <w:t>Disability Discrimination Act 1992</w:t>
      </w:r>
      <w:r w:rsidR="00513CA8">
        <w:rPr>
          <w:rFonts w:asciiTheme="majorHAnsi" w:hAnsiTheme="majorHAnsi"/>
          <w:sz w:val="23"/>
          <w:szCs w:val="23"/>
        </w:rPr>
        <w:t xml:space="preserve"> </w:t>
      </w:r>
      <w:r w:rsidR="00513CA8" w:rsidRPr="00513CA8">
        <w:rPr>
          <w:rFonts w:asciiTheme="majorHAnsi" w:hAnsiTheme="majorHAnsi"/>
          <w:sz w:val="23"/>
          <w:szCs w:val="23"/>
        </w:rPr>
        <w:t>(DDA)</w:t>
      </w:r>
      <w:r w:rsidR="00D047E6">
        <w:rPr>
          <w:rFonts w:asciiTheme="majorHAnsi" w:hAnsiTheme="majorHAnsi"/>
          <w:sz w:val="23"/>
          <w:szCs w:val="23"/>
        </w:rPr>
        <w:t>.</w:t>
      </w:r>
    </w:p>
    <w:p w14:paraId="6A4BCAE0" w14:textId="51F40912" w:rsidR="007A1A80" w:rsidRDefault="00196999" w:rsidP="00391D67">
      <w:pPr>
        <w:rPr>
          <w:rFonts w:asciiTheme="majorHAnsi" w:hAnsiTheme="majorHAnsi"/>
          <w:sz w:val="23"/>
          <w:szCs w:val="23"/>
        </w:rPr>
      </w:pPr>
      <w:r>
        <w:rPr>
          <w:rFonts w:asciiTheme="majorHAnsi" w:hAnsiTheme="majorHAnsi"/>
          <w:sz w:val="23"/>
          <w:szCs w:val="23"/>
        </w:rPr>
        <w:t>The DD</w:t>
      </w:r>
      <w:r w:rsidR="007E2EDB">
        <w:rPr>
          <w:rFonts w:asciiTheme="majorHAnsi" w:hAnsiTheme="majorHAnsi"/>
          <w:sz w:val="23"/>
          <w:szCs w:val="23"/>
        </w:rPr>
        <w:t>A</w:t>
      </w:r>
      <w:r w:rsidR="00584B18">
        <w:rPr>
          <w:rFonts w:asciiTheme="majorHAnsi" w:hAnsiTheme="majorHAnsi"/>
          <w:sz w:val="23"/>
          <w:szCs w:val="23"/>
        </w:rPr>
        <w:t>, and the associated Standards,</w:t>
      </w:r>
      <w:r w:rsidR="00AF2FA1">
        <w:rPr>
          <w:rFonts w:asciiTheme="majorHAnsi" w:hAnsiTheme="majorHAnsi"/>
          <w:sz w:val="23"/>
          <w:szCs w:val="23"/>
        </w:rPr>
        <w:t xml:space="preserve"> make clear the </w:t>
      </w:r>
      <w:r w:rsidR="00A873FE">
        <w:rPr>
          <w:rFonts w:asciiTheme="majorHAnsi" w:hAnsiTheme="majorHAnsi"/>
          <w:sz w:val="23"/>
          <w:szCs w:val="23"/>
        </w:rPr>
        <w:t xml:space="preserve">right of </w:t>
      </w:r>
      <w:r w:rsidR="00B06D4A">
        <w:rPr>
          <w:rFonts w:asciiTheme="majorHAnsi" w:hAnsiTheme="majorHAnsi"/>
          <w:sz w:val="23"/>
          <w:szCs w:val="23"/>
        </w:rPr>
        <w:t>s</w:t>
      </w:r>
      <w:r w:rsidR="005A1A84" w:rsidRPr="00A05910">
        <w:rPr>
          <w:rFonts w:asciiTheme="majorHAnsi" w:hAnsiTheme="majorHAnsi"/>
          <w:sz w:val="23"/>
          <w:szCs w:val="23"/>
        </w:rPr>
        <w:t xml:space="preserve">tudents with </w:t>
      </w:r>
      <w:r w:rsidR="00B06D4A">
        <w:rPr>
          <w:rFonts w:asciiTheme="majorHAnsi" w:hAnsiTheme="majorHAnsi"/>
          <w:sz w:val="23"/>
          <w:szCs w:val="23"/>
        </w:rPr>
        <w:t>d</w:t>
      </w:r>
      <w:r w:rsidR="005A1A84" w:rsidRPr="00A05910">
        <w:rPr>
          <w:rFonts w:asciiTheme="majorHAnsi" w:hAnsiTheme="majorHAnsi"/>
          <w:sz w:val="23"/>
          <w:szCs w:val="23"/>
        </w:rPr>
        <w:t>isability to access and participate in education on the same basis as students with</w:t>
      </w:r>
      <w:r w:rsidR="007F41E6">
        <w:rPr>
          <w:rFonts w:asciiTheme="majorHAnsi" w:hAnsiTheme="majorHAnsi"/>
          <w:sz w:val="23"/>
          <w:szCs w:val="23"/>
        </w:rPr>
        <w:t>out</w:t>
      </w:r>
      <w:r w:rsidR="005A1A84" w:rsidRPr="00A05910">
        <w:rPr>
          <w:rFonts w:asciiTheme="majorHAnsi" w:hAnsiTheme="majorHAnsi"/>
          <w:sz w:val="23"/>
          <w:szCs w:val="23"/>
        </w:rPr>
        <w:t xml:space="preserve"> disability</w:t>
      </w:r>
      <w:r w:rsidR="005A1A84">
        <w:rPr>
          <w:rFonts w:asciiTheme="majorHAnsi" w:hAnsiTheme="majorHAnsi"/>
          <w:sz w:val="23"/>
          <w:szCs w:val="23"/>
        </w:rPr>
        <w:t>, and the obligation of education providers to make reasonable adjustments to assist the students with access and participation</w:t>
      </w:r>
      <w:r w:rsidR="007A1A80">
        <w:rPr>
          <w:rFonts w:asciiTheme="majorHAnsi" w:hAnsiTheme="majorHAnsi"/>
          <w:sz w:val="23"/>
          <w:szCs w:val="23"/>
        </w:rPr>
        <w:t>.</w:t>
      </w:r>
    </w:p>
    <w:p w14:paraId="1CD16DC2" w14:textId="4B8C8A80" w:rsidR="00DC7A77" w:rsidRDefault="007A1A80" w:rsidP="00391D67">
      <w:pPr>
        <w:rPr>
          <w:rFonts w:asciiTheme="majorHAnsi" w:hAnsiTheme="majorHAnsi"/>
          <w:sz w:val="23"/>
          <w:szCs w:val="23"/>
        </w:rPr>
      </w:pPr>
      <w:r>
        <w:rPr>
          <w:rFonts w:asciiTheme="majorHAnsi" w:hAnsiTheme="majorHAnsi"/>
          <w:sz w:val="23"/>
          <w:szCs w:val="23"/>
        </w:rPr>
        <w:t xml:space="preserve">The growth of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enrolled in the Independent sector illustrates the readiness of Independent schools to meet their social and legal obligations to assist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to access and participate in education. </w:t>
      </w:r>
      <w:r w:rsidR="00ED55BB">
        <w:rPr>
          <w:rFonts w:asciiTheme="majorHAnsi" w:hAnsiTheme="majorHAnsi"/>
          <w:sz w:val="23"/>
          <w:szCs w:val="23"/>
        </w:rPr>
        <w:t>Many Independent schools report that, in recent years, t</w:t>
      </w:r>
      <w:r w:rsidR="00ED55BB" w:rsidRPr="00ED55BB">
        <w:rPr>
          <w:rFonts w:asciiTheme="majorHAnsi" w:hAnsiTheme="majorHAnsi"/>
          <w:sz w:val="23"/>
          <w:szCs w:val="23"/>
        </w:rPr>
        <w:t xml:space="preserve">he nature of student needs has changed, with </w:t>
      </w:r>
      <w:r w:rsidR="00ED55BB">
        <w:rPr>
          <w:rFonts w:asciiTheme="majorHAnsi" w:hAnsiTheme="majorHAnsi"/>
          <w:sz w:val="23"/>
          <w:szCs w:val="23"/>
        </w:rPr>
        <w:t xml:space="preserve">greater </w:t>
      </w:r>
      <w:r w:rsidR="00ED55BB" w:rsidRPr="00ED55BB">
        <w:rPr>
          <w:rFonts w:asciiTheme="majorHAnsi" w:hAnsiTheme="majorHAnsi"/>
          <w:sz w:val="23"/>
          <w:szCs w:val="23"/>
        </w:rPr>
        <w:t xml:space="preserve">support needed for more students presenting with mental health difficulties or exhibiting problematic or challenging behaviour. </w:t>
      </w:r>
    </w:p>
    <w:p w14:paraId="27B5AEFD" w14:textId="0006D749" w:rsidR="00ED55BB" w:rsidRDefault="00ED55BB" w:rsidP="00391D67">
      <w:pPr>
        <w:rPr>
          <w:rFonts w:asciiTheme="majorHAnsi" w:hAnsiTheme="majorHAnsi"/>
          <w:sz w:val="23"/>
          <w:szCs w:val="23"/>
        </w:rPr>
      </w:pPr>
      <w:r w:rsidRPr="00ED55BB">
        <w:rPr>
          <w:rFonts w:asciiTheme="majorHAnsi" w:hAnsiTheme="majorHAnsi"/>
          <w:sz w:val="23"/>
          <w:szCs w:val="23"/>
        </w:rPr>
        <w:t xml:space="preserve">Many Independent schools access the expertise of specialist assistance provided through the AISs to assist them to meet their obligations through effectively implementing the Standards. This support may range from the provision of professional learning through the tailored consultancy support and advice regarding individual student matters.  </w:t>
      </w:r>
    </w:p>
    <w:p w14:paraId="60C8A2BA" w14:textId="038C8A95" w:rsidR="00391D67" w:rsidRPr="007A1A80" w:rsidRDefault="007A1A80" w:rsidP="007A1A80">
      <w:pPr>
        <w:pStyle w:val="Heading3"/>
      </w:pPr>
      <w:bookmarkStart w:id="17" w:name="_Toc51932343"/>
      <w:r>
        <w:t xml:space="preserve">Clarity of Terminology and Concepts in </w:t>
      </w:r>
      <w:r w:rsidR="00634F40" w:rsidRPr="00634F40">
        <w:t>the Standards</w:t>
      </w:r>
      <w:bookmarkEnd w:id="17"/>
    </w:p>
    <w:p w14:paraId="0C17A505" w14:textId="20283711" w:rsidR="00391D67" w:rsidRDefault="00391D67" w:rsidP="00391D67">
      <w:pPr>
        <w:rPr>
          <w:rFonts w:asciiTheme="majorHAnsi" w:hAnsiTheme="majorHAnsi"/>
          <w:sz w:val="23"/>
          <w:szCs w:val="23"/>
        </w:rPr>
      </w:pPr>
      <w:r>
        <w:rPr>
          <w:rFonts w:asciiTheme="majorHAnsi" w:hAnsiTheme="majorHAnsi"/>
          <w:sz w:val="23"/>
          <w:szCs w:val="23"/>
        </w:rPr>
        <w:t xml:space="preserve">In a number of places, the Standards lack the required clarity to ensure that all providers </w:t>
      </w:r>
      <w:r w:rsidR="00BE51F5">
        <w:rPr>
          <w:rFonts w:asciiTheme="majorHAnsi" w:hAnsiTheme="majorHAnsi"/>
          <w:sz w:val="23"/>
          <w:szCs w:val="23"/>
        </w:rPr>
        <w:t xml:space="preserve">are able to </w:t>
      </w:r>
      <w:r>
        <w:rPr>
          <w:rFonts w:asciiTheme="majorHAnsi" w:hAnsiTheme="majorHAnsi"/>
          <w:sz w:val="23"/>
          <w:szCs w:val="23"/>
        </w:rPr>
        <w:t xml:space="preserve">clearly </w:t>
      </w:r>
      <w:r w:rsidR="00BE51F5">
        <w:rPr>
          <w:rFonts w:asciiTheme="majorHAnsi" w:hAnsiTheme="majorHAnsi"/>
          <w:sz w:val="23"/>
          <w:szCs w:val="23"/>
        </w:rPr>
        <w:t>interpret</w:t>
      </w:r>
      <w:r>
        <w:rPr>
          <w:rFonts w:asciiTheme="majorHAnsi" w:hAnsiTheme="majorHAnsi"/>
          <w:sz w:val="23"/>
          <w:szCs w:val="23"/>
        </w:rPr>
        <w:t xml:space="preserve"> and successfully implement the Standards. </w:t>
      </w:r>
    </w:p>
    <w:p w14:paraId="0222766E" w14:textId="1FD502A9" w:rsidR="00391D67" w:rsidRDefault="00391D67" w:rsidP="00391D67">
      <w:pPr>
        <w:rPr>
          <w:rFonts w:asciiTheme="majorHAnsi" w:hAnsiTheme="majorHAnsi"/>
          <w:sz w:val="23"/>
          <w:szCs w:val="23"/>
        </w:rPr>
      </w:pPr>
      <w:r>
        <w:rPr>
          <w:rFonts w:asciiTheme="majorHAnsi" w:hAnsiTheme="majorHAnsi"/>
          <w:sz w:val="23"/>
          <w:szCs w:val="23"/>
        </w:rPr>
        <w:t>The Discussion Paper for the 2020 Review of the Standards notes that one of the “broad themes identified in the 2010 and 2015 Reviews of the Standards” includes “clarity, understanding and capability – varying interpretation an</w:t>
      </w:r>
      <w:r w:rsidR="00C06C08">
        <w:rPr>
          <w:rFonts w:asciiTheme="majorHAnsi" w:hAnsiTheme="majorHAnsi"/>
          <w:sz w:val="23"/>
          <w:szCs w:val="23"/>
        </w:rPr>
        <w:t>d</w:t>
      </w:r>
      <w:r>
        <w:rPr>
          <w:rFonts w:asciiTheme="majorHAnsi" w:hAnsiTheme="majorHAnsi"/>
          <w:sz w:val="23"/>
          <w:szCs w:val="23"/>
        </w:rPr>
        <w:t xml:space="preserve"> application of terms such as ‘reasonable adjustment’ and ‘unjustifiable hardship’, and the need for greater support and guidance on best practice for educators”. This identified theme accords with ISA’s submissions to both the 2010 and 2015 Reviews of the Standards. </w:t>
      </w:r>
    </w:p>
    <w:p w14:paraId="7F26039E" w14:textId="0FFB8320" w:rsidR="00391D67" w:rsidRDefault="00391D67" w:rsidP="00391D67">
      <w:pPr>
        <w:rPr>
          <w:rFonts w:asciiTheme="majorHAnsi" w:hAnsiTheme="majorHAnsi"/>
          <w:sz w:val="23"/>
          <w:szCs w:val="23"/>
        </w:rPr>
      </w:pPr>
      <w:r>
        <w:rPr>
          <w:rFonts w:asciiTheme="majorHAnsi" w:hAnsiTheme="majorHAnsi"/>
          <w:sz w:val="23"/>
          <w:szCs w:val="23"/>
        </w:rPr>
        <w:t>It remains the case that there are issues and concerns of clarity regarding core concepts and terminology in the Standards</w:t>
      </w:r>
      <w:r w:rsidR="00C06C08">
        <w:rPr>
          <w:rFonts w:asciiTheme="majorHAnsi" w:hAnsiTheme="majorHAnsi"/>
          <w:sz w:val="23"/>
          <w:szCs w:val="23"/>
        </w:rPr>
        <w:t xml:space="preserve">, and </w:t>
      </w:r>
      <w:r w:rsidR="00906DD5">
        <w:rPr>
          <w:rFonts w:asciiTheme="majorHAnsi" w:hAnsiTheme="majorHAnsi"/>
          <w:sz w:val="23"/>
          <w:szCs w:val="23"/>
        </w:rPr>
        <w:t>a</w:t>
      </w:r>
      <w:r w:rsidR="00906DD5" w:rsidRPr="00906DD5">
        <w:rPr>
          <w:rFonts w:asciiTheme="majorHAnsi" w:hAnsiTheme="majorHAnsi"/>
          <w:sz w:val="23"/>
          <w:szCs w:val="23"/>
        </w:rPr>
        <w:t xml:space="preserve"> need for </w:t>
      </w:r>
      <w:r w:rsidR="00ED55BB" w:rsidRPr="00ED55BB">
        <w:rPr>
          <w:rFonts w:asciiTheme="majorHAnsi" w:hAnsiTheme="majorHAnsi"/>
          <w:sz w:val="23"/>
          <w:szCs w:val="23"/>
        </w:rPr>
        <w:t>clearer, more comprehensive</w:t>
      </w:r>
      <w:r w:rsidR="00906DD5" w:rsidRPr="00906DD5">
        <w:rPr>
          <w:rFonts w:asciiTheme="majorHAnsi" w:hAnsiTheme="majorHAnsi"/>
          <w:sz w:val="23"/>
          <w:szCs w:val="23"/>
        </w:rPr>
        <w:t xml:space="preserve"> support </w:t>
      </w:r>
      <w:r w:rsidR="00ED55BB" w:rsidRPr="00ED55BB">
        <w:rPr>
          <w:rFonts w:asciiTheme="majorHAnsi" w:hAnsiTheme="majorHAnsi"/>
          <w:sz w:val="23"/>
          <w:szCs w:val="23"/>
        </w:rPr>
        <w:t>materials such as de-identified case studies or hypothetical scenarios.</w:t>
      </w:r>
    </w:p>
    <w:p w14:paraId="7065C44D" w14:textId="438B8D0F" w:rsidR="00391D67" w:rsidRDefault="00391D67" w:rsidP="00391D67">
      <w:pPr>
        <w:rPr>
          <w:rFonts w:asciiTheme="majorHAnsi" w:hAnsiTheme="majorHAnsi"/>
          <w:sz w:val="23"/>
          <w:szCs w:val="23"/>
        </w:rPr>
      </w:pPr>
      <w:r>
        <w:rPr>
          <w:rFonts w:asciiTheme="majorHAnsi" w:hAnsiTheme="majorHAnsi"/>
          <w:sz w:val="23"/>
          <w:szCs w:val="23"/>
        </w:rPr>
        <w:t xml:space="preserve">As identified by the Discussion paper, </w:t>
      </w:r>
      <w:r w:rsidRPr="009425BF">
        <w:rPr>
          <w:rFonts w:asciiTheme="majorHAnsi" w:hAnsiTheme="majorHAnsi"/>
          <w:sz w:val="23"/>
          <w:szCs w:val="23"/>
        </w:rPr>
        <w:t>‘reasonable adjustment’ and ‘unjustifiable hardship’</w:t>
      </w:r>
      <w:r>
        <w:rPr>
          <w:rFonts w:asciiTheme="majorHAnsi" w:hAnsiTheme="majorHAnsi"/>
          <w:sz w:val="23"/>
          <w:szCs w:val="23"/>
        </w:rPr>
        <w:t xml:space="preserve"> are two significant concepts </w:t>
      </w:r>
      <w:r w:rsidR="00906DD5">
        <w:rPr>
          <w:rFonts w:asciiTheme="majorHAnsi" w:hAnsiTheme="majorHAnsi"/>
          <w:sz w:val="23"/>
          <w:szCs w:val="23"/>
        </w:rPr>
        <w:t xml:space="preserve">in the Standards </w:t>
      </w:r>
      <w:r>
        <w:rPr>
          <w:rFonts w:asciiTheme="majorHAnsi" w:hAnsiTheme="majorHAnsi"/>
          <w:sz w:val="23"/>
          <w:szCs w:val="23"/>
        </w:rPr>
        <w:t>for which further clarification is required.</w:t>
      </w:r>
    </w:p>
    <w:p w14:paraId="69B53E12" w14:textId="181A1C44" w:rsidR="000B2CC2" w:rsidRPr="000B2CC2" w:rsidRDefault="000B2CC2" w:rsidP="000B2CC2">
      <w:pPr>
        <w:rPr>
          <w:rFonts w:asciiTheme="majorHAnsi" w:hAnsiTheme="majorHAnsi"/>
          <w:sz w:val="23"/>
          <w:szCs w:val="23"/>
          <w:lang w:val="en-US"/>
        </w:rPr>
      </w:pPr>
      <w:r>
        <w:rPr>
          <w:rFonts w:asciiTheme="majorHAnsi" w:hAnsiTheme="majorHAnsi"/>
          <w:sz w:val="23"/>
          <w:szCs w:val="23"/>
          <w:lang w:val="en-US"/>
        </w:rPr>
        <w:lastRenderedPageBreak/>
        <w:t>For example,</w:t>
      </w:r>
      <w:r w:rsidRPr="000B2CC2">
        <w:rPr>
          <w:rFonts w:asciiTheme="majorHAnsi" w:hAnsiTheme="majorHAnsi"/>
          <w:sz w:val="23"/>
          <w:szCs w:val="23"/>
          <w:lang w:val="en-US"/>
        </w:rPr>
        <w:t xml:space="preserve"> Section 3.4 of the </w:t>
      </w:r>
      <w:r>
        <w:rPr>
          <w:rFonts w:asciiTheme="majorHAnsi" w:hAnsiTheme="majorHAnsi"/>
          <w:sz w:val="23"/>
          <w:szCs w:val="23"/>
          <w:lang w:val="en-US"/>
        </w:rPr>
        <w:t>Standards</w:t>
      </w:r>
      <w:r w:rsidRPr="000B2CC2">
        <w:rPr>
          <w:rFonts w:asciiTheme="majorHAnsi" w:hAnsiTheme="majorHAnsi"/>
          <w:sz w:val="23"/>
          <w:szCs w:val="23"/>
          <w:lang w:val="en-US"/>
        </w:rPr>
        <w:t xml:space="preserve"> define a ‘reasonable adjustment’ as one that ‘balances the interests of all parties affected’. </w:t>
      </w:r>
      <w:r>
        <w:rPr>
          <w:rFonts w:asciiTheme="majorHAnsi" w:hAnsiTheme="majorHAnsi"/>
          <w:sz w:val="23"/>
          <w:szCs w:val="23"/>
          <w:lang w:val="en-US"/>
        </w:rPr>
        <w:t>Section</w:t>
      </w:r>
      <w:r w:rsidRPr="000B2CC2">
        <w:rPr>
          <w:rFonts w:asciiTheme="majorHAnsi" w:hAnsiTheme="majorHAnsi"/>
          <w:sz w:val="23"/>
          <w:szCs w:val="23"/>
          <w:lang w:val="en-US"/>
        </w:rPr>
        <w:t xml:space="preserve"> 3.4.1 notes that ‘judgements about what is reasonable for a particular student, or a group of students, with a particular disability may change over time’, and </w:t>
      </w:r>
      <w:r>
        <w:rPr>
          <w:rFonts w:asciiTheme="majorHAnsi" w:hAnsiTheme="majorHAnsi"/>
          <w:sz w:val="23"/>
          <w:szCs w:val="23"/>
          <w:lang w:val="en-US"/>
        </w:rPr>
        <w:t xml:space="preserve">Section </w:t>
      </w:r>
      <w:r w:rsidRPr="000B2CC2">
        <w:rPr>
          <w:rFonts w:asciiTheme="majorHAnsi" w:hAnsiTheme="majorHAnsi"/>
          <w:sz w:val="23"/>
          <w:szCs w:val="23"/>
          <w:lang w:val="en-US"/>
        </w:rPr>
        <w:t xml:space="preserve">3.4.2 outlines a range of circumstances and interests that should be taken into consideration when assessing whether an adjustment is reasonable in the circumstances. </w:t>
      </w:r>
    </w:p>
    <w:p w14:paraId="02C57F1C" w14:textId="1EBEDA58" w:rsidR="000B2CC2" w:rsidRDefault="000B2CC2" w:rsidP="000B2CC2">
      <w:pPr>
        <w:rPr>
          <w:rFonts w:asciiTheme="majorHAnsi" w:hAnsiTheme="majorHAnsi"/>
          <w:sz w:val="23"/>
          <w:szCs w:val="23"/>
          <w:lang w:val="en-US"/>
        </w:rPr>
      </w:pPr>
      <w:r w:rsidRPr="000B2CC2">
        <w:rPr>
          <w:rFonts w:asciiTheme="majorHAnsi" w:hAnsiTheme="majorHAnsi"/>
          <w:sz w:val="23"/>
          <w:szCs w:val="23"/>
          <w:lang w:val="en-US"/>
        </w:rPr>
        <w:t xml:space="preserve">However, </w:t>
      </w:r>
      <w:r>
        <w:rPr>
          <w:rFonts w:asciiTheme="majorHAnsi" w:hAnsiTheme="majorHAnsi"/>
          <w:sz w:val="23"/>
          <w:szCs w:val="23"/>
          <w:lang w:val="en-US"/>
        </w:rPr>
        <w:t xml:space="preserve">many </w:t>
      </w:r>
      <w:r w:rsidRPr="000B2CC2">
        <w:rPr>
          <w:rFonts w:asciiTheme="majorHAnsi" w:hAnsiTheme="majorHAnsi"/>
          <w:sz w:val="23"/>
          <w:szCs w:val="23"/>
          <w:lang w:val="en-US"/>
        </w:rPr>
        <w:t xml:space="preserve">schools </w:t>
      </w:r>
      <w:r>
        <w:rPr>
          <w:rFonts w:asciiTheme="majorHAnsi" w:hAnsiTheme="majorHAnsi"/>
          <w:sz w:val="23"/>
          <w:szCs w:val="23"/>
          <w:lang w:val="en-US"/>
        </w:rPr>
        <w:t xml:space="preserve">have identified that they </w:t>
      </w:r>
      <w:r w:rsidRPr="000B2CC2">
        <w:rPr>
          <w:rFonts w:asciiTheme="majorHAnsi" w:hAnsiTheme="majorHAnsi"/>
          <w:sz w:val="23"/>
          <w:szCs w:val="23"/>
          <w:lang w:val="en-US"/>
        </w:rPr>
        <w:t xml:space="preserve">would appreciate more advice on the extent to which the various elements should be ‘regarded’ in making any decisions about adjustments for students. In particular, schools have </w:t>
      </w:r>
      <w:r>
        <w:rPr>
          <w:rFonts w:asciiTheme="majorHAnsi" w:hAnsiTheme="majorHAnsi"/>
          <w:sz w:val="23"/>
          <w:szCs w:val="23"/>
          <w:lang w:val="en-US"/>
        </w:rPr>
        <w:t xml:space="preserve">acknowledged </w:t>
      </w:r>
      <w:r w:rsidRPr="000B2CC2">
        <w:rPr>
          <w:rFonts w:asciiTheme="majorHAnsi" w:hAnsiTheme="majorHAnsi"/>
          <w:sz w:val="23"/>
          <w:szCs w:val="23"/>
          <w:lang w:val="en-US"/>
        </w:rPr>
        <w:t xml:space="preserve">difficulties in establishing a balance for </w:t>
      </w:r>
      <w:r>
        <w:rPr>
          <w:rFonts w:asciiTheme="majorHAnsi" w:hAnsiTheme="majorHAnsi"/>
          <w:sz w:val="23"/>
          <w:szCs w:val="23"/>
          <w:lang w:val="en-US"/>
        </w:rPr>
        <w:t xml:space="preserve">Section </w:t>
      </w:r>
      <w:r w:rsidRPr="000B2CC2">
        <w:rPr>
          <w:rFonts w:asciiTheme="majorHAnsi" w:hAnsiTheme="majorHAnsi"/>
          <w:sz w:val="23"/>
          <w:szCs w:val="23"/>
          <w:lang w:val="en-US"/>
        </w:rPr>
        <w:t xml:space="preserve">3.4.2(d) - the effect of the proposed adjustment on anyone else affected, including the education provider, </w:t>
      </w:r>
      <w:r w:rsidR="00E13189" w:rsidRPr="000B2CC2">
        <w:rPr>
          <w:rFonts w:asciiTheme="majorHAnsi" w:hAnsiTheme="majorHAnsi"/>
          <w:sz w:val="23"/>
          <w:szCs w:val="23"/>
          <w:lang w:val="en-US"/>
        </w:rPr>
        <w:t>staff,</w:t>
      </w:r>
      <w:r w:rsidRPr="000B2CC2">
        <w:rPr>
          <w:rFonts w:asciiTheme="majorHAnsi" w:hAnsiTheme="majorHAnsi"/>
          <w:sz w:val="23"/>
          <w:szCs w:val="23"/>
          <w:lang w:val="en-US"/>
        </w:rPr>
        <w:t xml:space="preserve"> and other students. </w:t>
      </w:r>
    </w:p>
    <w:p w14:paraId="40716637" w14:textId="67EFD6A1" w:rsidR="000B2CC2" w:rsidRPr="0095702C" w:rsidRDefault="000B2CC2" w:rsidP="00391D67">
      <w:pPr>
        <w:rPr>
          <w:rFonts w:asciiTheme="majorHAnsi" w:hAnsiTheme="majorHAnsi"/>
          <w:sz w:val="23"/>
          <w:szCs w:val="23"/>
          <w:lang w:val="en-US"/>
        </w:rPr>
      </w:pPr>
      <w:r w:rsidRPr="000B2CC2">
        <w:rPr>
          <w:rFonts w:asciiTheme="majorHAnsi" w:hAnsiTheme="majorHAnsi"/>
          <w:sz w:val="23"/>
          <w:szCs w:val="23"/>
          <w:lang w:val="en-US"/>
        </w:rPr>
        <w:t>There is an obvious potential tension between schools and parents, where parents are legitimately concerned about the needs of their child, while the school may have concerns about the impact of the child’s behavior on others. Schools and parents are unclear on where this balance lies (and should lie) in practice, and where there is a mismatch in expectations</w:t>
      </w:r>
      <w:r w:rsidR="0095702C">
        <w:rPr>
          <w:rFonts w:asciiTheme="majorHAnsi" w:hAnsiTheme="majorHAnsi"/>
          <w:sz w:val="23"/>
          <w:szCs w:val="23"/>
          <w:lang w:val="en-US"/>
        </w:rPr>
        <w:t xml:space="preserve">. </w:t>
      </w:r>
      <w:r w:rsidRPr="000B2CC2">
        <w:rPr>
          <w:rFonts w:asciiTheme="majorHAnsi" w:hAnsiTheme="majorHAnsi"/>
          <w:sz w:val="23"/>
          <w:szCs w:val="23"/>
          <w:lang w:val="en-US"/>
        </w:rPr>
        <w:t xml:space="preserve"> </w:t>
      </w:r>
      <w:r w:rsidR="0095702C">
        <w:rPr>
          <w:rFonts w:asciiTheme="majorHAnsi" w:hAnsiTheme="majorHAnsi"/>
          <w:sz w:val="23"/>
          <w:szCs w:val="23"/>
          <w:lang w:val="en-US"/>
        </w:rPr>
        <w:t xml:space="preserve">It has been noted that </w:t>
      </w:r>
      <w:r w:rsidRPr="000B2CC2">
        <w:rPr>
          <w:rFonts w:asciiTheme="majorHAnsi" w:hAnsiTheme="majorHAnsi"/>
          <w:sz w:val="23"/>
          <w:szCs w:val="23"/>
          <w:lang w:val="en-US"/>
        </w:rPr>
        <w:t xml:space="preserve">that this </w:t>
      </w:r>
      <w:r w:rsidR="0095702C">
        <w:rPr>
          <w:rFonts w:asciiTheme="majorHAnsi" w:hAnsiTheme="majorHAnsi"/>
          <w:sz w:val="23"/>
          <w:szCs w:val="23"/>
          <w:lang w:val="en-US"/>
        </w:rPr>
        <w:t>may be</w:t>
      </w:r>
      <w:r w:rsidRPr="000B2CC2">
        <w:rPr>
          <w:rFonts w:asciiTheme="majorHAnsi" w:hAnsiTheme="majorHAnsi"/>
          <w:sz w:val="23"/>
          <w:szCs w:val="23"/>
          <w:lang w:val="en-US"/>
        </w:rPr>
        <w:t xml:space="preserve"> creating legal issues for parents and schools.  </w:t>
      </w:r>
    </w:p>
    <w:p w14:paraId="0B28B124" w14:textId="6C6381A4" w:rsidR="00391D67" w:rsidRPr="00181C42" w:rsidRDefault="00391D67" w:rsidP="00391D67">
      <w:pPr>
        <w:rPr>
          <w:rFonts w:asciiTheme="majorHAnsi" w:hAnsiTheme="majorHAnsi"/>
          <w:sz w:val="23"/>
          <w:szCs w:val="23"/>
        </w:rPr>
      </w:pPr>
      <w:r w:rsidRPr="00B41159">
        <w:rPr>
          <w:rFonts w:asciiTheme="majorHAnsi" w:hAnsiTheme="majorHAnsi"/>
          <w:sz w:val="23"/>
          <w:szCs w:val="23"/>
        </w:rPr>
        <w:t xml:space="preserve">While a more extensive and complete understanding of the terminology and concepts used in the Standards can be gained through referring to the Guidance Notes, the lack of clarity within the Standards themselves is compounded by </w:t>
      </w:r>
      <w:r>
        <w:rPr>
          <w:rFonts w:asciiTheme="majorHAnsi" w:hAnsiTheme="majorHAnsi"/>
          <w:sz w:val="23"/>
          <w:szCs w:val="23"/>
        </w:rPr>
        <w:t>the reported lack of wide-spread familiarity or regular use of the Guidance Notes by education providers.</w:t>
      </w:r>
    </w:p>
    <w:p w14:paraId="33206C99" w14:textId="18CB6607" w:rsidR="00391D67" w:rsidRDefault="00391D67" w:rsidP="00391D67">
      <w:pPr>
        <w:rPr>
          <w:rFonts w:asciiTheme="majorHAnsi" w:hAnsiTheme="majorHAnsi"/>
          <w:sz w:val="23"/>
          <w:szCs w:val="23"/>
        </w:rPr>
      </w:pPr>
      <w:r w:rsidRPr="00181C42">
        <w:rPr>
          <w:rFonts w:asciiTheme="majorHAnsi" w:hAnsiTheme="majorHAnsi"/>
          <w:sz w:val="23"/>
          <w:szCs w:val="23"/>
        </w:rPr>
        <w:t xml:space="preserve">Further development of the Standards to achieve greater clarity of terminology </w:t>
      </w:r>
      <w:r>
        <w:rPr>
          <w:rFonts w:asciiTheme="majorHAnsi" w:hAnsiTheme="majorHAnsi"/>
          <w:sz w:val="23"/>
          <w:szCs w:val="23"/>
        </w:rPr>
        <w:t xml:space="preserve">and concepts will significantly assist schools to </w:t>
      </w:r>
      <w:r w:rsidR="00BE51F5">
        <w:rPr>
          <w:rFonts w:asciiTheme="majorHAnsi" w:hAnsiTheme="majorHAnsi"/>
          <w:sz w:val="23"/>
          <w:szCs w:val="23"/>
        </w:rPr>
        <w:t>strengthen</w:t>
      </w:r>
      <w:r>
        <w:rPr>
          <w:rFonts w:asciiTheme="majorHAnsi" w:hAnsiTheme="majorHAnsi"/>
          <w:sz w:val="23"/>
          <w:szCs w:val="23"/>
        </w:rPr>
        <w:t xml:space="preserve"> their </w:t>
      </w:r>
      <w:r w:rsidR="00BE51F5">
        <w:rPr>
          <w:rFonts w:asciiTheme="majorHAnsi" w:hAnsiTheme="majorHAnsi"/>
          <w:sz w:val="23"/>
          <w:szCs w:val="23"/>
        </w:rPr>
        <w:t>ability to interpret</w:t>
      </w:r>
      <w:r>
        <w:rPr>
          <w:rFonts w:asciiTheme="majorHAnsi" w:hAnsiTheme="majorHAnsi"/>
          <w:sz w:val="23"/>
          <w:szCs w:val="23"/>
        </w:rPr>
        <w:t xml:space="preserve"> their obligations under the </w:t>
      </w:r>
      <w:r w:rsidR="00490D65">
        <w:rPr>
          <w:rFonts w:asciiTheme="majorHAnsi" w:hAnsiTheme="majorHAnsi"/>
          <w:sz w:val="23"/>
          <w:szCs w:val="23"/>
        </w:rPr>
        <w:t>DDA</w:t>
      </w:r>
      <w:r>
        <w:rPr>
          <w:rFonts w:asciiTheme="majorHAnsi" w:hAnsiTheme="majorHAnsi"/>
          <w:sz w:val="23"/>
          <w:szCs w:val="23"/>
        </w:rPr>
        <w:t xml:space="preserve"> and enable them to embed processes to </w:t>
      </w:r>
      <w:r w:rsidR="00906DD5">
        <w:rPr>
          <w:rFonts w:asciiTheme="majorHAnsi" w:hAnsiTheme="majorHAnsi"/>
          <w:sz w:val="23"/>
          <w:szCs w:val="23"/>
        </w:rPr>
        <w:t xml:space="preserve">ensure </w:t>
      </w:r>
      <w:r>
        <w:rPr>
          <w:rFonts w:asciiTheme="majorHAnsi" w:hAnsiTheme="majorHAnsi"/>
          <w:sz w:val="23"/>
          <w:szCs w:val="23"/>
        </w:rPr>
        <w:t>better</w:t>
      </w:r>
      <w:r w:rsidR="00906DD5">
        <w:rPr>
          <w:rFonts w:asciiTheme="majorHAnsi" w:hAnsiTheme="majorHAnsi"/>
          <w:sz w:val="23"/>
          <w:szCs w:val="23"/>
        </w:rPr>
        <w:t xml:space="preserve"> </w:t>
      </w:r>
      <w:r>
        <w:rPr>
          <w:rFonts w:asciiTheme="majorHAnsi" w:hAnsiTheme="majorHAnsi"/>
          <w:sz w:val="23"/>
          <w:szCs w:val="23"/>
        </w:rPr>
        <w:t>implement</w:t>
      </w:r>
      <w:r w:rsidR="00906DD5">
        <w:rPr>
          <w:rFonts w:asciiTheme="majorHAnsi" w:hAnsiTheme="majorHAnsi"/>
          <w:sz w:val="23"/>
          <w:szCs w:val="23"/>
        </w:rPr>
        <w:t>ation of</w:t>
      </w:r>
      <w:r>
        <w:rPr>
          <w:rFonts w:asciiTheme="majorHAnsi" w:hAnsiTheme="majorHAnsi"/>
          <w:sz w:val="23"/>
          <w:szCs w:val="23"/>
        </w:rPr>
        <w:t xml:space="preserve"> the Standards. </w:t>
      </w:r>
    </w:p>
    <w:p w14:paraId="7DF2FE19" w14:textId="1673304D" w:rsidR="00391D67" w:rsidRDefault="00391D67" w:rsidP="00391D67">
      <w:pPr>
        <w:rPr>
          <w:rFonts w:asciiTheme="majorHAnsi" w:hAnsiTheme="majorHAnsi"/>
          <w:sz w:val="23"/>
          <w:szCs w:val="23"/>
        </w:rPr>
      </w:pPr>
      <w:r>
        <w:rPr>
          <w:rFonts w:asciiTheme="majorHAnsi" w:hAnsiTheme="majorHAnsi"/>
          <w:sz w:val="23"/>
          <w:szCs w:val="23"/>
        </w:rPr>
        <w:t>Consistently effective implementation of the Standards would also be facilitated by greater reference to the Guidance notes within the Standards themselves</w:t>
      </w:r>
      <w:r w:rsidR="00906DD5">
        <w:rPr>
          <w:rFonts w:asciiTheme="majorHAnsi" w:hAnsiTheme="majorHAnsi"/>
          <w:sz w:val="23"/>
          <w:szCs w:val="23"/>
        </w:rPr>
        <w:t>.</w:t>
      </w:r>
      <w:r>
        <w:rPr>
          <w:rFonts w:asciiTheme="majorHAnsi" w:hAnsiTheme="majorHAnsi"/>
          <w:sz w:val="23"/>
          <w:szCs w:val="23"/>
        </w:rPr>
        <w:t xml:space="preserve"> </w:t>
      </w:r>
      <w:r w:rsidR="00906DD5">
        <w:rPr>
          <w:rFonts w:asciiTheme="majorHAnsi" w:hAnsiTheme="majorHAnsi"/>
          <w:sz w:val="23"/>
          <w:szCs w:val="23"/>
        </w:rPr>
        <w:t>Reference</w:t>
      </w:r>
      <w:r>
        <w:rPr>
          <w:rFonts w:asciiTheme="majorHAnsi" w:hAnsiTheme="majorHAnsi"/>
          <w:sz w:val="23"/>
          <w:szCs w:val="23"/>
        </w:rPr>
        <w:t xml:space="preserve"> </w:t>
      </w:r>
      <w:r w:rsidR="00906DD5">
        <w:rPr>
          <w:rFonts w:asciiTheme="majorHAnsi" w:hAnsiTheme="majorHAnsi"/>
          <w:sz w:val="23"/>
          <w:szCs w:val="23"/>
        </w:rPr>
        <w:t xml:space="preserve">directly within the Standards, rather than providing the Guidance Notes as an addendum to the Standards, would </w:t>
      </w:r>
      <w:r>
        <w:rPr>
          <w:rFonts w:asciiTheme="majorHAnsi" w:hAnsiTheme="majorHAnsi"/>
          <w:sz w:val="23"/>
          <w:szCs w:val="23"/>
        </w:rPr>
        <w:t>act as an educative prompt encouraging greater regular use and familiarity by education providers with the content of the Guidance Notes.</w:t>
      </w:r>
    </w:p>
    <w:p w14:paraId="06D5D405" w14:textId="12A927E6" w:rsidR="0026484F" w:rsidRDefault="0026484F" w:rsidP="00391D67">
      <w:pPr>
        <w:rPr>
          <w:rFonts w:asciiTheme="majorHAnsi" w:hAnsiTheme="majorHAnsi"/>
          <w:sz w:val="23"/>
          <w:szCs w:val="23"/>
        </w:rPr>
      </w:pPr>
      <w:r w:rsidRPr="0026484F">
        <w:rPr>
          <w:rFonts w:asciiTheme="majorHAnsi" w:hAnsiTheme="majorHAnsi"/>
          <w:sz w:val="23"/>
          <w:szCs w:val="23"/>
        </w:rPr>
        <w:t xml:space="preserve">It may </w:t>
      </w:r>
      <w:r>
        <w:rPr>
          <w:rFonts w:asciiTheme="majorHAnsi" w:hAnsiTheme="majorHAnsi"/>
          <w:sz w:val="23"/>
          <w:szCs w:val="23"/>
        </w:rPr>
        <w:t xml:space="preserve">also </w:t>
      </w:r>
      <w:r w:rsidRPr="0026484F">
        <w:rPr>
          <w:rFonts w:asciiTheme="majorHAnsi" w:hAnsiTheme="majorHAnsi"/>
          <w:sz w:val="23"/>
          <w:szCs w:val="23"/>
        </w:rPr>
        <w:t xml:space="preserve">be helpful </w:t>
      </w:r>
      <w:r>
        <w:rPr>
          <w:rFonts w:asciiTheme="majorHAnsi" w:hAnsiTheme="majorHAnsi"/>
          <w:sz w:val="23"/>
          <w:szCs w:val="23"/>
        </w:rPr>
        <w:t>to include</w:t>
      </w:r>
      <w:r w:rsidRPr="0026484F">
        <w:rPr>
          <w:rFonts w:asciiTheme="majorHAnsi" w:hAnsiTheme="majorHAnsi"/>
          <w:sz w:val="23"/>
          <w:szCs w:val="23"/>
        </w:rPr>
        <w:t xml:space="preserve"> reference to the need for staff to work alongside professionals with expertise in supporting students with disability. This will also ensure high quality outcome</w:t>
      </w:r>
      <w:r w:rsidR="00300D1E">
        <w:rPr>
          <w:rFonts w:asciiTheme="majorHAnsi" w:hAnsiTheme="majorHAnsi"/>
          <w:sz w:val="23"/>
          <w:szCs w:val="23"/>
        </w:rPr>
        <w:t>s</w:t>
      </w:r>
      <w:r w:rsidRPr="0026484F">
        <w:rPr>
          <w:rFonts w:asciiTheme="majorHAnsi" w:hAnsiTheme="majorHAnsi"/>
          <w:sz w:val="23"/>
          <w:szCs w:val="23"/>
        </w:rPr>
        <w:t xml:space="preserve"> for students and ensure staff are assisted in the identification of appropriate adjustments that are responsive to the student’s needs and </w:t>
      </w:r>
      <w:r w:rsidR="00300D1E">
        <w:rPr>
          <w:rFonts w:asciiTheme="majorHAnsi" w:hAnsiTheme="majorHAnsi"/>
          <w:sz w:val="23"/>
          <w:szCs w:val="23"/>
        </w:rPr>
        <w:t xml:space="preserve">to </w:t>
      </w:r>
      <w:r w:rsidRPr="0026484F">
        <w:rPr>
          <w:rFonts w:asciiTheme="majorHAnsi" w:hAnsiTheme="majorHAnsi"/>
          <w:sz w:val="23"/>
          <w:szCs w:val="23"/>
        </w:rPr>
        <w:t>plan, design</w:t>
      </w:r>
      <w:r w:rsidR="00300D1E">
        <w:rPr>
          <w:rFonts w:asciiTheme="majorHAnsi" w:hAnsiTheme="majorHAnsi"/>
          <w:sz w:val="23"/>
          <w:szCs w:val="23"/>
        </w:rPr>
        <w:t>,</w:t>
      </w:r>
      <w:r w:rsidRPr="0026484F">
        <w:rPr>
          <w:rFonts w:asciiTheme="majorHAnsi" w:hAnsiTheme="majorHAnsi"/>
          <w:sz w:val="23"/>
          <w:szCs w:val="23"/>
        </w:rPr>
        <w:t xml:space="preserve"> and implement high-quality, evidence-based supports.</w:t>
      </w:r>
    </w:p>
    <w:p w14:paraId="68C37FC8" w14:textId="72BF777A" w:rsidR="007A1A80" w:rsidRDefault="00391D67" w:rsidP="00391D67">
      <w:pPr>
        <w:rPr>
          <w:rFonts w:asciiTheme="majorHAnsi" w:hAnsiTheme="majorHAnsi"/>
          <w:sz w:val="23"/>
          <w:szCs w:val="23"/>
        </w:rPr>
      </w:pPr>
      <w:r>
        <w:rPr>
          <w:rFonts w:asciiTheme="majorHAnsi" w:hAnsiTheme="majorHAnsi"/>
          <w:sz w:val="23"/>
          <w:szCs w:val="23"/>
        </w:rPr>
        <w:t xml:space="preserve">A further improvement in this area could be the development of a collection of de-identified case studies or </w:t>
      </w:r>
      <w:r w:rsidR="00906DD5">
        <w:rPr>
          <w:rFonts w:asciiTheme="majorHAnsi" w:hAnsiTheme="majorHAnsi"/>
          <w:sz w:val="23"/>
          <w:szCs w:val="23"/>
        </w:rPr>
        <w:t>hypothetical</w:t>
      </w:r>
      <w:r>
        <w:rPr>
          <w:rFonts w:asciiTheme="majorHAnsi" w:hAnsiTheme="majorHAnsi"/>
          <w:sz w:val="23"/>
          <w:szCs w:val="23"/>
        </w:rPr>
        <w:t xml:space="preserve"> scenarios </w:t>
      </w:r>
      <w:r w:rsidR="00906DD5">
        <w:rPr>
          <w:rFonts w:asciiTheme="majorHAnsi" w:hAnsiTheme="majorHAnsi"/>
          <w:sz w:val="23"/>
          <w:szCs w:val="23"/>
        </w:rPr>
        <w:t xml:space="preserve">gathered </w:t>
      </w:r>
      <w:r>
        <w:rPr>
          <w:rFonts w:asciiTheme="majorHAnsi" w:hAnsiTheme="majorHAnsi"/>
          <w:sz w:val="23"/>
          <w:szCs w:val="23"/>
        </w:rPr>
        <w:t xml:space="preserve">from previous conciliations and case law. Provision of a range of examples, together with practical guidance notes and illustrations of </w:t>
      </w:r>
      <w:r w:rsidR="0026484F">
        <w:rPr>
          <w:rFonts w:asciiTheme="majorHAnsi" w:hAnsiTheme="majorHAnsi"/>
          <w:sz w:val="23"/>
          <w:szCs w:val="23"/>
        </w:rPr>
        <w:t xml:space="preserve">evidence-based </w:t>
      </w:r>
      <w:r>
        <w:rPr>
          <w:rFonts w:asciiTheme="majorHAnsi" w:hAnsiTheme="majorHAnsi"/>
          <w:sz w:val="23"/>
          <w:szCs w:val="23"/>
        </w:rPr>
        <w:t xml:space="preserve">practice, would be extremely beneficial for schools, parents, and the </w:t>
      </w:r>
      <w:r>
        <w:rPr>
          <w:rFonts w:asciiTheme="majorHAnsi" w:hAnsiTheme="majorHAnsi"/>
          <w:sz w:val="23"/>
          <w:szCs w:val="23"/>
        </w:rPr>
        <w:lastRenderedPageBreak/>
        <w:t xml:space="preserve">community. </w:t>
      </w:r>
      <w:r w:rsidR="0095702C">
        <w:rPr>
          <w:rFonts w:asciiTheme="majorHAnsi" w:hAnsiTheme="majorHAnsi"/>
          <w:sz w:val="23"/>
          <w:szCs w:val="23"/>
        </w:rPr>
        <w:t>The case studies would need to be developed in order to acknowledge the complexities and grey areas in the practice of applying the Standards.</w:t>
      </w:r>
    </w:p>
    <w:p w14:paraId="4F745276" w14:textId="4DA5B22B" w:rsidR="0026484F" w:rsidRDefault="00391D67" w:rsidP="00391D67">
      <w:pPr>
        <w:rPr>
          <w:rFonts w:asciiTheme="majorHAnsi" w:hAnsiTheme="majorHAnsi"/>
          <w:sz w:val="23"/>
          <w:szCs w:val="23"/>
        </w:rPr>
      </w:pPr>
      <w:r>
        <w:rPr>
          <w:rFonts w:asciiTheme="majorHAnsi" w:hAnsiTheme="majorHAnsi"/>
          <w:sz w:val="23"/>
          <w:szCs w:val="23"/>
        </w:rPr>
        <w:t xml:space="preserve">Differentiated versions of the guidance notes and illustrations of practice could be developed for specific audiences and directly targeted, for example, to school leaders, classroom teachers, and parents and families. </w:t>
      </w:r>
      <w:r w:rsidR="0026484F" w:rsidRPr="0026484F">
        <w:rPr>
          <w:rFonts w:asciiTheme="majorHAnsi" w:hAnsiTheme="majorHAnsi"/>
          <w:sz w:val="23"/>
          <w:szCs w:val="23"/>
        </w:rPr>
        <w:t>S</w:t>
      </w:r>
      <w:r w:rsidR="0026484F">
        <w:rPr>
          <w:rFonts w:asciiTheme="majorHAnsi" w:hAnsiTheme="majorHAnsi"/>
          <w:sz w:val="23"/>
          <w:szCs w:val="23"/>
        </w:rPr>
        <w:t>chools, s</w:t>
      </w:r>
      <w:r w:rsidR="0026484F" w:rsidRPr="0026484F">
        <w:rPr>
          <w:rFonts w:asciiTheme="majorHAnsi" w:hAnsiTheme="majorHAnsi"/>
          <w:sz w:val="23"/>
          <w:szCs w:val="23"/>
        </w:rPr>
        <w:t>ectors</w:t>
      </w:r>
      <w:r w:rsidR="0026484F">
        <w:rPr>
          <w:rFonts w:asciiTheme="majorHAnsi" w:hAnsiTheme="majorHAnsi"/>
          <w:sz w:val="23"/>
          <w:szCs w:val="23"/>
        </w:rPr>
        <w:t>, and systems</w:t>
      </w:r>
      <w:r w:rsidR="0026484F" w:rsidRPr="0026484F">
        <w:rPr>
          <w:rFonts w:asciiTheme="majorHAnsi" w:hAnsiTheme="majorHAnsi"/>
          <w:sz w:val="23"/>
          <w:szCs w:val="23"/>
        </w:rPr>
        <w:t xml:space="preserve"> would also be able to reinforce the application of these resources through inclusion in professional learning opportunities.</w:t>
      </w:r>
    </w:p>
    <w:p w14:paraId="2E01A4F4" w14:textId="1CFA7557" w:rsidR="007A1A80" w:rsidRDefault="007A1A80" w:rsidP="00391D67">
      <w:pPr>
        <w:rPr>
          <w:rFonts w:asciiTheme="majorHAnsi" w:hAnsiTheme="majorHAnsi"/>
          <w:sz w:val="23"/>
          <w:szCs w:val="23"/>
        </w:rPr>
      </w:pPr>
      <w:r>
        <w:rPr>
          <w:rFonts w:asciiTheme="majorHAnsi" w:hAnsiTheme="majorHAnsi"/>
          <w:sz w:val="23"/>
          <w:szCs w:val="23"/>
        </w:rPr>
        <w:t xml:space="preserve">Targeting different versions of the case studies and illustrations to varying audiences would ensure that information on the Standards is provided focused on the specific context of the reader, would work to avoid a situation where one person in the school community is </w:t>
      </w:r>
      <w:r w:rsidR="00906DD5">
        <w:rPr>
          <w:rFonts w:asciiTheme="majorHAnsi" w:hAnsiTheme="majorHAnsi"/>
          <w:sz w:val="23"/>
          <w:szCs w:val="23"/>
        </w:rPr>
        <w:t xml:space="preserve">considered </w:t>
      </w:r>
      <w:r>
        <w:rPr>
          <w:rFonts w:asciiTheme="majorHAnsi" w:hAnsiTheme="majorHAnsi"/>
          <w:sz w:val="23"/>
          <w:szCs w:val="23"/>
        </w:rPr>
        <w:t xml:space="preserve">the ‘font of all knowledge’ concerning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and encourage leadership for the education of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isability across the whole school.</w:t>
      </w:r>
    </w:p>
    <w:p w14:paraId="4BB35694" w14:textId="61A83DF7" w:rsidR="005A1A84" w:rsidRDefault="00391D67" w:rsidP="00391D67">
      <w:pPr>
        <w:rPr>
          <w:rFonts w:asciiTheme="majorHAnsi" w:hAnsiTheme="majorHAnsi"/>
          <w:sz w:val="23"/>
          <w:szCs w:val="23"/>
        </w:rPr>
      </w:pPr>
      <w:r>
        <w:rPr>
          <w:rFonts w:asciiTheme="majorHAnsi" w:hAnsiTheme="majorHAnsi"/>
          <w:sz w:val="23"/>
          <w:szCs w:val="23"/>
        </w:rPr>
        <w:t xml:space="preserve">It would be important that these illustrations and examples are updated regularly, perhaps yearly, as a supplement to the </w:t>
      </w:r>
      <w:r w:rsidR="00906DD5">
        <w:rPr>
          <w:rFonts w:asciiTheme="majorHAnsi" w:hAnsiTheme="majorHAnsi"/>
          <w:sz w:val="23"/>
          <w:szCs w:val="23"/>
        </w:rPr>
        <w:t xml:space="preserve">mandated </w:t>
      </w:r>
      <w:r>
        <w:rPr>
          <w:rFonts w:asciiTheme="majorHAnsi" w:hAnsiTheme="majorHAnsi"/>
          <w:sz w:val="23"/>
          <w:szCs w:val="23"/>
        </w:rPr>
        <w:t>five-yearly review of the Standards themselves.</w:t>
      </w:r>
    </w:p>
    <w:p w14:paraId="521C6C91" w14:textId="028E7488" w:rsidR="007A1A80" w:rsidRPr="00634F40" w:rsidRDefault="00571BAA" w:rsidP="007A1A80">
      <w:pPr>
        <w:pStyle w:val="Heading3"/>
      </w:pPr>
      <w:bookmarkStart w:id="18" w:name="_Toc51932344"/>
      <w:r>
        <w:t>Access to Education</w:t>
      </w:r>
      <w:bookmarkEnd w:id="18"/>
    </w:p>
    <w:p w14:paraId="236CCA55" w14:textId="0F952B07" w:rsidR="007A1A80" w:rsidRDefault="00571BAA" w:rsidP="00391D67">
      <w:pPr>
        <w:rPr>
          <w:rFonts w:asciiTheme="majorHAnsi" w:hAnsiTheme="majorHAnsi"/>
          <w:sz w:val="23"/>
          <w:szCs w:val="23"/>
        </w:rPr>
      </w:pPr>
      <w:r>
        <w:rPr>
          <w:rFonts w:asciiTheme="majorHAnsi" w:hAnsiTheme="majorHAnsi"/>
          <w:sz w:val="23"/>
          <w:szCs w:val="23"/>
        </w:rPr>
        <w:t xml:space="preserve">As noted above, there has been significant, sustained growth in enrolments of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in Independent schools and Special schools over the past two and a half decades. </w:t>
      </w:r>
      <w:r w:rsidRPr="00571BAA">
        <w:rPr>
          <w:rFonts w:asciiTheme="majorHAnsi" w:hAnsiTheme="majorHAnsi"/>
          <w:sz w:val="23"/>
          <w:szCs w:val="23"/>
        </w:rPr>
        <w:t xml:space="preserve">The rate of growth of </w:t>
      </w:r>
      <w:r w:rsidR="00B06D4A">
        <w:rPr>
          <w:rFonts w:asciiTheme="majorHAnsi" w:hAnsiTheme="majorHAnsi"/>
          <w:sz w:val="23"/>
          <w:szCs w:val="23"/>
        </w:rPr>
        <w:t>s</w:t>
      </w:r>
      <w:r w:rsidRPr="00571BAA">
        <w:rPr>
          <w:rFonts w:asciiTheme="majorHAnsi" w:hAnsiTheme="majorHAnsi"/>
          <w:sz w:val="23"/>
          <w:szCs w:val="23"/>
        </w:rPr>
        <w:t xml:space="preserve">tudents with </w:t>
      </w:r>
      <w:r w:rsidR="00B06D4A">
        <w:rPr>
          <w:rFonts w:asciiTheme="majorHAnsi" w:hAnsiTheme="majorHAnsi"/>
          <w:sz w:val="23"/>
          <w:szCs w:val="23"/>
        </w:rPr>
        <w:t>d</w:t>
      </w:r>
      <w:r w:rsidRPr="00571BAA">
        <w:rPr>
          <w:rFonts w:asciiTheme="majorHAnsi" w:hAnsiTheme="majorHAnsi"/>
          <w:sz w:val="23"/>
          <w:szCs w:val="23"/>
        </w:rPr>
        <w:t xml:space="preserve">isability enrolling in Independent schools </w:t>
      </w:r>
      <w:r>
        <w:rPr>
          <w:rFonts w:asciiTheme="majorHAnsi" w:hAnsiTheme="majorHAnsi"/>
          <w:sz w:val="23"/>
          <w:szCs w:val="23"/>
        </w:rPr>
        <w:t>has been</w:t>
      </w:r>
      <w:r w:rsidRPr="00571BAA">
        <w:rPr>
          <w:rFonts w:asciiTheme="majorHAnsi" w:hAnsiTheme="majorHAnsi"/>
          <w:sz w:val="23"/>
          <w:szCs w:val="23"/>
        </w:rPr>
        <w:t xml:space="preserve"> four times that of the sector’s overall enrolment growth.</w:t>
      </w:r>
    </w:p>
    <w:p w14:paraId="5D7440C2" w14:textId="151E7283" w:rsidR="0026484F" w:rsidRDefault="00571BAA" w:rsidP="00571BAA">
      <w:pPr>
        <w:rPr>
          <w:rFonts w:asciiTheme="majorHAnsi" w:hAnsiTheme="majorHAnsi"/>
          <w:sz w:val="23"/>
          <w:szCs w:val="23"/>
        </w:rPr>
      </w:pPr>
      <w:r w:rsidRPr="00571BAA">
        <w:rPr>
          <w:rFonts w:asciiTheme="majorHAnsi" w:hAnsiTheme="majorHAnsi"/>
          <w:sz w:val="23"/>
          <w:szCs w:val="23"/>
        </w:rPr>
        <w:t xml:space="preserve">While </w:t>
      </w:r>
      <w:r w:rsidR="00B06D4A">
        <w:rPr>
          <w:rFonts w:asciiTheme="majorHAnsi" w:hAnsiTheme="majorHAnsi"/>
          <w:sz w:val="23"/>
          <w:szCs w:val="23"/>
        </w:rPr>
        <w:t>s</w:t>
      </w:r>
      <w:r w:rsidRPr="00571BAA">
        <w:rPr>
          <w:rFonts w:asciiTheme="majorHAnsi" w:hAnsiTheme="majorHAnsi"/>
          <w:sz w:val="23"/>
          <w:szCs w:val="23"/>
        </w:rPr>
        <w:t xml:space="preserve">tudents with </w:t>
      </w:r>
      <w:r w:rsidR="00B06D4A">
        <w:rPr>
          <w:rFonts w:asciiTheme="majorHAnsi" w:hAnsiTheme="majorHAnsi"/>
          <w:sz w:val="23"/>
          <w:szCs w:val="23"/>
        </w:rPr>
        <w:t>d</w:t>
      </w:r>
      <w:r w:rsidRPr="00571BAA">
        <w:rPr>
          <w:rFonts w:asciiTheme="majorHAnsi" w:hAnsiTheme="majorHAnsi"/>
          <w:sz w:val="23"/>
          <w:szCs w:val="23"/>
        </w:rPr>
        <w:t xml:space="preserve">isability in Independent schools are eligible for funding from the Australian Government and states and territory governments, students with </w:t>
      </w:r>
      <w:r w:rsidR="00B06D4A">
        <w:rPr>
          <w:rFonts w:asciiTheme="majorHAnsi" w:hAnsiTheme="majorHAnsi"/>
          <w:sz w:val="23"/>
          <w:szCs w:val="23"/>
        </w:rPr>
        <w:t>d</w:t>
      </w:r>
      <w:r w:rsidRPr="00571BAA">
        <w:rPr>
          <w:rFonts w:asciiTheme="majorHAnsi" w:hAnsiTheme="majorHAnsi"/>
          <w:sz w:val="23"/>
          <w:szCs w:val="23"/>
        </w:rPr>
        <w:t>isability enrolled in Independent schools do not receive the same level of additional funding as their counter</w:t>
      </w:r>
      <w:r>
        <w:rPr>
          <w:rFonts w:asciiTheme="majorHAnsi" w:hAnsiTheme="majorHAnsi"/>
          <w:sz w:val="23"/>
          <w:szCs w:val="23"/>
        </w:rPr>
        <w:t>p</w:t>
      </w:r>
      <w:r w:rsidRPr="00571BAA">
        <w:rPr>
          <w:rFonts w:asciiTheme="majorHAnsi" w:hAnsiTheme="majorHAnsi"/>
          <w:sz w:val="23"/>
          <w:szCs w:val="23"/>
        </w:rPr>
        <w:t>arts in government schools.</w:t>
      </w:r>
      <w:r w:rsidR="0026484F">
        <w:rPr>
          <w:rFonts w:asciiTheme="majorHAnsi" w:hAnsiTheme="majorHAnsi"/>
          <w:sz w:val="23"/>
          <w:szCs w:val="23"/>
        </w:rPr>
        <w:t xml:space="preserve"> Government funding for students with disability in Independent schools also does not take into account capital costs</w:t>
      </w:r>
      <w:r w:rsidR="0026484F" w:rsidRPr="0026484F">
        <w:rPr>
          <w:rFonts w:asciiTheme="majorHAnsi" w:hAnsiTheme="majorHAnsi"/>
          <w:sz w:val="23"/>
          <w:szCs w:val="23"/>
        </w:rPr>
        <w:t xml:space="preserve"> if infrastructure or specialised equipment is required</w:t>
      </w:r>
      <w:r w:rsidR="0026484F">
        <w:rPr>
          <w:rFonts w:asciiTheme="majorHAnsi" w:hAnsiTheme="majorHAnsi"/>
          <w:sz w:val="23"/>
          <w:szCs w:val="23"/>
        </w:rPr>
        <w:t>. Th</w:t>
      </w:r>
      <w:r w:rsidR="00745B21">
        <w:rPr>
          <w:rFonts w:asciiTheme="majorHAnsi" w:hAnsiTheme="majorHAnsi"/>
          <w:sz w:val="23"/>
          <w:szCs w:val="23"/>
        </w:rPr>
        <w:t>i</w:t>
      </w:r>
      <w:r w:rsidR="0026484F">
        <w:rPr>
          <w:rFonts w:asciiTheme="majorHAnsi" w:hAnsiTheme="majorHAnsi"/>
          <w:sz w:val="23"/>
          <w:szCs w:val="23"/>
        </w:rPr>
        <w:t>s is a cost that must be covered directly by the Independent school community.</w:t>
      </w:r>
    </w:p>
    <w:p w14:paraId="53820DE5" w14:textId="1F6F0896" w:rsidR="00D760BE" w:rsidRDefault="00571BAA" w:rsidP="00391D67">
      <w:pPr>
        <w:rPr>
          <w:rFonts w:asciiTheme="majorHAnsi" w:hAnsiTheme="majorHAnsi"/>
          <w:sz w:val="23"/>
          <w:szCs w:val="23"/>
        </w:rPr>
      </w:pPr>
      <w:r>
        <w:rPr>
          <w:rFonts w:asciiTheme="majorHAnsi" w:hAnsiTheme="majorHAnsi"/>
          <w:sz w:val="23"/>
          <w:szCs w:val="23"/>
        </w:rPr>
        <w:t xml:space="preserve">Lack of </w:t>
      </w:r>
      <w:r w:rsidR="00B06D4A" w:rsidRPr="00745B21">
        <w:rPr>
          <w:rFonts w:asciiTheme="majorHAnsi" w:hAnsiTheme="majorHAnsi"/>
          <w:sz w:val="23"/>
          <w:szCs w:val="23"/>
        </w:rPr>
        <w:t>equitable</w:t>
      </w:r>
      <w:r>
        <w:rPr>
          <w:rFonts w:asciiTheme="majorHAnsi" w:hAnsiTheme="majorHAnsi"/>
          <w:sz w:val="23"/>
          <w:szCs w:val="23"/>
        </w:rPr>
        <w:t xml:space="preserve"> government support for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in Independent schools remains a major constraint for schools seeking </w:t>
      </w:r>
      <w:r w:rsidR="00906DD5">
        <w:rPr>
          <w:rFonts w:asciiTheme="majorHAnsi" w:hAnsiTheme="majorHAnsi"/>
          <w:sz w:val="23"/>
          <w:szCs w:val="23"/>
        </w:rPr>
        <w:t>to provide access to education on the same basis for all students</w:t>
      </w:r>
      <w:r>
        <w:rPr>
          <w:rFonts w:asciiTheme="majorHAnsi" w:hAnsiTheme="majorHAnsi"/>
          <w:sz w:val="23"/>
          <w:szCs w:val="23"/>
        </w:rPr>
        <w:t>.</w:t>
      </w:r>
      <w:r w:rsidR="00D760BE">
        <w:rPr>
          <w:rFonts w:asciiTheme="majorHAnsi" w:hAnsiTheme="majorHAnsi"/>
          <w:sz w:val="23"/>
          <w:szCs w:val="23"/>
        </w:rPr>
        <w:t xml:space="preserve"> For </w:t>
      </w:r>
      <w:r w:rsidR="00B06D4A">
        <w:rPr>
          <w:rFonts w:asciiTheme="majorHAnsi" w:hAnsiTheme="majorHAnsi"/>
          <w:sz w:val="23"/>
          <w:szCs w:val="23"/>
        </w:rPr>
        <w:t>s</w:t>
      </w:r>
      <w:r w:rsidR="00D760BE">
        <w:rPr>
          <w:rFonts w:asciiTheme="majorHAnsi" w:hAnsiTheme="majorHAnsi"/>
          <w:sz w:val="23"/>
          <w:szCs w:val="23"/>
        </w:rPr>
        <w:t xml:space="preserve">tudents with </w:t>
      </w:r>
      <w:r w:rsidR="00B06D4A">
        <w:rPr>
          <w:rFonts w:asciiTheme="majorHAnsi" w:hAnsiTheme="majorHAnsi"/>
          <w:sz w:val="23"/>
          <w:szCs w:val="23"/>
        </w:rPr>
        <w:t>d</w:t>
      </w:r>
      <w:r w:rsidR="00D760BE">
        <w:rPr>
          <w:rFonts w:asciiTheme="majorHAnsi" w:hAnsiTheme="majorHAnsi"/>
          <w:sz w:val="23"/>
          <w:szCs w:val="23"/>
        </w:rPr>
        <w:t xml:space="preserve">isability in government schools, the cost of their education is met by the Australian community as a whole. Students with </w:t>
      </w:r>
      <w:r w:rsidR="00B06D4A">
        <w:rPr>
          <w:rFonts w:asciiTheme="majorHAnsi" w:hAnsiTheme="majorHAnsi"/>
          <w:sz w:val="23"/>
          <w:szCs w:val="23"/>
        </w:rPr>
        <w:t>d</w:t>
      </w:r>
      <w:r w:rsidR="00D760BE">
        <w:rPr>
          <w:rFonts w:asciiTheme="majorHAnsi" w:hAnsiTheme="majorHAnsi"/>
          <w:sz w:val="23"/>
          <w:szCs w:val="23"/>
        </w:rPr>
        <w:t xml:space="preserve">isability in Independent schools still generally receive less government funding for their education needs than if they were educated in a government school. </w:t>
      </w:r>
    </w:p>
    <w:p w14:paraId="6B60D3EC" w14:textId="31CD62ED" w:rsidR="00D760BE" w:rsidRDefault="00D760BE" w:rsidP="00391D67">
      <w:pPr>
        <w:rPr>
          <w:rFonts w:asciiTheme="majorHAnsi" w:hAnsiTheme="majorHAnsi"/>
          <w:sz w:val="23"/>
          <w:szCs w:val="23"/>
        </w:rPr>
      </w:pPr>
      <w:r>
        <w:rPr>
          <w:rFonts w:asciiTheme="majorHAnsi" w:hAnsiTheme="majorHAnsi"/>
          <w:sz w:val="23"/>
          <w:szCs w:val="23"/>
        </w:rPr>
        <w:t xml:space="preserve">As autonomous, stand-alone entities, most Independent schools cannot rely on support from a systemic school authority to provide additional resources to meet the needs of </w:t>
      </w:r>
      <w:r w:rsidR="00E13189">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w:t>
      </w:r>
      <w:r w:rsidR="0068058E">
        <w:rPr>
          <w:rFonts w:asciiTheme="majorHAnsi" w:hAnsiTheme="majorHAnsi"/>
          <w:sz w:val="23"/>
          <w:szCs w:val="23"/>
        </w:rPr>
        <w:t xml:space="preserve">Education providers operating within a system have the opportunity to provide a reasonable alternative education location in another part of that system. Schools systems are also able to move funds across education providers in order to support </w:t>
      </w:r>
      <w:r w:rsidR="00B06D4A">
        <w:rPr>
          <w:rFonts w:asciiTheme="majorHAnsi" w:hAnsiTheme="majorHAnsi"/>
          <w:sz w:val="23"/>
          <w:szCs w:val="23"/>
        </w:rPr>
        <w:t>s</w:t>
      </w:r>
      <w:r w:rsidR="0068058E">
        <w:rPr>
          <w:rFonts w:asciiTheme="majorHAnsi" w:hAnsiTheme="majorHAnsi"/>
          <w:sz w:val="23"/>
          <w:szCs w:val="23"/>
        </w:rPr>
        <w:t xml:space="preserve">tudents with </w:t>
      </w:r>
      <w:r w:rsidR="00B06D4A">
        <w:rPr>
          <w:rFonts w:asciiTheme="majorHAnsi" w:hAnsiTheme="majorHAnsi"/>
          <w:sz w:val="23"/>
          <w:szCs w:val="23"/>
        </w:rPr>
        <w:t>di</w:t>
      </w:r>
      <w:r w:rsidR="0068058E">
        <w:rPr>
          <w:rFonts w:asciiTheme="majorHAnsi" w:hAnsiTheme="majorHAnsi"/>
          <w:sz w:val="23"/>
          <w:szCs w:val="23"/>
        </w:rPr>
        <w:t>sability. Independent schools do not have the same capacity as system authorities to respond flexibly and target funding to needs as they arise within the sector.</w:t>
      </w:r>
    </w:p>
    <w:p w14:paraId="135E8AC6" w14:textId="528E0AFA" w:rsidR="0068058E" w:rsidRDefault="0068058E" w:rsidP="0068058E">
      <w:pPr>
        <w:rPr>
          <w:rFonts w:asciiTheme="majorHAnsi" w:hAnsiTheme="majorHAnsi"/>
          <w:sz w:val="23"/>
          <w:szCs w:val="23"/>
        </w:rPr>
      </w:pPr>
      <w:r>
        <w:rPr>
          <w:rFonts w:asciiTheme="majorHAnsi" w:hAnsiTheme="majorHAnsi"/>
          <w:sz w:val="23"/>
          <w:szCs w:val="23"/>
        </w:rPr>
        <w:lastRenderedPageBreak/>
        <w:t xml:space="preserve">In Independent schools, the gap in funding required to assist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to access education on the same basis as students without disability is borne directly by the individual Independent school community. This means that enrolling a </w:t>
      </w:r>
      <w:r w:rsidR="00B06D4A">
        <w:rPr>
          <w:rFonts w:asciiTheme="majorHAnsi" w:hAnsiTheme="majorHAnsi"/>
          <w:sz w:val="23"/>
          <w:szCs w:val="23"/>
        </w:rPr>
        <w:t>s</w:t>
      </w:r>
      <w:r>
        <w:rPr>
          <w:rFonts w:asciiTheme="majorHAnsi" w:hAnsiTheme="majorHAnsi"/>
          <w:sz w:val="23"/>
          <w:szCs w:val="23"/>
        </w:rPr>
        <w:t xml:space="preserve">tudent with </w:t>
      </w:r>
      <w:r w:rsidR="00B06D4A">
        <w:rPr>
          <w:rFonts w:asciiTheme="majorHAnsi" w:hAnsiTheme="majorHAnsi"/>
          <w:sz w:val="23"/>
          <w:szCs w:val="23"/>
        </w:rPr>
        <w:t>d</w:t>
      </w:r>
      <w:r>
        <w:rPr>
          <w:rFonts w:asciiTheme="majorHAnsi" w:hAnsiTheme="majorHAnsi"/>
          <w:sz w:val="23"/>
          <w:szCs w:val="23"/>
        </w:rPr>
        <w:t xml:space="preserve">isability, particularly in the middle and low-fee schools which comprise </w:t>
      </w:r>
      <w:r w:rsidR="00C06C08" w:rsidRPr="00C06C08">
        <w:rPr>
          <w:rFonts w:asciiTheme="majorHAnsi" w:hAnsiTheme="majorHAnsi"/>
          <w:sz w:val="23"/>
          <w:szCs w:val="23"/>
        </w:rPr>
        <w:t xml:space="preserve">ninety percent </w:t>
      </w:r>
      <w:r>
        <w:rPr>
          <w:rFonts w:asciiTheme="majorHAnsi" w:hAnsiTheme="majorHAnsi"/>
          <w:sz w:val="23"/>
          <w:szCs w:val="23"/>
        </w:rPr>
        <w:t>of Independent schools, can place a significant impost on the school community.</w:t>
      </w:r>
    </w:p>
    <w:p w14:paraId="2A9F3A4D" w14:textId="4EA463B3" w:rsidR="00852762" w:rsidRPr="00852762" w:rsidRDefault="0068058E" w:rsidP="00906DD5">
      <w:pPr>
        <w:rPr>
          <w:rFonts w:asciiTheme="majorHAnsi" w:hAnsiTheme="majorHAnsi"/>
          <w:sz w:val="23"/>
          <w:szCs w:val="23"/>
        </w:rPr>
      </w:pPr>
      <w:r>
        <w:rPr>
          <w:rFonts w:asciiTheme="majorHAnsi" w:hAnsiTheme="majorHAnsi"/>
          <w:sz w:val="23"/>
          <w:szCs w:val="23"/>
        </w:rPr>
        <w:t xml:space="preserve">The Independent sector strongly believes that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must be appropriately and equitably funded by government regardless of the type of school they attend, in order to </w:t>
      </w:r>
      <w:r w:rsidR="00906DD5">
        <w:rPr>
          <w:rFonts w:asciiTheme="majorHAnsi" w:hAnsiTheme="majorHAnsi"/>
          <w:sz w:val="23"/>
          <w:szCs w:val="23"/>
        </w:rPr>
        <w:t xml:space="preserve">ensure </w:t>
      </w:r>
      <w:r>
        <w:rPr>
          <w:rFonts w:asciiTheme="majorHAnsi" w:hAnsiTheme="majorHAnsi"/>
          <w:sz w:val="23"/>
          <w:szCs w:val="23"/>
        </w:rPr>
        <w:t xml:space="preserve">access to education and training opportunities for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isability.</w:t>
      </w:r>
    </w:p>
    <w:p w14:paraId="2F232D8B" w14:textId="77777777" w:rsidR="009C176F" w:rsidRPr="00634F40" w:rsidRDefault="009C176F" w:rsidP="00634F40">
      <w:pPr>
        <w:pStyle w:val="Heading3"/>
      </w:pPr>
      <w:bookmarkStart w:id="19" w:name="_Toc51932345"/>
      <w:bookmarkStart w:id="20" w:name="_Hlk50972950"/>
      <w:r w:rsidRPr="00634F40">
        <w:t>Professional Learning to Support the Standards</w:t>
      </w:r>
      <w:bookmarkEnd w:id="19"/>
    </w:p>
    <w:bookmarkEnd w:id="20"/>
    <w:p w14:paraId="739704F0" w14:textId="721557A2" w:rsidR="009C176F" w:rsidRDefault="009C176F" w:rsidP="009C176F">
      <w:pPr>
        <w:rPr>
          <w:rFonts w:asciiTheme="majorHAnsi" w:hAnsiTheme="majorHAnsi"/>
          <w:sz w:val="23"/>
          <w:szCs w:val="23"/>
        </w:rPr>
      </w:pPr>
      <w:r>
        <w:rPr>
          <w:rFonts w:asciiTheme="majorHAnsi" w:hAnsiTheme="majorHAnsi"/>
          <w:sz w:val="23"/>
          <w:szCs w:val="23"/>
        </w:rPr>
        <w:t xml:space="preserve">While education providers have specific obligations under the DDA, school communities may find it difficult to maintain </w:t>
      </w:r>
      <w:r w:rsidR="006C624E">
        <w:rPr>
          <w:rFonts w:asciiTheme="majorHAnsi" w:hAnsiTheme="majorHAnsi"/>
          <w:sz w:val="23"/>
          <w:szCs w:val="23"/>
        </w:rPr>
        <w:t>ongoing</w:t>
      </w:r>
      <w:r>
        <w:rPr>
          <w:rFonts w:asciiTheme="majorHAnsi" w:hAnsiTheme="majorHAnsi"/>
          <w:sz w:val="23"/>
          <w:szCs w:val="23"/>
        </w:rPr>
        <w:t xml:space="preserve"> corporate knowledge of their obligations due to the mobile and complex nature of the school workforce. </w:t>
      </w:r>
    </w:p>
    <w:p w14:paraId="2BC8C9FD" w14:textId="184FE13D" w:rsidR="00C704E0" w:rsidRDefault="00C704E0" w:rsidP="009C176F">
      <w:pPr>
        <w:rPr>
          <w:rFonts w:asciiTheme="majorHAnsi" w:hAnsiTheme="majorHAnsi"/>
          <w:sz w:val="23"/>
          <w:szCs w:val="23"/>
        </w:rPr>
      </w:pPr>
      <w:r>
        <w:rPr>
          <w:rFonts w:asciiTheme="majorHAnsi" w:hAnsiTheme="majorHAnsi"/>
          <w:sz w:val="23"/>
          <w:szCs w:val="23"/>
        </w:rPr>
        <w:t xml:space="preserve">It is critical that all early career educators </w:t>
      </w:r>
      <w:r w:rsidR="00391D67">
        <w:rPr>
          <w:rFonts w:asciiTheme="majorHAnsi" w:hAnsiTheme="majorHAnsi"/>
          <w:sz w:val="23"/>
          <w:szCs w:val="23"/>
        </w:rPr>
        <w:t>undertake</w:t>
      </w:r>
      <w:r>
        <w:rPr>
          <w:rFonts w:asciiTheme="majorHAnsi" w:hAnsiTheme="majorHAnsi"/>
          <w:sz w:val="23"/>
          <w:szCs w:val="23"/>
        </w:rPr>
        <w:t xml:space="preserve"> prepar</w:t>
      </w:r>
      <w:r w:rsidR="00391D67">
        <w:rPr>
          <w:rFonts w:asciiTheme="majorHAnsi" w:hAnsiTheme="majorHAnsi"/>
          <w:sz w:val="23"/>
          <w:szCs w:val="23"/>
        </w:rPr>
        <w:t>ation</w:t>
      </w:r>
      <w:r>
        <w:rPr>
          <w:rFonts w:asciiTheme="majorHAnsi" w:hAnsiTheme="majorHAnsi"/>
          <w:sz w:val="23"/>
          <w:szCs w:val="23"/>
        </w:rPr>
        <w:t xml:space="preserve">, as part of Initial Teacher Education, </w:t>
      </w:r>
      <w:r w:rsidR="00391D67">
        <w:rPr>
          <w:rFonts w:asciiTheme="majorHAnsi" w:hAnsiTheme="majorHAnsi"/>
          <w:sz w:val="23"/>
          <w:szCs w:val="23"/>
        </w:rPr>
        <w:t xml:space="preserve">to teach </w:t>
      </w:r>
      <w:r w:rsidR="00B06D4A">
        <w:rPr>
          <w:rFonts w:asciiTheme="majorHAnsi" w:hAnsiTheme="majorHAnsi"/>
          <w:sz w:val="23"/>
          <w:szCs w:val="23"/>
        </w:rPr>
        <w:t>s</w:t>
      </w:r>
      <w:r w:rsidR="00391D67">
        <w:rPr>
          <w:rFonts w:asciiTheme="majorHAnsi" w:hAnsiTheme="majorHAnsi"/>
          <w:sz w:val="23"/>
          <w:szCs w:val="23"/>
        </w:rPr>
        <w:t xml:space="preserve">tudents with </w:t>
      </w:r>
      <w:r w:rsidR="00B06D4A">
        <w:rPr>
          <w:rFonts w:asciiTheme="majorHAnsi" w:hAnsiTheme="majorHAnsi"/>
          <w:sz w:val="23"/>
          <w:szCs w:val="23"/>
        </w:rPr>
        <w:t>d</w:t>
      </w:r>
      <w:r w:rsidR="00391D67">
        <w:rPr>
          <w:rFonts w:asciiTheme="majorHAnsi" w:hAnsiTheme="majorHAnsi"/>
          <w:sz w:val="23"/>
          <w:szCs w:val="23"/>
        </w:rPr>
        <w:t xml:space="preserve">isability. Currently there appears to be limited pre-service training to prepare classroom teachers for educating </w:t>
      </w:r>
      <w:r w:rsidR="00B06D4A">
        <w:rPr>
          <w:rFonts w:asciiTheme="majorHAnsi" w:hAnsiTheme="majorHAnsi"/>
          <w:sz w:val="23"/>
          <w:szCs w:val="23"/>
        </w:rPr>
        <w:t>s</w:t>
      </w:r>
      <w:r w:rsidR="00391D67">
        <w:rPr>
          <w:rFonts w:asciiTheme="majorHAnsi" w:hAnsiTheme="majorHAnsi"/>
          <w:sz w:val="23"/>
          <w:szCs w:val="23"/>
        </w:rPr>
        <w:t xml:space="preserve">tudents with </w:t>
      </w:r>
      <w:r w:rsidR="00B06D4A">
        <w:rPr>
          <w:rFonts w:asciiTheme="majorHAnsi" w:hAnsiTheme="majorHAnsi"/>
          <w:sz w:val="23"/>
          <w:szCs w:val="23"/>
        </w:rPr>
        <w:t>d</w:t>
      </w:r>
      <w:r w:rsidR="00391D67">
        <w:rPr>
          <w:rFonts w:asciiTheme="majorHAnsi" w:hAnsiTheme="majorHAnsi"/>
          <w:sz w:val="23"/>
          <w:szCs w:val="23"/>
        </w:rPr>
        <w:t>isability, let alone interpretation or implementation of their obligations under the DDA and Standards. This situation is compounded by a continued lack of available, appropriately qualified, post-graduate special education teachers who can provide specialised advice and support to students, teachers, and school communities.</w:t>
      </w:r>
    </w:p>
    <w:p w14:paraId="6101FAC6" w14:textId="128F6C92" w:rsidR="005F5118" w:rsidRDefault="00391D67" w:rsidP="00E92E3A">
      <w:pPr>
        <w:rPr>
          <w:rFonts w:asciiTheme="majorHAnsi" w:hAnsiTheme="majorHAnsi"/>
          <w:sz w:val="23"/>
          <w:szCs w:val="23"/>
        </w:rPr>
      </w:pPr>
      <w:r>
        <w:rPr>
          <w:rFonts w:asciiTheme="majorHAnsi" w:hAnsiTheme="majorHAnsi"/>
          <w:sz w:val="23"/>
          <w:szCs w:val="23"/>
        </w:rPr>
        <w:t xml:space="preserve">The lack of wide-spread suitable preparation for educating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isability as part of Initial Teacher Education means that professional learning for registered teachers is required to support the interpretation and implementation of the Standards.</w:t>
      </w:r>
      <w:r w:rsidR="00E6794E">
        <w:rPr>
          <w:rFonts w:asciiTheme="majorHAnsi" w:hAnsiTheme="majorHAnsi"/>
          <w:sz w:val="23"/>
          <w:szCs w:val="23"/>
        </w:rPr>
        <w:t xml:space="preserve"> It is imperative that targeted, ongoing professional learning </w:t>
      </w:r>
      <w:r w:rsidR="00571BAA">
        <w:rPr>
          <w:rFonts w:asciiTheme="majorHAnsi" w:hAnsiTheme="majorHAnsi"/>
          <w:sz w:val="23"/>
          <w:szCs w:val="23"/>
        </w:rPr>
        <w:t xml:space="preserve">is undertaken by all </w:t>
      </w:r>
      <w:r w:rsidR="005F5118">
        <w:rPr>
          <w:rFonts w:asciiTheme="majorHAnsi" w:hAnsiTheme="majorHAnsi"/>
          <w:sz w:val="23"/>
          <w:szCs w:val="23"/>
        </w:rPr>
        <w:t xml:space="preserve">school staff, including </w:t>
      </w:r>
      <w:r w:rsidR="00571BAA">
        <w:rPr>
          <w:rFonts w:asciiTheme="majorHAnsi" w:hAnsiTheme="majorHAnsi"/>
          <w:sz w:val="23"/>
          <w:szCs w:val="23"/>
        </w:rPr>
        <w:t>teachers</w:t>
      </w:r>
      <w:r w:rsidR="005F5118">
        <w:rPr>
          <w:rFonts w:asciiTheme="majorHAnsi" w:hAnsiTheme="majorHAnsi"/>
          <w:sz w:val="23"/>
          <w:szCs w:val="23"/>
        </w:rPr>
        <w:t xml:space="preserve">, specialist staff, and </w:t>
      </w:r>
      <w:r w:rsidR="00571BAA">
        <w:rPr>
          <w:rFonts w:asciiTheme="majorHAnsi" w:hAnsiTheme="majorHAnsi"/>
          <w:sz w:val="23"/>
          <w:szCs w:val="23"/>
        </w:rPr>
        <w:t>school leaders to ensure they are well equipped to respond to the full range of students’ learning needs.</w:t>
      </w:r>
      <w:r w:rsidR="00F87E2E">
        <w:rPr>
          <w:rFonts w:asciiTheme="majorHAnsi" w:hAnsiTheme="majorHAnsi"/>
          <w:sz w:val="23"/>
          <w:szCs w:val="23"/>
        </w:rPr>
        <w:t xml:space="preserve"> It is critical that this professional learning is provided by </w:t>
      </w:r>
      <w:r w:rsidR="00F87E2E" w:rsidRPr="005F5118">
        <w:rPr>
          <w:rFonts w:asciiTheme="majorHAnsi" w:hAnsiTheme="majorHAnsi"/>
          <w:sz w:val="23"/>
          <w:szCs w:val="23"/>
        </w:rPr>
        <w:t>appropriately trained and qualified professionals</w:t>
      </w:r>
      <w:r w:rsidR="00F87E2E">
        <w:rPr>
          <w:rFonts w:asciiTheme="majorHAnsi" w:hAnsiTheme="majorHAnsi"/>
          <w:sz w:val="23"/>
          <w:szCs w:val="23"/>
        </w:rPr>
        <w:t>.</w:t>
      </w:r>
    </w:p>
    <w:p w14:paraId="5A49909E" w14:textId="00104956" w:rsidR="00E6794E" w:rsidRDefault="00E6794E" w:rsidP="00E92E3A">
      <w:pPr>
        <w:rPr>
          <w:rFonts w:asciiTheme="majorHAnsi" w:hAnsiTheme="majorHAnsi"/>
          <w:sz w:val="23"/>
          <w:szCs w:val="23"/>
        </w:rPr>
      </w:pPr>
      <w:r>
        <w:rPr>
          <w:rFonts w:asciiTheme="majorHAnsi" w:hAnsiTheme="majorHAnsi"/>
          <w:sz w:val="23"/>
          <w:szCs w:val="23"/>
        </w:rPr>
        <w:t xml:space="preserve">It is </w:t>
      </w:r>
      <w:r w:rsidR="00FF5766">
        <w:rPr>
          <w:rFonts w:asciiTheme="majorHAnsi" w:hAnsiTheme="majorHAnsi"/>
          <w:sz w:val="23"/>
          <w:szCs w:val="23"/>
        </w:rPr>
        <w:t xml:space="preserve">also </w:t>
      </w:r>
      <w:r>
        <w:rPr>
          <w:rFonts w:asciiTheme="majorHAnsi" w:hAnsiTheme="majorHAnsi"/>
          <w:sz w:val="23"/>
          <w:szCs w:val="23"/>
        </w:rPr>
        <w:t xml:space="preserve">vital that schools be provided with the resources to enable school-based learning that can be translated in action in order to </w:t>
      </w:r>
      <w:r w:rsidRPr="00E6794E">
        <w:rPr>
          <w:rFonts w:asciiTheme="majorHAnsi" w:hAnsiTheme="majorHAnsi"/>
          <w:sz w:val="23"/>
          <w:szCs w:val="23"/>
        </w:rPr>
        <w:t xml:space="preserve">support </w:t>
      </w:r>
      <w:r>
        <w:rPr>
          <w:rFonts w:asciiTheme="majorHAnsi" w:hAnsiTheme="majorHAnsi"/>
          <w:sz w:val="23"/>
          <w:szCs w:val="23"/>
        </w:rPr>
        <w:t xml:space="preserve">students who may often have complex and/or multiple needs. Available resources would need to ensure that classroom teachers are able to be provided with an adequate allocation of time to undertake the required professional learning. </w:t>
      </w:r>
    </w:p>
    <w:p w14:paraId="33316BC4" w14:textId="70F097A3" w:rsidR="00F87E2E" w:rsidRDefault="00DA5B64" w:rsidP="00E92E3A">
      <w:pPr>
        <w:rPr>
          <w:rFonts w:asciiTheme="majorHAnsi" w:hAnsiTheme="majorHAnsi"/>
          <w:sz w:val="23"/>
          <w:szCs w:val="23"/>
        </w:rPr>
      </w:pPr>
      <w:r>
        <w:rPr>
          <w:rFonts w:asciiTheme="majorHAnsi" w:hAnsiTheme="majorHAnsi"/>
          <w:sz w:val="23"/>
          <w:szCs w:val="23"/>
        </w:rPr>
        <w:t>The suggested collection of case studies and illustrations of practice targeted to varying audiences</w:t>
      </w:r>
      <w:r w:rsidR="007A1A80">
        <w:rPr>
          <w:rFonts w:asciiTheme="majorHAnsi" w:hAnsiTheme="majorHAnsi"/>
          <w:sz w:val="23"/>
          <w:szCs w:val="23"/>
        </w:rPr>
        <w:t>, such as classroom teachers and school leaders,</w:t>
      </w:r>
      <w:r>
        <w:rPr>
          <w:rFonts w:asciiTheme="majorHAnsi" w:hAnsiTheme="majorHAnsi"/>
          <w:sz w:val="23"/>
          <w:szCs w:val="23"/>
        </w:rPr>
        <w:t xml:space="preserve"> mentioned above</w:t>
      </w:r>
      <w:r w:rsidR="00E6794E">
        <w:rPr>
          <w:rFonts w:asciiTheme="majorHAnsi" w:hAnsiTheme="majorHAnsi"/>
          <w:sz w:val="23"/>
          <w:szCs w:val="23"/>
        </w:rPr>
        <w:t xml:space="preserve"> may be useful to support</w:t>
      </w:r>
      <w:r w:rsidR="00852762">
        <w:rPr>
          <w:rFonts w:asciiTheme="majorHAnsi" w:hAnsiTheme="majorHAnsi"/>
          <w:sz w:val="23"/>
          <w:szCs w:val="23"/>
        </w:rPr>
        <w:t xml:space="preserve"> the strengthening and deepening</w:t>
      </w:r>
      <w:r w:rsidR="00E6794E">
        <w:rPr>
          <w:rFonts w:asciiTheme="majorHAnsi" w:hAnsiTheme="majorHAnsi"/>
          <w:sz w:val="23"/>
          <w:szCs w:val="23"/>
        </w:rPr>
        <w:t xml:space="preserve"> </w:t>
      </w:r>
      <w:r w:rsidR="00C77F78">
        <w:rPr>
          <w:rFonts w:asciiTheme="majorHAnsi" w:hAnsiTheme="majorHAnsi"/>
          <w:sz w:val="23"/>
          <w:szCs w:val="23"/>
        </w:rPr>
        <w:t xml:space="preserve">of </w:t>
      </w:r>
      <w:r w:rsidR="00E6794E">
        <w:rPr>
          <w:rFonts w:asciiTheme="majorHAnsi" w:hAnsiTheme="majorHAnsi"/>
          <w:sz w:val="23"/>
          <w:szCs w:val="23"/>
        </w:rPr>
        <w:t>professional learning</w:t>
      </w:r>
      <w:r w:rsidR="00852762">
        <w:rPr>
          <w:rFonts w:asciiTheme="majorHAnsi" w:hAnsiTheme="majorHAnsi"/>
          <w:sz w:val="23"/>
          <w:szCs w:val="23"/>
        </w:rPr>
        <w:t xml:space="preserve"> </w:t>
      </w:r>
      <w:r w:rsidR="00C77F78">
        <w:rPr>
          <w:rFonts w:asciiTheme="majorHAnsi" w:hAnsiTheme="majorHAnsi"/>
          <w:sz w:val="23"/>
          <w:szCs w:val="23"/>
        </w:rPr>
        <w:t>of</w:t>
      </w:r>
      <w:r w:rsidR="00852762">
        <w:rPr>
          <w:rFonts w:asciiTheme="majorHAnsi" w:hAnsiTheme="majorHAnsi"/>
          <w:sz w:val="23"/>
          <w:szCs w:val="23"/>
        </w:rPr>
        <w:t xml:space="preserve"> the Standards</w:t>
      </w:r>
      <w:r w:rsidR="00C77F78">
        <w:rPr>
          <w:rFonts w:asciiTheme="majorHAnsi" w:hAnsiTheme="majorHAnsi"/>
          <w:sz w:val="23"/>
          <w:szCs w:val="23"/>
        </w:rPr>
        <w:t xml:space="preserve"> by providing educators with personal experience of practical issues</w:t>
      </w:r>
      <w:r w:rsidR="00E6794E">
        <w:rPr>
          <w:rFonts w:asciiTheme="majorHAnsi" w:hAnsiTheme="majorHAnsi"/>
          <w:sz w:val="23"/>
          <w:szCs w:val="23"/>
        </w:rPr>
        <w:t>.</w:t>
      </w:r>
      <w:r w:rsidR="00F87E2E">
        <w:rPr>
          <w:rFonts w:asciiTheme="majorHAnsi" w:hAnsiTheme="majorHAnsi"/>
          <w:sz w:val="23"/>
          <w:szCs w:val="23"/>
        </w:rPr>
        <w:t xml:space="preserve"> S</w:t>
      </w:r>
      <w:r w:rsidR="00F87E2E" w:rsidRPr="00F87E2E">
        <w:rPr>
          <w:rFonts w:asciiTheme="majorHAnsi" w:hAnsiTheme="majorHAnsi"/>
          <w:sz w:val="23"/>
          <w:szCs w:val="23"/>
        </w:rPr>
        <w:t xml:space="preserve">ectors </w:t>
      </w:r>
      <w:r w:rsidR="00F87E2E">
        <w:rPr>
          <w:rFonts w:asciiTheme="majorHAnsi" w:hAnsiTheme="majorHAnsi"/>
          <w:sz w:val="23"/>
          <w:szCs w:val="23"/>
        </w:rPr>
        <w:t xml:space="preserve">and systems </w:t>
      </w:r>
      <w:r w:rsidR="00F87E2E" w:rsidRPr="00F87E2E">
        <w:rPr>
          <w:rFonts w:asciiTheme="majorHAnsi" w:hAnsiTheme="majorHAnsi"/>
          <w:sz w:val="23"/>
          <w:szCs w:val="23"/>
        </w:rPr>
        <w:t xml:space="preserve">can reinforce this messaging through </w:t>
      </w:r>
      <w:r w:rsidR="00F87E2E">
        <w:rPr>
          <w:rFonts w:asciiTheme="majorHAnsi" w:hAnsiTheme="majorHAnsi"/>
          <w:sz w:val="23"/>
          <w:szCs w:val="23"/>
        </w:rPr>
        <w:t>directing</w:t>
      </w:r>
      <w:r w:rsidR="00F87E2E" w:rsidRPr="00F87E2E">
        <w:rPr>
          <w:rFonts w:asciiTheme="majorHAnsi" w:hAnsiTheme="majorHAnsi"/>
          <w:sz w:val="23"/>
          <w:szCs w:val="23"/>
        </w:rPr>
        <w:t xml:space="preserve"> schools to these support materials.</w:t>
      </w:r>
    </w:p>
    <w:p w14:paraId="21316C7C" w14:textId="7753CD22" w:rsidR="00B41159" w:rsidRPr="006873E6" w:rsidRDefault="00B41159" w:rsidP="00B41159">
      <w:pPr>
        <w:pStyle w:val="Heading2"/>
      </w:pPr>
      <w:bookmarkStart w:id="21" w:name="_Toc51932346"/>
      <w:r>
        <w:lastRenderedPageBreak/>
        <w:t>The Experience of Aboriginal and Torres Strait Islander Students with Disability</w:t>
      </w:r>
      <w:bookmarkEnd w:id="21"/>
    </w:p>
    <w:p w14:paraId="0982B3B8" w14:textId="78FC2F09" w:rsidR="001C383C" w:rsidRPr="001C383C" w:rsidRDefault="001C383C" w:rsidP="001C383C">
      <w:pPr>
        <w:rPr>
          <w:rFonts w:asciiTheme="majorHAnsi" w:hAnsiTheme="majorHAnsi"/>
          <w:sz w:val="23"/>
          <w:szCs w:val="23"/>
        </w:rPr>
      </w:pPr>
      <w:r w:rsidRPr="001C383C">
        <w:rPr>
          <w:rFonts w:asciiTheme="majorHAnsi" w:hAnsiTheme="majorHAnsi"/>
          <w:sz w:val="23"/>
          <w:szCs w:val="23"/>
        </w:rPr>
        <w:t xml:space="preserve">As a group, Indigenous students face significant barriers to educational achievement and many Indigenous parents choose </w:t>
      </w:r>
      <w:r w:rsidR="00C86F37" w:rsidRPr="001C383C">
        <w:rPr>
          <w:rFonts w:asciiTheme="majorHAnsi" w:hAnsiTheme="majorHAnsi"/>
          <w:sz w:val="23"/>
          <w:szCs w:val="23"/>
        </w:rPr>
        <w:t>to enrol</w:t>
      </w:r>
      <w:r w:rsidRPr="001C383C">
        <w:rPr>
          <w:rFonts w:asciiTheme="majorHAnsi" w:hAnsiTheme="majorHAnsi"/>
          <w:sz w:val="23"/>
          <w:szCs w:val="23"/>
        </w:rPr>
        <w:t xml:space="preserve"> their children in Independent schools. </w:t>
      </w:r>
    </w:p>
    <w:p w14:paraId="76355BED" w14:textId="13E7184B" w:rsidR="001C383C" w:rsidRPr="001C383C" w:rsidRDefault="001C383C" w:rsidP="001C383C">
      <w:pPr>
        <w:rPr>
          <w:rFonts w:asciiTheme="majorHAnsi" w:hAnsiTheme="majorHAnsi"/>
          <w:sz w:val="23"/>
          <w:szCs w:val="23"/>
        </w:rPr>
      </w:pPr>
      <w:r w:rsidRPr="001C383C">
        <w:rPr>
          <w:rFonts w:asciiTheme="majorHAnsi" w:hAnsiTheme="majorHAnsi"/>
          <w:sz w:val="23"/>
          <w:szCs w:val="23"/>
        </w:rPr>
        <w:t xml:space="preserve">Indigenous student enrolments are dispersed broadly across the Independent sector and in 2019 there were over 14,300 Indigenous students enrolled in 897 </w:t>
      </w:r>
      <w:r w:rsidR="00C86F37">
        <w:rPr>
          <w:rFonts w:asciiTheme="majorHAnsi" w:hAnsiTheme="majorHAnsi"/>
          <w:sz w:val="23"/>
          <w:szCs w:val="23"/>
        </w:rPr>
        <w:t>I</w:t>
      </w:r>
      <w:r w:rsidRPr="001C383C">
        <w:rPr>
          <w:rFonts w:asciiTheme="majorHAnsi" w:hAnsiTheme="majorHAnsi"/>
          <w:sz w:val="23"/>
          <w:szCs w:val="23"/>
        </w:rPr>
        <w:t xml:space="preserve">ndependent schools. Seventy-eight per cent of Independent schools in Australia enrolled Indigenous students in 2019. </w:t>
      </w:r>
    </w:p>
    <w:p w14:paraId="78149B3D" w14:textId="77777777" w:rsidR="001C383C" w:rsidRPr="001C383C" w:rsidRDefault="001C383C" w:rsidP="001C383C">
      <w:pPr>
        <w:rPr>
          <w:rFonts w:asciiTheme="majorHAnsi" w:hAnsiTheme="majorHAnsi"/>
          <w:sz w:val="23"/>
          <w:szCs w:val="23"/>
        </w:rPr>
      </w:pPr>
      <w:r w:rsidRPr="001C383C">
        <w:rPr>
          <w:rFonts w:asciiTheme="majorHAnsi" w:hAnsiTheme="majorHAnsi"/>
          <w:sz w:val="23"/>
          <w:szCs w:val="23"/>
        </w:rPr>
        <w:t xml:space="preserve">Enrolments of Indigenous students in Independent schools have grown at an average rate of almost 6 per cent per year over the last two decades. ABS data released in February 2020 confirmed the Independent sector as experiencing the largest growth of Aboriginal and Torres Strait Islander enrolments, exceeding the national average growth of 3.7 per cent. </w:t>
      </w:r>
    </w:p>
    <w:p w14:paraId="49947503" w14:textId="77777777" w:rsidR="001C383C" w:rsidRPr="001C383C" w:rsidRDefault="001C383C" w:rsidP="001C383C">
      <w:pPr>
        <w:rPr>
          <w:rFonts w:asciiTheme="majorHAnsi" w:hAnsiTheme="majorHAnsi"/>
          <w:sz w:val="23"/>
          <w:szCs w:val="23"/>
        </w:rPr>
      </w:pPr>
      <w:r w:rsidRPr="001C383C">
        <w:rPr>
          <w:rFonts w:asciiTheme="majorHAnsi" w:hAnsiTheme="majorHAnsi"/>
          <w:sz w:val="23"/>
          <w:szCs w:val="23"/>
        </w:rPr>
        <w:t>Indigenous students are educated across a range of settings and in different types of schools in the Independent sector. There are some Independent schools that provide education to significant populations of Indigenous students and some schools are entirely Indigenous. Forty schools in the Independent sector have an Indigenous enrolment of more than 50 per cent. A significant number of these schools are located in regional or remote areas.</w:t>
      </w:r>
    </w:p>
    <w:p w14:paraId="5F59C5AF" w14:textId="77777777" w:rsidR="001C383C" w:rsidRPr="001C383C" w:rsidRDefault="001C383C" w:rsidP="001C383C">
      <w:pPr>
        <w:rPr>
          <w:rFonts w:asciiTheme="majorHAnsi" w:hAnsiTheme="majorHAnsi"/>
          <w:i/>
          <w:sz w:val="23"/>
          <w:szCs w:val="23"/>
          <w:lang w:val="en-GB"/>
        </w:rPr>
      </w:pPr>
      <w:r w:rsidRPr="001C383C">
        <w:rPr>
          <w:rFonts w:asciiTheme="majorHAnsi" w:hAnsiTheme="majorHAnsi"/>
          <w:i/>
          <w:sz w:val="23"/>
          <w:szCs w:val="23"/>
          <w:lang w:val="en-GB"/>
        </w:rPr>
        <w:t>Chart 5: Growth in Indigenous Student Enrolments at Independent Schools 2010 to 2019</w:t>
      </w:r>
    </w:p>
    <w:p w14:paraId="1201C35D" w14:textId="77777777" w:rsidR="001C383C" w:rsidRPr="001C383C" w:rsidRDefault="001C383C" w:rsidP="001C383C">
      <w:pPr>
        <w:rPr>
          <w:rFonts w:asciiTheme="majorHAnsi" w:hAnsiTheme="majorHAnsi"/>
          <w:i/>
          <w:sz w:val="23"/>
          <w:szCs w:val="23"/>
          <w:lang w:val="en-GB"/>
        </w:rPr>
      </w:pPr>
      <w:r w:rsidRPr="001C383C">
        <w:rPr>
          <w:rFonts w:asciiTheme="majorHAnsi" w:hAnsiTheme="majorHAnsi"/>
          <w:noProof/>
          <w:sz w:val="23"/>
          <w:szCs w:val="23"/>
        </w:rPr>
        <w:drawing>
          <wp:inline distT="0" distB="0" distL="0" distR="0" wp14:anchorId="34A4F380" wp14:editId="371E3664">
            <wp:extent cx="5429250" cy="3219450"/>
            <wp:effectExtent l="0" t="0" r="0" b="0"/>
            <wp:docPr id="8" name="Chart 8">
              <a:extLst xmlns:a="http://schemas.openxmlformats.org/drawingml/2006/main">
                <a:ext uri="{FF2B5EF4-FFF2-40B4-BE49-F238E27FC236}">
                  <a16:creationId xmlns:a16="http://schemas.microsoft.com/office/drawing/2014/main" id="{32753B27-AABA-49C9-B08D-3BC8675DD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2FBAF2" w14:textId="3719B743" w:rsidR="001C383C" w:rsidRPr="001C383C" w:rsidRDefault="001C383C" w:rsidP="001C383C">
      <w:pPr>
        <w:rPr>
          <w:rFonts w:asciiTheme="majorHAnsi" w:hAnsiTheme="majorHAnsi"/>
          <w:bCs/>
          <w:sz w:val="18"/>
          <w:szCs w:val="18"/>
        </w:rPr>
      </w:pPr>
      <w:r w:rsidRPr="001C383C">
        <w:rPr>
          <w:rFonts w:asciiTheme="majorHAnsi" w:hAnsiTheme="majorHAnsi"/>
          <w:bCs/>
          <w:sz w:val="18"/>
          <w:szCs w:val="18"/>
        </w:rPr>
        <w:t>Source: DE</w:t>
      </w:r>
      <w:r w:rsidR="006F56E4" w:rsidRPr="006F56E4">
        <w:rPr>
          <w:rFonts w:asciiTheme="majorHAnsi" w:hAnsiTheme="majorHAnsi"/>
          <w:bCs/>
          <w:sz w:val="18"/>
          <w:szCs w:val="18"/>
        </w:rPr>
        <w:t>SE</w:t>
      </w:r>
      <w:r w:rsidRPr="001C383C">
        <w:rPr>
          <w:rFonts w:asciiTheme="majorHAnsi" w:hAnsiTheme="majorHAnsi"/>
          <w:bCs/>
          <w:sz w:val="18"/>
          <w:szCs w:val="18"/>
        </w:rPr>
        <w:t xml:space="preserve"> Non-Government Schools Census 2010 to 2019</w:t>
      </w:r>
    </w:p>
    <w:p w14:paraId="4623A56A" w14:textId="0A24576D" w:rsidR="001C383C" w:rsidRPr="001C383C" w:rsidRDefault="001C383C" w:rsidP="001C383C">
      <w:pPr>
        <w:rPr>
          <w:rFonts w:asciiTheme="majorHAnsi" w:hAnsiTheme="majorHAnsi"/>
          <w:sz w:val="23"/>
          <w:szCs w:val="23"/>
        </w:rPr>
      </w:pPr>
      <w:r w:rsidRPr="001C383C">
        <w:rPr>
          <w:rFonts w:asciiTheme="majorHAnsi" w:hAnsiTheme="majorHAnsi"/>
          <w:sz w:val="23"/>
          <w:szCs w:val="23"/>
        </w:rPr>
        <w:t xml:space="preserve">Many Indigenous students, particularly those from regional and remote communities face considerable educational challenges including that their educational levels are often behind those of their non-Indigenous peers, many students have significant social and health issues, and many have traumatic backgrounds and disrupted educational journeys. The context and </w:t>
      </w:r>
      <w:r w:rsidRPr="001C383C">
        <w:rPr>
          <w:rFonts w:asciiTheme="majorHAnsi" w:hAnsiTheme="majorHAnsi"/>
          <w:sz w:val="23"/>
          <w:szCs w:val="23"/>
        </w:rPr>
        <w:lastRenderedPageBreak/>
        <w:t xml:space="preserve">educational setting means that the needs of Indigenous students, and thus of the schools, </w:t>
      </w:r>
      <w:r w:rsidR="00AD7734" w:rsidRPr="001C383C">
        <w:rPr>
          <w:rFonts w:asciiTheme="majorHAnsi" w:hAnsiTheme="majorHAnsi"/>
          <w:sz w:val="23"/>
          <w:szCs w:val="23"/>
        </w:rPr>
        <w:t>teachers,</w:t>
      </w:r>
      <w:r w:rsidRPr="001C383C">
        <w:rPr>
          <w:rFonts w:asciiTheme="majorHAnsi" w:hAnsiTheme="majorHAnsi"/>
          <w:sz w:val="23"/>
          <w:szCs w:val="23"/>
        </w:rPr>
        <w:t xml:space="preserve"> and support staff, vary according their educational circumstances.</w:t>
      </w:r>
    </w:p>
    <w:p w14:paraId="453666F7" w14:textId="77777777" w:rsidR="00A055DD" w:rsidRDefault="001C383C" w:rsidP="00E92E3A">
      <w:pPr>
        <w:rPr>
          <w:rFonts w:asciiTheme="majorHAnsi" w:hAnsiTheme="majorHAnsi"/>
          <w:sz w:val="23"/>
          <w:szCs w:val="23"/>
        </w:rPr>
      </w:pPr>
      <w:r w:rsidRPr="001C383C">
        <w:rPr>
          <w:rFonts w:asciiTheme="majorHAnsi" w:hAnsiTheme="majorHAnsi"/>
          <w:sz w:val="23"/>
          <w:szCs w:val="23"/>
        </w:rPr>
        <w:t>Currently neither Australian Government nor state and territory government funding arrangements for non-government schools adequately address the very substantial cost differential in school provision for Indigenous students in and from remote locations. Indigenous students attending Independent schools in remote communities should be supported to the same level as Indigenous students in similar government schools.</w:t>
      </w:r>
    </w:p>
    <w:p w14:paraId="7217B814" w14:textId="39F7E9D5" w:rsidR="00E7324B" w:rsidRDefault="00E7324B" w:rsidP="00E92E3A">
      <w:pPr>
        <w:rPr>
          <w:rFonts w:asciiTheme="majorHAnsi" w:hAnsiTheme="majorHAnsi"/>
          <w:sz w:val="23"/>
          <w:szCs w:val="23"/>
        </w:rPr>
      </w:pPr>
      <w:r>
        <w:rPr>
          <w:rFonts w:asciiTheme="majorHAnsi" w:hAnsiTheme="majorHAnsi"/>
          <w:sz w:val="23"/>
          <w:szCs w:val="23"/>
        </w:rPr>
        <w:t xml:space="preserve">Remote Indigenous students face significant issues and particular health conditions that </w:t>
      </w:r>
      <w:r w:rsidR="00754431">
        <w:rPr>
          <w:rFonts w:asciiTheme="majorHAnsi" w:hAnsiTheme="majorHAnsi"/>
          <w:sz w:val="23"/>
          <w:szCs w:val="23"/>
        </w:rPr>
        <w:t>affect</w:t>
      </w:r>
      <w:r>
        <w:rPr>
          <w:rFonts w:asciiTheme="majorHAnsi" w:hAnsiTheme="majorHAnsi"/>
          <w:sz w:val="23"/>
          <w:szCs w:val="23"/>
        </w:rPr>
        <w:t xml:space="preserve"> their ability to learn and will require adjustments in the classroom. </w:t>
      </w:r>
    </w:p>
    <w:p w14:paraId="0BCD2376" w14:textId="35F9CA52" w:rsidR="00F45E0F" w:rsidRPr="00F45E0F" w:rsidRDefault="00E7324B" w:rsidP="00F45E0F">
      <w:pPr>
        <w:rPr>
          <w:rFonts w:asciiTheme="majorHAnsi" w:hAnsiTheme="majorHAnsi"/>
          <w:sz w:val="23"/>
          <w:szCs w:val="23"/>
        </w:rPr>
      </w:pPr>
      <w:r>
        <w:rPr>
          <w:rFonts w:asciiTheme="majorHAnsi" w:hAnsiTheme="majorHAnsi"/>
          <w:sz w:val="23"/>
          <w:szCs w:val="23"/>
        </w:rPr>
        <w:t>Discussing the c</w:t>
      </w:r>
      <w:r w:rsidRPr="00E7324B">
        <w:rPr>
          <w:rFonts w:asciiTheme="majorHAnsi" w:hAnsiTheme="majorHAnsi"/>
          <w:sz w:val="23"/>
          <w:szCs w:val="23"/>
        </w:rPr>
        <w:t>hallenges facing Aboriginal and Torres Strait Islander participants</w:t>
      </w:r>
      <w:r w:rsidR="00F45E0F">
        <w:rPr>
          <w:rFonts w:asciiTheme="majorHAnsi" w:hAnsiTheme="majorHAnsi"/>
          <w:sz w:val="23"/>
          <w:szCs w:val="23"/>
        </w:rPr>
        <w:t>,</w:t>
      </w:r>
      <w:r>
        <w:rPr>
          <w:rFonts w:asciiTheme="majorHAnsi" w:hAnsiTheme="majorHAnsi"/>
          <w:sz w:val="23"/>
          <w:szCs w:val="23"/>
        </w:rPr>
        <w:t xml:space="preserve"> </w:t>
      </w:r>
      <w:r w:rsidR="00F45E0F">
        <w:rPr>
          <w:rFonts w:asciiTheme="majorHAnsi" w:hAnsiTheme="majorHAnsi"/>
          <w:sz w:val="23"/>
          <w:szCs w:val="23"/>
        </w:rPr>
        <w:t xml:space="preserve">the 2019 report by the University of Melbourne School of Population and Health Centre for Health Policy for the </w:t>
      </w:r>
      <w:r w:rsidR="00F45E0F" w:rsidRPr="00F45E0F">
        <w:rPr>
          <w:rFonts w:asciiTheme="majorHAnsi" w:hAnsiTheme="majorHAnsi"/>
          <w:sz w:val="23"/>
          <w:szCs w:val="23"/>
        </w:rPr>
        <w:t>Lowitja Institute</w:t>
      </w:r>
      <w:r w:rsidR="00F45E0F">
        <w:rPr>
          <w:rFonts w:asciiTheme="majorHAnsi" w:hAnsiTheme="majorHAnsi"/>
          <w:sz w:val="23"/>
          <w:szCs w:val="23"/>
        </w:rPr>
        <w:t xml:space="preserve">, </w:t>
      </w:r>
      <w:r w:rsidR="00F45E0F" w:rsidRPr="00F45E0F">
        <w:rPr>
          <w:rFonts w:asciiTheme="majorHAnsi" w:hAnsiTheme="majorHAnsi"/>
          <w:i/>
          <w:iCs/>
          <w:sz w:val="23"/>
          <w:szCs w:val="23"/>
        </w:rPr>
        <w:t>Understanding disability through the lens of Aboriginal and Torres Strait Islander people – challenges and opportunities</w:t>
      </w:r>
      <w:r w:rsidR="00F45E0F">
        <w:rPr>
          <w:rFonts w:asciiTheme="majorHAnsi" w:hAnsiTheme="majorHAnsi"/>
          <w:sz w:val="23"/>
          <w:szCs w:val="23"/>
        </w:rPr>
        <w:t>, notes the extensive literature highlighting that for</w:t>
      </w:r>
    </w:p>
    <w:p w14:paraId="56757184" w14:textId="51F8EA6F" w:rsidR="00F45E0F" w:rsidRPr="00F45E0F" w:rsidRDefault="00F45E0F" w:rsidP="00F45E0F">
      <w:pPr>
        <w:ind w:left="720"/>
        <w:rPr>
          <w:rFonts w:asciiTheme="majorHAnsi" w:hAnsiTheme="majorHAnsi"/>
          <w:sz w:val="23"/>
          <w:szCs w:val="23"/>
        </w:rPr>
      </w:pPr>
      <w:r w:rsidRPr="00F45E0F">
        <w:rPr>
          <w:rFonts w:asciiTheme="majorHAnsi" w:hAnsiTheme="majorHAnsi"/>
          <w:sz w:val="23"/>
          <w:szCs w:val="23"/>
        </w:rPr>
        <w:t>many Aboriginal and Torres Strait Islander language groups, there is no equivalent word for ‘disability’ or for specific disabilities, and many Aboriginal and Torres Strait Islander people living with disabilities do not self-identify as having a disability … The language of disability and under-identification of disability can therefore serve as a barrier by contributing to under-reporting and under-utilisation of disability services</w:t>
      </w:r>
      <w:r w:rsidR="00103BA2">
        <w:rPr>
          <w:rFonts w:asciiTheme="majorHAnsi" w:hAnsiTheme="majorHAnsi"/>
          <w:sz w:val="23"/>
          <w:szCs w:val="23"/>
        </w:rPr>
        <w:t xml:space="preserve"> </w:t>
      </w:r>
      <w:r w:rsidRPr="00F45E0F">
        <w:rPr>
          <w:rFonts w:asciiTheme="majorHAnsi" w:hAnsiTheme="majorHAnsi"/>
          <w:sz w:val="23"/>
          <w:szCs w:val="23"/>
        </w:rPr>
        <w:t>... it is likely that the number of Aboriginal and Torres Strait Islander peoples living with a disability is significantly under-represented, and they are therefore not receiving the support services that they need.</w:t>
      </w:r>
    </w:p>
    <w:p w14:paraId="278287F8" w14:textId="7CC7AC1F" w:rsidR="00E7324B" w:rsidRDefault="008E5C24" w:rsidP="00E92E3A">
      <w:pPr>
        <w:rPr>
          <w:rFonts w:asciiTheme="majorHAnsi" w:hAnsiTheme="majorHAnsi"/>
          <w:sz w:val="23"/>
          <w:szCs w:val="23"/>
        </w:rPr>
      </w:pPr>
      <w:r>
        <w:rPr>
          <w:rFonts w:asciiTheme="majorHAnsi" w:hAnsiTheme="majorHAnsi"/>
          <w:sz w:val="23"/>
          <w:szCs w:val="23"/>
        </w:rPr>
        <w:t xml:space="preserve">Many Independent schools serving communities of Indigenous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have anecdotal evidence </w:t>
      </w:r>
      <w:r w:rsidR="00796ADE">
        <w:rPr>
          <w:rFonts w:asciiTheme="majorHAnsi" w:hAnsiTheme="majorHAnsi"/>
          <w:sz w:val="23"/>
          <w:szCs w:val="23"/>
        </w:rPr>
        <w:t>verifying</w:t>
      </w:r>
      <w:r>
        <w:rPr>
          <w:rFonts w:asciiTheme="majorHAnsi" w:hAnsiTheme="majorHAnsi"/>
          <w:sz w:val="23"/>
          <w:szCs w:val="23"/>
        </w:rPr>
        <w:t xml:space="preserve"> the </w:t>
      </w:r>
      <w:r w:rsidR="00796ADE">
        <w:rPr>
          <w:rFonts w:asciiTheme="majorHAnsi" w:hAnsiTheme="majorHAnsi"/>
          <w:sz w:val="23"/>
          <w:szCs w:val="23"/>
        </w:rPr>
        <w:t>occurrence</w:t>
      </w:r>
      <w:r>
        <w:rPr>
          <w:rFonts w:asciiTheme="majorHAnsi" w:hAnsiTheme="majorHAnsi"/>
          <w:sz w:val="23"/>
          <w:szCs w:val="23"/>
        </w:rPr>
        <w:t xml:space="preserve"> of under reporting of disability in Indigenous communities.</w:t>
      </w:r>
      <w:r w:rsidR="00C46C7F">
        <w:rPr>
          <w:rFonts w:asciiTheme="majorHAnsi" w:hAnsiTheme="majorHAnsi"/>
          <w:sz w:val="23"/>
          <w:szCs w:val="23"/>
        </w:rPr>
        <w:t xml:space="preserve"> </w:t>
      </w:r>
    </w:p>
    <w:p w14:paraId="13232763" w14:textId="15FFD27D" w:rsidR="00C46C7F" w:rsidRDefault="00C46C7F" w:rsidP="00E92E3A">
      <w:pPr>
        <w:rPr>
          <w:rFonts w:asciiTheme="majorHAnsi" w:hAnsiTheme="majorHAnsi"/>
          <w:sz w:val="23"/>
          <w:szCs w:val="23"/>
        </w:rPr>
      </w:pPr>
      <w:r>
        <w:rPr>
          <w:rFonts w:asciiTheme="majorHAnsi" w:hAnsiTheme="majorHAnsi"/>
          <w:sz w:val="23"/>
          <w:szCs w:val="23"/>
        </w:rPr>
        <w:t xml:space="preserve">ISA notes that similar anecdotal examples of under reporting of disability have also been identified </w:t>
      </w:r>
      <w:r w:rsidR="00A9118A">
        <w:rPr>
          <w:rFonts w:asciiTheme="majorHAnsi" w:hAnsiTheme="majorHAnsi"/>
          <w:sz w:val="23"/>
          <w:szCs w:val="23"/>
        </w:rPr>
        <w:t xml:space="preserve">in </w:t>
      </w:r>
      <w:r>
        <w:rPr>
          <w:rFonts w:asciiTheme="majorHAnsi" w:hAnsiTheme="majorHAnsi"/>
          <w:sz w:val="23"/>
          <w:szCs w:val="23"/>
        </w:rPr>
        <w:t xml:space="preserve">other culturally and linguistically diverse communities, including religious communities, </w:t>
      </w:r>
      <w:r w:rsidR="00A9118A">
        <w:rPr>
          <w:rFonts w:asciiTheme="majorHAnsi" w:hAnsiTheme="majorHAnsi"/>
          <w:sz w:val="23"/>
          <w:szCs w:val="23"/>
        </w:rPr>
        <w:t xml:space="preserve">that are represented </w:t>
      </w:r>
      <w:r>
        <w:rPr>
          <w:rFonts w:asciiTheme="majorHAnsi" w:hAnsiTheme="majorHAnsi"/>
          <w:sz w:val="23"/>
          <w:szCs w:val="23"/>
        </w:rPr>
        <w:t>within the Independent sector.</w:t>
      </w:r>
    </w:p>
    <w:p w14:paraId="2443708A" w14:textId="4B489125" w:rsidR="00E339EF" w:rsidRPr="006873E6" w:rsidRDefault="00E339EF" w:rsidP="00E339EF">
      <w:pPr>
        <w:pStyle w:val="Heading2"/>
      </w:pPr>
      <w:bookmarkStart w:id="22" w:name="_Toc51932347"/>
      <w:r w:rsidRPr="00E339EF">
        <w:t>Children with Disability in Early Childhood Education and Care</w:t>
      </w:r>
      <w:bookmarkEnd w:id="22"/>
    </w:p>
    <w:p w14:paraId="2E61DDC3" w14:textId="44CB8502" w:rsidR="00E339EF" w:rsidRDefault="00617B00" w:rsidP="00E339EF">
      <w:pPr>
        <w:rPr>
          <w:rFonts w:asciiTheme="majorHAnsi" w:hAnsiTheme="majorHAnsi"/>
          <w:sz w:val="23"/>
          <w:szCs w:val="23"/>
        </w:rPr>
      </w:pPr>
      <w:r>
        <w:rPr>
          <w:rFonts w:asciiTheme="majorHAnsi" w:hAnsiTheme="majorHAnsi"/>
          <w:sz w:val="23"/>
          <w:szCs w:val="23"/>
        </w:rPr>
        <w:t>ISA notes that</w:t>
      </w:r>
      <w:r w:rsidR="00103BA2">
        <w:rPr>
          <w:rFonts w:asciiTheme="majorHAnsi" w:hAnsiTheme="majorHAnsi"/>
          <w:sz w:val="23"/>
          <w:szCs w:val="23"/>
        </w:rPr>
        <w:t xml:space="preserve">, subsequent to the initial Discussion Paper, </w:t>
      </w:r>
      <w:r>
        <w:rPr>
          <w:rFonts w:asciiTheme="majorHAnsi" w:hAnsiTheme="majorHAnsi"/>
          <w:sz w:val="23"/>
          <w:szCs w:val="23"/>
        </w:rPr>
        <w:t xml:space="preserve">the </w:t>
      </w:r>
      <w:r w:rsidRPr="00617B00">
        <w:rPr>
          <w:rFonts w:asciiTheme="majorHAnsi" w:hAnsiTheme="majorHAnsi"/>
          <w:sz w:val="23"/>
          <w:szCs w:val="23"/>
        </w:rPr>
        <w:t xml:space="preserve">2020 Review of the </w:t>
      </w:r>
      <w:r w:rsidRPr="00617B00">
        <w:rPr>
          <w:rFonts w:asciiTheme="majorHAnsi" w:hAnsiTheme="majorHAnsi"/>
          <w:i/>
          <w:iCs/>
          <w:sz w:val="23"/>
          <w:szCs w:val="23"/>
        </w:rPr>
        <w:t>Disability Standards for Education 2005</w:t>
      </w:r>
      <w:r>
        <w:rPr>
          <w:rFonts w:asciiTheme="majorHAnsi" w:hAnsiTheme="majorHAnsi"/>
          <w:sz w:val="23"/>
          <w:szCs w:val="23"/>
        </w:rPr>
        <w:t xml:space="preserve"> published a </w:t>
      </w:r>
      <w:r w:rsidR="00103BA2">
        <w:rPr>
          <w:rFonts w:asciiTheme="majorHAnsi" w:hAnsiTheme="majorHAnsi"/>
          <w:sz w:val="23"/>
          <w:szCs w:val="23"/>
        </w:rPr>
        <w:t>second D</w:t>
      </w:r>
      <w:r>
        <w:rPr>
          <w:rFonts w:asciiTheme="majorHAnsi" w:hAnsiTheme="majorHAnsi"/>
          <w:sz w:val="23"/>
          <w:szCs w:val="23"/>
        </w:rPr>
        <w:t xml:space="preserve">iscussion </w:t>
      </w:r>
      <w:r w:rsidR="00103BA2">
        <w:rPr>
          <w:rFonts w:asciiTheme="majorHAnsi" w:hAnsiTheme="majorHAnsi"/>
          <w:sz w:val="23"/>
          <w:szCs w:val="23"/>
        </w:rPr>
        <w:t>P</w:t>
      </w:r>
      <w:r>
        <w:rPr>
          <w:rFonts w:asciiTheme="majorHAnsi" w:hAnsiTheme="majorHAnsi"/>
          <w:sz w:val="23"/>
          <w:szCs w:val="23"/>
        </w:rPr>
        <w:t>aper</w:t>
      </w:r>
      <w:r w:rsidR="00103BA2">
        <w:rPr>
          <w:rFonts w:asciiTheme="majorHAnsi" w:hAnsiTheme="majorHAnsi"/>
          <w:sz w:val="23"/>
          <w:szCs w:val="23"/>
        </w:rPr>
        <w:t xml:space="preserve"> focusing on</w:t>
      </w:r>
      <w:r>
        <w:rPr>
          <w:rFonts w:asciiTheme="majorHAnsi" w:hAnsiTheme="majorHAnsi"/>
          <w:sz w:val="23"/>
          <w:szCs w:val="23"/>
        </w:rPr>
        <w:t xml:space="preserve"> </w:t>
      </w:r>
      <w:r w:rsidR="00103BA2">
        <w:rPr>
          <w:rFonts w:asciiTheme="majorHAnsi" w:hAnsiTheme="majorHAnsi"/>
          <w:sz w:val="23"/>
          <w:szCs w:val="23"/>
        </w:rPr>
        <w:t>c</w:t>
      </w:r>
      <w:r>
        <w:rPr>
          <w:rFonts w:asciiTheme="majorHAnsi" w:hAnsiTheme="majorHAnsi"/>
          <w:sz w:val="23"/>
          <w:szCs w:val="23"/>
        </w:rPr>
        <w:t xml:space="preserve">hildren with disability in </w:t>
      </w:r>
      <w:bookmarkStart w:id="23" w:name="_Hlk51842697"/>
      <w:r>
        <w:rPr>
          <w:rFonts w:asciiTheme="majorHAnsi" w:hAnsiTheme="majorHAnsi"/>
          <w:sz w:val="23"/>
          <w:szCs w:val="23"/>
        </w:rPr>
        <w:t>early childhood education and care</w:t>
      </w:r>
      <w:bookmarkEnd w:id="23"/>
      <w:r>
        <w:rPr>
          <w:rFonts w:asciiTheme="majorHAnsi" w:hAnsiTheme="majorHAnsi"/>
          <w:sz w:val="23"/>
          <w:szCs w:val="23"/>
        </w:rPr>
        <w:t>. This second Discussion Paper states that</w:t>
      </w:r>
    </w:p>
    <w:p w14:paraId="612BE84B" w14:textId="0E8739E7" w:rsidR="00617B00" w:rsidRDefault="00617B00" w:rsidP="00617B00">
      <w:pPr>
        <w:ind w:left="720"/>
        <w:rPr>
          <w:rFonts w:asciiTheme="majorHAnsi" w:hAnsiTheme="majorHAnsi"/>
          <w:sz w:val="23"/>
          <w:szCs w:val="23"/>
        </w:rPr>
      </w:pPr>
      <w:r>
        <w:rPr>
          <w:rFonts w:asciiTheme="majorHAnsi" w:hAnsiTheme="majorHAnsi"/>
          <w:sz w:val="23"/>
          <w:szCs w:val="23"/>
        </w:rPr>
        <w:t>(p)revious reviews … found the distinction made in the Standards between preschools/kindergartens and child care providers does not reflect the complex arrangements in place in the early childhood education and care sector.</w:t>
      </w:r>
    </w:p>
    <w:p w14:paraId="74C50425" w14:textId="3A4DB497" w:rsidR="00617B00" w:rsidRDefault="00617B00" w:rsidP="00E339EF">
      <w:pPr>
        <w:rPr>
          <w:rFonts w:asciiTheme="majorHAnsi" w:hAnsiTheme="majorHAnsi"/>
          <w:sz w:val="23"/>
          <w:szCs w:val="23"/>
        </w:rPr>
      </w:pPr>
      <w:r>
        <w:rPr>
          <w:rFonts w:asciiTheme="majorHAnsi" w:hAnsiTheme="majorHAnsi"/>
          <w:sz w:val="23"/>
          <w:szCs w:val="23"/>
        </w:rPr>
        <w:lastRenderedPageBreak/>
        <w:t xml:space="preserve">The Discussion Paper also </w:t>
      </w:r>
      <w:r w:rsidR="00103BA2">
        <w:rPr>
          <w:rFonts w:asciiTheme="majorHAnsi" w:hAnsiTheme="majorHAnsi"/>
          <w:sz w:val="23"/>
          <w:szCs w:val="23"/>
        </w:rPr>
        <w:t>identifies that previous Reviews found that ‘the sector had undergone significant reforms which increasingly emphasised the educational purpose of early childhood education and care services.’</w:t>
      </w:r>
    </w:p>
    <w:p w14:paraId="57864B72" w14:textId="7332EDB4" w:rsidR="00E339EF" w:rsidRDefault="00103BA2" w:rsidP="00E339EF">
      <w:pPr>
        <w:rPr>
          <w:rFonts w:asciiTheme="majorHAnsi" w:hAnsiTheme="majorHAnsi"/>
          <w:sz w:val="23"/>
          <w:szCs w:val="23"/>
        </w:rPr>
      </w:pPr>
      <w:r w:rsidRPr="00103BA2">
        <w:rPr>
          <w:rFonts w:asciiTheme="majorHAnsi" w:hAnsiTheme="majorHAnsi"/>
          <w:sz w:val="23"/>
          <w:szCs w:val="23"/>
        </w:rPr>
        <w:t xml:space="preserve">Early Childhood Education and Care </w:t>
      </w:r>
      <w:r w:rsidRPr="00617B00">
        <w:rPr>
          <w:rFonts w:asciiTheme="majorHAnsi" w:hAnsiTheme="majorHAnsi"/>
          <w:sz w:val="23"/>
          <w:szCs w:val="23"/>
        </w:rPr>
        <w:t xml:space="preserve">has been a significant area of growth in </w:t>
      </w:r>
      <w:r>
        <w:rPr>
          <w:rFonts w:asciiTheme="majorHAnsi" w:hAnsiTheme="majorHAnsi"/>
          <w:sz w:val="23"/>
          <w:szCs w:val="23"/>
        </w:rPr>
        <w:t>I</w:t>
      </w:r>
      <w:r w:rsidRPr="00617B00">
        <w:rPr>
          <w:rFonts w:asciiTheme="majorHAnsi" w:hAnsiTheme="majorHAnsi"/>
          <w:sz w:val="23"/>
          <w:szCs w:val="23"/>
        </w:rPr>
        <w:t>ndependent schools driven by parent and community demand.</w:t>
      </w:r>
      <w:r>
        <w:rPr>
          <w:rFonts w:asciiTheme="majorHAnsi" w:hAnsiTheme="majorHAnsi"/>
          <w:sz w:val="23"/>
          <w:szCs w:val="23"/>
        </w:rPr>
        <w:t xml:space="preserve"> The Independent sector estimates that Independent school communities educate and care for over 25,000 children</w:t>
      </w:r>
      <w:r w:rsidRPr="00103BA2">
        <w:rPr>
          <w:rFonts w:asciiTheme="majorHAnsi" w:hAnsiTheme="majorHAnsi"/>
          <w:sz w:val="23"/>
          <w:szCs w:val="23"/>
        </w:rPr>
        <w:t xml:space="preserve"> </w:t>
      </w:r>
      <w:r w:rsidRPr="00617B00">
        <w:rPr>
          <w:rFonts w:asciiTheme="majorHAnsi" w:hAnsiTheme="majorHAnsi"/>
          <w:sz w:val="23"/>
          <w:szCs w:val="23"/>
        </w:rPr>
        <w:t>aged from 3 months to five years of age and employs over 8,000 early childhood educators</w:t>
      </w:r>
      <w:r>
        <w:rPr>
          <w:rFonts w:asciiTheme="majorHAnsi" w:hAnsiTheme="majorHAnsi"/>
          <w:sz w:val="23"/>
          <w:szCs w:val="23"/>
        </w:rPr>
        <w:t xml:space="preserve"> across Australia</w:t>
      </w:r>
    </w:p>
    <w:p w14:paraId="5118CFF8" w14:textId="2120B9B2" w:rsidR="00617B00" w:rsidRPr="00617B00" w:rsidRDefault="00103BA2" w:rsidP="00617B00">
      <w:pPr>
        <w:rPr>
          <w:rFonts w:asciiTheme="majorHAnsi" w:hAnsiTheme="majorHAnsi"/>
          <w:sz w:val="23"/>
          <w:szCs w:val="23"/>
        </w:rPr>
      </w:pPr>
      <w:r>
        <w:rPr>
          <w:rFonts w:asciiTheme="majorHAnsi" w:hAnsiTheme="majorHAnsi"/>
          <w:sz w:val="23"/>
          <w:szCs w:val="23"/>
        </w:rPr>
        <w:t xml:space="preserve">In general, </w:t>
      </w:r>
      <w:r w:rsidR="00617B00" w:rsidRPr="00617B00">
        <w:rPr>
          <w:rFonts w:asciiTheme="majorHAnsi" w:hAnsiTheme="majorHAnsi"/>
          <w:sz w:val="23"/>
          <w:szCs w:val="23"/>
        </w:rPr>
        <w:t>Independent school</w:t>
      </w:r>
      <w:r>
        <w:rPr>
          <w:rFonts w:asciiTheme="majorHAnsi" w:hAnsiTheme="majorHAnsi"/>
          <w:sz w:val="23"/>
          <w:szCs w:val="23"/>
        </w:rPr>
        <w:t xml:space="preserve"> communities </w:t>
      </w:r>
      <w:r w:rsidR="00617B00" w:rsidRPr="00617B00">
        <w:rPr>
          <w:rFonts w:asciiTheme="majorHAnsi" w:hAnsiTheme="majorHAnsi"/>
          <w:sz w:val="23"/>
          <w:szCs w:val="23"/>
        </w:rPr>
        <w:t xml:space="preserve">offer two different forms of </w:t>
      </w:r>
      <w:r w:rsidRPr="00103BA2">
        <w:rPr>
          <w:rFonts w:asciiTheme="majorHAnsi" w:hAnsiTheme="majorHAnsi"/>
          <w:sz w:val="23"/>
          <w:szCs w:val="23"/>
        </w:rPr>
        <w:t>early childhood education and care</w:t>
      </w:r>
      <w:r>
        <w:rPr>
          <w:rFonts w:asciiTheme="majorHAnsi" w:hAnsiTheme="majorHAnsi"/>
          <w:sz w:val="23"/>
          <w:szCs w:val="23"/>
        </w:rPr>
        <w:t>:</w:t>
      </w:r>
      <w:r w:rsidR="00617B00" w:rsidRPr="00617B00">
        <w:rPr>
          <w:rFonts w:asciiTheme="majorHAnsi" w:hAnsiTheme="majorHAnsi"/>
          <w:sz w:val="23"/>
          <w:szCs w:val="23"/>
        </w:rPr>
        <w:t xml:space="preserve"> long day care and kindergarten services for three and four-year-old children</w:t>
      </w:r>
      <w:r>
        <w:rPr>
          <w:rFonts w:asciiTheme="majorHAnsi" w:hAnsiTheme="majorHAnsi"/>
          <w:sz w:val="23"/>
          <w:szCs w:val="23"/>
        </w:rPr>
        <w:t>. These educational services are often provided</w:t>
      </w:r>
      <w:r w:rsidR="00617B00" w:rsidRPr="00617B00">
        <w:rPr>
          <w:rFonts w:asciiTheme="majorHAnsi" w:hAnsiTheme="majorHAnsi"/>
          <w:sz w:val="23"/>
          <w:szCs w:val="23"/>
        </w:rPr>
        <w:t xml:space="preserve"> in the same Early Learning Centre</w:t>
      </w:r>
      <w:r>
        <w:rPr>
          <w:rFonts w:asciiTheme="majorHAnsi" w:hAnsiTheme="majorHAnsi"/>
          <w:sz w:val="23"/>
          <w:szCs w:val="23"/>
        </w:rPr>
        <w:t>.</w:t>
      </w:r>
    </w:p>
    <w:p w14:paraId="4E43BE2F" w14:textId="7AF7E75C" w:rsidR="0022373D" w:rsidRDefault="0022373D" w:rsidP="00617B00">
      <w:pPr>
        <w:rPr>
          <w:rFonts w:asciiTheme="majorHAnsi" w:hAnsiTheme="majorHAnsi"/>
          <w:sz w:val="23"/>
          <w:szCs w:val="23"/>
        </w:rPr>
      </w:pPr>
      <w:r>
        <w:rPr>
          <w:rFonts w:asciiTheme="majorHAnsi" w:hAnsiTheme="majorHAnsi"/>
          <w:sz w:val="23"/>
          <w:szCs w:val="23"/>
        </w:rPr>
        <w:t>Many of</w:t>
      </w:r>
      <w:r w:rsidR="00617B00" w:rsidRPr="00617B00">
        <w:rPr>
          <w:rFonts w:asciiTheme="majorHAnsi" w:hAnsiTheme="majorHAnsi"/>
          <w:sz w:val="23"/>
          <w:szCs w:val="23"/>
        </w:rPr>
        <w:t xml:space="preserve"> the same issues and complexities </w:t>
      </w:r>
      <w:r>
        <w:rPr>
          <w:rFonts w:asciiTheme="majorHAnsi" w:hAnsiTheme="majorHAnsi"/>
          <w:sz w:val="23"/>
          <w:szCs w:val="23"/>
        </w:rPr>
        <w:t xml:space="preserve">identified above for Independent schools also </w:t>
      </w:r>
      <w:r w:rsidR="00617B00" w:rsidRPr="00617B00">
        <w:rPr>
          <w:rFonts w:asciiTheme="majorHAnsi" w:hAnsiTheme="majorHAnsi"/>
          <w:sz w:val="23"/>
          <w:szCs w:val="23"/>
        </w:rPr>
        <w:t>exist for</w:t>
      </w:r>
      <w:r w:rsidR="00103BA2">
        <w:rPr>
          <w:rFonts w:asciiTheme="majorHAnsi" w:hAnsiTheme="majorHAnsi"/>
          <w:sz w:val="23"/>
          <w:szCs w:val="23"/>
        </w:rPr>
        <w:t xml:space="preserve"> providers of</w:t>
      </w:r>
      <w:r w:rsidR="00617B00" w:rsidRPr="00617B00">
        <w:rPr>
          <w:rFonts w:asciiTheme="majorHAnsi" w:hAnsiTheme="majorHAnsi"/>
          <w:sz w:val="23"/>
          <w:szCs w:val="23"/>
        </w:rPr>
        <w:t xml:space="preserve"> </w:t>
      </w:r>
      <w:r w:rsidR="00103BA2">
        <w:rPr>
          <w:rFonts w:asciiTheme="majorHAnsi" w:hAnsiTheme="majorHAnsi"/>
          <w:sz w:val="23"/>
          <w:szCs w:val="23"/>
        </w:rPr>
        <w:t>e</w:t>
      </w:r>
      <w:r w:rsidR="00103BA2" w:rsidRPr="00103BA2">
        <w:rPr>
          <w:rFonts w:asciiTheme="majorHAnsi" w:hAnsiTheme="majorHAnsi"/>
          <w:sz w:val="23"/>
          <w:szCs w:val="23"/>
        </w:rPr>
        <w:t xml:space="preserve">arly </w:t>
      </w:r>
      <w:r w:rsidR="00103BA2">
        <w:rPr>
          <w:rFonts w:asciiTheme="majorHAnsi" w:hAnsiTheme="majorHAnsi"/>
          <w:sz w:val="23"/>
          <w:szCs w:val="23"/>
        </w:rPr>
        <w:t>c</w:t>
      </w:r>
      <w:r w:rsidR="00103BA2" w:rsidRPr="00103BA2">
        <w:rPr>
          <w:rFonts w:asciiTheme="majorHAnsi" w:hAnsiTheme="majorHAnsi"/>
          <w:sz w:val="23"/>
          <w:szCs w:val="23"/>
        </w:rPr>
        <w:t xml:space="preserve">hildhood </w:t>
      </w:r>
      <w:r w:rsidR="00103BA2">
        <w:rPr>
          <w:rFonts w:asciiTheme="majorHAnsi" w:hAnsiTheme="majorHAnsi"/>
          <w:sz w:val="23"/>
          <w:szCs w:val="23"/>
        </w:rPr>
        <w:t>e</w:t>
      </w:r>
      <w:r w:rsidR="00103BA2" w:rsidRPr="00103BA2">
        <w:rPr>
          <w:rFonts w:asciiTheme="majorHAnsi" w:hAnsiTheme="majorHAnsi"/>
          <w:sz w:val="23"/>
          <w:szCs w:val="23"/>
        </w:rPr>
        <w:t xml:space="preserve">ducation and </w:t>
      </w:r>
      <w:r w:rsidR="00103BA2">
        <w:rPr>
          <w:rFonts w:asciiTheme="majorHAnsi" w:hAnsiTheme="majorHAnsi"/>
          <w:sz w:val="23"/>
          <w:szCs w:val="23"/>
        </w:rPr>
        <w:t>c</w:t>
      </w:r>
      <w:r w:rsidR="00103BA2" w:rsidRPr="00103BA2">
        <w:rPr>
          <w:rFonts w:asciiTheme="majorHAnsi" w:hAnsiTheme="majorHAnsi"/>
          <w:sz w:val="23"/>
          <w:szCs w:val="23"/>
        </w:rPr>
        <w:t>are</w:t>
      </w:r>
      <w:r w:rsidR="00300D1E">
        <w:rPr>
          <w:rFonts w:asciiTheme="majorHAnsi" w:hAnsiTheme="majorHAnsi"/>
          <w:sz w:val="23"/>
          <w:szCs w:val="23"/>
        </w:rPr>
        <w:t xml:space="preserve"> in the Independent sector</w:t>
      </w:r>
      <w:r>
        <w:rPr>
          <w:rFonts w:asciiTheme="majorHAnsi" w:hAnsiTheme="majorHAnsi"/>
          <w:sz w:val="23"/>
          <w:szCs w:val="23"/>
        </w:rPr>
        <w:t>. This is</w:t>
      </w:r>
      <w:r w:rsidR="00617B00" w:rsidRPr="00617B00">
        <w:rPr>
          <w:rFonts w:asciiTheme="majorHAnsi" w:hAnsiTheme="majorHAnsi"/>
          <w:sz w:val="23"/>
          <w:szCs w:val="23"/>
        </w:rPr>
        <w:t xml:space="preserve"> particularly </w:t>
      </w:r>
      <w:r>
        <w:rPr>
          <w:rFonts w:asciiTheme="majorHAnsi" w:hAnsiTheme="majorHAnsi"/>
          <w:sz w:val="23"/>
          <w:szCs w:val="23"/>
        </w:rPr>
        <w:t>the case regarding</w:t>
      </w:r>
      <w:r w:rsidR="00617B00" w:rsidRPr="00617B00">
        <w:rPr>
          <w:rFonts w:asciiTheme="majorHAnsi" w:hAnsiTheme="majorHAnsi"/>
          <w:sz w:val="23"/>
          <w:szCs w:val="23"/>
        </w:rPr>
        <w:t xml:space="preserve"> access to appropriate funding, specialised staff training to support students with disability, including complex and multiple needs, and access and involvement in meaningful, ongoing </w:t>
      </w:r>
      <w:r>
        <w:rPr>
          <w:rFonts w:asciiTheme="majorHAnsi" w:hAnsiTheme="majorHAnsi"/>
          <w:sz w:val="23"/>
          <w:szCs w:val="23"/>
        </w:rPr>
        <w:t>p</w:t>
      </w:r>
      <w:r w:rsidR="00617B00" w:rsidRPr="00617B00">
        <w:rPr>
          <w:rFonts w:asciiTheme="majorHAnsi" w:hAnsiTheme="majorHAnsi"/>
          <w:sz w:val="23"/>
          <w:szCs w:val="23"/>
        </w:rPr>
        <w:t xml:space="preserve">rofessional </w:t>
      </w:r>
      <w:r>
        <w:rPr>
          <w:rFonts w:asciiTheme="majorHAnsi" w:hAnsiTheme="majorHAnsi"/>
          <w:sz w:val="23"/>
          <w:szCs w:val="23"/>
        </w:rPr>
        <w:t>l</w:t>
      </w:r>
      <w:r w:rsidR="00617B00" w:rsidRPr="00617B00">
        <w:rPr>
          <w:rFonts w:asciiTheme="majorHAnsi" w:hAnsiTheme="majorHAnsi"/>
          <w:sz w:val="23"/>
          <w:szCs w:val="23"/>
        </w:rPr>
        <w:t>earning opportunities</w:t>
      </w:r>
      <w:r>
        <w:rPr>
          <w:rFonts w:asciiTheme="majorHAnsi" w:hAnsiTheme="majorHAnsi"/>
          <w:sz w:val="23"/>
          <w:szCs w:val="23"/>
        </w:rPr>
        <w:t xml:space="preserve"> for staff, teachers, and school leaders</w:t>
      </w:r>
      <w:r w:rsidR="00617B00" w:rsidRPr="00617B00">
        <w:rPr>
          <w:rFonts w:asciiTheme="majorHAnsi" w:hAnsiTheme="majorHAnsi"/>
          <w:sz w:val="23"/>
          <w:szCs w:val="23"/>
        </w:rPr>
        <w:t>.</w:t>
      </w:r>
    </w:p>
    <w:p w14:paraId="3C879F86" w14:textId="162A783A" w:rsidR="00E339EF" w:rsidRDefault="00617B00" w:rsidP="00E339EF">
      <w:pPr>
        <w:rPr>
          <w:rFonts w:asciiTheme="majorHAnsi" w:hAnsiTheme="majorHAnsi"/>
          <w:sz w:val="23"/>
          <w:szCs w:val="23"/>
        </w:rPr>
      </w:pPr>
      <w:r w:rsidRPr="00617B00">
        <w:rPr>
          <w:rFonts w:asciiTheme="majorHAnsi" w:hAnsiTheme="majorHAnsi"/>
          <w:sz w:val="23"/>
          <w:szCs w:val="23"/>
        </w:rPr>
        <w:t xml:space="preserve">In addition, many </w:t>
      </w:r>
      <w:r w:rsidR="0022373D" w:rsidRPr="0022373D">
        <w:rPr>
          <w:rFonts w:asciiTheme="majorHAnsi" w:hAnsiTheme="majorHAnsi"/>
          <w:sz w:val="23"/>
          <w:szCs w:val="23"/>
        </w:rPr>
        <w:t>early childhood education and care</w:t>
      </w:r>
      <w:r w:rsidR="0022373D">
        <w:rPr>
          <w:rFonts w:asciiTheme="majorHAnsi" w:hAnsiTheme="majorHAnsi"/>
          <w:sz w:val="23"/>
          <w:szCs w:val="23"/>
        </w:rPr>
        <w:t xml:space="preserve"> providers</w:t>
      </w:r>
      <w:r w:rsidRPr="00617B00">
        <w:rPr>
          <w:rFonts w:asciiTheme="majorHAnsi" w:hAnsiTheme="majorHAnsi"/>
          <w:sz w:val="23"/>
          <w:szCs w:val="23"/>
        </w:rPr>
        <w:t xml:space="preserve"> face similar challenges </w:t>
      </w:r>
      <w:r w:rsidR="0022373D">
        <w:rPr>
          <w:rFonts w:asciiTheme="majorHAnsi" w:hAnsiTheme="majorHAnsi"/>
          <w:sz w:val="23"/>
          <w:szCs w:val="23"/>
        </w:rPr>
        <w:t xml:space="preserve">to those already </w:t>
      </w:r>
      <w:r w:rsidRPr="00617B00">
        <w:rPr>
          <w:rFonts w:asciiTheme="majorHAnsi" w:hAnsiTheme="majorHAnsi"/>
          <w:sz w:val="23"/>
          <w:szCs w:val="23"/>
        </w:rPr>
        <w:t>highlighted in this submission which are heightened by transition processes (including enrolment, adjustments</w:t>
      </w:r>
      <w:r w:rsidR="0022373D">
        <w:rPr>
          <w:rFonts w:asciiTheme="majorHAnsi" w:hAnsiTheme="majorHAnsi"/>
          <w:sz w:val="23"/>
          <w:szCs w:val="23"/>
        </w:rPr>
        <w:t>,</w:t>
      </w:r>
      <w:r w:rsidRPr="00617B00">
        <w:rPr>
          <w:rFonts w:asciiTheme="majorHAnsi" w:hAnsiTheme="majorHAnsi"/>
          <w:sz w:val="23"/>
          <w:szCs w:val="23"/>
        </w:rPr>
        <w:t xml:space="preserve"> and consultation</w:t>
      </w:r>
      <w:r w:rsidR="0022373D">
        <w:rPr>
          <w:rFonts w:asciiTheme="majorHAnsi" w:hAnsiTheme="majorHAnsi"/>
          <w:sz w:val="23"/>
          <w:szCs w:val="23"/>
        </w:rPr>
        <w:t>s</w:t>
      </w:r>
      <w:r w:rsidRPr="00617B00">
        <w:rPr>
          <w:rFonts w:asciiTheme="majorHAnsi" w:hAnsiTheme="majorHAnsi"/>
          <w:sz w:val="23"/>
          <w:szCs w:val="23"/>
        </w:rPr>
        <w:t xml:space="preserve">) as students enter the formal education system. It is also the case that often </w:t>
      </w:r>
      <w:r w:rsidR="0022373D" w:rsidRPr="0022373D">
        <w:rPr>
          <w:rFonts w:asciiTheme="majorHAnsi" w:hAnsiTheme="majorHAnsi"/>
          <w:sz w:val="23"/>
          <w:szCs w:val="23"/>
        </w:rPr>
        <w:t>early childhood education and care providers</w:t>
      </w:r>
      <w:r w:rsidRPr="00617B00">
        <w:rPr>
          <w:rFonts w:asciiTheme="majorHAnsi" w:hAnsiTheme="majorHAnsi"/>
          <w:sz w:val="23"/>
          <w:szCs w:val="23"/>
        </w:rPr>
        <w:t xml:space="preserve"> </w:t>
      </w:r>
      <w:r w:rsidR="0022373D" w:rsidRPr="00617B00">
        <w:rPr>
          <w:rFonts w:asciiTheme="majorHAnsi" w:hAnsiTheme="majorHAnsi"/>
          <w:sz w:val="23"/>
          <w:szCs w:val="23"/>
        </w:rPr>
        <w:t>deliver</w:t>
      </w:r>
      <w:r w:rsidRPr="00617B00">
        <w:rPr>
          <w:rFonts w:asciiTheme="majorHAnsi" w:hAnsiTheme="majorHAnsi"/>
          <w:sz w:val="23"/>
          <w:szCs w:val="23"/>
        </w:rPr>
        <w:t xml:space="preserve"> initial supports for families who are accessing services or diagnosis, and this demands a specific skill set and competencies on the part of </w:t>
      </w:r>
      <w:r w:rsidR="0022373D" w:rsidRPr="0022373D">
        <w:rPr>
          <w:rFonts w:asciiTheme="majorHAnsi" w:hAnsiTheme="majorHAnsi"/>
          <w:sz w:val="23"/>
          <w:szCs w:val="23"/>
        </w:rPr>
        <w:t>early childhood education and care</w:t>
      </w:r>
      <w:r w:rsidRPr="00617B00">
        <w:rPr>
          <w:rFonts w:asciiTheme="majorHAnsi" w:hAnsiTheme="majorHAnsi"/>
          <w:sz w:val="23"/>
          <w:szCs w:val="23"/>
        </w:rPr>
        <w:t xml:space="preserve"> </w:t>
      </w:r>
      <w:r w:rsidR="0022373D" w:rsidRPr="00617B00">
        <w:rPr>
          <w:rFonts w:asciiTheme="majorHAnsi" w:hAnsiTheme="majorHAnsi"/>
          <w:sz w:val="23"/>
          <w:szCs w:val="23"/>
        </w:rPr>
        <w:t xml:space="preserve">educators </w:t>
      </w:r>
      <w:r w:rsidRPr="00617B00">
        <w:rPr>
          <w:rFonts w:asciiTheme="majorHAnsi" w:hAnsiTheme="majorHAnsi"/>
          <w:sz w:val="23"/>
          <w:szCs w:val="23"/>
        </w:rPr>
        <w:t>and</w:t>
      </w:r>
      <w:r w:rsidR="0022373D" w:rsidRPr="0022373D">
        <w:rPr>
          <w:rFonts w:asciiTheme="majorHAnsi" w:hAnsiTheme="majorHAnsi"/>
          <w:sz w:val="23"/>
          <w:szCs w:val="23"/>
        </w:rPr>
        <w:t xml:space="preserve"> </w:t>
      </w:r>
      <w:r w:rsidR="0022373D" w:rsidRPr="00617B00">
        <w:rPr>
          <w:rFonts w:asciiTheme="majorHAnsi" w:hAnsiTheme="majorHAnsi"/>
          <w:sz w:val="23"/>
          <w:szCs w:val="23"/>
        </w:rPr>
        <w:t>directors</w:t>
      </w:r>
      <w:r w:rsidRPr="00617B00">
        <w:rPr>
          <w:rFonts w:asciiTheme="majorHAnsi" w:hAnsiTheme="majorHAnsi"/>
          <w:sz w:val="23"/>
          <w:szCs w:val="23"/>
        </w:rPr>
        <w:t xml:space="preserve">.  </w:t>
      </w:r>
    </w:p>
    <w:p w14:paraId="7F543E16" w14:textId="0D22CE3E" w:rsidR="00B41159" w:rsidRPr="006873E6" w:rsidRDefault="00B41159" w:rsidP="00B41159">
      <w:pPr>
        <w:pStyle w:val="Heading2"/>
      </w:pPr>
      <w:bookmarkStart w:id="24" w:name="_Toc51932348"/>
      <w:r>
        <w:t>The Impact of COVID-19</w:t>
      </w:r>
      <w:bookmarkEnd w:id="24"/>
    </w:p>
    <w:p w14:paraId="00266232" w14:textId="33D45F80" w:rsidR="00852762" w:rsidRPr="00B41159" w:rsidRDefault="00B41159" w:rsidP="00B41159">
      <w:pPr>
        <w:rPr>
          <w:rFonts w:asciiTheme="majorHAnsi" w:hAnsiTheme="majorHAnsi"/>
          <w:sz w:val="23"/>
          <w:szCs w:val="23"/>
        </w:rPr>
      </w:pPr>
      <w:r w:rsidRPr="00B41159">
        <w:rPr>
          <w:rFonts w:asciiTheme="majorHAnsi" w:hAnsiTheme="majorHAnsi"/>
          <w:sz w:val="23"/>
          <w:szCs w:val="23"/>
        </w:rPr>
        <w:t xml:space="preserve">The COVID-19 pandemic has created a unique and unprecedented set of challenges for all aspects of life for all Australians, including schooling. </w:t>
      </w:r>
    </w:p>
    <w:p w14:paraId="4FF5564F" w14:textId="485B0B5D" w:rsidR="00852762" w:rsidRDefault="00852762" w:rsidP="00B41159">
      <w:pPr>
        <w:rPr>
          <w:rFonts w:asciiTheme="majorHAnsi" w:hAnsiTheme="majorHAnsi"/>
          <w:sz w:val="23"/>
          <w:szCs w:val="23"/>
        </w:rPr>
      </w:pPr>
      <w:r>
        <w:rPr>
          <w:rFonts w:asciiTheme="majorHAnsi" w:hAnsiTheme="majorHAnsi"/>
          <w:sz w:val="23"/>
          <w:szCs w:val="23"/>
        </w:rPr>
        <w:t>T</w:t>
      </w:r>
      <w:r w:rsidR="00B41159" w:rsidRPr="00B41159">
        <w:rPr>
          <w:rFonts w:asciiTheme="majorHAnsi" w:hAnsiTheme="majorHAnsi"/>
          <w:sz w:val="23"/>
          <w:szCs w:val="23"/>
        </w:rPr>
        <w:t>he autonomy of Independent schools enable</w:t>
      </w:r>
      <w:r>
        <w:rPr>
          <w:rFonts w:asciiTheme="majorHAnsi" w:hAnsiTheme="majorHAnsi"/>
          <w:sz w:val="23"/>
          <w:szCs w:val="23"/>
        </w:rPr>
        <w:t>d</w:t>
      </w:r>
      <w:r w:rsidR="00B41159" w:rsidRPr="00B41159">
        <w:rPr>
          <w:rFonts w:asciiTheme="majorHAnsi" w:hAnsiTheme="majorHAnsi"/>
          <w:sz w:val="23"/>
          <w:szCs w:val="23"/>
        </w:rPr>
        <w:t xml:space="preserve"> them to respond flexibly, effectively</w:t>
      </w:r>
      <w:r w:rsidR="00A055DD">
        <w:rPr>
          <w:rFonts w:asciiTheme="majorHAnsi" w:hAnsiTheme="majorHAnsi"/>
          <w:sz w:val="23"/>
          <w:szCs w:val="23"/>
        </w:rPr>
        <w:t>,</w:t>
      </w:r>
      <w:r w:rsidR="00B41159" w:rsidRPr="00B41159">
        <w:rPr>
          <w:rFonts w:asciiTheme="majorHAnsi" w:hAnsiTheme="majorHAnsi"/>
          <w:sz w:val="23"/>
          <w:szCs w:val="23"/>
        </w:rPr>
        <w:t xml:space="preserve"> and creatively as professional educational organisations to meet the needs of their school community and to develop, innovate</w:t>
      </w:r>
      <w:r w:rsidR="00A055DD">
        <w:rPr>
          <w:rFonts w:asciiTheme="majorHAnsi" w:hAnsiTheme="majorHAnsi"/>
          <w:sz w:val="23"/>
          <w:szCs w:val="23"/>
        </w:rPr>
        <w:t>,</w:t>
      </w:r>
      <w:r w:rsidR="00B41159" w:rsidRPr="00B41159">
        <w:rPr>
          <w:rFonts w:asciiTheme="majorHAnsi" w:hAnsiTheme="majorHAnsi"/>
          <w:sz w:val="23"/>
          <w:szCs w:val="23"/>
        </w:rPr>
        <w:t xml:space="preserve"> and improve the school to enhance outcomes for students</w:t>
      </w:r>
      <w:r>
        <w:rPr>
          <w:rFonts w:asciiTheme="majorHAnsi" w:hAnsiTheme="majorHAnsi"/>
          <w:sz w:val="23"/>
          <w:szCs w:val="23"/>
        </w:rPr>
        <w:t>.</w:t>
      </w:r>
    </w:p>
    <w:p w14:paraId="3CDFC666" w14:textId="7CF67E2B" w:rsidR="00987300" w:rsidRDefault="00852762" w:rsidP="00B41159">
      <w:pPr>
        <w:rPr>
          <w:rFonts w:asciiTheme="majorHAnsi" w:hAnsiTheme="majorHAnsi"/>
          <w:sz w:val="23"/>
          <w:szCs w:val="23"/>
        </w:rPr>
      </w:pPr>
      <w:r>
        <w:rPr>
          <w:rFonts w:asciiTheme="majorHAnsi" w:hAnsiTheme="majorHAnsi"/>
          <w:sz w:val="23"/>
          <w:szCs w:val="23"/>
        </w:rPr>
        <w:t xml:space="preserve">However, the adverse effects of the pandemic are likely to be experienced most </w:t>
      </w:r>
      <w:r w:rsidR="00A06D83">
        <w:rPr>
          <w:rFonts w:asciiTheme="majorHAnsi" w:hAnsiTheme="majorHAnsi"/>
          <w:sz w:val="23"/>
          <w:szCs w:val="23"/>
        </w:rPr>
        <w:t>acutely</w:t>
      </w:r>
      <w:r>
        <w:rPr>
          <w:rFonts w:asciiTheme="majorHAnsi" w:hAnsiTheme="majorHAnsi"/>
          <w:sz w:val="23"/>
          <w:szCs w:val="23"/>
        </w:rPr>
        <w:t xml:space="preserve"> by vulnerable students such as </w:t>
      </w:r>
      <w:r w:rsidR="00B06D4A">
        <w:rPr>
          <w:rFonts w:asciiTheme="majorHAnsi" w:hAnsiTheme="majorHAnsi"/>
          <w:sz w:val="23"/>
          <w:szCs w:val="23"/>
        </w:rPr>
        <w:t>s</w:t>
      </w:r>
      <w:r>
        <w:rPr>
          <w:rFonts w:asciiTheme="majorHAnsi" w:hAnsiTheme="majorHAnsi"/>
          <w:sz w:val="23"/>
          <w:szCs w:val="23"/>
        </w:rPr>
        <w:t>tudent</w:t>
      </w:r>
      <w:r w:rsidR="00490D65">
        <w:rPr>
          <w:rFonts w:asciiTheme="majorHAnsi" w:hAnsiTheme="majorHAnsi"/>
          <w:sz w:val="23"/>
          <w:szCs w:val="23"/>
        </w:rPr>
        <w:t>s</w:t>
      </w:r>
      <w:r>
        <w:rPr>
          <w:rFonts w:asciiTheme="majorHAnsi" w:hAnsiTheme="majorHAnsi"/>
          <w:sz w:val="23"/>
          <w:szCs w:val="23"/>
        </w:rPr>
        <w:t xml:space="preserve"> with </w:t>
      </w:r>
      <w:r w:rsidR="00B06D4A">
        <w:rPr>
          <w:rFonts w:asciiTheme="majorHAnsi" w:hAnsiTheme="majorHAnsi"/>
          <w:sz w:val="23"/>
          <w:szCs w:val="23"/>
        </w:rPr>
        <w:t>d</w:t>
      </w:r>
      <w:r>
        <w:rPr>
          <w:rFonts w:asciiTheme="majorHAnsi" w:hAnsiTheme="majorHAnsi"/>
          <w:sz w:val="23"/>
          <w:szCs w:val="23"/>
        </w:rPr>
        <w:t>isability,</w:t>
      </w:r>
      <w:r w:rsidR="00B41159" w:rsidRPr="00B41159">
        <w:rPr>
          <w:rFonts w:asciiTheme="majorHAnsi" w:hAnsiTheme="majorHAnsi"/>
          <w:sz w:val="23"/>
          <w:szCs w:val="23"/>
        </w:rPr>
        <w:t xml:space="preserve"> particularly</w:t>
      </w:r>
      <w:r w:rsidR="00A055DD">
        <w:rPr>
          <w:rFonts w:asciiTheme="majorHAnsi" w:hAnsiTheme="majorHAnsi"/>
          <w:sz w:val="23"/>
          <w:szCs w:val="23"/>
        </w:rPr>
        <w:t xml:space="preserve">, in the case of schooling, </w:t>
      </w:r>
      <w:r w:rsidR="00490D65">
        <w:rPr>
          <w:rFonts w:asciiTheme="majorHAnsi" w:hAnsiTheme="majorHAnsi"/>
          <w:sz w:val="23"/>
          <w:szCs w:val="23"/>
        </w:rPr>
        <w:t xml:space="preserve">through </w:t>
      </w:r>
      <w:r w:rsidR="00B41159" w:rsidRPr="00B41159">
        <w:rPr>
          <w:rFonts w:asciiTheme="majorHAnsi" w:hAnsiTheme="majorHAnsi"/>
          <w:sz w:val="23"/>
          <w:szCs w:val="23"/>
        </w:rPr>
        <w:t>the challenge</w:t>
      </w:r>
      <w:r w:rsidR="00A055DD">
        <w:rPr>
          <w:rFonts w:asciiTheme="majorHAnsi" w:hAnsiTheme="majorHAnsi"/>
          <w:sz w:val="23"/>
          <w:szCs w:val="23"/>
        </w:rPr>
        <w:t>s</w:t>
      </w:r>
      <w:r w:rsidR="00B41159" w:rsidRPr="00B41159">
        <w:rPr>
          <w:rFonts w:asciiTheme="majorHAnsi" w:hAnsiTheme="majorHAnsi"/>
          <w:sz w:val="23"/>
          <w:szCs w:val="23"/>
        </w:rPr>
        <w:t xml:space="preserve"> of rapid adaptation to home and online </w:t>
      </w:r>
      <w:r>
        <w:rPr>
          <w:rFonts w:asciiTheme="majorHAnsi" w:hAnsiTheme="majorHAnsi"/>
          <w:sz w:val="23"/>
          <w:szCs w:val="23"/>
        </w:rPr>
        <w:t>teaching</w:t>
      </w:r>
      <w:r w:rsidR="00B41159" w:rsidRPr="00B41159">
        <w:rPr>
          <w:rFonts w:asciiTheme="majorHAnsi" w:hAnsiTheme="majorHAnsi"/>
          <w:sz w:val="23"/>
          <w:szCs w:val="23"/>
        </w:rPr>
        <w:t xml:space="preserve"> and learning.</w:t>
      </w:r>
    </w:p>
    <w:p w14:paraId="16C870FF" w14:textId="77777777" w:rsidR="00A055DD" w:rsidRDefault="00A055DD" w:rsidP="00A055DD">
      <w:pPr>
        <w:rPr>
          <w:rFonts w:asciiTheme="majorHAnsi" w:hAnsiTheme="majorHAnsi"/>
          <w:sz w:val="23"/>
          <w:szCs w:val="23"/>
        </w:rPr>
      </w:pPr>
      <w:r w:rsidRPr="00A055DD">
        <w:rPr>
          <w:rFonts w:asciiTheme="majorHAnsi" w:hAnsiTheme="majorHAnsi"/>
          <w:sz w:val="23"/>
          <w:szCs w:val="23"/>
        </w:rPr>
        <w:t xml:space="preserve">While the length and extent of online learning differed greatly from state to state, the move to online learning across Australia had wide-ranging impacts and implications for all Independent schools. </w:t>
      </w:r>
    </w:p>
    <w:p w14:paraId="4171F094" w14:textId="77777777" w:rsidR="00857182" w:rsidRDefault="00852762" w:rsidP="00E92E3A">
      <w:pPr>
        <w:rPr>
          <w:rFonts w:asciiTheme="majorHAnsi" w:hAnsiTheme="majorHAnsi"/>
          <w:sz w:val="23"/>
          <w:szCs w:val="23"/>
        </w:rPr>
      </w:pPr>
      <w:r>
        <w:rPr>
          <w:rFonts w:asciiTheme="majorHAnsi" w:hAnsiTheme="majorHAnsi"/>
          <w:sz w:val="23"/>
          <w:szCs w:val="23"/>
        </w:rPr>
        <w:lastRenderedPageBreak/>
        <w:t xml:space="preserve">At this early stage ISA has not been able to undertake a systematic, sector-wide appraisal of the impact of the pandemic on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isability with reference to the Standards.</w:t>
      </w:r>
    </w:p>
    <w:p w14:paraId="792FA9C2" w14:textId="0A03737B" w:rsidR="00987300" w:rsidRDefault="00852762" w:rsidP="00E92E3A">
      <w:pPr>
        <w:rPr>
          <w:rFonts w:asciiTheme="majorHAnsi" w:hAnsiTheme="majorHAnsi"/>
          <w:sz w:val="23"/>
          <w:szCs w:val="23"/>
        </w:rPr>
      </w:pPr>
      <w:r>
        <w:rPr>
          <w:rFonts w:asciiTheme="majorHAnsi" w:hAnsiTheme="majorHAnsi"/>
          <w:sz w:val="23"/>
          <w:szCs w:val="23"/>
        </w:rPr>
        <w:t xml:space="preserve">However, ISA notes that evidence to the </w:t>
      </w:r>
      <w:r w:rsidRPr="00852762">
        <w:rPr>
          <w:rFonts w:asciiTheme="majorHAnsi" w:hAnsiTheme="majorHAnsi"/>
          <w:sz w:val="23"/>
          <w:szCs w:val="23"/>
        </w:rPr>
        <w:t>Royal Commission into Violence, Abuse, Neglect and Exploitation of People with Disability</w:t>
      </w:r>
      <w:r>
        <w:rPr>
          <w:rFonts w:asciiTheme="majorHAnsi" w:hAnsiTheme="majorHAnsi"/>
          <w:sz w:val="23"/>
          <w:szCs w:val="23"/>
        </w:rPr>
        <w:t xml:space="preserve"> </w:t>
      </w:r>
      <w:r w:rsidR="00A06D83">
        <w:rPr>
          <w:rFonts w:asciiTheme="majorHAnsi" w:hAnsiTheme="majorHAnsi"/>
          <w:sz w:val="23"/>
          <w:szCs w:val="23"/>
        </w:rPr>
        <w:t xml:space="preserve">has </w:t>
      </w:r>
      <w:r w:rsidR="00A055DD">
        <w:rPr>
          <w:rFonts w:asciiTheme="majorHAnsi" w:hAnsiTheme="majorHAnsi"/>
          <w:sz w:val="23"/>
          <w:szCs w:val="23"/>
        </w:rPr>
        <w:t xml:space="preserve">considered </w:t>
      </w:r>
      <w:r w:rsidR="00A06D83">
        <w:rPr>
          <w:rFonts w:asciiTheme="majorHAnsi" w:hAnsiTheme="majorHAnsi"/>
          <w:sz w:val="23"/>
          <w:szCs w:val="23"/>
        </w:rPr>
        <w:t xml:space="preserve">challenges, but also some of the advances, for </w:t>
      </w:r>
      <w:r w:rsidR="00B06D4A">
        <w:rPr>
          <w:rFonts w:asciiTheme="majorHAnsi" w:hAnsiTheme="majorHAnsi"/>
          <w:sz w:val="23"/>
          <w:szCs w:val="23"/>
        </w:rPr>
        <w:t>s</w:t>
      </w:r>
      <w:r w:rsidR="00A06D83">
        <w:rPr>
          <w:rFonts w:asciiTheme="majorHAnsi" w:hAnsiTheme="majorHAnsi"/>
          <w:sz w:val="23"/>
          <w:szCs w:val="23"/>
        </w:rPr>
        <w:t xml:space="preserve">tudents with </w:t>
      </w:r>
      <w:r w:rsidR="00B06D4A">
        <w:rPr>
          <w:rFonts w:asciiTheme="majorHAnsi" w:hAnsiTheme="majorHAnsi"/>
          <w:sz w:val="23"/>
          <w:szCs w:val="23"/>
        </w:rPr>
        <w:t>d</w:t>
      </w:r>
      <w:r w:rsidR="00A06D83">
        <w:rPr>
          <w:rFonts w:asciiTheme="majorHAnsi" w:hAnsiTheme="majorHAnsi"/>
          <w:sz w:val="23"/>
          <w:szCs w:val="23"/>
        </w:rPr>
        <w:t>isability during the pandemic.</w:t>
      </w:r>
      <w:r w:rsidR="00A06D83">
        <w:rPr>
          <w:rStyle w:val="FootnoteReference"/>
          <w:rFonts w:asciiTheme="majorHAnsi" w:hAnsiTheme="majorHAnsi"/>
          <w:sz w:val="23"/>
          <w:szCs w:val="23"/>
        </w:rPr>
        <w:footnoteReference w:id="6"/>
      </w:r>
      <w:r w:rsidR="00A06D83">
        <w:rPr>
          <w:rFonts w:asciiTheme="majorHAnsi" w:hAnsiTheme="majorHAnsi"/>
          <w:sz w:val="23"/>
          <w:szCs w:val="23"/>
        </w:rPr>
        <w:t xml:space="preserve"> </w:t>
      </w:r>
    </w:p>
    <w:p w14:paraId="116D8FC7" w14:textId="2DEB380B" w:rsidR="00A06D83" w:rsidRDefault="00A06D83" w:rsidP="00E92E3A">
      <w:pPr>
        <w:rPr>
          <w:rFonts w:asciiTheme="majorHAnsi" w:hAnsiTheme="majorHAnsi"/>
          <w:sz w:val="23"/>
          <w:szCs w:val="23"/>
        </w:rPr>
      </w:pPr>
      <w:r>
        <w:rPr>
          <w:rFonts w:asciiTheme="majorHAnsi" w:hAnsiTheme="majorHAnsi"/>
          <w:sz w:val="23"/>
          <w:szCs w:val="23"/>
        </w:rPr>
        <w:t xml:space="preserve">Similar evidence is also discussed in the results of a survey commissioned by </w:t>
      </w:r>
      <w:bookmarkStart w:id="25" w:name="_Hlk50981702"/>
      <w:bookmarkStart w:id="26" w:name="_Hlk50977885"/>
      <w:r>
        <w:rPr>
          <w:rFonts w:asciiTheme="majorHAnsi" w:hAnsiTheme="majorHAnsi"/>
          <w:sz w:val="23"/>
          <w:szCs w:val="23"/>
        </w:rPr>
        <w:t xml:space="preserve">Children and Young People with Disability </w:t>
      </w:r>
      <w:bookmarkEnd w:id="25"/>
      <w:r>
        <w:rPr>
          <w:rFonts w:asciiTheme="majorHAnsi" w:hAnsiTheme="majorHAnsi"/>
          <w:sz w:val="23"/>
          <w:szCs w:val="23"/>
        </w:rPr>
        <w:t xml:space="preserve">Australia </w:t>
      </w:r>
      <w:bookmarkEnd w:id="26"/>
      <w:r>
        <w:rPr>
          <w:rFonts w:asciiTheme="majorHAnsi" w:hAnsiTheme="majorHAnsi"/>
          <w:sz w:val="23"/>
          <w:szCs w:val="23"/>
        </w:rPr>
        <w:t>on the impact of COVID-19 on children and young people and their families.</w:t>
      </w:r>
      <w:r>
        <w:rPr>
          <w:rStyle w:val="FootnoteReference"/>
          <w:rFonts w:asciiTheme="majorHAnsi" w:hAnsiTheme="majorHAnsi"/>
          <w:sz w:val="23"/>
          <w:szCs w:val="23"/>
        </w:rPr>
        <w:footnoteReference w:id="7"/>
      </w:r>
      <w:r>
        <w:rPr>
          <w:rFonts w:asciiTheme="majorHAnsi" w:hAnsiTheme="majorHAnsi"/>
          <w:sz w:val="23"/>
          <w:szCs w:val="23"/>
        </w:rPr>
        <w:t xml:space="preserve"> </w:t>
      </w:r>
      <w:r w:rsidR="001C383C">
        <w:rPr>
          <w:rFonts w:asciiTheme="majorHAnsi" w:hAnsiTheme="majorHAnsi"/>
          <w:sz w:val="23"/>
          <w:szCs w:val="23"/>
        </w:rPr>
        <w:t>The survey found</w:t>
      </w:r>
    </w:p>
    <w:p w14:paraId="0BC164E6" w14:textId="3FC2487A" w:rsidR="001C383C" w:rsidRDefault="001C383C" w:rsidP="00E92E3A">
      <w:pPr>
        <w:rPr>
          <w:rFonts w:asciiTheme="majorHAnsi" w:hAnsiTheme="majorHAnsi"/>
          <w:sz w:val="23"/>
          <w:szCs w:val="23"/>
        </w:rPr>
      </w:pPr>
      <w:r>
        <w:rPr>
          <w:rFonts w:asciiTheme="majorHAnsi" w:hAnsiTheme="majorHAnsi"/>
          <w:sz w:val="23"/>
          <w:szCs w:val="23"/>
        </w:rPr>
        <w:tab/>
        <w:t>(u)</w:t>
      </w:r>
      <w:r w:rsidR="00E7324B">
        <w:rPr>
          <w:rFonts w:asciiTheme="majorHAnsi" w:hAnsiTheme="majorHAnsi"/>
          <w:sz w:val="23"/>
          <w:szCs w:val="23"/>
        </w:rPr>
        <w:t>n</w:t>
      </w:r>
      <w:r>
        <w:rPr>
          <w:rFonts w:asciiTheme="majorHAnsi" w:hAnsiTheme="majorHAnsi"/>
          <w:sz w:val="23"/>
          <w:szCs w:val="23"/>
        </w:rPr>
        <w:t xml:space="preserve">certainty about education was a prominent theme, including school closures and </w:t>
      </w:r>
      <w:r>
        <w:rPr>
          <w:rFonts w:asciiTheme="majorHAnsi" w:hAnsiTheme="majorHAnsi"/>
          <w:sz w:val="23"/>
          <w:szCs w:val="23"/>
        </w:rPr>
        <w:tab/>
        <w:t xml:space="preserve">challenges with leaning from home, and that progress gained by children and young </w:t>
      </w:r>
      <w:r>
        <w:rPr>
          <w:rFonts w:asciiTheme="majorHAnsi" w:hAnsiTheme="majorHAnsi"/>
          <w:sz w:val="23"/>
          <w:szCs w:val="23"/>
        </w:rPr>
        <w:tab/>
        <w:t>people with disability would be lost during this period.</w:t>
      </w:r>
    </w:p>
    <w:p w14:paraId="6E25FECB" w14:textId="27D5126A" w:rsidR="001C383C" w:rsidRPr="00181C42" w:rsidRDefault="001C383C" w:rsidP="00E92E3A">
      <w:pPr>
        <w:rPr>
          <w:rFonts w:asciiTheme="majorHAnsi" w:hAnsiTheme="majorHAnsi"/>
          <w:sz w:val="23"/>
          <w:szCs w:val="23"/>
        </w:rPr>
      </w:pPr>
      <w:r>
        <w:rPr>
          <w:rFonts w:asciiTheme="majorHAnsi" w:hAnsiTheme="majorHAnsi"/>
          <w:sz w:val="23"/>
          <w:szCs w:val="23"/>
        </w:rPr>
        <w:t>In general, the survey found that COVID-19 exacerbated the experiences and challenges that children and young people with disability and their families faced prior to the pandemic.</w:t>
      </w:r>
    </w:p>
    <w:p w14:paraId="6A3CAE4C" w14:textId="1B3E0CC4" w:rsidR="00015063" w:rsidRDefault="00A055DD" w:rsidP="00E92E3A">
      <w:pPr>
        <w:rPr>
          <w:rFonts w:asciiTheme="majorHAnsi" w:hAnsiTheme="majorHAnsi"/>
          <w:sz w:val="23"/>
          <w:szCs w:val="23"/>
        </w:rPr>
      </w:pPr>
      <w:r w:rsidRPr="00A055DD">
        <w:rPr>
          <w:rFonts w:asciiTheme="majorHAnsi" w:hAnsiTheme="majorHAnsi"/>
          <w:sz w:val="23"/>
          <w:szCs w:val="23"/>
        </w:rPr>
        <w:t>Independent schools have been managing this widely varied set of issues and concerns without systemic support, such as that available to government schools.</w:t>
      </w:r>
      <w:r>
        <w:rPr>
          <w:rFonts w:asciiTheme="majorHAnsi" w:hAnsiTheme="majorHAnsi"/>
          <w:sz w:val="23"/>
          <w:szCs w:val="23"/>
        </w:rPr>
        <w:t xml:space="preserve"> It is likely that </w:t>
      </w:r>
      <w:r w:rsidR="00B06D4A">
        <w:rPr>
          <w:rFonts w:asciiTheme="majorHAnsi" w:hAnsiTheme="majorHAnsi"/>
          <w:sz w:val="23"/>
          <w:szCs w:val="23"/>
        </w:rPr>
        <w:t>s</w:t>
      </w:r>
      <w:r>
        <w:rPr>
          <w:rFonts w:asciiTheme="majorHAnsi" w:hAnsiTheme="majorHAnsi"/>
          <w:sz w:val="23"/>
          <w:szCs w:val="23"/>
        </w:rPr>
        <w:t xml:space="preserve">tudents with </w:t>
      </w:r>
      <w:r w:rsidR="00B06D4A">
        <w:rPr>
          <w:rFonts w:asciiTheme="majorHAnsi" w:hAnsiTheme="majorHAnsi"/>
          <w:sz w:val="23"/>
          <w:szCs w:val="23"/>
        </w:rPr>
        <w:t>d</w:t>
      </w:r>
      <w:r>
        <w:rPr>
          <w:rFonts w:asciiTheme="majorHAnsi" w:hAnsiTheme="majorHAnsi"/>
          <w:sz w:val="23"/>
          <w:szCs w:val="23"/>
        </w:rPr>
        <w:t xml:space="preserve">isability enrolled in Independent schools have experienced </w:t>
      </w:r>
      <w:r w:rsidR="006B042F">
        <w:rPr>
          <w:rFonts w:asciiTheme="majorHAnsi" w:hAnsiTheme="majorHAnsi"/>
          <w:sz w:val="23"/>
          <w:szCs w:val="23"/>
        </w:rPr>
        <w:t xml:space="preserve">similar concerns to those in the broader </w:t>
      </w:r>
      <w:r w:rsidR="006B042F" w:rsidRPr="006B042F">
        <w:rPr>
          <w:rFonts w:asciiTheme="majorHAnsi" w:hAnsiTheme="majorHAnsi"/>
          <w:sz w:val="23"/>
          <w:szCs w:val="23"/>
        </w:rPr>
        <w:t xml:space="preserve">Children and Young People with Disability </w:t>
      </w:r>
      <w:r w:rsidR="006B042F">
        <w:rPr>
          <w:rFonts w:asciiTheme="majorHAnsi" w:hAnsiTheme="majorHAnsi"/>
          <w:sz w:val="23"/>
          <w:szCs w:val="23"/>
        </w:rPr>
        <w:t>community as reported by the CYDA survey.</w:t>
      </w:r>
    </w:p>
    <w:p w14:paraId="6790F9F7" w14:textId="3F98D2AD" w:rsidR="00CA2C22" w:rsidRPr="004715FB" w:rsidRDefault="004715FB" w:rsidP="00A06DAB">
      <w:pPr>
        <w:pStyle w:val="Heading2"/>
      </w:pPr>
      <w:bookmarkStart w:id="27" w:name="_Toc51932349"/>
      <w:bookmarkStart w:id="28" w:name="_Hlk31288864"/>
      <w:r w:rsidRPr="000D7BA5">
        <w:t>Conclusion</w:t>
      </w:r>
      <w:bookmarkEnd w:id="27"/>
    </w:p>
    <w:p w14:paraId="3F208847" w14:textId="0EEB2DB6" w:rsidR="00A8139E" w:rsidRDefault="00A8139E" w:rsidP="00CA5910">
      <w:pPr>
        <w:rPr>
          <w:rFonts w:asciiTheme="majorHAnsi" w:hAnsiTheme="majorHAnsi"/>
          <w:sz w:val="23"/>
          <w:szCs w:val="23"/>
        </w:rPr>
      </w:pPr>
      <w:bookmarkStart w:id="29" w:name="_Toc489005793"/>
      <w:bookmarkEnd w:id="28"/>
      <w:r>
        <w:rPr>
          <w:rFonts w:asciiTheme="majorHAnsi" w:hAnsiTheme="majorHAnsi"/>
          <w:sz w:val="23"/>
          <w:szCs w:val="23"/>
        </w:rPr>
        <w:t>Independent Schools Australia is</w:t>
      </w:r>
      <w:r w:rsidR="0041339B">
        <w:rPr>
          <w:rFonts w:asciiTheme="majorHAnsi" w:hAnsiTheme="majorHAnsi"/>
          <w:sz w:val="23"/>
          <w:szCs w:val="23"/>
        </w:rPr>
        <w:t xml:space="preserve"> pleased to have</w:t>
      </w:r>
      <w:r>
        <w:rPr>
          <w:rFonts w:asciiTheme="majorHAnsi" w:hAnsiTheme="majorHAnsi"/>
          <w:sz w:val="23"/>
          <w:szCs w:val="23"/>
        </w:rPr>
        <w:t xml:space="preserve"> </w:t>
      </w:r>
      <w:r w:rsidRPr="00A8139E">
        <w:rPr>
          <w:rFonts w:asciiTheme="majorHAnsi" w:hAnsiTheme="majorHAnsi"/>
          <w:sz w:val="23"/>
          <w:szCs w:val="23"/>
        </w:rPr>
        <w:t xml:space="preserve">the opportunity to provide a submission to the 2020 Review of the </w:t>
      </w:r>
      <w:r w:rsidRPr="005B4394">
        <w:rPr>
          <w:rFonts w:asciiTheme="majorHAnsi" w:hAnsiTheme="majorHAnsi"/>
          <w:i/>
          <w:sz w:val="23"/>
          <w:szCs w:val="23"/>
        </w:rPr>
        <w:t>Disability Standards for Education 2005</w:t>
      </w:r>
      <w:r w:rsidRPr="00A8139E">
        <w:rPr>
          <w:rFonts w:asciiTheme="majorHAnsi" w:hAnsiTheme="majorHAnsi"/>
          <w:sz w:val="23"/>
          <w:szCs w:val="23"/>
        </w:rPr>
        <w:t>.</w:t>
      </w:r>
    </w:p>
    <w:p w14:paraId="2871871A" w14:textId="77777777" w:rsidR="00A8139E" w:rsidRDefault="00A8139E" w:rsidP="00CA5910">
      <w:pPr>
        <w:rPr>
          <w:rFonts w:asciiTheme="majorHAnsi" w:hAnsiTheme="majorHAnsi"/>
          <w:sz w:val="23"/>
          <w:szCs w:val="23"/>
        </w:rPr>
      </w:pPr>
      <w:r>
        <w:rPr>
          <w:rFonts w:asciiTheme="majorHAnsi" w:hAnsiTheme="majorHAnsi"/>
          <w:sz w:val="23"/>
          <w:szCs w:val="23"/>
        </w:rPr>
        <w:t>T</w:t>
      </w:r>
      <w:r w:rsidRPr="00A8139E">
        <w:rPr>
          <w:rFonts w:asciiTheme="majorHAnsi" w:hAnsiTheme="majorHAnsi"/>
          <w:sz w:val="23"/>
          <w:szCs w:val="23"/>
        </w:rPr>
        <w:t xml:space="preserve">he introduction of the Standards in 2005 was significant in outlining the rights and obligations under the </w:t>
      </w:r>
      <w:r w:rsidRPr="005B4394">
        <w:rPr>
          <w:rFonts w:asciiTheme="majorHAnsi" w:hAnsiTheme="majorHAnsi"/>
          <w:i/>
          <w:sz w:val="23"/>
          <w:szCs w:val="23"/>
        </w:rPr>
        <w:t>Disability Discrimination Act 1992</w:t>
      </w:r>
      <w:r w:rsidRPr="00A8139E">
        <w:rPr>
          <w:rFonts w:asciiTheme="majorHAnsi" w:hAnsiTheme="majorHAnsi"/>
          <w:sz w:val="23"/>
          <w:szCs w:val="23"/>
        </w:rPr>
        <w:t>.</w:t>
      </w:r>
      <w:r>
        <w:rPr>
          <w:rFonts w:asciiTheme="majorHAnsi" w:hAnsiTheme="majorHAnsi"/>
          <w:sz w:val="23"/>
          <w:szCs w:val="23"/>
        </w:rPr>
        <w:t xml:space="preserve"> </w:t>
      </w:r>
    </w:p>
    <w:p w14:paraId="036C9D40" w14:textId="080BD449" w:rsidR="00A8139E" w:rsidRDefault="00A8139E" w:rsidP="00CA5910">
      <w:pPr>
        <w:rPr>
          <w:rFonts w:asciiTheme="majorHAnsi" w:hAnsiTheme="majorHAnsi"/>
          <w:sz w:val="23"/>
          <w:szCs w:val="23"/>
        </w:rPr>
      </w:pPr>
      <w:r>
        <w:rPr>
          <w:rFonts w:asciiTheme="majorHAnsi" w:hAnsiTheme="majorHAnsi"/>
          <w:sz w:val="23"/>
          <w:szCs w:val="23"/>
        </w:rPr>
        <w:t xml:space="preserve">In the fifteen years since their introduction the Standards have contributed to </w:t>
      </w:r>
      <w:r w:rsidRPr="00A8139E">
        <w:rPr>
          <w:rFonts w:asciiTheme="majorHAnsi" w:hAnsiTheme="majorHAnsi"/>
          <w:sz w:val="23"/>
          <w:szCs w:val="23"/>
        </w:rPr>
        <w:t>support</w:t>
      </w:r>
      <w:r>
        <w:rPr>
          <w:rFonts w:asciiTheme="majorHAnsi" w:hAnsiTheme="majorHAnsi"/>
          <w:sz w:val="23"/>
          <w:szCs w:val="23"/>
        </w:rPr>
        <w:t>ing</w:t>
      </w:r>
      <w:r w:rsidRPr="00A8139E">
        <w:rPr>
          <w:rFonts w:asciiTheme="majorHAnsi" w:hAnsiTheme="majorHAnsi"/>
          <w:sz w:val="23"/>
          <w:szCs w:val="23"/>
        </w:rPr>
        <w:t xml:space="preserve"> schools in understanding their rights and obligations in order to ensure that </w:t>
      </w:r>
      <w:r w:rsidR="00B06D4A">
        <w:rPr>
          <w:rFonts w:asciiTheme="majorHAnsi" w:hAnsiTheme="majorHAnsi"/>
          <w:sz w:val="23"/>
          <w:szCs w:val="23"/>
        </w:rPr>
        <w:t>s</w:t>
      </w:r>
      <w:r w:rsidRPr="00A8139E">
        <w:rPr>
          <w:rFonts w:asciiTheme="majorHAnsi" w:hAnsiTheme="majorHAnsi"/>
          <w:sz w:val="23"/>
          <w:szCs w:val="23"/>
        </w:rPr>
        <w:t xml:space="preserve">tudents with </w:t>
      </w:r>
      <w:r w:rsidR="00B06D4A">
        <w:rPr>
          <w:rFonts w:asciiTheme="majorHAnsi" w:hAnsiTheme="majorHAnsi"/>
          <w:sz w:val="23"/>
          <w:szCs w:val="23"/>
        </w:rPr>
        <w:t>d</w:t>
      </w:r>
      <w:r w:rsidRPr="00A8139E">
        <w:rPr>
          <w:rFonts w:asciiTheme="majorHAnsi" w:hAnsiTheme="majorHAnsi"/>
          <w:sz w:val="23"/>
          <w:szCs w:val="23"/>
        </w:rPr>
        <w:t>isability are able to access and participate in education on the same basis as students without disability.</w:t>
      </w:r>
    </w:p>
    <w:p w14:paraId="48538C6A" w14:textId="792D1CB5" w:rsidR="00A8139E" w:rsidRDefault="00A8139E" w:rsidP="00A8139E">
      <w:pPr>
        <w:rPr>
          <w:rFonts w:asciiTheme="majorHAnsi" w:hAnsiTheme="majorHAnsi"/>
          <w:sz w:val="23"/>
          <w:szCs w:val="23"/>
        </w:rPr>
      </w:pPr>
      <w:r w:rsidRPr="00A8139E">
        <w:rPr>
          <w:rFonts w:asciiTheme="majorHAnsi" w:hAnsiTheme="majorHAnsi"/>
          <w:sz w:val="23"/>
          <w:szCs w:val="23"/>
        </w:rPr>
        <w:t xml:space="preserve">It remains the case that there are issues and concerns of clarity regarding core concepts and terminology in the Standards, and a need for </w:t>
      </w:r>
      <w:r w:rsidR="00F87E2E" w:rsidRPr="00F87E2E">
        <w:rPr>
          <w:rFonts w:asciiTheme="majorHAnsi" w:hAnsiTheme="majorHAnsi"/>
          <w:sz w:val="23"/>
          <w:szCs w:val="23"/>
        </w:rPr>
        <w:t>clearer, more comprehensive</w:t>
      </w:r>
      <w:r w:rsidRPr="00A8139E">
        <w:rPr>
          <w:rFonts w:asciiTheme="majorHAnsi" w:hAnsiTheme="majorHAnsi"/>
          <w:sz w:val="23"/>
          <w:szCs w:val="23"/>
        </w:rPr>
        <w:t xml:space="preserve"> support </w:t>
      </w:r>
      <w:r w:rsidR="00F87E2E" w:rsidRPr="00F87E2E">
        <w:rPr>
          <w:rFonts w:asciiTheme="majorHAnsi" w:hAnsiTheme="majorHAnsi"/>
          <w:sz w:val="23"/>
          <w:szCs w:val="23"/>
        </w:rPr>
        <w:t>materials</w:t>
      </w:r>
      <w:r w:rsidRPr="00A8139E">
        <w:rPr>
          <w:rFonts w:asciiTheme="majorHAnsi" w:hAnsiTheme="majorHAnsi"/>
          <w:sz w:val="23"/>
          <w:szCs w:val="23"/>
        </w:rPr>
        <w:t xml:space="preserve">. </w:t>
      </w:r>
    </w:p>
    <w:p w14:paraId="32706ED7" w14:textId="5B010C2C" w:rsidR="00A8139E" w:rsidRPr="00A8139E" w:rsidRDefault="00A8139E" w:rsidP="00A8139E">
      <w:pPr>
        <w:rPr>
          <w:rFonts w:asciiTheme="majorHAnsi" w:hAnsiTheme="majorHAnsi"/>
          <w:sz w:val="23"/>
          <w:szCs w:val="23"/>
        </w:rPr>
      </w:pPr>
      <w:r w:rsidRPr="00A8139E">
        <w:rPr>
          <w:rFonts w:asciiTheme="majorHAnsi" w:hAnsiTheme="majorHAnsi"/>
          <w:sz w:val="23"/>
          <w:szCs w:val="23"/>
        </w:rPr>
        <w:lastRenderedPageBreak/>
        <w:t xml:space="preserve">Further development of the Standards to achieve greater clarity of terminology and concepts will significantly assist schools </w:t>
      </w:r>
      <w:r w:rsidR="00300D1E" w:rsidRPr="00300D1E">
        <w:rPr>
          <w:rFonts w:asciiTheme="majorHAnsi" w:hAnsiTheme="majorHAnsi"/>
          <w:sz w:val="23"/>
          <w:szCs w:val="23"/>
        </w:rPr>
        <w:t xml:space="preserve">assist schools </w:t>
      </w:r>
      <w:r w:rsidRPr="00A8139E">
        <w:rPr>
          <w:rFonts w:asciiTheme="majorHAnsi" w:hAnsiTheme="majorHAnsi"/>
          <w:sz w:val="23"/>
          <w:szCs w:val="23"/>
        </w:rPr>
        <w:t xml:space="preserve">to </w:t>
      </w:r>
      <w:r w:rsidR="00300D1E" w:rsidRPr="00300D1E">
        <w:rPr>
          <w:rFonts w:asciiTheme="majorHAnsi" w:hAnsiTheme="majorHAnsi"/>
          <w:sz w:val="23"/>
          <w:szCs w:val="23"/>
        </w:rPr>
        <w:t>strengthen</w:t>
      </w:r>
      <w:r w:rsidRPr="00A8139E">
        <w:rPr>
          <w:rFonts w:asciiTheme="majorHAnsi" w:hAnsiTheme="majorHAnsi"/>
          <w:sz w:val="23"/>
          <w:szCs w:val="23"/>
        </w:rPr>
        <w:t xml:space="preserve"> their </w:t>
      </w:r>
      <w:r w:rsidR="00300D1E" w:rsidRPr="00300D1E">
        <w:rPr>
          <w:rFonts w:asciiTheme="majorHAnsi" w:hAnsiTheme="majorHAnsi"/>
          <w:sz w:val="23"/>
          <w:szCs w:val="23"/>
        </w:rPr>
        <w:t>ability to interpret</w:t>
      </w:r>
      <w:r w:rsidRPr="00A8139E">
        <w:rPr>
          <w:rFonts w:asciiTheme="majorHAnsi" w:hAnsiTheme="majorHAnsi"/>
          <w:sz w:val="23"/>
          <w:szCs w:val="23"/>
        </w:rPr>
        <w:t xml:space="preserve"> their obligations under the </w:t>
      </w:r>
      <w:r w:rsidR="00490D65" w:rsidRPr="005B4394">
        <w:rPr>
          <w:rFonts w:asciiTheme="majorHAnsi" w:hAnsiTheme="majorHAnsi"/>
          <w:i/>
          <w:sz w:val="23"/>
          <w:szCs w:val="23"/>
        </w:rPr>
        <w:t>Disability Discrimination Act 1992</w:t>
      </w:r>
      <w:r w:rsidR="00490D65">
        <w:rPr>
          <w:rFonts w:asciiTheme="majorHAnsi" w:hAnsiTheme="majorHAnsi"/>
          <w:sz w:val="23"/>
          <w:szCs w:val="23"/>
        </w:rPr>
        <w:t>.</w:t>
      </w:r>
    </w:p>
    <w:p w14:paraId="0032916C" w14:textId="742AAF7E" w:rsidR="00A8139E" w:rsidRDefault="00A8139E" w:rsidP="00CA5910">
      <w:pPr>
        <w:rPr>
          <w:rFonts w:asciiTheme="majorHAnsi" w:hAnsiTheme="majorHAnsi"/>
          <w:sz w:val="23"/>
          <w:szCs w:val="23"/>
        </w:rPr>
      </w:pPr>
      <w:r>
        <w:rPr>
          <w:rFonts w:asciiTheme="majorHAnsi" w:hAnsiTheme="majorHAnsi"/>
          <w:sz w:val="23"/>
          <w:szCs w:val="23"/>
        </w:rPr>
        <w:t>T</w:t>
      </w:r>
      <w:r w:rsidRPr="00A8139E">
        <w:rPr>
          <w:rFonts w:asciiTheme="majorHAnsi" w:hAnsiTheme="majorHAnsi"/>
          <w:sz w:val="23"/>
          <w:szCs w:val="23"/>
        </w:rPr>
        <w:t xml:space="preserve">here has been significant, sustained growth in enrolments of </w:t>
      </w:r>
      <w:r w:rsidR="00B06D4A">
        <w:rPr>
          <w:rFonts w:asciiTheme="majorHAnsi" w:hAnsiTheme="majorHAnsi"/>
          <w:sz w:val="23"/>
          <w:szCs w:val="23"/>
        </w:rPr>
        <w:t>s</w:t>
      </w:r>
      <w:r w:rsidRPr="00A8139E">
        <w:rPr>
          <w:rFonts w:asciiTheme="majorHAnsi" w:hAnsiTheme="majorHAnsi"/>
          <w:sz w:val="23"/>
          <w:szCs w:val="23"/>
        </w:rPr>
        <w:t xml:space="preserve">tudents with </w:t>
      </w:r>
      <w:r w:rsidR="00B06D4A">
        <w:rPr>
          <w:rFonts w:asciiTheme="majorHAnsi" w:hAnsiTheme="majorHAnsi"/>
          <w:sz w:val="23"/>
          <w:szCs w:val="23"/>
        </w:rPr>
        <w:t>d</w:t>
      </w:r>
      <w:r w:rsidRPr="00A8139E">
        <w:rPr>
          <w:rFonts w:asciiTheme="majorHAnsi" w:hAnsiTheme="majorHAnsi"/>
          <w:sz w:val="23"/>
          <w:szCs w:val="23"/>
        </w:rPr>
        <w:t xml:space="preserve">isability in Independent schools and Special schools over the past </w:t>
      </w:r>
      <w:r>
        <w:rPr>
          <w:rFonts w:asciiTheme="majorHAnsi" w:hAnsiTheme="majorHAnsi"/>
          <w:sz w:val="23"/>
          <w:szCs w:val="23"/>
        </w:rPr>
        <w:t>twenty-five years</w:t>
      </w:r>
      <w:r w:rsidRPr="00A8139E">
        <w:rPr>
          <w:rFonts w:asciiTheme="majorHAnsi" w:hAnsiTheme="majorHAnsi"/>
          <w:sz w:val="23"/>
          <w:szCs w:val="23"/>
        </w:rPr>
        <w:t xml:space="preserve">. The rate of growth of </w:t>
      </w:r>
      <w:r w:rsidR="00B06D4A">
        <w:rPr>
          <w:rFonts w:asciiTheme="majorHAnsi" w:hAnsiTheme="majorHAnsi"/>
          <w:sz w:val="23"/>
          <w:szCs w:val="23"/>
        </w:rPr>
        <w:t>s</w:t>
      </w:r>
      <w:r w:rsidRPr="00A8139E">
        <w:rPr>
          <w:rFonts w:asciiTheme="majorHAnsi" w:hAnsiTheme="majorHAnsi"/>
          <w:sz w:val="23"/>
          <w:szCs w:val="23"/>
        </w:rPr>
        <w:t xml:space="preserve">tudents with </w:t>
      </w:r>
      <w:r w:rsidR="00B06D4A">
        <w:rPr>
          <w:rFonts w:asciiTheme="majorHAnsi" w:hAnsiTheme="majorHAnsi"/>
          <w:sz w:val="23"/>
          <w:szCs w:val="23"/>
        </w:rPr>
        <w:t>d</w:t>
      </w:r>
      <w:r w:rsidRPr="00A8139E">
        <w:rPr>
          <w:rFonts w:asciiTheme="majorHAnsi" w:hAnsiTheme="majorHAnsi"/>
          <w:sz w:val="23"/>
          <w:szCs w:val="23"/>
        </w:rPr>
        <w:t>isability enrolling in Independent schools has been four times that of the sector’s overall enrolment growth.</w:t>
      </w:r>
    </w:p>
    <w:p w14:paraId="23D46D9E" w14:textId="46B1546E" w:rsidR="00A8139E" w:rsidRPr="00A8139E" w:rsidRDefault="00A8139E" w:rsidP="00A8139E">
      <w:pPr>
        <w:rPr>
          <w:rFonts w:asciiTheme="majorHAnsi" w:hAnsiTheme="majorHAnsi"/>
          <w:sz w:val="23"/>
          <w:szCs w:val="23"/>
        </w:rPr>
      </w:pPr>
      <w:r w:rsidRPr="00A8139E">
        <w:rPr>
          <w:rFonts w:asciiTheme="majorHAnsi" w:hAnsiTheme="majorHAnsi"/>
          <w:sz w:val="23"/>
          <w:szCs w:val="23"/>
        </w:rPr>
        <w:t xml:space="preserve">Lack of </w:t>
      </w:r>
      <w:r w:rsidR="00745B21">
        <w:rPr>
          <w:rFonts w:asciiTheme="majorHAnsi" w:hAnsiTheme="majorHAnsi"/>
          <w:sz w:val="23"/>
          <w:szCs w:val="23"/>
        </w:rPr>
        <w:t>equitable</w:t>
      </w:r>
      <w:r w:rsidRPr="00A8139E">
        <w:rPr>
          <w:rFonts w:asciiTheme="majorHAnsi" w:hAnsiTheme="majorHAnsi"/>
          <w:sz w:val="23"/>
          <w:szCs w:val="23"/>
        </w:rPr>
        <w:t xml:space="preserve"> government support for </w:t>
      </w:r>
      <w:r w:rsidR="00B06D4A">
        <w:rPr>
          <w:rFonts w:asciiTheme="majorHAnsi" w:hAnsiTheme="majorHAnsi"/>
          <w:sz w:val="23"/>
          <w:szCs w:val="23"/>
        </w:rPr>
        <w:t>s</w:t>
      </w:r>
      <w:r w:rsidRPr="00A8139E">
        <w:rPr>
          <w:rFonts w:asciiTheme="majorHAnsi" w:hAnsiTheme="majorHAnsi"/>
          <w:sz w:val="23"/>
          <w:szCs w:val="23"/>
        </w:rPr>
        <w:t xml:space="preserve">tudents with </w:t>
      </w:r>
      <w:r w:rsidR="00B06D4A">
        <w:rPr>
          <w:rFonts w:asciiTheme="majorHAnsi" w:hAnsiTheme="majorHAnsi"/>
          <w:sz w:val="23"/>
          <w:szCs w:val="23"/>
        </w:rPr>
        <w:t>d</w:t>
      </w:r>
      <w:r w:rsidRPr="00A8139E">
        <w:rPr>
          <w:rFonts w:asciiTheme="majorHAnsi" w:hAnsiTheme="majorHAnsi"/>
          <w:sz w:val="23"/>
          <w:szCs w:val="23"/>
        </w:rPr>
        <w:t xml:space="preserve">isability in Independent schools remains a major constraint for schools seeking to provide access to education on the same basis for all students. </w:t>
      </w:r>
    </w:p>
    <w:p w14:paraId="277E1D9E" w14:textId="15EA17FB" w:rsidR="00A8139E" w:rsidRPr="00A8139E" w:rsidRDefault="00A8139E" w:rsidP="00A8139E">
      <w:pPr>
        <w:rPr>
          <w:rFonts w:asciiTheme="majorHAnsi" w:hAnsiTheme="majorHAnsi"/>
          <w:sz w:val="23"/>
          <w:szCs w:val="23"/>
        </w:rPr>
      </w:pPr>
      <w:r w:rsidRPr="00A8139E">
        <w:rPr>
          <w:rFonts w:asciiTheme="majorHAnsi" w:hAnsiTheme="majorHAnsi"/>
          <w:sz w:val="23"/>
          <w:szCs w:val="23"/>
        </w:rPr>
        <w:t xml:space="preserve">The Independent sector strongly believes that </w:t>
      </w:r>
      <w:r w:rsidR="00B06D4A">
        <w:rPr>
          <w:rFonts w:asciiTheme="majorHAnsi" w:hAnsiTheme="majorHAnsi"/>
          <w:sz w:val="23"/>
          <w:szCs w:val="23"/>
        </w:rPr>
        <w:t>s</w:t>
      </w:r>
      <w:r w:rsidRPr="00A8139E">
        <w:rPr>
          <w:rFonts w:asciiTheme="majorHAnsi" w:hAnsiTheme="majorHAnsi"/>
          <w:sz w:val="23"/>
          <w:szCs w:val="23"/>
        </w:rPr>
        <w:t xml:space="preserve">tudents with </w:t>
      </w:r>
      <w:r w:rsidR="00B06D4A">
        <w:rPr>
          <w:rFonts w:asciiTheme="majorHAnsi" w:hAnsiTheme="majorHAnsi"/>
          <w:sz w:val="23"/>
          <w:szCs w:val="23"/>
        </w:rPr>
        <w:t>d</w:t>
      </w:r>
      <w:r w:rsidRPr="00A8139E">
        <w:rPr>
          <w:rFonts w:asciiTheme="majorHAnsi" w:hAnsiTheme="majorHAnsi"/>
          <w:sz w:val="23"/>
          <w:szCs w:val="23"/>
        </w:rPr>
        <w:t xml:space="preserve">isability must be appropriately and equitably funded by government regardless of the type of school they attend, in order to ensure access to education and training opportunities for </w:t>
      </w:r>
      <w:r w:rsidR="00B06D4A">
        <w:rPr>
          <w:rFonts w:asciiTheme="majorHAnsi" w:hAnsiTheme="majorHAnsi"/>
          <w:sz w:val="23"/>
          <w:szCs w:val="23"/>
        </w:rPr>
        <w:t>s</w:t>
      </w:r>
      <w:r w:rsidRPr="00A8139E">
        <w:rPr>
          <w:rFonts w:asciiTheme="majorHAnsi" w:hAnsiTheme="majorHAnsi"/>
          <w:sz w:val="23"/>
          <w:szCs w:val="23"/>
        </w:rPr>
        <w:t xml:space="preserve">tudents with </w:t>
      </w:r>
      <w:r w:rsidR="00B06D4A">
        <w:rPr>
          <w:rFonts w:asciiTheme="majorHAnsi" w:hAnsiTheme="majorHAnsi"/>
          <w:sz w:val="23"/>
          <w:szCs w:val="23"/>
        </w:rPr>
        <w:t>d</w:t>
      </w:r>
      <w:r w:rsidRPr="00A8139E">
        <w:rPr>
          <w:rFonts w:asciiTheme="majorHAnsi" w:hAnsiTheme="majorHAnsi"/>
          <w:sz w:val="23"/>
          <w:szCs w:val="23"/>
        </w:rPr>
        <w:t>isability.</w:t>
      </w:r>
    </w:p>
    <w:p w14:paraId="2611F40E" w14:textId="179AE36D" w:rsidR="00A8139E" w:rsidRDefault="00490D65" w:rsidP="00CA5910">
      <w:pPr>
        <w:rPr>
          <w:rFonts w:asciiTheme="majorHAnsi" w:hAnsiTheme="majorHAnsi"/>
          <w:sz w:val="23"/>
          <w:szCs w:val="23"/>
        </w:rPr>
      </w:pPr>
      <w:r>
        <w:rPr>
          <w:rFonts w:asciiTheme="majorHAnsi" w:hAnsiTheme="majorHAnsi"/>
          <w:sz w:val="23"/>
          <w:szCs w:val="23"/>
        </w:rPr>
        <w:t>D</w:t>
      </w:r>
      <w:r w:rsidRPr="00490D65">
        <w:rPr>
          <w:rFonts w:asciiTheme="majorHAnsi" w:hAnsiTheme="majorHAnsi"/>
          <w:sz w:val="23"/>
          <w:szCs w:val="23"/>
        </w:rPr>
        <w:t>evelopment of a collection of de-identified case studies or hypothetical scenarios gathered from previous conciliations and case law</w:t>
      </w:r>
      <w:r>
        <w:rPr>
          <w:rFonts w:asciiTheme="majorHAnsi" w:hAnsiTheme="majorHAnsi"/>
          <w:sz w:val="23"/>
          <w:szCs w:val="23"/>
        </w:rPr>
        <w:t xml:space="preserve"> would be a </w:t>
      </w:r>
      <w:r w:rsidRPr="00490D65">
        <w:rPr>
          <w:rFonts w:asciiTheme="majorHAnsi" w:hAnsiTheme="majorHAnsi"/>
          <w:sz w:val="23"/>
          <w:szCs w:val="23"/>
        </w:rPr>
        <w:t>further improvement</w:t>
      </w:r>
      <w:r>
        <w:rPr>
          <w:rFonts w:asciiTheme="majorHAnsi" w:hAnsiTheme="majorHAnsi"/>
          <w:sz w:val="23"/>
          <w:szCs w:val="23"/>
        </w:rPr>
        <w:t>.</w:t>
      </w:r>
    </w:p>
    <w:p w14:paraId="1507C331" w14:textId="473BDFC4" w:rsidR="006C624E" w:rsidRDefault="00490D65" w:rsidP="00CA5910">
      <w:pPr>
        <w:rPr>
          <w:rFonts w:asciiTheme="majorHAnsi" w:hAnsiTheme="majorHAnsi"/>
          <w:sz w:val="23"/>
          <w:szCs w:val="23"/>
        </w:rPr>
      </w:pPr>
      <w:r w:rsidRPr="00490D65">
        <w:rPr>
          <w:rFonts w:asciiTheme="majorHAnsi" w:hAnsiTheme="majorHAnsi"/>
          <w:sz w:val="23"/>
          <w:szCs w:val="23"/>
        </w:rPr>
        <w:t xml:space="preserve">It is imperative that </w:t>
      </w:r>
      <w:r>
        <w:rPr>
          <w:rFonts w:asciiTheme="majorHAnsi" w:hAnsiTheme="majorHAnsi"/>
          <w:sz w:val="23"/>
          <w:szCs w:val="23"/>
        </w:rPr>
        <w:t xml:space="preserve">Initial Teacher Education and </w:t>
      </w:r>
      <w:r w:rsidRPr="00490D65">
        <w:rPr>
          <w:rFonts w:asciiTheme="majorHAnsi" w:hAnsiTheme="majorHAnsi"/>
          <w:sz w:val="23"/>
          <w:szCs w:val="23"/>
        </w:rPr>
        <w:t>ongoing professional learning is undertaken by all teachers and school leaders to ensure they are well equipped to respond to the full range of students’ learning needs.</w:t>
      </w:r>
    </w:p>
    <w:p w14:paraId="5EB4EBDB" w14:textId="003B050C" w:rsidR="00300D1E" w:rsidRPr="00300D1E" w:rsidRDefault="00300D1E" w:rsidP="00300D1E">
      <w:pPr>
        <w:rPr>
          <w:rFonts w:asciiTheme="majorHAnsi" w:hAnsiTheme="majorHAnsi"/>
          <w:sz w:val="23"/>
          <w:szCs w:val="23"/>
        </w:rPr>
      </w:pPr>
      <w:r>
        <w:rPr>
          <w:rFonts w:asciiTheme="majorHAnsi" w:hAnsiTheme="majorHAnsi"/>
          <w:sz w:val="23"/>
          <w:szCs w:val="23"/>
        </w:rPr>
        <w:t>While r</w:t>
      </w:r>
      <w:r w:rsidRPr="00300D1E">
        <w:rPr>
          <w:rFonts w:asciiTheme="majorHAnsi" w:hAnsiTheme="majorHAnsi"/>
          <w:sz w:val="23"/>
          <w:szCs w:val="23"/>
        </w:rPr>
        <w:t>emote Indigenous students face significant issues and particular health conditions that affect their ability to learn and will require adjustments in the classroom</w:t>
      </w:r>
      <w:r>
        <w:rPr>
          <w:rFonts w:asciiTheme="majorHAnsi" w:hAnsiTheme="majorHAnsi"/>
          <w:sz w:val="23"/>
          <w:szCs w:val="23"/>
        </w:rPr>
        <w:t>, m</w:t>
      </w:r>
      <w:r w:rsidRPr="00300D1E">
        <w:rPr>
          <w:rFonts w:asciiTheme="majorHAnsi" w:hAnsiTheme="majorHAnsi"/>
          <w:sz w:val="23"/>
          <w:szCs w:val="23"/>
        </w:rPr>
        <w:t xml:space="preserve">any Independent schools serving communities of Indigenous students with disability have anecdotal evidence verifying the occurrence of under reporting of disability in Indigenous communities. </w:t>
      </w:r>
    </w:p>
    <w:p w14:paraId="28EF1763" w14:textId="78C7EB12" w:rsidR="00300D1E" w:rsidRDefault="00300D1E" w:rsidP="00CA5910">
      <w:pPr>
        <w:rPr>
          <w:rFonts w:asciiTheme="majorHAnsi" w:hAnsiTheme="majorHAnsi"/>
          <w:sz w:val="23"/>
          <w:szCs w:val="23"/>
        </w:rPr>
      </w:pPr>
      <w:r>
        <w:rPr>
          <w:rFonts w:asciiTheme="majorHAnsi" w:hAnsiTheme="majorHAnsi"/>
          <w:sz w:val="23"/>
          <w:szCs w:val="23"/>
        </w:rPr>
        <w:t>S</w:t>
      </w:r>
      <w:r w:rsidRPr="00300D1E">
        <w:rPr>
          <w:rFonts w:asciiTheme="majorHAnsi" w:hAnsiTheme="majorHAnsi"/>
          <w:sz w:val="23"/>
          <w:szCs w:val="23"/>
        </w:rPr>
        <w:t>imilar anecdotal examples of under reporting of disability have also been identified in other culturally and linguistically diverse communities, including religious communities, that are represented within the Independent sector.</w:t>
      </w:r>
    </w:p>
    <w:p w14:paraId="3CE1C3DB" w14:textId="7E47F0D5" w:rsidR="00490D65" w:rsidRDefault="00490D65" w:rsidP="00CA5910">
      <w:pPr>
        <w:rPr>
          <w:rFonts w:asciiTheme="majorHAnsi" w:hAnsiTheme="majorHAnsi"/>
          <w:sz w:val="23"/>
          <w:szCs w:val="23"/>
        </w:rPr>
      </w:pPr>
      <w:r>
        <w:rPr>
          <w:rFonts w:asciiTheme="majorHAnsi" w:hAnsiTheme="majorHAnsi"/>
          <w:sz w:val="23"/>
          <w:szCs w:val="23"/>
        </w:rPr>
        <w:t>T</w:t>
      </w:r>
      <w:r w:rsidRPr="00490D65">
        <w:rPr>
          <w:rFonts w:asciiTheme="majorHAnsi" w:hAnsiTheme="majorHAnsi"/>
          <w:sz w:val="23"/>
          <w:szCs w:val="23"/>
        </w:rPr>
        <w:t xml:space="preserve">he adverse effects of </w:t>
      </w:r>
      <w:r>
        <w:rPr>
          <w:rFonts w:asciiTheme="majorHAnsi" w:hAnsiTheme="majorHAnsi"/>
          <w:sz w:val="23"/>
          <w:szCs w:val="23"/>
        </w:rPr>
        <w:t>COVID-19</w:t>
      </w:r>
      <w:r w:rsidRPr="00490D65">
        <w:rPr>
          <w:rFonts w:asciiTheme="majorHAnsi" w:hAnsiTheme="majorHAnsi"/>
          <w:sz w:val="23"/>
          <w:szCs w:val="23"/>
        </w:rPr>
        <w:t xml:space="preserve"> are likely to be experienced most acutely by vulnerable students such as </w:t>
      </w:r>
      <w:r w:rsidR="00B06D4A">
        <w:rPr>
          <w:rFonts w:asciiTheme="majorHAnsi" w:hAnsiTheme="majorHAnsi"/>
          <w:sz w:val="23"/>
          <w:szCs w:val="23"/>
        </w:rPr>
        <w:t>s</w:t>
      </w:r>
      <w:r w:rsidRPr="00490D65">
        <w:rPr>
          <w:rFonts w:asciiTheme="majorHAnsi" w:hAnsiTheme="majorHAnsi"/>
          <w:sz w:val="23"/>
          <w:szCs w:val="23"/>
        </w:rPr>
        <w:t>tudent</w:t>
      </w:r>
      <w:r>
        <w:rPr>
          <w:rFonts w:asciiTheme="majorHAnsi" w:hAnsiTheme="majorHAnsi"/>
          <w:sz w:val="23"/>
          <w:szCs w:val="23"/>
        </w:rPr>
        <w:t>s</w:t>
      </w:r>
      <w:r w:rsidRPr="00490D65">
        <w:rPr>
          <w:rFonts w:asciiTheme="majorHAnsi" w:hAnsiTheme="majorHAnsi"/>
          <w:sz w:val="23"/>
          <w:szCs w:val="23"/>
        </w:rPr>
        <w:t xml:space="preserve"> with </w:t>
      </w:r>
      <w:r w:rsidR="00B06D4A">
        <w:rPr>
          <w:rFonts w:asciiTheme="majorHAnsi" w:hAnsiTheme="majorHAnsi"/>
          <w:sz w:val="23"/>
          <w:szCs w:val="23"/>
        </w:rPr>
        <w:t>d</w:t>
      </w:r>
      <w:r w:rsidRPr="00490D65">
        <w:rPr>
          <w:rFonts w:asciiTheme="majorHAnsi" w:hAnsiTheme="majorHAnsi"/>
          <w:sz w:val="23"/>
          <w:szCs w:val="23"/>
        </w:rPr>
        <w:t>isability,</w:t>
      </w:r>
      <w:r w:rsidRPr="00B41159">
        <w:rPr>
          <w:rFonts w:asciiTheme="majorHAnsi" w:hAnsiTheme="majorHAnsi"/>
          <w:sz w:val="23"/>
          <w:szCs w:val="23"/>
        </w:rPr>
        <w:t xml:space="preserve"> </w:t>
      </w:r>
      <w:r w:rsidRPr="00490D65">
        <w:rPr>
          <w:rFonts w:asciiTheme="majorHAnsi" w:hAnsiTheme="majorHAnsi"/>
          <w:sz w:val="23"/>
          <w:szCs w:val="23"/>
        </w:rPr>
        <w:t>particularly</w:t>
      </w:r>
      <w:r>
        <w:rPr>
          <w:rFonts w:asciiTheme="majorHAnsi" w:hAnsiTheme="majorHAnsi"/>
          <w:sz w:val="23"/>
          <w:szCs w:val="23"/>
        </w:rPr>
        <w:t xml:space="preserve"> through </w:t>
      </w:r>
      <w:r w:rsidRPr="00490D65">
        <w:rPr>
          <w:rFonts w:asciiTheme="majorHAnsi" w:hAnsiTheme="majorHAnsi"/>
          <w:sz w:val="23"/>
          <w:szCs w:val="23"/>
        </w:rPr>
        <w:t>the challenges of rapid adaptation to home and online teaching and learning.</w:t>
      </w:r>
    </w:p>
    <w:p w14:paraId="66E90D6C" w14:textId="31F1953D" w:rsidR="00532468" w:rsidRDefault="00490D65" w:rsidP="00E601B3">
      <w:pPr>
        <w:rPr>
          <w:rFonts w:asciiTheme="majorHAnsi" w:hAnsiTheme="majorHAnsi"/>
          <w:sz w:val="23"/>
          <w:szCs w:val="23"/>
        </w:rPr>
      </w:pPr>
      <w:r w:rsidRPr="00490D65">
        <w:rPr>
          <w:rFonts w:asciiTheme="majorHAnsi" w:hAnsiTheme="majorHAnsi"/>
          <w:sz w:val="23"/>
          <w:szCs w:val="23"/>
        </w:rPr>
        <w:t xml:space="preserve">The Independent sector welcomes the focus on the education of </w:t>
      </w:r>
      <w:r w:rsidR="00B06D4A">
        <w:rPr>
          <w:rFonts w:asciiTheme="majorHAnsi" w:hAnsiTheme="majorHAnsi"/>
          <w:sz w:val="23"/>
          <w:szCs w:val="23"/>
        </w:rPr>
        <w:t>s</w:t>
      </w:r>
      <w:r w:rsidRPr="00490D65">
        <w:rPr>
          <w:rFonts w:asciiTheme="majorHAnsi" w:hAnsiTheme="majorHAnsi"/>
          <w:sz w:val="23"/>
          <w:szCs w:val="23"/>
        </w:rPr>
        <w:t xml:space="preserve">tudents </w:t>
      </w:r>
      <w:r>
        <w:rPr>
          <w:rFonts w:asciiTheme="majorHAnsi" w:hAnsiTheme="majorHAnsi"/>
          <w:sz w:val="23"/>
          <w:szCs w:val="23"/>
        </w:rPr>
        <w:t xml:space="preserve">with </w:t>
      </w:r>
      <w:r w:rsidR="00B06D4A">
        <w:rPr>
          <w:rFonts w:asciiTheme="majorHAnsi" w:hAnsiTheme="majorHAnsi"/>
          <w:sz w:val="23"/>
          <w:szCs w:val="23"/>
        </w:rPr>
        <w:t>d</w:t>
      </w:r>
      <w:r>
        <w:rPr>
          <w:rFonts w:asciiTheme="majorHAnsi" w:hAnsiTheme="majorHAnsi"/>
          <w:sz w:val="23"/>
          <w:szCs w:val="23"/>
        </w:rPr>
        <w:t>isability and looks forward to working with students and their families to ensure they are able to access and participate in education on the same basis as students without disability.</w:t>
      </w:r>
    </w:p>
    <w:p w14:paraId="117D903F" w14:textId="71E535D3" w:rsidR="00CA5910" w:rsidRDefault="00CA5910" w:rsidP="001D5E67">
      <w:pPr>
        <w:spacing w:after="0" w:line="240" w:lineRule="auto"/>
        <w:rPr>
          <w:rFonts w:asciiTheme="majorHAnsi" w:hAnsiTheme="majorHAnsi"/>
          <w:sz w:val="23"/>
          <w:szCs w:val="23"/>
        </w:rPr>
      </w:pPr>
    </w:p>
    <w:p w14:paraId="4A83FD8C" w14:textId="77777777" w:rsidR="00E601B3" w:rsidRDefault="00E601B3" w:rsidP="001D5E67">
      <w:pPr>
        <w:spacing w:after="0" w:line="240" w:lineRule="auto"/>
        <w:rPr>
          <w:sz w:val="23"/>
          <w:highlight w:val="yellow"/>
        </w:rPr>
      </w:pPr>
    </w:p>
    <w:p w14:paraId="56C7938F" w14:textId="77777777" w:rsidR="00532468" w:rsidRDefault="00532468" w:rsidP="001D5E67">
      <w:pPr>
        <w:spacing w:after="0" w:line="240" w:lineRule="auto"/>
        <w:rPr>
          <w:sz w:val="23"/>
          <w:highlight w:val="yellow"/>
        </w:rPr>
      </w:pPr>
    </w:p>
    <w:p w14:paraId="7512FA0B" w14:textId="3608F62E" w:rsidR="008B79A3" w:rsidRPr="000D7BA5" w:rsidRDefault="009A0C5E" w:rsidP="000D7BA5">
      <w:pPr>
        <w:spacing w:after="0" w:line="240" w:lineRule="auto"/>
        <w:rPr>
          <w:sz w:val="23"/>
        </w:rPr>
      </w:pPr>
      <w:r w:rsidRPr="00DC4F30">
        <w:rPr>
          <w:sz w:val="23"/>
        </w:rPr>
        <w:t>Independent Schools Australia</w:t>
      </w:r>
      <w:r w:rsidRPr="00DC4F30">
        <w:rPr>
          <w:sz w:val="23"/>
        </w:rPr>
        <w:br/>
      </w:r>
      <w:r w:rsidR="001C383C">
        <w:rPr>
          <w:sz w:val="23"/>
          <w:shd w:val="clear" w:color="auto" w:fill="FFFFFF" w:themeFill="background1"/>
        </w:rPr>
        <w:t>25 September</w:t>
      </w:r>
      <w:r w:rsidRPr="00DC4F30">
        <w:rPr>
          <w:sz w:val="23"/>
        </w:rPr>
        <w:t xml:space="preserve"> 20</w:t>
      </w:r>
      <w:r w:rsidR="00DC4F30" w:rsidRPr="00DC4F30">
        <w:rPr>
          <w:sz w:val="23"/>
        </w:rPr>
        <w:t>20</w:t>
      </w:r>
      <w:bookmarkEnd w:id="29"/>
    </w:p>
    <w:sectPr w:rsidR="008B79A3" w:rsidRPr="000D7BA5" w:rsidSect="00031E14">
      <w:footerReference w:type="default" r:id="rId16"/>
      <w:headerReference w:type="first" r:id="rId17"/>
      <w:footerReference w:type="first" r:id="rId18"/>
      <w:pgSz w:w="11900" w:h="1684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A1F69" w14:textId="77777777" w:rsidR="00344737" w:rsidRDefault="00344737" w:rsidP="00FB2414">
      <w:r>
        <w:separator/>
      </w:r>
    </w:p>
  </w:endnote>
  <w:endnote w:type="continuationSeparator" w:id="0">
    <w:p w14:paraId="096971CE" w14:textId="77777777" w:rsidR="00344737" w:rsidRDefault="00344737" w:rsidP="00FB2414">
      <w:r>
        <w:continuationSeparator/>
      </w:r>
    </w:p>
  </w:endnote>
  <w:endnote w:type="continuationNotice" w:id="1">
    <w:p w14:paraId="7E11833F" w14:textId="77777777" w:rsidR="00344737" w:rsidRDefault="00344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297500"/>
      <w:docPartObj>
        <w:docPartGallery w:val="Page Numbers (Bottom of Page)"/>
        <w:docPartUnique/>
      </w:docPartObj>
    </w:sdtPr>
    <w:sdtEndPr>
      <w:rPr>
        <w:noProof/>
      </w:rPr>
    </w:sdtEndPr>
    <w:sdtContent>
      <w:p w14:paraId="615DDA26" w14:textId="13A7A511" w:rsidR="00344737" w:rsidRDefault="00344737">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19AEC8E6" w14:textId="77777777" w:rsidR="00344737" w:rsidRDefault="00344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41707" w14:textId="77777777" w:rsidR="00344737" w:rsidRDefault="00344737">
    <w:pPr>
      <w:pStyle w:val="Footer"/>
    </w:pPr>
    <w:r>
      <w:rPr>
        <w:noProof/>
        <w:lang w:eastAsia="en-AU"/>
      </w:rPr>
      <w:drawing>
        <wp:anchor distT="0" distB="0" distL="114300" distR="114300" simplePos="0" relativeHeight="251658240" behindDoc="0" locked="0" layoutInCell="1" allowOverlap="1" wp14:anchorId="03044B90" wp14:editId="56D38E21">
          <wp:simplePos x="0" y="0"/>
          <wp:positionH relativeFrom="column">
            <wp:posOffset>-934720</wp:posOffset>
          </wp:positionH>
          <wp:positionV relativeFrom="page">
            <wp:posOffset>9781540</wp:posOffset>
          </wp:positionV>
          <wp:extent cx="7559675" cy="9017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5-Independent Schools Council of Australia Brand Refressh_Word_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242CC" w14:textId="77777777" w:rsidR="00344737" w:rsidRDefault="00344737" w:rsidP="00FB2414">
      <w:r>
        <w:separator/>
      </w:r>
    </w:p>
  </w:footnote>
  <w:footnote w:type="continuationSeparator" w:id="0">
    <w:p w14:paraId="5AC19B4A" w14:textId="77777777" w:rsidR="00344737" w:rsidRDefault="00344737" w:rsidP="00FB2414">
      <w:r>
        <w:continuationSeparator/>
      </w:r>
    </w:p>
  </w:footnote>
  <w:footnote w:type="continuationNotice" w:id="1">
    <w:p w14:paraId="588A5B41" w14:textId="77777777" w:rsidR="00344737" w:rsidRDefault="00344737">
      <w:pPr>
        <w:spacing w:after="0" w:line="240" w:lineRule="auto"/>
      </w:pPr>
    </w:p>
  </w:footnote>
  <w:footnote w:id="2">
    <w:p w14:paraId="48DDF831" w14:textId="6118C4FB" w:rsidR="00344737" w:rsidRPr="000A5F13" w:rsidRDefault="00344737" w:rsidP="00C06C08">
      <w:pPr>
        <w:pStyle w:val="FootnoteText"/>
        <w:rPr>
          <w:rFonts w:asciiTheme="majorHAnsi" w:hAnsiTheme="majorHAnsi" w:cstheme="majorHAnsi"/>
          <w:lang w:val="en-US"/>
        </w:rPr>
      </w:pPr>
      <w:r w:rsidRPr="00C06C08">
        <w:rPr>
          <w:rStyle w:val="FootnoteReference"/>
          <w:rFonts w:asciiTheme="majorHAnsi" w:hAnsiTheme="majorHAnsi" w:cstheme="majorHAnsi"/>
        </w:rPr>
        <w:sym w:font="Symbol" w:char="F02A"/>
      </w:r>
      <w:r w:rsidRPr="00C06C08">
        <w:rPr>
          <w:rFonts w:asciiTheme="majorHAnsi" w:hAnsiTheme="majorHAnsi" w:cstheme="majorHAnsi"/>
        </w:rPr>
        <w:t xml:space="preserve"> For brevity, the word “Indigenous” may be used.</w:t>
      </w:r>
    </w:p>
  </w:footnote>
  <w:footnote w:id="3">
    <w:p w14:paraId="41229992" w14:textId="31075236" w:rsidR="00344737" w:rsidRPr="000A5F13" w:rsidRDefault="00344737" w:rsidP="00E7324B">
      <w:pPr>
        <w:pStyle w:val="FootnoteText"/>
        <w:rPr>
          <w:rFonts w:asciiTheme="majorHAnsi" w:hAnsiTheme="majorHAnsi" w:cstheme="majorHAnsi"/>
          <w:lang w:val="en-US"/>
        </w:rPr>
      </w:pPr>
      <w:r w:rsidRPr="00C06C08">
        <w:rPr>
          <w:rStyle w:val="FootnoteReference"/>
          <w:rFonts w:asciiTheme="majorHAnsi" w:hAnsiTheme="majorHAnsi" w:cstheme="majorHAnsi"/>
        </w:rPr>
        <w:sym w:font="Symbol" w:char="F02A"/>
      </w:r>
      <w:r w:rsidRPr="00C06C08">
        <w:rPr>
          <w:rFonts w:asciiTheme="majorHAnsi" w:hAnsiTheme="majorHAnsi" w:cstheme="majorHAnsi"/>
        </w:rPr>
        <w:t xml:space="preserve"> </w:t>
      </w:r>
      <w:r>
        <w:rPr>
          <w:rFonts w:asciiTheme="majorHAnsi" w:hAnsiTheme="majorHAnsi" w:cstheme="majorHAnsi"/>
        </w:rPr>
        <w:t>includes Special Assistance Schools</w:t>
      </w:r>
      <w:r w:rsidRPr="00C06C08">
        <w:rPr>
          <w:rFonts w:asciiTheme="majorHAnsi" w:hAnsiTheme="majorHAnsi" w:cstheme="majorHAnsi"/>
        </w:rPr>
        <w:t>.</w:t>
      </w:r>
    </w:p>
  </w:footnote>
  <w:footnote w:id="4">
    <w:p w14:paraId="512EF124" w14:textId="7F0E1445" w:rsidR="00344737" w:rsidRPr="000A5F13" w:rsidRDefault="00344737" w:rsidP="00344737">
      <w:pPr>
        <w:pStyle w:val="FootnoteText"/>
        <w:rPr>
          <w:rFonts w:asciiTheme="majorHAnsi" w:hAnsiTheme="majorHAnsi" w:cstheme="majorHAnsi"/>
          <w:lang w:val="en-US"/>
        </w:rPr>
      </w:pPr>
      <w:r w:rsidRPr="00C06C08">
        <w:rPr>
          <w:rStyle w:val="FootnoteReference"/>
          <w:rFonts w:asciiTheme="majorHAnsi" w:hAnsiTheme="majorHAnsi" w:cstheme="majorHAnsi"/>
        </w:rPr>
        <w:sym w:font="Symbol" w:char="F02A"/>
      </w:r>
      <w:r w:rsidRPr="00C06C08">
        <w:rPr>
          <w:rFonts w:asciiTheme="majorHAnsi" w:hAnsiTheme="majorHAnsi" w:cstheme="majorHAnsi"/>
        </w:rPr>
        <w:t xml:space="preserve"> </w:t>
      </w:r>
      <w:r w:rsidRPr="00344737">
        <w:rPr>
          <w:rFonts w:asciiTheme="majorHAnsi" w:hAnsiTheme="majorHAnsi" w:cstheme="majorHAnsi"/>
          <w:lang w:val="en-AU"/>
        </w:rPr>
        <w:t>Includes students from those receiving an adjustment through Quality Differentiated Teaching practice (QDTP) through to high-needs students requiring substantial adjustments.</w:t>
      </w:r>
    </w:p>
  </w:footnote>
  <w:footnote w:id="5">
    <w:p w14:paraId="6015C8C5" w14:textId="7E22BE77" w:rsidR="00344737" w:rsidRPr="00344737" w:rsidRDefault="00344737">
      <w:pPr>
        <w:pStyle w:val="FootnoteText"/>
        <w:rPr>
          <w:rFonts w:asciiTheme="majorHAnsi" w:hAnsiTheme="majorHAnsi" w:cstheme="majorHAnsi"/>
          <w:lang w:val="en-AU"/>
        </w:rPr>
      </w:pPr>
    </w:p>
  </w:footnote>
  <w:footnote w:id="6">
    <w:p w14:paraId="33B41A41" w14:textId="7B91C787" w:rsidR="00344737" w:rsidRPr="00A06D83" w:rsidRDefault="00344737" w:rsidP="00A06D83">
      <w:pPr>
        <w:jc w:val="both"/>
        <w:rPr>
          <w:rFonts w:cs="Calibri"/>
          <w:sz w:val="18"/>
          <w:szCs w:val="18"/>
        </w:rPr>
      </w:pPr>
      <w:r w:rsidRPr="00A06D83">
        <w:rPr>
          <w:rStyle w:val="FootnoteReference"/>
          <w:rFonts w:cs="Calibri"/>
          <w:sz w:val="18"/>
          <w:szCs w:val="18"/>
        </w:rPr>
        <w:footnoteRef/>
      </w:r>
      <w:r w:rsidRPr="00A06D83">
        <w:rPr>
          <w:rFonts w:cs="Calibri"/>
          <w:sz w:val="18"/>
          <w:szCs w:val="18"/>
        </w:rPr>
        <w:t xml:space="preserve"> </w:t>
      </w:r>
      <w:hyperlink r:id="rId1" w:history="1">
        <w:r w:rsidRPr="00A06D83">
          <w:rPr>
            <w:rStyle w:val="Hyperlink"/>
            <w:rFonts w:cs="Calibri"/>
            <w:sz w:val="18"/>
            <w:szCs w:val="18"/>
          </w:rPr>
          <w:t>https://www.educationreview.com.au/2020/08/disability-education-lacking-amid-pandemic</w:t>
        </w:r>
      </w:hyperlink>
    </w:p>
  </w:footnote>
  <w:footnote w:id="7">
    <w:p w14:paraId="1242A49D" w14:textId="5621541A" w:rsidR="00344737" w:rsidRPr="00A06D83" w:rsidRDefault="00344737">
      <w:pPr>
        <w:pStyle w:val="FootnoteText"/>
        <w:rPr>
          <w:rFonts w:ascii="Calibri" w:hAnsi="Calibri" w:cs="Calibri"/>
          <w:sz w:val="18"/>
          <w:szCs w:val="18"/>
          <w:lang w:val="en-US"/>
        </w:rPr>
      </w:pPr>
      <w:r w:rsidRPr="00A06D83">
        <w:rPr>
          <w:rStyle w:val="FootnoteReference"/>
          <w:rFonts w:ascii="Calibri" w:hAnsi="Calibri" w:cs="Calibri"/>
          <w:sz w:val="18"/>
          <w:szCs w:val="18"/>
        </w:rPr>
        <w:footnoteRef/>
      </w:r>
      <w:r w:rsidRPr="00A06D83">
        <w:rPr>
          <w:rFonts w:ascii="Calibri" w:hAnsi="Calibri" w:cs="Calibri"/>
          <w:sz w:val="18"/>
          <w:szCs w:val="18"/>
        </w:rPr>
        <w:t xml:space="preserve"> </w:t>
      </w:r>
      <w:r w:rsidRPr="00A06D83">
        <w:rPr>
          <w:rFonts w:ascii="Calibri" w:hAnsi="Calibri" w:cs="Calibri"/>
          <w:sz w:val="18"/>
          <w:szCs w:val="18"/>
          <w:lang w:val="en-US"/>
        </w:rPr>
        <w:t>Dick</w:t>
      </w:r>
      <w:r>
        <w:rPr>
          <w:rFonts w:ascii="Calibri" w:hAnsi="Calibri" w:cs="Calibri"/>
          <w:sz w:val="18"/>
          <w:szCs w:val="18"/>
          <w:lang w:val="en-US"/>
        </w:rPr>
        <w:t xml:space="preserve">inson, H., Yates, S. (2020) </w:t>
      </w:r>
      <w:r w:rsidRPr="005B4394">
        <w:rPr>
          <w:rFonts w:ascii="Calibri" w:hAnsi="Calibri" w:cs="Calibri"/>
          <w:i/>
          <w:sz w:val="18"/>
          <w:szCs w:val="18"/>
          <w:lang w:val="en-US"/>
        </w:rPr>
        <w:t>More than isolated: The experience of children and young people with disability and their families during the COVID-19 pandemic</w:t>
      </w:r>
      <w:r>
        <w:rPr>
          <w:rFonts w:ascii="Calibri" w:hAnsi="Calibri" w:cs="Calibri"/>
          <w:sz w:val="18"/>
          <w:szCs w:val="18"/>
          <w:lang w:val="en-US"/>
        </w:rPr>
        <w:t xml:space="preserve">. Report prepared for </w:t>
      </w:r>
      <w:r w:rsidRPr="00A06D83">
        <w:rPr>
          <w:rFonts w:ascii="Calibri" w:hAnsi="Calibri" w:cs="Calibri"/>
          <w:sz w:val="18"/>
          <w:szCs w:val="18"/>
          <w:lang w:val="en-AU"/>
        </w:rPr>
        <w:t>Children and Young People with Disability Australia</w:t>
      </w:r>
      <w:r>
        <w:rPr>
          <w:rFonts w:ascii="Calibri" w:hAnsi="Calibri" w:cs="Calibri"/>
          <w:sz w:val="18"/>
          <w:szCs w:val="18"/>
          <w:lang w:val="en-AU"/>
        </w:rPr>
        <w:t xml:space="preserve"> (CYDA), Melbourne.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EF955" w14:textId="77E516C1" w:rsidR="00344737" w:rsidRDefault="00344737" w:rsidP="009342A5">
    <w:pPr>
      <w:pStyle w:val="Header"/>
      <w:jc w:val="right"/>
    </w:pPr>
    <w:r>
      <w:rPr>
        <w:noProof/>
      </w:rPr>
      <w:drawing>
        <wp:inline distT="0" distB="0" distL="0" distR="0" wp14:anchorId="1136EF0B" wp14:editId="37A7A79A">
          <wp:extent cx="1762125" cy="96329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219"/>
    <w:multiLevelType w:val="hybridMultilevel"/>
    <w:tmpl w:val="84E49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D3725A"/>
    <w:multiLevelType w:val="hybridMultilevel"/>
    <w:tmpl w:val="6FCE8A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D57A66"/>
    <w:multiLevelType w:val="hybridMultilevel"/>
    <w:tmpl w:val="0194D566"/>
    <w:lvl w:ilvl="0" w:tplc="953479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5913B7"/>
    <w:multiLevelType w:val="hybridMultilevel"/>
    <w:tmpl w:val="2730E78A"/>
    <w:lvl w:ilvl="0" w:tplc="7CA0896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5C65D77"/>
    <w:multiLevelType w:val="hybridMultilevel"/>
    <w:tmpl w:val="AF62D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CA2D0D"/>
    <w:multiLevelType w:val="hybridMultilevel"/>
    <w:tmpl w:val="F668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135F5"/>
    <w:multiLevelType w:val="hybridMultilevel"/>
    <w:tmpl w:val="5FE40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B5042C"/>
    <w:multiLevelType w:val="multilevel"/>
    <w:tmpl w:val="8D96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63ECC"/>
    <w:multiLevelType w:val="hybridMultilevel"/>
    <w:tmpl w:val="9FA05AEC"/>
    <w:lvl w:ilvl="0" w:tplc="7CA0896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BEB6B59"/>
    <w:multiLevelType w:val="hybridMultilevel"/>
    <w:tmpl w:val="FC16A3BE"/>
    <w:lvl w:ilvl="0" w:tplc="7CA0896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FFE3CFE"/>
    <w:multiLevelType w:val="hybridMultilevel"/>
    <w:tmpl w:val="2112F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0E3274"/>
    <w:multiLevelType w:val="hybridMultilevel"/>
    <w:tmpl w:val="92040E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7C9293B"/>
    <w:multiLevelType w:val="hybridMultilevel"/>
    <w:tmpl w:val="101EC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F06712"/>
    <w:multiLevelType w:val="multilevel"/>
    <w:tmpl w:val="D494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4E6C3F"/>
    <w:multiLevelType w:val="hybridMultilevel"/>
    <w:tmpl w:val="1C7407AE"/>
    <w:lvl w:ilvl="0" w:tplc="953479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FE3910"/>
    <w:multiLevelType w:val="hybridMultilevel"/>
    <w:tmpl w:val="CC28A70C"/>
    <w:lvl w:ilvl="0" w:tplc="953479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086E7C"/>
    <w:multiLevelType w:val="hybridMultilevel"/>
    <w:tmpl w:val="D4CEA560"/>
    <w:lvl w:ilvl="0" w:tplc="7CA0896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CF73F18"/>
    <w:multiLevelType w:val="hybridMultilevel"/>
    <w:tmpl w:val="006A2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9815CF"/>
    <w:multiLevelType w:val="hybridMultilevel"/>
    <w:tmpl w:val="95186086"/>
    <w:lvl w:ilvl="0" w:tplc="953479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E44F74"/>
    <w:multiLevelType w:val="hybridMultilevel"/>
    <w:tmpl w:val="A77CE7AE"/>
    <w:lvl w:ilvl="0" w:tplc="953479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3C7EC1"/>
    <w:multiLevelType w:val="hybridMultilevel"/>
    <w:tmpl w:val="025E4C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4E3080C"/>
    <w:multiLevelType w:val="hybridMultilevel"/>
    <w:tmpl w:val="F3CC6E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7E7FF6"/>
    <w:multiLevelType w:val="hybridMultilevel"/>
    <w:tmpl w:val="CF5A6A42"/>
    <w:lvl w:ilvl="0" w:tplc="953479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E85665"/>
    <w:multiLevelType w:val="hybridMultilevel"/>
    <w:tmpl w:val="5C14E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941A29"/>
    <w:multiLevelType w:val="hybridMultilevel"/>
    <w:tmpl w:val="9A5AF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594732"/>
    <w:multiLevelType w:val="hybridMultilevel"/>
    <w:tmpl w:val="119E5AE2"/>
    <w:lvl w:ilvl="0" w:tplc="953479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8"/>
  </w:num>
  <w:num w:numId="4">
    <w:abstractNumId w:val="2"/>
  </w:num>
  <w:num w:numId="5">
    <w:abstractNumId w:val="11"/>
  </w:num>
  <w:num w:numId="6">
    <w:abstractNumId w:val="1"/>
  </w:num>
  <w:num w:numId="7">
    <w:abstractNumId w:val="24"/>
  </w:num>
  <w:num w:numId="8">
    <w:abstractNumId w:val="6"/>
  </w:num>
  <w:num w:numId="9">
    <w:abstractNumId w:val="20"/>
  </w:num>
  <w:num w:numId="10">
    <w:abstractNumId w:val="15"/>
  </w:num>
  <w:num w:numId="11">
    <w:abstractNumId w:val="14"/>
  </w:num>
  <w:num w:numId="12">
    <w:abstractNumId w:val="25"/>
  </w:num>
  <w:num w:numId="13">
    <w:abstractNumId w:val="22"/>
  </w:num>
  <w:num w:numId="14">
    <w:abstractNumId w:val="10"/>
  </w:num>
  <w:num w:numId="15">
    <w:abstractNumId w:val="23"/>
  </w:num>
  <w:num w:numId="16">
    <w:abstractNumId w:val="8"/>
  </w:num>
  <w:num w:numId="17">
    <w:abstractNumId w:val="21"/>
  </w:num>
  <w:num w:numId="18">
    <w:abstractNumId w:val="17"/>
  </w:num>
  <w:num w:numId="19">
    <w:abstractNumId w:val="3"/>
  </w:num>
  <w:num w:numId="20">
    <w:abstractNumId w:val="0"/>
  </w:num>
  <w:num w:numId="21">
    <w:abstractNumId w:val="16"/>
  </w:num>
  <w:num w:numId="22">
    <w:abstractNumId w:val="9"/>
  </w:num>
  <w:num w:numId="23">
    <w:abstractNumId w:val="4"/>
  </w:num>
  <w:num w:numId="24">
    <w:abstractNumId w:val="1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E14"/>
    <w:rsid w:val="000000E1"/>
    <w:rsid w:val="0000015A"/>
    <w:rsid w:val="00001113"/>
    <w:rsid w:val="0000169B"/>
    <w:rsid w:val="000048C0"/>
    <w:rsid w:val="000048E3"/>
    <w:rsid w:val="00006162"/>
    <w:rsid w:val="00006DD1"/>
    <w:rsid w:val="00006FE6"/>
    <w:rsid w:val="00007182"/>
    <w:rsid w:val="00010698"/>
    <w:rsid w:val="000115FF"/>
    <w:rsid w:val="00015063"/>
    <w:rsid w:val="0001559E"/>
    <w:rsid w:val="0001686C"/>
    <w:rsid w:val="00017C94"/>
    <w:rsid w:val="00022D9D"/>
    <w:rsid w:val="00024888"/>
    <w:rsid w:val="000262EB"/>
    <w:rsid w:val="00030376"/>
    <w:rsid w:val="00031AB6"/>
    <w:rsid w:val="00031E14"/>
    <w:rsid w:val="00033D57"/>
    <w:rsid w:val="00033EEE"/>
    <w:rsid w:val="00036F82"/>
    <w:rsid w:val="0004062B"/>
    <w:rsid w:val="00040824"/>
    <w:rsid w:val="00041A8D"/>
    <w:rsid w:val="00042158"/>
    <w:rsid w:val="000423AC"/>
    <w:rsid w:val="00044BB7"/>
    <w:rsid w:val="00044FA9"/>
    <w:rsid w:val="00047D98"/>
    <w:rsid w:val="000516B7"/>
    <w:rsid w:val="0005455F"/>
    <w:rsid w:val="0005491D"/>
    <w:rsid w:val="0005551C"/>
    <w:rsid w:val="000556D1"/>
    <w:rsid w:val="0005629A"/>
    <w:rsid w:val="000615E8"/>
    <w:rsid w:val="000617C9"/>
    <w:rsid w:val="00061C45"/>
    <w:rsid w:val="00063368"/>
    <w:rsid w:val="00064329"/>
    <w:rsid w:val="000660C1"/>
    <w:rsid w:val="0006704B"/>
    <w:rsid w:val="0007114D"/>
    <w:rsid w:val="00071F39"/>
    <w:rsid w:val="00072264"/>
    <w:rsid w:val="00075046"/>
    <w:rsid w:val="000765F9"/>
    <w:rsid w:val="00076BDC"/>
    <w:rsid w:val="00080D79"/>
    <w:rsid w:val="00082292"/>
    <w:rsid w:val="00083D68"/>
    <w:rsid w:val="00084727"/>
    <w:rsid w:val="00084EB7"/>
    <w:rsid w:val="00084F6D"/>
    <w:rsid w:val="000869F6"/>
    <w:rsid w:val="00091024"/>
    <w:rsid w:val="000915E1"/>
    <w:rsid w:val="00091829"/>
    <w:rsid w:val="00091F32"/>
    <w:rsid w:val="000920DF"/>
    <w:rsid w:val="000923B5"/>
    <w:rsid w:val="00092408"/>
    <w:rsid w:val="0009282C"/>
    <w:rsid w:val="0009383B"/>
    <w:rsid w:val="00095843"/>
    <w:rsid w:val="000A033F"/>
    <w:rsid w:val="000A0465"/>
    <w:rsid w:val="000A1DB5"/>
    <w:rsid w:val="000A5449"/>
    <w:rsid w:val="000A5F13"/>
    <w:rsid w:val="000A7948"/>
    <w:rsid w:val="000B17BD"/>
    <w:rsid w:val="000B1D0D"/>
    <w:rsid w:val="000B1F10"/>
    <w:rsid w:val="000B2CC2"/>
    <w:rsid w:val="000B713B"/>
    <w:rsid w:val="000B7A54"/>
    <w:rsid w:val="000C1255"/>
    <w:rsid w:val="000C304A"/>
    <w:rsid w:val="000C4298"/>
    <w:rsid w:val="000C45AB"/>
    <w:rsid w:val="000C5672"/>
    <w:rsid w:val="000C7E12"/>
    <w:rsid w:val="000D05A5"/>
    <w:rsid w:val="000D1F32"/>
    <w:rsid w:val="000D2E27"/>
    <w:rsid w:val="000D543F"/>
    <w:rsid w:val="000D6527"/>
    <w:rsid w:val="000D7BA5"/>
    <w:rsid w:val="000E4D90"/>
    <w:rsid w:val="000E5805"/>
    <w:rsid w:val="000E5E99"/>
    <w:rsid w:val="000E66B1"/>
    <w:rsid w:val="000E698C"/>
    <w:rsid w:val="000F0D4F"/>
    <w:rsid w:val="000F4BD2"/>
    <w:rsid w:val="000F4FC9"/>
    <w:rsid w:val="000F5B86"/>
    <w:rsid w:val="001004B6"/>
    <w:rsid w:val="00103222"/>
    <w:rsid w:val="00103BA2"/>
    <w:rsid w:val="00110749"/>
    <w:rsid w:val="0011237B"/>
    <w:rsid w:val="001133C8"/>
    <w:rsid w:val="0011616B"/>
    <w:rsid w:val="00116494"/>
    <w:rsid w:val="00117474"/>
    <w:rsid w:val="00123046"/>
    <w:rsid w:val="0012501F"/>
    <w:rsid w:val="001272A9"/>
    <w:rsid w:val="0012769C"/>
    <w:rsid w:val="00130D97"/>
    <w:rsid w:val="00132B55"/>
    <w:rsid w:val="001344B2"/>
    <w:rsid w:val="00135557"/>
    <w:rsid w:val="00136B59"/>
    <w:rsid w:val="00137487"/>
    <w:rsid w:val="0014072F"/>
    <w:rsid w:val="0014162C"/>
    <w:rsid w:val="00141F22"/>
    <w:rsid w:val="00145B6A"/>
    <w:rsid w:val="00146DBB"/>
    <w:rsid w:val="001474E1"/>
    <w:rsid w:val="00151E26"/>
    <w:rsid w:val="00153101"/>
    <w:rsid w:val="0015429E"/>
    <w:rsid w:val="001611BA"/>
    <w:rsid w:val="001626A3"/>
    <w:rsid w:val="00163113"/>
    <w:rsid w:val="0016549B"/>
    <w:rsid w:val="00167EB8"/>
    <w:rsid w:val="00170DD1"/>
    <w:rsid w:val="00172D23"/>
    <w:rsid w:val="001735D4"/>
    <w:rsid w:val="0017445F"/>
    <w:rsid w:val="00175012"/>
    <w:rsid w:val="00176192"/>
    <w:rsid w:val="0017752E"/>
    <w:rsid w:val="00180928"/>
    <w:rsid w:val="00181C42"/>
    <w:rsid w:val="001824A5"/>
    <w:rsid w:val="001825C9"/>
    <w:rsid w:val="001847CB"/>
    <w:rsid w:val="00185420"/>
    <w:rsid w:val="0018595D"/>
    <w:rsid w:val="00187EAF"/>
    <w:rsid w:val="00187FF1"/>
    <w:rsid w:val="001902A1"/>
    <w:rsid w:val="00190BC5"/>
    <w:rsid w:val="00191EAF"/>
    <w:rsid w:val="00192D31"/>
    <w:rsid w:val="00193CF8"/>
    <w:rsid w:val="001947FD"/>
    <w:rsid w:val="00194D5E"/>
    <w:rsid w:val="00195567"/>
    <w:rsid w:val="00196999"/>
    <w:rsid w:val="00197974"/>
    <w:rsid w:val="001A020A"/>
    <w:rsid w:val="001A33D1"/>
    <w:rsid w:val="001A578D"/>
    <w:rsid w:val="001A57E3"/>
    <w:rsid w:val="001B10B6"/>
    <w:rsid w:val="001B3508"/>
    <w:rsid w:val="001B3680"/>
    <w:rsid w:val="001B3CC7"/>
    <w:rsid w:val="001B468E"/>
    <w:rsid w:val="001B493F"/>
    <w:rsid w:val="001B4AD2"/>
    <w:rsid w:val="001B52E5"/>
    <w:rsid w:val="001B6B58"/>
    <w:rsid w:val="001B6EB9"/>
    <w:rsid w:val="001C2D8C"/>
    <w:rsid w:val="001C383C"/>
    <w:rsid w:val="001C3BE3"/>
    <w:rsid w:val="001C3CC7"/>
    <w:rsid w:val="001C3D18"/>
    <w:rsid w:val="001C4113"/>
    <w:rsid w:val="001C4B13"/>
    <w:rsid w:val="001C7855"/>
    <w:rsid w:val="001D3FA9"/>
    <w:rsid w:val="001D5373"/>
    <w:rsid w:val="001D5E67"/>
    <w:rsid w:val="001E0F65"/>
    <w:rsid w:val="001E11C4"/>
    <w:rsid w:val="001E1707"/>
    <w:rsid w:val="001E4B8A"/>
    <w:rsid w:val="001F1164"/>
    <w:rsid w:val="001F5184"/>
    <w:rsid w:val="001F541B"/>
    <w:rsid w:val="001F6978"/>
    <w:rsid w:val="001F6B5B"/>
    <w:rsid w:val="001F77C2"/>
    <w:rsid w:val="00200290"/>
    <w:rsid w:val="002015A0"/>
    <w:rsid w:val="0020314D"/>
    <w:rsid w:val="002036FF"/>
    <w:rsid w:val="002043AB"/>
    <w:rsid w:val="0021040E"/>
    <w:rsid w:val="0021193B"/>
    <w:rsid w:val="0021252D"/>
    <w:rsid w:val="0021383E"/>
    <w:rsid w:val="00213D16"/>
    <w:rsid w:val="00214003"/>
    <w:rsid w:val="002143C0"/>
    <w:rsid w:val="00214568"/>
    <w:rsid w:val="002177B2"/>
    <w:rsid w:val="00221D29"/>
    <w:rsid w:val="00222528"/>
    <w:rsid w:val="0022373D"/>
    <w:rsid w:val="00223BA2"/>
    <w:rsid w:val="00223C69"/>
    <w:rsid w:val="0022426B"/>
    <w:rsid w:val="00225118"/>
    <w:rsid w:val="00225EA6"/>
    <w:rsid w:val="0023159D"/>
    <w:rsid w:val="0023334C"/>
    <w:rsid w:val="00235E91"/>
    <w:rsid w:val="00237032"/>
    <w:rsid w:val="00240B5E"/>
    <w:rsid w:val="0024313B"/>
    <w:rsid w:val="00245AA2"/>
    <w:rsid w:val="00246E80"/>
    <w:rsid w:val="00250425"/>
    <w:rsid w:val="00251F76"/>
    <w:rsid w:val="002520E8"/>
    <w:rsid w:val="0025276F"/>
    <w:rsid w:val="00261F4E"/>
    <w:rsid w:val="00262861"/>
    <w:rsid w:val="00263EBB"/>
    <w:rsid w:val="0026484F"/>
    <w:rsid w:val="002648B8"/>
    <w:rsid w:val="00265C6D"/>
    <w:rsid w:val="00265E3A"/>
    <w:rsid w:val="0026773A"/>
    <w:rsid w:val="0027041C"/>
    <w:rsid w:val="00271E05"/>
    <w:rsid w:val="00273D8B"/>
    <w:rsid w:val="002745B1"/>
    <w:rsid w:val="002749AF"/>
    <w:rsid w:val="002776A9"/>
    <w:rsid w:val="00277F42"/>
    <w:rsid w:val="0028061C"/>
    <w:rsid w:val="00281203"/>
    <w:rsid w:val="002813E2"/>
    <w:rsid w:val="0028236D"/>
    <w:rsid w:val="002829CB"/>
    <w:rsid w:val="00283194"/>
    <w:rsid w:val="00283789"/>
    <w:rsid w:val="00286B7F"/>
    <w:rsid w:val="002948CC"/>
    <w:rsid w:val="00295217"/>
    <w:rsid w:val="00295E89"/>
    <w:rsid w:val="00296DEB"/>
    <w:rsid w:val="002A036B"/>
    <w:rsid w:val="002A0607"/>
    <w:rsid w:val="002A1763"/>
    <w:rsid w:val="002A2C3D"/>
    <w:rsid w:val="002A3136"/>
    <w:rsid w:val="002A70EC"/>
    <w:rsid w:val="002A74AB"/>
    <w:rsid w:val="002A7585"/>
    <w:rsid w:val="002A778B"/>
    <w:rsid w:val="002B088C"/>
    <w:rsid w:val="002B27A1"/>
    <w:rsid w:val="002C14F3"/>
    <w:rsid w:val="002C172D"/>
    <w:rsid w:val="002C19B5"/>
    <w:rsid w:val="002C1C95"/>
    <w:rsid w:val="002C6BC1"/>
    <w:rsid w:val="002C72F5"/>
    <w:rsid w:val="002D2E99"/>
    <w:rsid w:val="002E0333"/>
    <w:rsid w:val="002E07E1"/>
    <w:rsid w:val="002E191C"/>
    <w:rsid w:val="002E4919"/>
    <w:rsid w:val="002E7B5B"/>
    <w:rsid w:val="002F00A6"/>
    <w:rsid w:val="002F1463"/>
    <w:rsid w:val="002F1607"/>
    <w:rsid w:val="002F1E3B"/>
    <w:rsid w:val="002F37DB"/>
    <w:rsid w:val="002F3C5E"/>
    <w:rsid w:val="002F3E43"/>
    <w:rsid w:val="002F4258"/>
    <w:rsid w:val="002F51E6"/>
    <w:rsid w:val="002F6213"/>
    <w:rsid w:val="002F67B0"/>
    <w:rsid w:val="00300D1E"/>
    <w:rsid w:val="00303C97"/>
    <w:rsid w:val="003051A1"/>
    <w:rsid w:val="003074D5"/>
    <w:rsid w:val="00311817"/>
    <w:rsid w:val="00312F0E"/>
    <w:rsid w:val="003152C6"/>
    <w:rsid w:val="003158F1"/>
    <w:rsid w:val="003231E6"/>
    <w:rsid w:val="0032366B"/>
    <w:rsid w:val="00323CF1"/>
    <w:rsid w:val="00323FE9"/>
    <w:rsid w:val="00324E4D"/>
    <w:rsid w:val="00325318"/>
    <w:rsid w:val="003301DF"/>
    <w:rsid w:val="00330EFE"/>
    <w:rsid w:val="00332AFE"/>
    <w:rsid w:val="00333A1D"/>
    <w:rsid w:val="00334CE1"/>
    <w:rsid w:val="0033503B"/>
    <w:rsid w:val="00336360"/>
    <w:rsid w:val="0034345A"/>
    <w:rsid w:val="00344737"/>
    <w:rsid w:val="003467FF"/>
    <w:rsid w:val="003471B9"/>
    <w:rsid w:val="00350122"/>
    <w:rsid w:val="00350130"/>
    <w:rsid w:val="00350A02"/>
    <w:rsid w:val="003519B5"/>
    <w:rsid w:val="00351EE6"/>
    <w:rsid w:val="00353623"/>
    <w:rsid w:val="003546B8"/>
    <w:rsid w:val="00354AEF"/>
    <w:rsid w:val="00360605"/>
    <w:rsid w:val="00360CC0"/>
    <w:rsid w:val="00362DDC"/>
    <w:rsid w:val="003631A8"/>
    <w:rsid w:val="003643DB"/>
    <w:rsid w:val="00365285"/>
    <w:rsid w:val="00370847"/>
    <w:rsid w:val="003723D1"/>
    <w:rsid w:val="003741EB"/>
    <w:rsid w:val="00380961"/>
    <w:rsid w:val="00380967"/>
    <w:rsid w:val="00380DEB"/>
    <w:rsid w:val="00381EF1"/>
    <w:rsid w:val="00383679"/>
    <w:rsid w:val="00387D51"/>
    <w:rsid w:val="003905ED"/>
    <w:rsid w:val="00391D67"/>
    <w:rsid w:val="003929C1"/>
    <w:rsid w:val="0039499F"/>
    <w:rsid w:val="00394C5F"/>
    <w:rsid w:val="00395AD6"/>
    <w:rsid w:val="00396015"/>
    <w:rsid w:val="003A0189"/>
    <w:rsid w:val="003A1DDA"/>
    <w:rsid w:val="003A2370"/>
    <w:rsid w:val="003A2900"/>
    <w:rsid w:val="003A562F"/>
    <w:rsid w:val="003A62AC"/>
    <w:rsid w:val="003B01BE"/>
    <w:rsid w:val="003B17E2"/>
    <w:rsid w:val="003B2A64"/>
    <w:rsid w:val="003B53A0"/>
    <w:rsid w:val="003B73C7"/>
    <w:rsid w:val="003C53F4"/>
    <w:rsid w:val="003C5A42"/>
    <w:rsid w:val="003C635C"/>
    <w:rsid w:val="003C7AB9"/>
    <w:rsid w:val="003D07A0"/>
    <w:rsid w:val="003D0C0E"/>
    <w:rsid w:val="003D1869"/>
    <w:rsid w:val="003D32F6"/>
    <w:rsid w:val="003D3C08"/>
    <w:rsid w:val="003D426A"/>
    <w:rsid w:val="003D5347"/>
    <w:rsid w:val="003D6301"/>
    <w:rsid w:val="003E0240"/>
    <w:rsid w:val="003E03E4"/>
    <w:rsid w:val="003E3354"/>
    <w:rsid w:val="003E4DC4"/>
    <w:rsid w:val="003E6066"/>
    <w:rsid w:val="003F33C7"/>
    <w:rsid w:val="003F3DF5"/>
    <w:rsid w:val="003F7523"/>
    <w:rsid w:val="00400319"/>
    <w:rsid w:val="00401796"/>
    <w:rsid w:val="00402DE4"/>
    <w:rsid w:val="00411DA0"/>
    <w:rsid w:val="00412655"/>
    <w:rsid w:val="00412B21"/>
    <w:rsid w:val="0041339B"/>
    <w:rsid w:val="0042128B"/>
    <w:rsid w:val="004226BD"/>
    <w:rsid w:val="004233FE"/>
    <w:rsid w:val="004277F7"/>
    <w:rsid w:val="0043174F"/>
    <w:rsid w:val="00432855"/>
    <w:rsid w:val="0043344D"/>
    <w:rsid w:val="00433839"/>
    <w:rsid w:val="00435AE1"/>
    <w:rsid w:val="00437DAF"/>
    <w:rsid w:val="00440B51"/>
    <w:rsid w:val="00442C3D"/>
    <w:rsid w:val="00442CF0"/>
    <w:rsid w:val="00442E02"/>
    <w:rsid w:val="00442F3F"/>
    <w:rsid w:val="0044378A"/>
    <w:rsid w:val="00445039"/>
    <w:rsid w:val="004452E3"/>
    <w:rsid w:val="00447177"/>
    <w:rsid w:val="004507C0"/>
    <w:rsid w:val="00451D7B"/>
    <w:rsid w:val="00451FAD"/>
    <w:rsid w:val="004524DE"/>
    <w:rsid w:val="00452E4E"/>
    <w:rsid w:val="004563C4"/>
    <w:rsid w:val="00456F61"/>
    <w:rsid w:val="00457E97"/>
    <w:rsid w:val="00461E8A"/>
    <w:rsid w:val="0046377B"/>
    <w:rsid w:val="004664C5"/>
    <w:rsid w:val="004703F8"/>
    <w:rsid w:val="004708C6"/>
    <w:rsid w:val="004715FB"/>
    <w:rsid w:val="00473904"/>
    <w:rsid w:val="0048475E"/>
    <w:rsid w:val="004852F4"/>
    <w:rsid w:val="00485972"/>
    <w:rsid w:val="00490D65"/>
    <w:rsid w:val="00491205"/>
    <w:rsid w:val="00491627"/>
    <w:rsid w:val="004942B2"/>
    <w:rsid w:val="004945A6"/>
    <w:rsid w:val="00495396"/>
    <w:rsid w:val="00496828"/>
    <w:rsid w:val="00496D42"/>
    <w:rsid w:val="004A19C6"/>
    <w:rsid w:val="004A74EA"/>
    <w:rsid w:val="004B391D"/>
    <w:rsid w:val="004B5020"/>
    <w:rsid w:val="004B6390"/>
    <w:rsid w:val="004C0183"/>
    <w:rsid w:val="004C53EC"/>
    <w:rsid w:val="004D01C2"/>
    <w:rsid w:val="004D0349"/>
    <w:rsid w:val="004D2F34"/>
    <w:rsid w:val="004D391A"/>
    <w:rsid w:val="004D4878"/>
    <w:rsid w:val="004D5482"/>
    <w:rsid w:val="004D6767"/>
    <w:rsid w:val="004D6897"/>
    <w:rsid w:val="004E08A0"/>
    <w:rsid w:val="004E2A60"/>
    <w:rsid w:val="004E39E5"/>
    <w:rsid w:val="004E4CBD"/>
    <w:rsid w:val="004E4FB7"/>
    <w:rsid w:val="004E5203"/>
    <w:rsid w:val="004E6585"/>
    <w:rsid w:val="004E687F"/>
    <w:rsid w:val="004F02A2"/>
    <w:rsid w:val="004F3C33"/>
    <w:rsid w:val="004F7193"/>
    <w:rsid w:val="004F7920"/>
    <w:rsid w:val="005016E4"/>
    <w:rsid w:val="005025CB"/>
    <w:rsid w:val="00502949"/>
    <w:rsid w:val="0050575A"/>
    <w:rsid w:val="00506DD2"/>
    <w:rsid w:val="005074EB"/>
    <w:rsid w:val="00507D80"/>
    <w:rsid w:val="00511594"/>
    <w:rsid w:val="00511FBF"/>
    <w:rsid w:val="0051213D"/>
    <w:rsid w:val="00513CA8"/>
    <w:rsid w:val="00513D36"/>
    <w:rsid w:val="0051410B"/>
    <w:rsid w:val="005162AF"/>
    <w:rsid w:val="0051634B"/>
    <w:rsid w:val="00516B6C"/>
    <w:rsid w:val="00520C7D"/>
    <w:rsid w:val="00520D23"/>
    <w:rsid w:val="005232C9"/>
    <w:rsid w:val="005237A8"/>
    <w:rsid w:val="00525111"/>
    <w:rsid w:val="00525885"/>
    <w:rsid w:val="005268FD"/>
    <w:rsid w:val="0053064D"/>
    <w:rsid w:val="00532468"/>
    <w:rsid w:val="00533C0D"/>
    <w:rsid w:val="0053601E"/>
    <w:rsid w:val="005367DC"/>
    <w:rsid w:val="00540780"/>
    <w:rsid w:val="00541B11"/>
    <w:rsid w:val="00543493"/>
    <w:rsid w:val="005457E2"/>
    <w:rsid w:val="00545855"/>
    <w:rsid w:val="0054780C"/>
    <w:rsid w:val="00550B4D"/>
    <w:rsid w:val="00550D30"/>
    <w:rsid w:val="0055302B"/>
    <w:rsid w:val="005541A5"/>
    <w:rsid w:val="00555FB2"/>
    <w:rsid w:val="00564E9F"/>
    <w:rsid w:val="00567567"/>
    <w:rsid w:val="00571A9C"/>
    <w:rsid w:val="00571BAA"/>
    <w:rsid w:val="00571E0A"/>
    <w:rsid w:val="005727A9"/>
    <w:rsid w:val="00573848"/>
    <w:rsid w:val="00573B41"/>
    <w:rsid w:val="00573E70"/>
    <w:rsid w:val="00575D7C"/>
    <w:rsid w:val="0058015B"/>
    <w:rsid w:val="005809F4"/>
    <w:rsid w:val="00582721"/>
    <w:rsid w:val="005830BB"/>
    <w:rsid w:val="00584B18"/>
    <w:rsid w:val="00587040"/>
    <w:rsid w:val="005877F5"/>
    <w:rsid w:val="00593BDA"/>
    <w:rsid w:val="005A1004"/>
    <w:rsid w:val="005A11AF"/>
    <w:rsid w:val="005A1A84"/>
    <w:rsid w:val="005A36C9"/>
    <w:rsid w:val="005A7F95"/>
    <w:rsid w:val="005B061E"/>
    <w:rsid w:val="005B38F3"/>
    <w:rsid w:val="005B3B86"/>
    <w:rsid w:val="005B4394"/>
    <w:rsid w:val="005C0CF8"/>
    <w:rsid w:val="005C2B0C"/>
    <w:rsid w:val="005C3294"/>
    <w:rsid w:val="005C7C16"/>
    <w:rsid w:val="005D0E4C"/>
    <w:rsid w:val="005D2EDD"/>
    <w:rsid w:val="005D6CEF"/>
    <w:rsid w:val="005D722C"/>
    <w:rsid w:val="005E0895"/>
    <w:rsid w:val="005E48ED"/>
    <w:rsid w:val="005E572D"/>
    <w:rsid w:val="005E5E32"/>
    <w:rsid w:val="005E6793"/>
    <w:rsid w:val="005E6903"/>
    <w:rsid w:val="005E698F"/>
    <w:rsid w:val="005E70D8"/>
    <w:rsid w:val="005E7945"/>
    <w:rsid w:val="005F03CC"/>
    <w:rsid w:val="005F1AA4"/>
    <w:rsid w:val="005F1D79"/>
    <w:rsid w:val="005F2702"/>
    <w:rsid w:val="005F5118"/>
    <w:rsid w:val="00600250"/>
    <w:rsid w:val="00602308"/>
    <w:rsid w:val="00603158"/>
    <w:rsid w:val="0060510B"/>
    <w:rsid w:val="006113D6"/>
    <w:rsid w:val="006123EF"/>
    <w:rsid w:val="00612EFF"/>
    <w:rsid w:val="006137D4"/>
    <w:rsid w:val="00614E54"/>
    <w:rsid w:val="00615CE5"/>
    <w:rsid w:val="00616E62"/>
    <w:rsid w:val="00616F87"/>
    <w:rsid w:val="00617B00"/>
    <w:rsid w:val="006209AA"/>
    <w:rsid w:val="00620A88"/>
    <w:rsid w:val="00622E56"/>
    <w:rsid w:val="00622F8C"/>
    <w:rsid w:val="006238FA"/>
    <w:rsid w:val="006243C4"/>
    <w:rsid w:val="0062592E"/>
    <w:rsid w:val="00633CF9"/>
    <w:rsid w:val="006346A0"/>
    <w:rsid w:val="00634C4D"/>
    <w:rsid w:val="00634F40"/>
    <w:rsid w:val="00634FAC"/>
    <w:rsid w:val="00635D91"/>
    <w:rsid w:val="00637173"/>
    <w:rsid w:val="006401D2"/>
    <w:rsid w:val="0064029F"/>
    <w:rsid w:val="00643ED6"/>
    <w:rsid w:val="0064492E"/>
    <w:rsid w:val="00645BAA"/>
    <w:rsid w:val="006472A3"/>
    <w:rsid w:val="00647A86"/>
    <w:rsid w:val="00650A04"/>
    <w:rsid w:val="00652BE6"/>
    <w:rsid w:val="0065508D"/>
    <w:rsid w:val="006552EB"/>
    <w:rsid w:val="00655D85"/>
    <w:rsid w:val="00655F61"/>
    <w:rsid w:val="0065702A"/>
    <w:rsid w:val="00661390"/>
    <w:rsid w:val="006639F7"/>
    <w:rsid w:val="00664185"/>
    <w:rsid w:val="00664480"/>
    <w:rsid w:val="006655FE"/>
    <w:rsid w:val="00666950"/>
    <w:rsid w:val="00666B15"/>
    <w:rsid w:val="00666F81"/>
    <w:rsid w:val="00667E80"/>
    <w:rsid w:val="00671283"/>
    <w:rsid w:val="00672798"/>
    <w:rsid w:val="00672822"/>
    <w:rsid w:val="00676C40"/>
    <w:rsid w:val="00677888"/>
    <w:rsid w:val="0068026F"/>
    <w:rsid w:val="006802AF"/>
    <w:rsid w:val="0068058E"/>
    <w:rsid w:val="00680F51"/>
    <w:rsid w:val="00684DEE"/>
    <w:rsid w:val="00685B0D"/>
    <w:rsid w:val="00685DBC"/>
    <w:rsid w:val="0068610C"/>
    <w:rsid w:val="006873E6"/>
    <w:rsid w:val="006878D3"/>
    <w:rsid w:val="006921B3"/>
    <w:rsid w:val="00695593"/>
    <w:rsid w:val="006A1D56"/>
    <w:rsid w:val="006A4B33"/>
    <w:rsid w:val="006A5551"/>
    <w:rsid w:val="006B042F"/>
    <w:rsid w:val="006B1816"/>
    <w:rsid w:val="006B18D4"/>
    <w:rsid w:val="006B1C0D"/>
    <w:rsid w:val="006B1D63"/>
    <w:rsid w:val="006B3D12"/>
    <w:rsid w:val="006B6BB0"/>
    <w:rsid w:val="006C04A9"/>
    <w:rsid w:val="006C3B6D"/>
    <w:rsid w:val="006C4D30"/>
    <w:rsid w:val="006C53BC"/>
    <w:rsid w:val="006C5FFB"/>
    <w:rsid w:val="006C624E"/>
    <w:rsid w:val="006D0749"/>
    <w:rsid w:val="006D1EBE"/>
    <w:rsid w:val="006D297B"/>
    <w:rsid w:val="006D2E5C"/>
    <w:rsid w:val="006D3F86"/>
    <w:rsid w:val="006D440D"/>
    <w:rsid w:val="006E1913"/>
    <w:rsid w:val="006E3892"/>
    <w:rsid w:val="006E488A"/>
    <w:rsid w:val="006E5401"/>
    <w:rsid w:val="006E5675"/>
    <w:rsid w:val="006E5C32"/>
    <w:rsid w:val="006F0C99"/>
    <w:rsid w:val="006F170F"/>
    <w:rsid w:val="006F2939"/>
    <w:rsid w:val="006F2D91"/>
    <w:rsid w:val="006F2E3E"/>
    <w:rsid w:val="006F4512"/>
    <w:rsid w:val="006F51C1"/>
    <w:rsid w:val="006F56E4"/>
    <w:rsid w:val="00700175"/>
    <w:rsid w:val="0070494C"/>
    <w:rsid w:val="00705DC2"/>
    <w:rsid w:val="007060C6"/>
    <w:rsid w:val="00710961"/>
    <w:rsid w:val="0071122A"/>
    <w:rsid w:val="00711544"/>
    <w:rsid w:val="00717B0F"/>
    <w:rsid w:val="00723419"/>
    <w:rsid w:val="007243CC"/>
    <w:rsid w:val="00724BEB"/>
    <w:rsid w:val="007340CA"/>
    <w:rsid w:val="00736273"/>
    <w:rsid w:val="00736519"/>
    <w:rsid w:val="0074103C"/>
    <w:rsid w:val="007416CB"/>
    <w:rsid w:val="0074319C"/>
    <w:rsid w:val="00745B21"/>
    <w:rsid w:val="00746A65"/>
    <w:rsid w:val="00747C3E"/>
    <w:rsid w:val="00750ABA"/>
    <w:rsid w:val="00751B84"/>
    <w:rsid w:val="00753D8F"/>
    <w:rsid w:val="00754431"/>
    <w:rsid w:val="007564BF"/>
    <w:rsid w:val="00760734"/>
    <w:rsid w:val="00763285"/>
    <w:rsid w:val="00763AA5"/>
    <w:rsid w:val="0076613C"/>
    <w:rsid w:val="00771984"/>
    <w:rsid w:val="00774A7E"/>
    <w:rsid w:val="00777F8D"/>
    <w:rsid w:val="00782B74"/>
    <w:rsid w:val="00786919"/>
    <w:rsid w:val="0078729D"/>
    <w:rsid w:val="0079204F"/>
    <w:rsid w:val="00796ADE"/>
    <w:rsid w:val="00796BC2"/>
    <w:rsid w:val="007A0C77"/>
    <w:rsid w:val="007A1A80"/>
    <w:rsid w:val="007A2D59"/>
    <w:rsid w:val="007A37E6"/>
    <w:rsid w:val="007A665C"/>
    <w:rsid w:val="007B16E8"/>
    <w:rsid w:val="007B1B3E"/>
    <w:rsid w:val="007B2A34"/>
    <w:rsid w:val="007B36B0"/>
    <w:rsid w:val="007B3A7D"/>
    <w:rsid w:val="007B4678"/>
    <w:rsid w:val="007B5423"/>
    <w:rsid w:val="007B5AE8"/>
    <w:rsid w:val="007B7332"/>
    <w:rsid w:val="007B7871"/>
    <w:rsid w:val="007B79AF"/>
    <w:rsid w:val="007B7D03"/>
    <w:rsid w:val="007B7F9B"/>
    <w:rsid w:val="007C1AC1"/>
    <w:rsid w:val="007C3397"/>
    <w:rsid w:val="007C5759"/>
    <w:rsid w:val="007C59D6"/>
    <w:rsid w:val="007C604C"/>
    <w:rsid w:val="007D1179"/>
    <w:rsid w:val="007D2D7B"/>
    <w:rsid w:val="007D469D"/>
    <w:rsid w:val="007D5F6B"/>
    <w:rsid w:val="007D61F8"/>
    <w:rsid w:val="007D6893"/>
    <w:rsid w:val="007E078E"/>
    <w:rsid w:val="007E0944"/>
    <w:rsid w:val="007E1170"/>
    <w:rsid w:val="007E298F"/>
    <w:rsid w:val="007E2EDB"/>
    <w:rsid w:val="007E4B61"/>
    <w:rsid w:val="007E4D6E"/>
    <w:rsid w:val="007E4EF1"/>
    <w:rsid w:val="007E596A"/>
    <w:rsid w:val="007E5B15"/>
    <w:rsid w:val="007E62A4"/>
    <w:rsid w:val="007E788B"/>
    <w:rsid w:val="007E7BE3"/>
    <w:rsid w:val="007E7E5B"/>
    <w:rsid w:val="007E7E87"/>
    <w:rsid w:val="007F3C4D"/>
    <w:rsid w:val="007F41E6"/>
    <w:rsid w:val="007F5EAD"/>
    <w:rsid w:val="007F6737"/>
    <w:rsid w:val="007F7AD0"/>
    <w:rsid w:val="007F7B94"/>
    <w:rsid w:val="008005B7"/>
    <w:rsid w:val="008018EB"/>
    <w:rsid w:val="008040CD"/>
    <w:rsid w:val="00810D14"/>
    <w:rsid w:val="00810FA5"/>
    <w:rsid w:val="0081455A"/>
    <w:rsid w:val="00814D85"/>
    <w:rsid w:val="00815EDF"/>
    <w:rsid w:val="0081602A"/>
    <w:rsid w:val="008169E1"/>
    <w:rsid w:val="008209E7"/>
    <w:rsid w:val="008211AD"/>
    <w:rsid w:val="008212C2"/>
    <w:rsid w:val="00824743"/>
    <w:rsid w:val="00832DF8"/>
    <w:rsid w:val="008335CA"/>
    <w:rsid w:val="008338FB"/>
    <w:rsid w:val="0083395D"/>
    <w:rsid w:val="00834D72"/>
    <w:rsid w:val="00840309"/>
    <w:rsid w:val="0084034C"/>
    <w:rsid w:val="00841143"/>
    <w:rsid w:val="00842023"/>
    <w:rsid w:val="00842F30"/>
    <w:rsid w:val="008438F3"/>
    <w:rsid w:val="008451C3"/>
    <w:rsid w:val="0084651A"/>
    <w:rsid w:val="008502F0"/>
    <w:rsid w:val="00852762"/>
    <w:rsid w:val="00854666"/>
    <w:rsid w:val="008547BC"/>
    <w:rsid w:val="00855041"/>
    <w:rsid w:val="00855F7F"/>
    <w:rsid w:val="00857182"/>
    <w:rsid w:val="00857A46"/>
    <w:rsid w:val="00861766"/>
    <w:rsid w:val="00862701"/>
    <w:rsid w:val="0086698F"/>
    <w:rsid w:val="00870AE4"/>
    <w:rsid w:val="00872AC4"/>
    <w:rsid w:val="00875FE1"/>
    <w:rsid w:val="008764EB"/>
    <w:rsid w:val="00876AA9"/>
    <w:rsid w:val="00876E48"/>
    <w:rsid w:val="0087708A"/>
    <w:rsid w:val="00880CCA"/>
    <w:rsid w:val="00883F01"/>
    <w:rsid w:val="00884345"/>
    <w:rsid w:val="008863CC"/>
    <w:rsid w:val="00886B69"/>
    <w:rsid w:val="00887657"/>
    <w:rsid w:val="008901F4"/>
    <w:rsid w:val="00890A7B"/>
    <w:rsid w:val="008919CF"/>
    <w:rsid w:val="0089413A"/>
    <w:rsid w:val="00894303"/>
    <w:rsid w:val="008943A7"/>
    <w:rsid w:val="00894C7D"/>
    <w:rsid w:val="00894FDB"/>
    <w:rsid w:val="0089768D"/>
    <w:rsid w:val="008A09A6"/>
    <w:rsid w:val="008A173D"/>
    <w:rsid w:val="008A20DF"/>
    <w:rsid w:val="008A6D79"/>
    <w:rsid w:val="008A6D8C"/>
    <w:rsid w:val="008B00A6"/>
    <w:rsid w:val="008B0EA8"/>
    <w:rsid w:val="008B1243"/>
    <w:rsid w:val="008B2769"/>
    <w:rsid w:val="008B3AF3"/>
    <w:rsid w:val="008B4123"/>
    <w:rsid w:val="008B4D13"/>
    <w:rsid w:val="008B4D1A"/>
    <w:rsid w:val="008B56CD"/>
    <w:rsid w:val="008B74CB"/>
    <w:rsid w:val="008B79A3"/>
    <w:rsid w:val="008C18EA"/>
    <w:rsid w:val="008C45AA"/>
    <w:rsid w:val="008C52E8"/>
    <w:rsid w:val="008C76A2"/>
    <w:rsid w:val="008D11C7"/>
    <w:rsid w:val="008D164B"/>
    <w:rsid w:val="008D1833"/>
    <w:rsid w:val="008D40C3"/>
    <w:rsid w:val="008D5593"/>
    <w:rsid w:val="008D677B"/>
    <w:rsid w:val="008D7F1C"/>
    <w:rsid w:val="008E5C24"/>
    <w:rsid w:val="008F017D"/>
    <w:rsid w:val="008F3D73"/>
    <w:rsid w:val="008F4AC3"/>
    <w:rsid w:val="008F6DFD"/>
    <w:rsid w:val="008F7DB9"/>
    <w:rsid w:val="00902A26"/>
    <w:rsid w:val="009036FC"/>
    <w:rsid w:val="00906DD5"/>
    <w:rsid w:val="00907D6F"/>
    <w:rsid w:val="00910C1D"/>
    <w:rsid w:val="009130D7"/>
    <w:rsid w:val="009135DB"/>
    <w:rsid w:val="00925808"/>
    <w:rsid w:val="00926331"/>
    <w:rsid w:val="00927154"/>
    <w:rsid w:val="00931269"/>
    <w:rsid w:val="00934020"/>
    <w:rsid w:val="009342A5"/>
    <w:rsid w:val="00935508"/>
    <w:rsid w:val="00936271"/>
    <w:rsid w:val="00937015"/>
    <w:rsid w:val="00937712"/>
    <w:rsid w:val="00940013"/>
    <w:rsid w:val="0094259B"/>
    <w:rsid w:val="009425BF"/>
    <w:rsid w:val="0094262A"/>
    <w:rsid w:val="00943205"/>
    <w:rsid w:val="00944791"/>
    <w:rsid w:val="0094753B"/>
    <w:rsid w:val="009518FA"/>
    <w:rsid w:val="009542A7"/>
    <w:rsid w:val="00954338"/>
    <w:rsid w:val="0095552F"/>
    <w:rsid w:val="0095696D"/>
    <w:rsid w:val="0095702C"/>
    <w:rsid w:val="0096014B"/>
    <w:rsid w:val="009616A1"/>
    <w:rsid w:val="00962424"/>
    <w:rsid w:val="009636B9"/>
    <w:rsid w:val="0096424D"/>
    <w:rsid w:val="0096771D"/>
    <w:rsid w:val="00971B94"/>
    <w:rsid w:val="00972156"/>
    <w:rsid w:val="00972CD1"/>
    <w:rsid w:val="00974194"/>
    <w:rsid w:val="009756CF"/>
    <w:rsid w:val="00976DF8"/>
    <w:rsid w:val="00980087"/>
    <w:rsid w:val="00980CA9"/>
    <w:rsid w:val="00981A0E"/>
    <w:rsid w:val="00982635"/>
    <w:rsid w:val="00982D93"/>
    <w:rsid w:val="00983A59"/>
    <w:rsid w:val="00984073"/>
    <w:rsid w:val="0098612A"/>
    <w:rsid w:val="009868A4"/>
    <w:rsid w:val="00986E5F"/>
    <w:rsid w:val="00987300"/>
    <w:rsid w:val="0099092A"/>
    <w:rsid w:val="009910F2"/>
    <w:rsid w:val="00992DF4"/>
    <w:rsid w:val="00995840"/>
    <w:rsid w:val="009A0C5E"/>
    <w:rsid w:val="009A34C4"/>
    <w:rsid w:val="009A6DA8"/>
    <w:rsid w:val="009B0B45"/>
    <w:rsid w:val="009B2FB4"/>
    <w:rsid w:val="009B3252"/>
    <w:rsid w:val="009B32D3"/>
    <w:rsid w:val="009B6784"/>
    <w:rsid w:val="009C176F"/>
    <w:rsid w:val="009C21EF"/>
    <w:rsid w:val="009C2E5D"/>
    <w:rsid w:val="009C4253"/>
    <w:rsid w:val="009C4C23"/>
    <w:rsid w:val="009C75A6"/>
    <w:rsid w:val="009C7BD7"/>
    <w:rsid w:val="009D023F"/>
    <w:rsid w:val="009D09BE"/>
    <w:rsid w:val="009D2FF7"/>
    <w:rsid w:val="009D3D4F"/>
    <w:rsid w:val="009D6450"/>
    <w:rsid w:val="009D64D8"/>
    <w:rsid w:val="009D6CA5"/>
    <w:rsid w:val="009D7DD1"/>
    <w:rsid w:val="009E11FB"/>
    <w:rsid w:val="009E2003"/>
    <w:rsid w:val="009E6E63"/>
    <w:rsid w:val="009E6F5E"/>
    <w:rsid w:val="009E7C84"/>
    <w:rsid w:val="009F0F36"/>
    <w:rsid w:val="009F3832"/>
    <w:rsid w:val="009F528F"/>
    <w:rsid w:val="00A00C6B"/>
    <w:rsid w:val="00A01D3B"/>
    <w:rsid w:val="00A0398F"/>
    <w:rsid w:val="00A055DD"/>
    <w:rsid w:val="00A05910"/>
    <w:rsid w:val="00A065BC"/>
    <w:rsid w:val="00A06BA6"/>
    <w:rsid w:val="00A06D83"/>
    <w:rsid w:val="00A06DAB"/>
    <w:rsid w:val="00A07CCF"/>
    <w:rsid w:val="00A07FDD"/>
    <w:rsid w:val="00A1029D"/>
    <w:rsid w:val="00A116EB"/>
    <w:rsid w:val="00A1304C"/>
    <w:rsid w:val="00A15446"/>
    <w:rsid w:val="00A155A2"/>
    <w:rsid w:val="00A15EE4"/>
    <w:rsid w:val="00A217FE"/>
    <w:rsid w:val="00A23273"/>
    <w:rsid w:val="00A2474E"/>
    <w:rsid w:val="00A24D6C"/>
    <w:rsid w:val="00A2769F"/>
    <w:rsid w:val="00A30A44"/>
    <w:rsid w:val="00A31D5A"/>
    <w:rsid w:val="00A31EA6"/>
    <w:rsid w:val="00A325A1"/>
    <w:rsid w:val="00A33EEC"/>
    <w:rsid w:val="00A36E85"/>
    <w:rsid w:val="00A407C0"/>
    <w:rsid w:val="00A428B9"/>
    <w:rsid w:val="00A43311"/>
    <w:rsid w:val="00A4358F"/>
    <w:rsid w:val="00A43A44"/>
    <w:rsid w:val="00A44027"/>
    <w:rsid w:val="00A44165"/>
    <w:rsid w:val="00A4465E"/>
    <w:rsid w:val="00A4666F"/>
    <w:rsid w:val="00A50429"/>
    <w:rsid w:val="00A507E8"/>
    <w:rsid w:val="00A51919"/>
    <w:rsid w:val="00A5277D"/>
    <w:rsid w:val="00A55F7F"/>
    <w:rsid w:val="00A57FA4"/>
    <w:rsid w:val="00A60383"/>
    <w:rsid w:val="00A66D69"/>
    <w:rsid w:val="00A7136B"/>
    <w:rsid w:val="00A71381"/>
    <w:rsid w:val="00A715C3"/>
    <w:rsid w:val="00A74D9D"/>
    <w:rsid w:val="00A75346"/>
    <w:rsid w:val="00A80639"/>
    <w:rsid w:val="00A8139E"/>
    <w:rsid w:val="00A83107"/>
    <w:rsid w:val="00A83125"/>
    <w:rsid w:val="00A86B4E"/>
    <w:rsid w:val="00A86F42"/>
    <w:rsid w:val="00A873FE"/>
    <w:rsid w:val="00A9118A"/>
    <w:rsid w:val="00A93792"/>
    <w:rsid w:val="00A93BB4"/>
    <w:rsid w:val="00A93C9A"/>
    <w:rsid w:val="00AA5D1D"/>
    <w:rsid w:val="00AA631D"/>
    <w:rsid w:val="00AA6A0A"/>
    <w:rsid w:val="00AB1C05"/>
    <w:rsid w:val="00AB2708"/>
    <w:rsid w:val="00AB5821"/>
    <w:rsid w:val="00AB6180"/>
    <w:rsid w:val="00AB79FD"/>
    <w:rsid w:val="00AC036C"/>
    <w:rsid w:val="00AC23F5"/>
    <w:rsid w:val="00AC2A94"/>
    <w:rsid w:val="00AC348D"/>
    <w:rsid w:val="00AC35BD"/>
    <w:rsid w:val="00AC49B6"/>
    <w:rsid w:val="00AC4FBD"/>
    <w:rsid w:val="00AC5157"/>
    <w:rsid w:val="00AC6899"/>
    <w:rsid w:val="00AC7E9B"/>
    <w:rsid w:val="00AD0EA5"/>
    <w:rsid w:val="00AD7734"/>
    <w:rsid w:val="00AE0C75"/>
    <w:rsid w:val="00AE2897"/>
    <w:rsid w:val="00AE6334"/>
    <w:rsid w:val="00AE782F"/>
    <w:rsid w:val="00AF154C"/>
    <w:rsid w:val="00AF2FA1"/>
    <w:rsid w:val="00AF469C"/>
    <w:rsid w:val="00AF4C60"/>
    <w:rsid w:val="00AF57D6"/>
    <w:rsid w:val="00AF5C53"/>
    <w:rsid w:val="00B04294"/>
    <w:rsid w:val="00B04302"/>
    <w:rsid w:val="00B0445E"/>
    <w:rsid w:val="00B0502C"/>
    <w:rsid w:val="00B06D4A"/>
    <w:rsid w:val="00B11214"/>
    <w:rsid w:val="00B13CFF"/>
    <w:rsid w:val="00B142AE"/>
    <w:rsid w:val="00B15212"/>
    <w:rsid w:val="00B170C0"/>
    <w:rsid w:val="00B20164"/>
    <w:rsid w:val="00B20CFC"/>
    <w:rsid w:val="00B2200D"/>
    <w:rsid w:val="00B23F4A"/>
    <w:rsid w:val="00B2591E"/>
    <w:rsid w:val="00B32070"/>
    <w:rsid w:val="00B3313A"/>
    <w:rsid w:val="00B33515"/>
    <w:rsid w:val="00B35966"/>
    <w:rsid w:val="00B40A06"/>
    <w:rsid w:val="00B40C40"/>
    <w:rsid w:val="00B40DDD"/>
    <w:rsid w:val="00B41159"/>
    <w:rsid w:val="00B413C5"/>
    <w:rsid w:val="00B41FB0"/>
    <w:rsid w:val="00B4267D"/>
    <w:rsid w:val="00B42ADC"/>
    <w:rsid w:val="00B43670"/>
    <w:rsid w:val="00B457CD"/>
    <w:rsid w:val="00B47EAF"/>
    <w:rsid w:val="00B509DE"/>
    <w:rsid w:val="00B512CD"/>
    <w:rsid w:val="00B54952"/>
    <w:rsid w:val="00B5605C"/>
    <w:rsid w:val="00B5646F"/>
    <w:rsid w:val="00B564A2"/>
    <w:rsid w:val="00B6205C"/>
    <w:rsid w:val="00B6246D"/>
    <w:rsid w:val="00B62EE8"/>
    <w:rsid w:val="00B6427C"/>
    <w:rsid w:val="00B65942"/>
    <w:rsid w:val="00B65B83"/>
    <w:rsid w:val="00B66272"/>
    <w:rsid w:val="00B662BC"/>
    <w:rsid w:val="00B711AF"/>
    <w:rsid w:val="00B75077"/>
    <w:rsid w:val="00B75102"/>
    <w:rsid w:val="00B7619D"/>
    <w:rsid w:val="00B7792A"/>
    <w:rsid w:val="00B81CA7"/>
    <w:rsid w:val="00B8303B"/>
    <w:rsid w:val="00B85F7B"/>
    <w:rsid w:val="00B86252"/>
    <w:rsid w:val="00B906A2"/>
    <w:rsid w:val="00B90B2F"/>
    <w:rsid w:val="00B91883"/>
    <w:rsid w:val="00B93179"/>
    <w:rsid w:val="00B93312"/>
    <w:rsid w:val="00B941A7"/>
    <w:rsid w:val="00B95E2F"/>
    <w:rsid w:val="00BA2C67"/>
    <w:rsid w:val="00BB1122"/>
    <w:rsid w:val="00BB1239"/>
    <w:rsid w:val="00BB25D8"/>
    <w:rsid w:val="00BB4943"/>
    <w:rsid w:val="00BB4B5D"/>
    <w:rsid w:val="00BB55CF"/>
    <w:rsid w:val="00BC0EE2"/>
    <w:rsid w:val="00BC3DE7"/>
    <w:rsid w:val="00BC4A45"/>
    <w:rsid w:val="00BC6563"/>
    <w:rsid w:val="00BD13B2"/>
    <w:rsid w:val="00BD2F8F"/>
    <w:rsid w:val="00BD4430"/>
    <w:rsid w:val="00BD45C5"/>
    <w:rsid w:val="00BD5DD6"/>
    <w:rsid w:val="00BE0FE4"/>
    <w:rsid w:val="00BE309E"/>
    <w:rsid w:val="00BE51F5"/>
    <w:rsid w:val="00BE5466"/>
    <w:rsid w:val="00BE5853"/>
    <w:rsid w:val="00BE6479"/>
    <w:rsid w:val="00BE7149"/>
    <w:rsid w:val="00BF1E34"/>
    <w:rsid w:val="00BF639A"/>
    <w:rsid w:val="00BF733C"/>
    <w:rsid w:val="00C01536"/>
    <w:rsid w:val="00C02004"/>
    <w:rsid w:val="00C023F2"/>
    <w:rsid w:val="00C030D3"/>
    <w:rsid w:val="00C03936"/>
    <w:rsid w:val="00C04315"/>
    <w:rsid w:val="00C052CA"/>
    <w:rsid w:val="00C06C08"/>
    <w:rsid w:val="00C07FBB"/>
    <w:rsid w:val="00C11B7F"/>
    <w:rsid w:val="00C12D5A"/>
    <w:rsid w:val="00C1368A"/>
    <w:rsid w:val="00C211D7"/>
    <w:rsid w:val="00C2153C"/>
    <w:rsid w:val="00C23507"/>
    <w:rsid w:val="00C23AB3"/>
    <w:rsid w:val="00C23ACC"/>
    <w:rsid w:val="00C23EE3"/>
    <w:rsid w:val="00C25CBA"/>
    <w:rsid w:val="00C25CC6"/>
    <w:rsid w:val="00C26C7F"/>
    <w:rsid w:val="00C271F0"/>
    <w:rsid w:val="00C30352"/>
    <w:rsid w:val="00C32051"/>
    <w:rsid w:val="00C34BF8"/>
    <w:rsid w:val="00C35F6B"/>
    <w:rsid w:val="00C3728F"/>
    <w:rsid w:val="00C406E7"/>
    <w:rsid w:val="00C41A28"/>
    <w:rsid w:val="00C41A8E"/>
    <w:rsid w:val="00C46C7F"/>
    <w:rsid w:val="00C51547"/>
    <w:rsid w:val="00C57D6B"/>
    <w:rsid w:val="00C60CFB"/>
    <w:rsid w:val="00C6272E"/>
    <w:rsid w:val="00C64A7D"/>
    <w:rsid w:val="00C6798D"/>
    <w:rsid w:val="00C704E0"/>
    <w:rsid w:val="00C7077B"/>
    <w:rsid w:val="00C71D7D"/>
    <w:rsid w:val="00C74840"/>
    <w:rsid w:val="00C75A03"/>
    <w:rsid w:val="00C75E6E"/>
    <w:rsid w:val="00C764CE"/>
    <w:rsid w:val="00C7672A"/>
    <w:rsid w:val="00C76CC3"/>
    <w:rsid w:val="00C77F78"/>
    <w:rsid w:val="00C817D6"/>
    <w:rsid w:val="00C81F32"/>
    <w:rsid w:val="00C84068"/>
    <w:rsid w:val="00C86F37"/>
    <w:rsid w:val="00C87556"/>
    <w:rsid w:val="00C8759B"/>
    <w:rsid w:val="00C87693"/>
    <w:rsid w:val="00C92579"/>
    <w:rsid w:val="00C927D5"/>
    <w:rsid w:val="00C92AC4"/>
    <w:rsid w:val="00C92E41"/>
    <w:rsid w:val="00C94B36"/>
    <w:rsid w:val="00C96359"/>
    <w:rsid w:val="00CA0474"/>
    <w:rsid w:val="00CA1E36"/>
    <w:rsid w:val="00CA2C22"/>
    <w:rsid w:val="00CA5392"/>
    <w:rsid w:val="00CA5910"/>
    <w:rsid w:val="00CA5962"/>
    <w:rsid w:val="00CA5A98"/>
    <w:rsid w:val="00CA6E3E"/>
    <w:rsid w:val="00CA7135"/>
    <w:rsid w:val="00CA7B19"/>
    <w:rsid w:val="00CB0B3F"/>
    <w:rsid w:val="00CB0D6E"/>
    <w:rsid w:val="00CB3204"/>
    <w:rsid w:val="00CB545F"/>
    <w:rsid w:val="00CB5C33"/>
    <w:rsid w:val="00CC72C4"/>
    <w:rsid w:val="00CC7EDF"/>
    <w:rsid w:val="00CD0DB4"/>
    <w:rsid w:val="00CD4120"/>
    <w:rsid w:val="00CD67B8"/>
    <w:rsid w:val="00CD76DB"/>
    <w:rsid w:val="00CE36F7"/>
    <w:rsid w:val="00CE4DDA"/>
    <w:rsid w:val="00CE6CD8"/>
    <w:rsid w:val="00CF0FB3"/>
    <w:rsid w:val="00CF3A22"/>
    <w:rsid w:val="00D009C3"/>
    <w:rsid w:val="00D047E6"/>
    <w:rsid w:val="00D04D22"/>
    <w:rsid w:val="00D06E4A"/>
    <w:rsid w:val="00D0737D"/>
    <w:rsid w:val="00D07B9B"/>
    <w:rsid w:val="00D109EE"/>
    <w:rsid w:val="00D1227F"/>
    <w:rsid w:val="00D12F74"/>
    <w:rsid w:val="00D139C0"/>
    <w:rsid w:val="00D1691C"/>
    <w:rsid w:val="00D1794C"/>
    <w:rsid w:val="00D22515"/>
    <w:rsid w:val="00D22DD2"/>
    <w:rsid w:val="00D26031"/>
    <w:rsid w:val="00D27E09"/>
    <w:rsid w:val="00D3032D"/>
    <w:rsid w:val="00D33D62"/>
    <w:rsid w:val="00D346DE"/>
    <w:rsid w:val="00D35627"/>
    <w:rsid w:val="00D35F28"/>
    <w:rsid w:val="00D432CF"/>
    <w:rsid w:val="00D43578"/>
    <w:rsid w:val="00D4431C"/>
    <w:rsid w:val="00D44707"/>
    <w:rsid w:val="00D45BD4"/>
    <w:rsid w:val="00D47936"/>
    <w:rsid w:val="00D504D4"/>
    <w:rsid w:val="00D53797"/>
    <w:rsid w:val="00D53DCF"/>
    <w:rsid w:val="00D56EB5"/>
    <w:rsid w:val="00D61263"/>
    <w:rsid w:val="00D62D6A"/>
    <w:rsid w:val="00D63223"/>
    <w:rsid w:val="00D639CE"/>
    <w:rsid w:val="00D63E63"/>
    <w:rsid w:val="00D66629"/>
    <w:rsid w:val="00D66DC9"/>
    <w:rsid w:val="00D6774B"/>
    <w:rsid w:val="00D738B4"/>
    <w:rsid w:val="00D73DB0"/>
    <w:rsid w:val="00D74278"/>
    <w:rsid w:val="00D747E7"/>
    <w:rsid w:val="00D760BE"/>
    <w:rsid w:val="00D7615D"/>
    <w:rsid w:val="00D80103"/>
    <w:rsid w:val="00D81D58"/>
    <w:rsid w:val="00D83098"/>
    <w:rsid w:val="00D867C1"/>
    <w:rsid w:val="00D87A55"/>
    <w:rsid w:val="00D9047E"/>
    <w:rsid w:val="00D90A80"/>
    <w:rsid w:val="00D915A8"/>
    <w:rsid w:val="00D917E9"/>
    <w:rsid w:val="00D927FC"/>
    <w:rsid w:val="00D92A0D"/>
    <w:rsid w:val="00D93E37"/>
    <w:rsid w:val="00D9550D"/>
    <w:rsid w:val="00D95940"/>
    <w:rsid w:val="00D9596E"/>
    <w:rsid w:val="00D95E4E"/>
    <w:rsid w:val="00D96987"/>
    <w:rsid w:val="00DA0B02"/>
    <w:rsid w:val="00DA39F1"/>
    <w:rsid w:val="00DA5B64"/>
    <w:rsid w:val="00DA752A"/>
    <w:rsid w:val="00DA7F0D"/>
    <w:rsid w:val="00DB38D6"/>
    <w:rsid w:val="00DB39A5"/>
    <w:rsid w:val="00DB5CBF"/>
    <w:rsid w:val="00DC41EA"/>
    <w:rsid w:val="00DC44D8"/>
    <w:rsid w:val="00DC4CEF"/>
    <w:rsid w:val="00DC4E92"/>
    <w:rsid w:val="00DC4F30"/>
    <w:rsid w:val="00DC642E"/>
    <w:rsid w:val="00DC64F1"/>
    <w:rsid w:val="00DC6CC4"/>
    <w:rsid w:val="00DC7A77"/>
    <w:rsid w:val="00DC7CAF"/>
    <w:rsid w:val="00DD00ED"/>
    <w:rsid w:val="00DD06DE"/>
    <w:rsid w:val="00DD2A11"/>
    <w:rsid w:val="00DD416C"/>
    <w:rsid w:val="00DD514F"/>
    <w:rsid w:val="00DD738E"/>
    <w:rsid w:val="00DE2898"/>
    <w:rsid w:val="00DE2C5D"/>
    <w:rsid w:val="00DE5E8F"/>
    <w:rsid w:val="00DE7DC9"/>
    <w:rsid w:val="00DF1D76"/>
    <w:rsid w:val="00DF2E92"/>
    <w:rsid w:val="00DF4F3F"/>
    <w:rsid w:val="00DF62D8"/>
    <w:rsid w:val="00DF7799"/>
    <w:rsid w:val="00E003FD"/>
    <w:rsid w:val="00E00EE6"/>
    <w:rsid w:val="00E01364"/>
    <w:rsid w:val="00E02FDB"/>
    <w:rsid w:val="00E0364B"/>
    <w:rsid w:val="00E0480E"/>
    <w:rsid w:val="00E075D2"/>
    <w:rsid w:val="00E1092D"/>
    <w:rsid w:val="00E111D5"/>
    <w:rsid w:val="00E1129A"/>
    <w:rsid w:val="00E11457"/>
    <w:rsid w:val="00E13189"/>
    <w:rsid w:val="00E14396"/>
    <w:rsid w:val="00E154CE"/>
    <w:rsid w:val="00E1680B"/>
    <w:rsid w:val="00E179CB"/>
    <w:rsid w:val="00E17A96"/>
    <w:rsid w:val="00E2000E"/>
    <w:rsid w:val="00E204EE"/>
    <w:rsid w:val="00E20C75"/>
    <w:rsid w:val="00E210C9"/>
    <w:rsid w:val="00E224FB"/>
    <w:rsid w:val="00E22705"/>
    <w:rsid w:val="00E22820"/>
    <w:rsid w:val="00E2338F"/>
    <w:rsid w:val="00E24FC0"/>
    <w:rsid w:val="00E26C7D"/>
    <w:rsid w:val="00E26EBF"/>
    <w:rsid w:val="00E27E5F"/>
    <w:rsid w:val="00E306EC"/>
    <w:rsid w:val="00E3119B"/>
    <w:rsid w:val="00E31FEC"/>
    <w:rsid w:val="00E33570"/>
    <w:rsid w:val="00E339EC"/>
    <w:rsid w:val="00E339EF"/>
    <w:rsid w:val="00E34404"/>
    <w:rsid w:val="00E40094"/>
    <w:rsid w:val="00E415E8"/>
    <w:rsid w:val="00E42776"/>
    <w:rsid w:val="00E545F8"/>
    <w:rsid w:val="00E550A1"/>
    <w:rsid w:val="00E5638C"/>
    <w:rsid w:val="00E56BE8"/>
    <w:rsid w:val="00E571C7"/>
    <w:rsid w:val="00E601B3"/>
    <w:rsid w:val="00E6263E"/>
    <w:rsid w:val="00E63768"/>
    <w:rsid w:val="00E64C41"/>
    <w:rsid w:val="00E65F88"/>
    <w:rsid w:val="00E6794E"/>
    <w:rsid w:val="00E719E2"/>
    <w:rsid w:val="00E7324B"/>
    <w:rsid w:val="00E74979"/>
    <w:rsid w:val="00E75844"/>
    <w:rsid w:val="00E76775"/>
    <w:rsid w:val="00E80C3B"/>
    <w:rsid w:val="00E81117"/>
    <w:rsid w:val="00E82361"/>
    <w:rsid w:val="00E83742"/>
    <w:rsid w:val="00E83E9A"/>
    <w:rsid w:val="00E84AF6"/>
    <w:rsid w:val="00E861BC"/>
    <w:rsid w:val="00E91638"/>
    <w:rsid w:val="00E92E3A"/>
    <w:rsid w:val="00E92EC9"/>
    <w:rsid w:val="00E939CE"/>
    <w:rsid w:val="00E958B8"/>
    <w:rsid w:val="00EA1192"/>
    <w:rsid w:val="00EA1602"/>
    <w:rsid w:val="00EA1745"/>
    <w:rsid w:val="00EA3386"/>
    <w:rsid w:val="00EA3969"/>
    <w:rsid w:val="00EA44A1"/>
    <w:rsid w:val="00EB19EC"/>
    <w:rsid w:val="00EB2B12"/>
    <w:rsid w:val="00EB3794"/>
    <w:rsid w:val="00EB5832"/>
    <w:rsid w:val="00EB6206"/>
    <w:rsid w:val="00EC07FF"/>
    <w:rsid w:val="00EC1B00"/>
    <w:rsid w:val="00EC2AFD"/>
    <w:rsid w:val="00EC3B55"/>
    <w:rsid w:val="00EC4043"/>
    <w:rsid w:val="00EC69AF"/>
    <w:rsid w:val="00EC6C02"/>
    <w:rsid w:val="00ED0915"/>
    <w:rsid w:val="00ED105A"/>
    <w:rsid w:val="00ED4E03"/>
    <w:rsid w:val="00ED55BB"/>
    <w:rsid w:val="00ED624F"/>
    <w:rsid w:val="00EE0A32"/>
    <w:rsid w:val="00EE1071"/>
    <w:rsid w:val="00EE256A"/>
    <w:rsid w:val="00EE2822"/>
    <w:rsid w:val="00EE3337"/>
    <w:rsid w:val="00EE3674"/>
    <w:rsid w:val="00EE448D"/>
    <w:rsid w:val="00EE511A"/>
    <w:rsid w:val="00EE76AA"/>
    <w:rsid w:val="00EE782E"/>
    <w:rsid w:val="00EF3122"/>
    <w:rsid w:val="00F005B0"/>
    <w:rsid w:val="00F01102"/>
    <w:rsid w:val="00F01F6C"/>
    <w:rsid w:val="00F029FA"/>
    <w:rsid w:val="00F03B53"/>
    <w:rsid w:val="00F0606D"/>
    <w:rsid w:val="00F06736"/>
    <w:rsid w:val="00F1264B"/>
    <w:rsid w:val="00F12DC0"/>
    <w:rsid w:val="00F13344"/>
    <w:rsid w:val="00F13E7F"/>
    <w:rsid w:val="00F145F6"/>
    <w:rsid w:val="00F14745"/>
    <w:rsid w:val="00F210F8"/>
    <w:rsid w:val="00F23440"/>
    <w:rsid w:val="00F24C70"/>
    <w:rsid w:val="00F24E25"/>
    <w:rsid w:val="00F2537D"/>
    <w:rsid w:val="00F254A0"/>
    <w:rsid w:val="00F301E8"/>
    <w:rsid w:val="00F3134C"/>
    <w:rsid w:val="00F325D5"/>
    <w:rsid w:val="00F341EE"/>
    <w:rsid w:val="00F34797"/>
    <w:rsid w:val="00F34ACD"/>
    <w:rsid w:val="00F37588"/>
    <w:rsid w:val="00F37BF9"/>
    <w:rsid w:val="00F4468D"/>
    <w:rsid w:val="00F4558D"/>
    <w:rsid w:val="00F458E7"/>
    <w:rsid w:val="00F45D0B"/>
    <w:rsid w:val="00F45E0F"/>
    <w:rsid w:val="00F46404"/>
    <w:rsid w:val="00F47DB3"/>
    <w:rsid w:val="00F55E0C"/>
    <w:rsid w:val="00F5698B"/>
    <w:rsid w:val="00F575DA"/>
    <w:rsid w:val="00F605C9"/>
    <w:rsid w:val="00F60AC7"/>
    <w:rsid w:val="00F620F8"/>
    <w:rsid w:val="00F645E1"/>
    <w:rsid w:val="00F647E1"/>
    <w:rsid w:val="00F66096"/>
    <w:rsid w:val="00F66D2A"/>
    <w:rsid w:val="00F6757E"/>
    <w:rsid w:val="00F679BD"/>
    <w:rsid w:val="00F67D73"/>
    <w:rsid w:val="00F72AAE"/>
    <w:rsid w:val="00F72B21"/>
    <w:rsid w:val="00F73E1E"/>
    <w:rsid w:val="00F8184D"/>
    <w:rsid w:val="00F8191E"/>
    <w:rsid w:val="00F81B2D"/>
    <w:rsid w:val="00F82908"/>
    <w:rsid w:val="00F83884"/>
    <w:rsid w:val="00F83BA3"/>
    <w:rsid w:val="00F86BC0"/>
    <w:rsid w:val="00F87E2E"/>
    <w:rsid w:val="00F90BCA"/>
    <w:rsid w:val="00F91E0A"/>
    <w:rsid w:val="00F94E2A"/>
    <w:rsid w:val="00F94FD8"/>
    <w:rsid w:val="00F96B1B"/>
    <w:rsid w:val="00FA0288"/>
    <w:rsid w:val="00FA1D63"/>
    <w:rsid w:val="00FA33B9"/>
    <w:rsid w:val="00FA41A4"/>
    <w:rsid w:val="00FA4B07"/>
    <w:rsid w:val="00FA5272"/>
    <w:rsid w:val="00FA5401"/>
    <w:rsid w:val="00FA636A"/>
    <w:rsid w:val="00FB1A7D"/>
    <w:rsid w:val="00FB2414"/>
    <w:rsid w:val="00FB4745"/>
    <w:rsid w:val="00FB548E"/>
    <w:rsid w:val="00FC18AD"/>
    <w:rsid w:val="00FC7497"/>
    <w:rsid w:val="00FC7DFD"/>
    <w:rsid w:val="00FD1C68"/>
    <w:rsid w:val="00FD1F3A"/>
    <w:rsid w:val="00FD3AF7"/>
    <w:rsid w:val="00FD5DC9"/>
    <w:rsid w:val="00FD65AB"/>
    <w:rsid w:val="00FD69CE"/>
    <w:rsid w:val="00FD6DA4"/>
    <w:rsid w:val="00FD7827"/>
    <w:rsid w:val="00FE177F"/>
    <w:rsid w:val="00FE59B8"/>
    <w:rsid w:val="00FE698E"/>
    <w:rsid w:val="00FE6B44"/>
    <w:rsid w:val="00FF3718"/>
    <w:rsid w:val="00FF4F21"/>
    <w:rsid w:val="00FF5766"/>
    <w:rsid w:val="00FF7743"/>
    <w:rsid w:val="00FF7EF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327265AE"/>
  <w14:defaultImageDpi w14:val="330"/>
  <w15:docId w15:val="{7720942B-2FAD-4A19-8CF5-B582D5F9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1117"/>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031E14"/>
    <w:pPr>
      <w:keepNext/>
      <w:spacing w:after="240"/>
      <w:outlineLvl w:val="0"/>
    </w:pPr>
    <w:rPr>
      <w:rFonts w:ascii="Garamond" w:eastAsia="Times New Roman" w:hAnsi="Garamond"/>
      <w:b/>
      <w:bCs/>
      <w:kern w:val="32"/>
      <w:sz w:val="28"/>
      <w:szCs w:val="32"/>
    </w:rPr>
  </w:style>
  <w:style w:type="paragraph" w:styleId="Heading2">
    <w:name w:val="heading 2"/>
    <w:basedOn w:val="Normal"/>
    <w:next w:val="Normal"/>
    <w:link w:val="Heading2Char"/>
    <w:uiPriority w:val="9"/>
    <w:unhideWhenUsed/>
    <w:qFormat/>
    <w:rsid w:val="005251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31E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D412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D41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414"/>
    <w:pPr>
      <w:tabs>
        <w:tab w:val="center" w:pos="4320"/>
        <w:tab w:val="right" w:pos="8640"/>
      </w:tabs>
    </w:pPr>
  </w:style>
  <w:style w:type="character" w:customStyle="1" w:styleId="HeaderChar">
    <w:name w:val="Header Char"/>
    <w:basedOn w:val="DefaultParagraphFont"/>
    <w:link w:val="Header"/>
    <w:uiPriority w:val="99"/>
    <w:rsid w:val="00FB2414"/>
    <w:rPr>
      <w:sz w:val="24"/>
      <w:szCs w:val="24"/>
      <w:lang w:val="en-US" w:eastAsia="en-US"/>
    </w:rPr>
  </w:style>
  <w:style w:type="paragraph" w:styleId="Footer">
    <w:name w:val="footer"/>
    <w:basedOn w:val="Normal"/>
    <w:link w:val="FooterChar"/>
    <w:uiPriority w:val="99"/>
    <w:unhideWhenUsed/>
    <w:rsid w:val="00FB2414"/>
    <w:pPr>
      <w:tabs>
        <w:tab w:val="center" w:pos="4320"/>
        <w:tab w:val="right" w:pos="8640"/>
      </w:tabs>
    </w:pPr>
  </w:style>
  <w:style w:type="character" w:customStyle="1" w:styleId="FooterChar">
    <w:name w:val="Footer Char"/>
    <w:basedOn w:val="DefaultParagraphFont"/>
    <w:link w:val="Footer"/>
    <w:uiPriority w:val="99"/>
    <w:rsid w:val="00FB2414"/>
    <w:rPr>
      <w:sz w:val="24"/>
      <w:szCs w:val="24"/>
      <w:lang w:val="en-US" w:eastAsia="en-US"/>
    </w:rPr>
  </w:style>
  <w:style w:type="paragraph" w:styleId="BalloonText">
    <w:name w:val="Balloon Text"/>
    <w:basedOn w:val="Normal"/>
    <w:link w:val="BalloonTextChar"/>
    <w:uiPriority w:val="99"/>
    <w:semiHidden/>
    <w:unhideWhenUsed/>
    <w:rsid w:val="00FB24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414"/>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031E14"/>
    <w:rPr>
      <w:rFonts w:ascii="Garamond" w:eastAsia="Times New Roman" w:hAnsi="Garamond"/>
      <w:b/>
      <w:bCs/>
      <w:kern w:val="32"/>
      <w:sz w:val="28"/>
      <w:szCs w:val="32"/>
      <w:lang w:eastAsia="en-US"/>
    </w:rPr>
  </w:style>
  <w:style w:type="paragraph" w:styleId="BodyText">
    <w:name w:val="Body Text"/>
    <w:basedOn w:val="Normal"/>
    <w:link w:val="BodyTextChar"/>
    <w:rsid w:val="00031E14"/>
    <w:pPr>
      <w:spacing w:after="0" w:line="240" w:lineRule="auto"/>
      <w:jc w:val="both"/>
    </w:pPr>
    <w:rPr>
      <w:rFonts w:ascii="Times New Roman" w:eastAsia="Times New Roman" w:hAnsi="Times New Roman"/>
      <w:b/>
      <w:bCs/>
      <w:i/>
      <w:iCs/>
      <w:sz w:val="24"/>
      <w:szCs w:val="24"/>
    </w:rPr>
  </w:style>
  <w:style w:type="character" w:customStyle="1" w:styleId="BodyTextChar">
    <w:name w:val="Body Text Char"/>
    <w:basedOn w:val="DefaultParagraphFont"/>
    <w:link w:val="BodyText"/>
    <w:rsid w:val="00031E14"/>
    <w:rPr>
      <w:rFonts w:eastAsia="Times New Roman"/>
      <w:b/>
      <w:bCs/>
      <w:i/>
      <w:iCs/>
      <w:sz w:val="24"/>
      <w:szCs w:val="24"/>
      <w:lang w:eastAsia="en-US"/>
    </w:rPr>
  </w:style>
  <w:style w:type="paragraph" w:styleId="NoSpacing">
    <w:name w:val="No Spacing"/>
    <w:uiPriority w:val="1"/>
    <w:qFormat/>
    <w:rsid w:val="00031E14"/>
    <w:rPr>
      <w:rFonts w:ascii="Calibri" w:eastAsia="Times New Roman" w:hAnsi="Calibri"/>
      <w:sz w:val="22"/>
      <w:szCs w:val="22"/>
      <w:lang w:eastAsia="en-AU"/>
    </w:rPr>
  </w:style>
  <w:style w:type="character" w:customStyle="1" w:styleId="Heading3Char">
    <w:name w:val="Heading 3 Char"/>
    <w:basedOn w:val="DefaultParagraphFont"/>
    <w:link w:val="Heading3"/>
    <w:uiPriority w:val="9"/>
    <w:rsid w:val="00031E14"/>
    <w:rPr>
      <w:rFonts w:asciiTheme="majorHAnsi" w:eastAsiaTheme="majorEastAsia" w:hAnsiTheme="majorHAnsi" w:cstheme="majorBidi"/>
      <w:color w:val="243F60" w:themeColor="accent1" w:themeShade="7F"/>
      <w:sz w:val="24"/>
      <w:szCs w:val="24"/>
      <w:lang w:eastAsia="en-US"/>
    </w:rPr>
  </w:style>
  <w:style w:type="paragraph" w:styleId="ListParagraph">
    <w:name w:val="List Paragraph"/>
    <w:basedOn w:val="Normal"/>
    <w:uiPriority w:val="34"/>
    <w:qFormat/>
    <w:rsid w:val="006D297B"/>
    <w:pPr>
      <w:ind w:left="720"/>
      <w:contextualSpacing/>
    </w:pPr>
  </w:style>
  <w:style w:type="character" w:customStyle="1" w:styleId="Heading2Char">
    <w:name w:val="Heading 2 Char"/>
    <w:basedOn w:val="DefaultParagraphFont"/>
    <w:link w:val="Heading2"/>
    <w:uiPriority w:val="9"/>
    <w:rsid w:val="00525111"/>
    <w:rPr>
      <w:rFonts w:asciiTheme="majorHAnsi" w:eastAsiaTheme="majorEastAsia" w:hAnsiTheme="majorHAnsi" w:cstheme="majorBidi"/>
      <w:color w:val="365F91" w:themeColor="accent1" w:themeShade="BF"/>
      <w:sz w:val="26"/>
      <w:szCs w:val="26"/>
      <w:lang w:eastAsia="en-US"/>
    </w:rPr>
  </w:style>
  <w:style w:type="paragraph" w:styleId="FootnoteText">
    <w:name w:val="footnote text"/>
    <w:basedOn w:val="Normal"/>
    <w:link w:val="FootnoteTextChar"/>
    <w:uiPriority w:val="99"/>
    <w:unhideWhenUsed/>
    <w:rsid w:val="00525111"/>
    <w:pPr>
      <w:spacing w:after="0" w:line="240" w:lineRule="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525111"/>
    <w:rPr>
      <w:rFonts w:asciiTheme="minorHAnsi" w:eastAsiaTheme="minorHAnsi" w:hAnsiTheme="minorHAnsi" w:cstheme="minorBidi"/>
      <w:lang w:val="en-GB" w:eastAsia="en-US"/>
    </w:rPr>
  </w:style>
  <w:style w:type="character" w:styleId="FootnoteReference">
    <w:name w:val="footnote reference"/>
    <w:basedOn w:val="DefaultParagraphFont"/>
    <w:uiPriority w:val="99"/>
    <w:unhideWhenUsed/>
    <w:rsid w:val="00525111"/>
    <w:rPr>
      <w:vertAlign w:val="superscript"/>
    </w:rPr>
  </w:style>
  <w:style w:type="character" w:customStyle="1" w:styleId="Heading4Char">
    <w:name w:val="Heading 4 Char"/>
    <w:basedOn w:val="DefaultParagraphFont"/>
    <w:link w:val="Heading4"/>
    <w:uiPriority w:val="9"/>
    <w:rsid w:val="00CD4120"/>
    <w:rPr>
      <w:rFonts w:asciiTheme="majorHAnsi" w:eastAsiaTheme="majorEastAsia" w:hAnsiTheme="majorHAnsi" w:cstheme="majorBidi"/>
      <w:i/>
      <w:iCs/>
      <w:color w:val="365F91" w:themeColor="accent1" w:themeShade="BF"/>
      <w:sz w:val="22"/>
      <w:szCs w:val="22"/>
      <w:lang w:eastAsia="en-US"/>
    </w:rPr>
  </w:style>
  <w:style w:type="character" w:customStyle="1" w:styleId="Heading5Char">
    <w:name w:val="Heading 5 Char"/>
    <w:basedOn w:val="DefaultParagraphFont"/>
    <w:link w:val="Heading5"/>
    <w:uiPriority w:val="9"/>
    <w:rsid w:val="00CD4120"/>
    <w:rPr>
      <w:rFonts w:asciiTheme="majorHAnsi" w:eastAsiaTheme="majorEastAsia" w:hAnsiTheme="majorHAnsi" w:cstheme="majorBidi"/>
      <w:color w:val="365F91" w:themeColor="accent1" w:themeShade="BF"/>
      <w:sz w:val="22"/>
      <w:szCs w:val="22"/>
      <w:lang w:eastAsia="en-US"/>
    </w:rPr>
  </w:style>
  <w:style w:type="character" w:styleId="CommentReference">
    <w:name w:val="annotation reference"/>
    <w:basedOn w:val="DefaultParagraphFont"/>
    <w:uiPriority w:val="99"/>
    <w:semiHidden/>
    <w:unhideWhenUsed/>
    <w:rsid w:val="00876AA9"/>
    <w:rPr>
      <w:sz w:val="16"/>
      <w:szCs w:val="16"/>
    </w:rPr>
  </w:style>
  <w:style w:type="paragraph" w:styleId="CommentText">
    <w:name w:val="annotation text"/>
    <w:basedOn w:val="Normal"/>
    <w:link w:val="CommentTextChar"/>
    <w:uiPriority w:val="99"/>
    <w:semiHidden/>
    <w:unhideWhenUsed/>
    <w:rsid w:val="00876AA9"/>
    <w:pPr>
      <w:spacing w:line="240" w:lineRule="auto"/>
    </w:pPr>
    <w:rPr>
      <w:sz w:val="20"/>
      <w:szCs w:val="20"/>
    </w:rPr>
  </w:style>
  <w:style w:type="character" w:customStyle="1" w:styleId="CommentTextChar">
    <w:name w:val="Comment Text Char"/>
    <w:basedOn w:val="DefaultParagraphFont"/>
    <w:link w:val="CommentText"/>
    <w:uiPriority w:val="99"/>
    <w:semiHidden/>
    <w:rsid w:val="00876AA9"/>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876AA9"/>
    <w:rPr>
      <w:b/>
      <w:bCs/>
    </w:rPr>
  </w:style>
  <w:style w:type="character" w:customStyle="1" w:styleId="CommentSubjectChar">
    <w:name w:val="Comment Subject Char"/>
    <w:basedOn w:val="CommentTextChar"/>
    <w:link w:val="CommentSubject"/>
    <w:uiPriority w:val="99"/>
    <w:semiHidden/>
    <w:rsid w:val="00876AA9"/>
    <w:rPr>
      <w:rFonts w:ascii="Calibri" w:eastAsia="Calibri" w:hAnsi="Calibri"/>
      <w:b/>
      <w:bCs/>
      <w:lang w:eastAsia="en-US"/>
    </w:rPr>
  </w:style>
  <w:style w:type="paragraph" w:styleId="TOCHeading">
    <w:name w:val="TOC Heading"/>
    <w:basedOn w:val="Heading1"/>
    <w:next w:val="Normal"/>
    <w:uiPriority w:val="39"/>
    <w:unhideWhenUsed/>
    <w:qFormat/>
    <w:rsid w:val="007340CA"/>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3">
    <w:name w:val="toc 3"/>
    <w:basedOn w:val="Normal"/>
    <w:next w:val="Normal"/>
    <w:autoRedefine/>
    <w:uiPriority w:val="39"/>
    <w:unhideWhenUsed/>
    <w:rsid w:val="007340CA"/>
    <w:pPr>
      <w:spacing w:after="100"/>
      <w:ind w:left="440"/>
    </w:pPr>
  </w:style>
  <w:style w:type="paragraph" w:styleId="TOC1">
    <w:name w:val="toc 1"/>
    <w:basedOn w:val="Normal"/>
    <w:next w:val="Normal"/>
    <w:autoRedefine/>
    <w:uiPriority w:val="39"/>
    <w:unhideWhenUsed/>
    <w:rsid w:val="007340CA"/>
    <w:pPr>
      <w:spacing w:after="100"/>
    </w:pPr>
  </w:style>
  <w:style w:type="paragraph" w:styleId="TOC2">
    <w:name w:val="toc 2"/>
    <w:basedOn w:val="Normal"/>
    <w:next w:val="Normal"/>
    <w:autoRedefine/>
    <w:uiPriority w:val="39"/>
    <w:unhideWhenUsed/>
    <w:rsid w:val="007340CA"/>
    <w:pPr>
      <w:spacing w:after="100"/>
      <w:ind w:left="220"/>
    </w:pPr>
  </w:style>
  <w:style w:type="character" w:styleId="Hyperlink">
    <w:name w:val="Hyperlink"/>
    <w:basedOn w:val="DefaultParagraphFont"/>
    <w:uiPriority w:val="99"/>
    <w:unhideWhenUsed/>
    <w:rsid w:val="007340CA"/>
    <w:rPr>
      <w:color w:val="0000FF" w:themeColor="hyperlink"/>
      <w:u w:val="single"/>
    </w:rPr>
  </w:style>
  <w:style w:type="table" w:styleId="TableGrid">
    <w:name w:val="Table Grid"/>
    <w:basedOn w:val="TableNormal"/>
    <w:uiPriority w:val="59"/>
    <w:rsid w:val="008B7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32468"/>
    <w:rPr>
      <w:color w:val="605E5C"/>
      <w:shd w:val="clear" w:color="auto" w:fill="E1DFDD"/>
    </w:rPr>
  </w:style>
  <w:style w:type="paragraph" w:styleId="EndnoteText">
    <w:name w:val="endnote text"/>
    <w:basedOn w:val="Normal"/>
    <w:link w:val="EndnoteTextChar"/>
    <w:uiPriority w:val="99"/>
    <w:semiHidden/>
    <w:unhideWhenUsed/>
    <w:rsid w:val="00A06D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6D83"/>
    <w:rPr>
      <w:rFonts w:ascii="Calibri" w:eastAsia="Calibri" w:hAnsi="Calibri"/>
      <w:lang w:eastAsia="en-US"/>
    </w:rPr>
  </w:style>
  <w:style w:type="character" w:styleId="EndnoteReference">
    <w:name w:val="endnote reference"/>
    <w:basedOn w:val="DefaultParagraphFont"/>
    <w:uiPriority w:val="99"/>
    <w:semiHidden/>
    <w:unhideWhenUsed/>
    <w:rsid w:val="00A06D83"/>
    <w:rPr>
      <w:vertAlign w:val="superscript"/>
    </w:rPr>
  </w:style>
  <w:style w:type="paragraph" w:styleId="Revision">
    <w:name w:val="Revision"/>
    <w:hidden/>
    <w:uiPriority w:val="99"/>
    <w:semiHidden/>
    <w:rsid w:val="009A34C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71299">
      <w:bodyDiv w:val="1"/>
      <w:marLeft w:val="0"/>
      <w:marRight w:val="0"/>
      <w:marTop w:val="0"/>
      <w:marBottom w:val="0"/>
      <w:divBdr>
        <w:top w:val="none" w:sz="0" w:space="0" w:color="auto"/>
        <w:left w:val="none" w:sz="0" w:space="0" w:color="auto"/>
        <w:bottom w:val="none" w:sz="0" w:space="0" w:color="auto"/>
        <w:right w:val="none" w:sz="0" w:space="0" w:color="auto"/>
      </w:divBdr>
    </w:div>
    <w:div w:id="693117424">
      <w:bodyDiv w:val="1"/>
      <w:marLeft w:val="0"/>
      <w:marRight w:val="0"/>
      <w:marTop w:val="0"/>
      <w:marBottom w:val="0"/>
      <w:divBdr>
        <w:top w:val="none" w:sz="0" w:space="0" w:color="auto"/>
        <w:left w:val="none" w:sz="0" w:space="0" w:color="auto"/>
        <w:bottom w:val="none" w:sz="0" w:space="0" w:color="auto"/>
        <w:right w:val="none" w:sz="0" w:space="0" w:color="auto"/>
      </w:divBdr>
    </w:div>
    <w:div w:id="1407921480">
      <w:bodyDiv w:val="1"/>
      <w:marLeft w:val="0"/>
      <w:marRight w:val="0"/>
      <w:marTop w:val="0"/>
      <w:marBottom w:val="0"/>
      <w:divBdr>
        <w:top w:val="none" w:sz="0" w:space="0" w:color="auto"/>
        <w:left w:val="none" w:sz="0" w:space="0" w:color="auto"/>
        <w:bottom w:val="none" w:sz="0" w:space="0" w:color="auto"/>
        <w:right w:val="none" w:sz="0" w:space="0" w:color="auto"/>
      </w:divBdr>
    </w:div>
    <w:div w:id="1490058230">
      <w:bodyDiv w:val="1"/>
      <w:marLeft w:val="0"/>
      <w:marRight w:val="0"/>
      <w:marTop w:val="0"/>
      <w:marBottom w:val="0"/>
      <w:divBdr>
        <w:top w:val="none" w:sz="0" w:space="0" w:color="auto"/>
        <w:left w:val="none" w:sz="0" w:space="0" w:color="auto"/>
        <w:bottom w:val="none" w:sz="0" w:space="0" w:color="auto"/>
        <w:right w:val="none" w:sz="0" w:space="0" w:color="auto"/>
      </w:divBdr>
      <w:divsChild>
        <w:div w:id="863206708">
          <w:marLeft w:val="0"/>
          <w:marRight w:val="0"/>
          <w:marTop w:val="0"/>
          <w:marBottom w:val="0"/>
          <w:divBdr>
            <w:top w:val="none" w:sz="0" w:space="0" w:color="auto"/>
            <w:left w:val="none" w:sz="0" w:space="0" w:color="auto"/>
            <w:bottom w:val="none" w:sz="0" w:space="0" w:color="auto"/>
            <w:right w:val="none" w:sz="0" w:space="0" w:color="auto"/>
          </w:divBdr>
          <w:divsChild>
            <w:div w:id="307171180">
              <w:marLeft w:val="0"/>
              <w:marRight w:val="0"/>
              <w:marTop w:val="0"/>
              <w:marBottom w:val="0"/>
              <w:divBdr>
                <w:top w:val="none" w:sz="0" w:space="0" w:color="auto"/>
                <w:left w:val="none" w:sz="0" w:space="0" w:color="auto"/>
                <w:bottom w:val="none" w:sz="0" w:space="0" w:color="auto"/>
                <w:right w:val="none" w:sz="0" w:space="0" w:color="auto"/>
              </w:divBdr>
              <w:divsChild>
                <w:div w:id="627591627">
                  <w:marLeft w:val="0"/>
                  <w:marRight w:val="0"/>
                  <w:marTop w:val="0"/>
                  <w:marBottom w:val="0"/>
                  <w:divBdr>
                    <w:top w:val="none" w:sz="0" w:space="0" w:color="auto"/>
                    <w:left w:val="none" w:sz="0" w:space="0" w:color="auto"/>
                    <w:bottom w:val="none" w:sz="0" w:space="0" w:color="auto"/>
                    <w:right w:val="none" w:sz="0" w:space="0" w:color="auto"/>
                  </w:divBdr>
                  <w:divsChild>
                    <w:div w:id="1851723388">
                      <w:marLeft w:val="0"/>
                      <w:marRight w:val="0"/>
                      <w:marTop w:val="0"/>
                      <w:marBottom w:val="0"/>
                      <w:divBdr>
                        <w:top w:val="none" w:sz="0" w:space="0" w:color="auto"/>
                        <w:left w:val="none" w:sz="0" w:space="0" w:color="auto"/>
                        <w:bottom w:val="none" w:sz="0" w:space="0" w:color="auto"/>
                        <w:right w:val="none" w:sz="0" w:space="0" w:color="auto"/>
                      </w:divBdr>
                      <w:divsChild>
                        <w:div w:id="15299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225802">
      <w:bodyDiv w:val="1"/>
      <w:marLeft w:val="0"/>
      <w:marRight w:val="0"/>
      <w:marTop w:val="0"/>
      <w:marBottom w:val="0"/>
      <w:divBdr>
        <w:top w:val="none" w:sz="0" w:space="0" w:color="auto"/>
        <w:left w:val="none" w:sz="0" w:space="0" w:color="auto"/>
        <w:bottom w:val="none" w:sz="0" w:space="0" w:color="auto"/>
        <w:right w:val="none" w:sz="0" w:space="0" w:color="auto"/>
      </w:divBdr>
    </w:div>
    <w:div w:id="1560969196">
      <w:bodyDiv w:val="1"/>
      <w:marLeft w:val="0"/>
      <w:marRight w:val="0"/>
      <w:marTop w:val="0"/>
      <w:marBottom w:val="0"/>
      <w:divBdr>
        <w:top w:val="none" w:sz="0" w:space="0" w:color="auto"/>
        <w:left w:val="none" w:sz="0" w:space="0" w:color="auto"/>
        <w:bottom w:val="none" w:sz="0" w:space="0" w:color="auto"/>
        <w:right w:val="none" w:sz="0" w:space="0" w:color="auto"/>
      </w:divBdr>
    </w:div>
    <w:div w:id="1594320917">
      <w:bodyDiv w:val="1"/>
      <w:marLeft w:val="0"/>
      <w:marRight w:val="0"/>
      <w:marTop w:val="0"/>
      <w:marBottom w:val="0"/>
      <w:divBdr>
        <w:top w:val="none" w:sz="0" w:space="0" w:color="auto"/>
        <w:left w:val="none" w:sz="0" w:space="0" w:color="auto"/>
        <w:bottom w:val="none" w:sz="0" w:space="0" w:color="auto"/>
        <w:right w:val="none" w:sz="0" w:space="0" w:color="auto"/>
      </w:divBdr>
    </w:div>
    <w:div w:id="1624189400">
      <w:bodyDiv w:val="1"/>
      <w:marLeft w:val="0"/>
      <w:marRight w:val="0"/>
      <w:marTop w:val="0"/>
      <w:marBottom w:val="0"/>
      <w:divBdr>
        <w:top w:val="none" w:sz="0" w:space="0" w:color="auto"/>
        <w:left w:val="none" w:sz="0" w:space="0" w:color="auto"/>
        <w:bottom w:val="none" w:sz="0" w:space="0" w:color="auto"/>
        <w:right w:val="none" w:sz="0" w:space="0" w:color="auto"/>
      </w:divBdr>
    </w:div>
    <w:div w:id="20959325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review.com.au/2020/08/disability-education-lacking-amid-pandem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mmunications\ISCA%20Corporate%20Identity\2017%20onwards%20ISCA%20corporate%20identity\final%20art\Letterhead\2535-ISCA_Letterhead_Word%20Template_FA.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'Chart 2 Source data'!$B$7</c:f>
              <c:strCache>
                <c:ptCount val="1"/>
                <c:pt idx="0">
                  <c:v>Government</c:v>
                </c:pt>
              </c:strCache>
            </c:strRef>
          </c:tx>
          <c:spPr>
            <a:solidFill>
              <a:schemeClr val="tx2">
                <a:lumMod val="60000"/>
                <a:lumOff val="40000"/>
              </a:schemeClr>
            </a:solidFill>
          </c:spPr>
          <c:invertIfNegative val="0"/>
          <c:dLbls>
            <c:spPr>
              <a:noFill/>
              <a:ln>
                <a:noFill/>
              </a:ln>
              <a:effectLst/>
            </c:spPr>
            <c:txPr>
              <a:bodyPr wrap="square" lIns="38100" tIns="19050" rIns="38100" bIns="19050" anchor="ctr" anchorCtr="0">
                <a:spAutoFit/>
              </a:bodyPr>
              <a:lstStyle/>
              <a:p>
                <a:pPr algn="ctr">
                  <a:defRPr baseline="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Source data'!$C$6:$H$6</c:f>
              <c:numCache>
                <c:formatCode>General</c:formatCode>
                <c:ptCount val="6"/>
                <c:pt idx="0">
                  <c:v>2019</c:v>
                </c:pt>
                <c:pt idx="1">
                  <c:v>2010</c:v>
                </c:pt>
                <c:pt idx="2">
                  <c:v>2000</c:v>
                </c:pt>
                <c:pt idx="3">
                  <c:v>1990</c:v>
                </c:pt>
                <c:pt idx="4">
                  <c:v>1980</c:v>
                </c:pt>
                <c:pt idx="5">
                  <c:v>1970</c:v>
                </c:pt>
              </c:numCache>
            </c:numRef>
          </c:cat>
          <c:val>
            <c:numRef>
              <c:f>'Chart 2 Source data'!$C$7:$H$7</c:f>
              <c:numCache>
                <c:formatCode>0.0%</c:formatCode>
                <c:ptCount val="6"/>
                <c:pt idx="0">
                  <c:v>0.65711678781283789</c:v>
                </c:pt>
                <c:pt idx="1">
                  <c:v>0.65700000000000003</c:v>
                </c:pt>
                <c:pt idx="2">
                  <c:v>0.69199999999999995</c:v>
                </c:pt>
                <c:pt idx="3">
                  <c:v>0.72099999999999997</c:v>
                </c:pt>
                <c:pt idx="4">
                  <c:v>0.77700000000000002</c:v>
                </c:pt>
                <c:pt idx="5">
                  <c:v>0.78100000000000003</c:v>
                </c:pt>
              </c:numCache>
            </c:numRef>
          </c:val>
          <c:extLst>
            <c:ext xmlns:c16="http://schemas.microsoft.com/office/drawing/2014/chart" uri="{C3380CC4-5D6E-409C-BE32-E72D297353CC}">
              <c16:uniqueId val="{00000000-1291-458D-89B2-45CD54A25B05}"/>
            </c:ext>
          </c:extLst>
        </c:ser>
        <c:ser>
          <c:idx val="1"/>
          <c:order val="1"/>
          <c:tx>
            <c:strRef>
              <c:f>'Chart 2 Source data'!$B$8</c:f>
              <c:strCache>
                <c:ptCount val="1"/>
                <c:pt idx="0">
                  <c:v>Catholic</c:v>
                </c:pt>
              </c:strCache>
            </c:strRef>
          </c:tx>
          <c:invertIfNegative val="0"/>
          <c:dLbls>
            <c:spPr>
              <a:noFill/>
              <a:ln>
                <a:noFill/>
              </a:ln>
              <a:effectLst/>
            </c:spPr>
            <c:txPr>
              <a:bodyPr wrap="square" lIns="38100" tIns="19050" rIns="38100" bIns="19050" anchor="ctr">
                <a:spAutoFit/>
              </a:bodyPr>
              <a:lstStyle/>
              <a:p>
                <a:pPr>
                  <a:defRPr baseline="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Source data'!$C$6:$H$6</c:f>
              <c:numCache>
                <c:formatCode>General</c:formatCode>
                <c:ptCount val="6"/>
                <c:pt idx="0">
                  <c:v>2019</c:v>
                </c:pt>
                <c:pt idx="1">
                  <c:v>2010</c:v>
                </c:pt>
                <c:pt idx="2">
                  <c:v>2000</c:v>
                </c:pt>
                <c:pt idx="3">
                  <c:v>1990</c:v>
                </c:pt>
                <c:pt idx="4">
                  <c:v>1980</c:v>
                </c:pt>
                <c:pt idx="5">
                  <c:v>1970</c:v>
                </c:pt>
              </c:numCache>
            </c:numRef>
          </c:cat>
          <c:val>
            <c:numRef>
              <c:f>'Chart 2 Source data'!$C$8:$H$8</c:f>
              <c:numCache>
                <c:formatCode>0.0%</c:formatCode>
                <c:ptCount val="6"/>
                <c:pt idx="0">
                  <c:v>0.19492424428517849</c:v>
                </c:pt>
                <c:pt idx="1">
                  <c:v>0.20334275643536157</c:v>
                </c:pt>
                <c:pt idx="2">
                  <c:v>0.19800000000000001</c:v>
                </c:pt>
                <c:pt idx="3">
                  <c:v>0.19600000000000001</c:v>
                </c:pt>
                <c:pt idx="4">
                  <c:v>0.17499999999999999</c:v>
                </c:pt>
                <c:pt idx="5">
                  <c:v>0.17799999999999999</c:v>
                </c:pt>
              </c:numCache>
            </c:numRef>
          </c:val>
          <c:extLst>
            <c:ext xmlns:c16="http://schemas.microsoft.com/office/drawing/2014/chart" uri="{C3380CC4-5D6E-409C-BE32-E72D297353CC}">
              <c16:uniqueId val="{00000001-1291-458D-89B2-45CD54A25B05}"/>
            </c:ext>
          </c:extLst>
        </c:ser>
        <c:ser>
          <c:idx val="2"/>
          <c:order val="2"/>
          <c:tx>
            <c:strRef>
              <c:f>'Chart 2 Source data'!$B$9</c:f>
              <c:strCache>
                <c:ptCount val="1"/>
                <c:pt idx="0">
                  <c:v>Independent</c:v>
                </c:pt>
              </c:strCache>
            </c:strRef>
          </c:tx>
          <c:invertIfNegative val="0"/>
          <c:dLbls>
            <c:dLbl>
              <c:idx val="4"/>
              <c:spPr>
                <a:noFill/>
                <a:ln>
                  <a:noFill/>
                </a:ln>
                <a:effectLst/>
              </c:spPr>
              <c:txPr>
                <a:bodyPr wrap="square" lIns="38100" tIns="19050" rIns="38100" bIns="19050" anchor="ctr">
                  <a:noAutofit/>
                </a:bodyPr>
                <a:lstStyle/>
                <a:p>
                  <a:pPr>
                    <a:defRPr baseline="0">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291-458D-89B2-45CD54A25B05}"/>
                </c:ext>
              </c:extLst>
            </c:dLbl>
            <c:spPr>
              <a:noFill/>
              <a:ln>
                <a:noFill/>
              </a:ln>
              <a:effectLst/>
            </c:spPr>
            <c:txPr>
              <a:bodyPr wrap="square" lIns="38100" tIns="19050" rIns="38100" bIns="19050" anchor="ctr">
                <a:spAutoFit/>
              </a:bodyPr>
              <a:lstStyle/>
              <a:p>
                <a:pPr>
                  <a:defRPr baseline="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Source data'!$C$6:$H$6</c:f>
              <c:numCache>
                <c:formatCode>General</c:formatCode>
                <c:ptCount val="6"/>
                <c:pt idx="0">
                  <c:v>2019</c:v>
                </c:pt>
                <c:pt idx="1">
                  <c:v>2010</c:v>
                </c:pt>
                <c:pt idx="2">
                  <c:v>2000</c:v>
                </c:pt>
                <c:pt idx="3">
                  <c:v>1990</c:v>
                </c:pt>
                <c:pt idx="4">
                  <c:v>1980</c:v>
                </c:pt>
                <c:pt idx="5">
                  <c:v>1970</c:v>
                </c:pt>
              </c:numCache>
            </c:numRef>
          </c:cat>
          <c:val>
            <c:numRef>
              <c:f>'Chart 2 Source data'!$C$9:$H$9</c:f>
              <c:numCache>
                <c:formatCode>0.0%</c:formatCode>
                <c:ptCount val="6"/>
                <c:pt idx="0">
                  <c:v>0.14795896790198365</c:v>
                </c:pt>
                <c:pt idx="1">
                  <c:v>0.14033681062413217</c:v>
                </c:pt>
                <c:pt idx="2">
                  <c:v>0.11</c:v>
                </c:pt>
                <c:pt idx="3">
                  <c:v>8.3000000000000004E-2</c:v>
                </c:pt>
                <c:pt idx="4">
                  <c:v>4.8000000000000001E-2</c:v>
                </c:pt>
                <c:pt idx="5">
                  <c:v>4.1000000000000002E-2</c:v>
                </c:pt>
              </c:numCache>
            </c:numRef>
          </c:val>
          <c:extLst>
            <c:ext xmlns:c16="http://schemas.microsoft.com/office/drawing/2014/chart" uri="{C3380CC4-5D6E-409C-BE32-E72D297353CC}">
              <c16:uniqueId val="{00000003-1291-458D-89B2-45CD54A25B05}"/>
            </c:ext>
          </c:extLst>
        </c:ser>
        <c:dLbls>
          <c:showLegendKey val="0"/>
          <c:showVal val="1"/>
          <c:showCatName val="0"/>
          <c:showSerName val="0"/>
          <c:showPercent val="0"/>
          <c:showBubbleSize val="0"/>
        </c:dLbls>
        <c:gapWidth val="150"/>
        <c:overlap val="100"/>
        <c:axId val="512389296"/>
        <c:axId val="512387336"/>
      </c:barChart>
      <c:catAx>
        <c:axId val="512389296"/>
        <c:scaling>
          <c:orientation val="minMax"/>
        </c:scaling>
        <c:delete val="0"/>
        <c:axPos val="l"/>
        <c:numFmt formatCode="General" sourceLinked="1"/>
        <c:majorTickMark val="out"/>
        <c:minorTickMark val="none"/>
        <c:tickLblPos val="nextTo"/>
        <c:crossAx val="512387336"/>
        <c:crosses val="autoZero"/>
        <c:auto val="1"/>
        <c:lblAlgn val="ctr"/>
        <c:lblOffset val="100"/>
        <c:noMultiLvlLbl val="0"/>
      </c:catAx>
      <c:valAx>
        <c:axId val="512387336"/>
        <c:scaling>
          <c:orientation val="minMax"/>
        </c:scaling>
        <c:delete val="0"/>
        <c:axPos val="b"/>
        <c:majorGridlines/>
        <c:numFmt formatCode="0%" sourceLinked="1"/>
        <c:majorTickMark val="out"/>
        <c:minorTickMark val="none"/>
        <c:tickLblPos val="nextTo"/>
        <c:crossAx val="5123892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 School size'!$O$6:$O$9</c:f>
              <c:strCache>
                <c:ptCount val="4"/>
                <c:pt idx="0">
                  <c:v>More than 2,000 student</c:v>
                </c:pt>
                <c:pt idx="1">
                  <c:v>1,000 - 1,999 students</c:v>
                </c:pt>
                <c:pt idx="2">
                  <c:v>200 - 999 students</c:v>
                </c:pt>
                <c:pt idx="3">
                  <c:v>Less than 200 students</c:v>
                </c:pt>
              </c:strCache>
            </c:strRef>
          </c:cat>
          <c:val>
            <c:numRef>
              <c:f>'Table 2 School size'!$P$6:$P$9</c:f>
              <c:numCache>
                <c:formatCode>0%</c:formatCode>
                <c:ptCount val="4"/>
                <c:pt idx="0">
                  <c:v>0.02</c:v>
                </c:pt>
                <c:pt idx="1">
                  <c:v>0.18</c:v>
                </c:pt>
                <c:pt idx="2">
                  <c:v>0.44</c:v>
                </c:pt>
                <c:pt idx="3">
                  <c:v>0.36</c:v>
                </c:pt>
              </c:numCache>
            </c:numRef>
          </c:val>
          <c:extLst>
            <c:ext xmlns:c16="http://schemas.microsoft.com/office/drawing/2014/chart" uri="{C3380CC4-5D6E-409C-BE32-E72D297353CC}">
              <c16:uniqueId val="{00000000-9307-4DCC-AC34-20F0DCF73F66}"/>
            </c:ext>
          </c:extLst>
        </c:ser>
        <c:dLbls>
          <c:dLblPos val="outEnd"/>
          <c:showLegendKey val="0"/>
          <c:showVal val="1"/>
          <c:showCatName val="0"/>
          <c:showSerName val="0"/>
          <c:showPercent val="0"/>
          <c:showBubbleSize val="0"/>
        </c:dLbls>
        <c:gapWidth val="182"/>
        <c:axId val="1829551632"/>
        <c:axId val="1963522640"/>
      </c:barChart>
      <c:catAx>
        <c:axId val="182955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522640"/>
        <c:crosses val="autoZero"/>
        <c:auto val="1"/>
        <c:lblAlgn val="ctr"/>
        <c:lblOffset val="100"/>
        <c:noMultiLvlLbl val="0"/>
      </c:catAx>
      <c:valAx>
        <c:axId val="1963522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55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Sheet4!$A$6</c:f>
              <c:strCache>
                <c:ptCount val="1"/>
                <c:pt idx="0">
                  <c:v>Australian Population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Sheet4!$B$5:$D$5</c:f>
              <c:strCache>
                <c:ptCount val="3"/>
                <c:pt idx="0">
                  <c:v>Major Cities</c:v>
                </c:pt>
                <c:pt idx="1">
                  <c:v>Regional</c:v>
                </c:pt>
                <c:pt idx="2">
                  <c:v>Remote</c:v>
                </c:pt>
              </c:strCache>
            </c:strRef>
          </c:cat>
          <c:val>
            <c:numRef>
              <c:f>Sheet4!$B$6:$D$6</c:f>
              <c:numCache>
                <c:formatCode>0%</c:formatCode>
                <c:ptCount val="3"/>
                <c:pt idx="0">
                  <c:v>0.72</c:v>
                </c:pt>
                <c:pt idx="1">
                  <c:v>0.26</c:v>
                </c:pt>
                <c:pt idx="2">
                  <c:v>0.02</c:v>
                </c:pt>
              </c:numCache>
            </c:numRef>
          </c:val>
          <c:extLst>
            <c:ext xmlns:c16="http://schemas.microsoft.com/office/drawing/2014/chart" uri="{C3380CC4-5D6E-409C-BE32-E72D297353CC}">
              <c16:uniqueId val="{00000000-5117-4A32-85DB-9C55B7936A45}"/>
            </c:ext>
          </c:extLst>
        </c:ser>
        <c:ser>
          <c:idx val="1"/>
          <c:order val="1"/>
          <c:tx>
            <c:strRef>
              <c:f>Sheet4!$A$7</c:f>
              <c:strCache>
                <c:ptCount val="1"/>
                <c:pt idx="0">
                  <c:v>Portion of Independent schools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Sheet4!$B$5:$D$5</c:f>
              <c:strCache>
                <c:ptCount val="3"/>
                <c:pt idx="0">
                  <c:v>Major Cities</c:v>
                </c:pt>
                <c:pt idx="1">
                  <c:v>Regional</c:v>
                </c:pt>
                <c:pt idx="2">
                  <c:v>Remote</c:v>
                </c:pt>
              </c:strCache>
            </c:strRef>
          </c:cat>
          <c:val>
            <c:numRef>
              <c:f>Sheet4!$B$7:$D$7</c:f>
              <c:numCache>
                <c:formatCode>0%</c:formatCode>
                <c:ptCount val="3"/>
                <c:pt idx="0">
                  <c:v>0.65</c:v>
                </c:pt>
                <c:pt idx="1">
                  <c:v>0.32</c:v>
                </c:pt>
                <c:pt idx="2">
                  <c:v>0.03</c:v>
                </c:pt>
              </c:numCache>
            </c:numRef>
          </c:val>
          <c:extLst>
            <c:ext xmlns:c16="http://schemas.microsoft.com/office/drawing/2014/chart" uri="{C3380CC4-5D6E-409C-BE32-E72D297353CC}">
              <c16:uniqueId val="{00000001-5117-4A32-85DB-9C55B7936A45}"/>
            </c:ext>
          </c:extLst>
        </c:ser>
        <c:dLbls>
          <c:dLblPos val="outEnd"/>
          <c:showLegendKey val="0"/>
          <c:showVal val="1"/>
          <c:showCatName val="0"/>
          <c:showSerName val="0"/>
          <c:showPercent val="0"/>
          <c:showBubbleSize val="0"/>
        </c:dLbls>
        <c:gapWidth val="219"/>
        <c:overlap val="-27"/>
        <c:axId val="223664528"/>
        <c:axId val="605552992"/>
      </c:barChart>
      <c:catAx>
        <c:axId val="22366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52992"/>
        <c:crosses val="autoZero"/>
        <c:auto val="1"/>
        <c:lblAlgn val="ctr"/>
        <c:lblOffset val="100"/>
        <c:noMultiLvlLbl val="0"/>
      </c:catAx>
      <c:valAx>
        <c:axId val="605552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6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a:ln>
              <a:noFill/>
            </a:ln>
            <a:effectLst/>
          </c:spPr>
          <c:invertIfNegative val="0"/>
          <c:cat>
            <c:numRef>
              <c:f>'Disability 1996-2019'!$A$2:$A$25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'Disability 1996-2019'!$C$2:$C$25</c:f>
              <c:numCache>
                <c:formatCode>0%</c:formatCode>
                <c:ptCount val="24"/>
                <c:pt idx="0">
                  <c:v>0.15092329545454519</c:v>
                </c:pt>
                <c:pt idx="1">
                  <c:v>0.14002412274550502</c:v>
                </c:pt>
                <c:pt idx="2">
                  <c:v>0.10161651452894738</c:v>
                </c:pt>
                <c:pt idx="3">
                  <c:v>7.7278717083956838E-2</c:v>
                </c:pt>
                <c:pt idx="4">
                  <c:v>0.1555366657682502</c:v>
                </c:pt>
                <c:pt idx="5">
                  <c:v>6.543464609311922E-2</c:v>
                </c:pt>
                <c:pt idx="6">
                  <c:v>7.2176753898487878E-2</c:v>
                </c:pt>
                <c:pt idx="7">
                  <c:v>5.8082553244958035E-2</c:v>
                </c:pt>
                <c:pt idx="8">
                  <c:v>6.1648309236113086E-2</c:v>
                </c:pt>
                <c:pt idx="9">
                  <c:v>4.2953620716173369E-2</c:v>
                </c:pt>
                <c:pt idx="10">
                  <c:v>7.0410639353273519E-2</c:v>
                </c:pt>
                <c:pt idx="11">
                  <c:v>5.4456871610535584E-2</c:v>
                </c:pt>
                <c:pt idx="12">
                  <c:v>6.3118385575655411E-2</c:v>
                </c:pt>
                <c:pt idx="13">
                  <c:v>7.0699960896039249E-2</c:v>
                </c:pt>
                <c:pt idx="14">
                  <c:v>0.10144730938194568</c:v>
                </c:pt>
                <c:pt idx="15">
                  <c:v>8.5784662024537051E-2</c:v>
                </c:pt>
                <c:pt idx="16">
                  <c:v>8.1179652735363428E-2</c:v>
                </c:pt>
                <c:pt idx="17">
                  <c:v>8.7754410316832843E-2</c:v>
                </c:pt>
                <c:pt idx="18">
                  <c:v>0.18485325103124906</c:v>
                </c:pt>
                <c:pt idx="19">
                  <c:v>0.11769899313730381</c:v>
                </c:pt>
                <c:pt idx="20">
                  <c:v>9.7640909574736368E-2</c:v>
                </c:pt>
                <c:pt idx="21">
                  <c:v>0.11992524874993693</c:v>
                </c:pt>
                <c:pt idx="22">
                  <c:v>-1.3710121136136122E-2</c:v>
                </c:pt>
                <c:pt idx="23">
                  <c:v>4.1180828006255332E-2</c:v>
                </c:pt>
              </c:numCache>
            </c:numRef>
          </c:val>
          <c:extLst>
            <c:ext xmlns:c16="http://schemas.microsoft.com/office/drawing/2014/chart" uri="{C3380CC4-5D6E-409C-BE32-E72D297353CC}">
              <c16:uniqueId val="{00000000-ADD5-44A8-895D-05333C248C28}"/>
            </c:ext>
          </c:extLst>
        </c:ser>
        <c:dLbls>
          <c:showLegendKey val="0"/>
          <c:showVal val="0"/>
          <c:showCatName val="0"/>
          <c:showSerName val="0"/>
          <c:showPercent val="0"/>
          <c:showBubbleSize val="0"/>
        </c:dLbls>
        <c:gapWidth val="50"/>
        <c:overlap val="-27"/>
        <c:axId val="36435520"/>
        <c:axId val="1670538000"/>
      </c:barChart>
      <c:catAx>
        <c:axId val="3643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538000"/>
        <c:crosses val="autoZero"/>
        <c:auto val="1"/>
        <c:lblAlgn val="ctr"/>
        <c:lblOffset val="100"/>
        <c:noMultiLvlLbl val="0"/>
      </c:catAx>
      <c:valAx>
        <c:axId val="167053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Growth from prior year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35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'Annual ATSI growth'!$A$5</c:f>
              <c:strCache>
                <c:ptCount val="1"/>
                <c:pt idx="0">
                  <c:v>Number of Indigenous Students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'Annual ATSI growth'!$C$4:$L$4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'Annual ATSI growth'!$C$5:$L$5</c:f>
              <c:numCache>
                <c:formatCode>#,##0</c:formatCode>
                <c:ptCount val="10"/>
                <c:pt idx="0">
                  <c:v>9315</c:v>
                </c:pt>
                <c:pt idx="1">
                  <c:v>9518</c:v>
                </c:pt>
                <c:pt idx="2">
                  <c:v>10063</c:v>
                </c:pt>
                <c:pt idx="3">
                  <c:v>10669</c:v>
                </c:pt>
                <c:pt idx="4">
                  <c:v>11120</c:v>
                </c:pt>
                <c:pt idx="5">
                  <c:v>12003</c:v>
                </c:pt>
                <c:pt idx="6">
                  <c:v>12618</c:v>
                </c:pt>
                <c:pt idx="7">
                  <c:v>13079</c:v>
                </c:pt>
                <c:pt idx="8">
                  <c:v>13483</c:v>
                </c:pt>
                <c:pt idx="9">
                  <c:v>14340</c:v>
                </c:pt>
              </c:numCache>
            </c:numRef>
          </c:val>
          <c:extLst>
            <c:ext xmlns:c16="http://schemas.microsoft.com/office/drawing/2014/chart" uri="{C3380CC4-5D6E-409C-BE32-E72D297353CC}">
              <c16:uniqueId val="{00000000-F2CC-4983-93FD-5648ABC8D2BF}"/>
            </c:ext>
          </c:extLst>
        </c:ser>
        <c:dLbls>
          <c:dLblPos val="outEnd"/>
          <c:showLegendKey val="0"/>
          <c:showVal val="1"/>
          <c:showCatName val="0"/>
          <c:showSerName val="0"/>
          <c:showPercent val="0"/>
          <c:showBubbleSize val="0"/>
        </c:dLbls>
        <c:gapWidth val="219"/>
        <c:overlap val="-27"/>
        <c:axId val="1229357663"/>
        <c:axId val="1435425407"/>
      </c:barChart>
      <c:catAx>
        <c:axId val="122935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425407"/>
        <c:crosses val="autoZero"/>
        <c:auto val="1"/>
        <c:lblAlgn val="ctr"/>
        <c:lblOffset val="100"/>
        <c:noMultiLvlLbl val="0"/>
      </c:catAx>
      <c:valAx>
        <c:axId val="1435425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357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6B4E65CF58C47B7F7C20FDB726228" ma:contentTypeVersion="12" ma:contentTypeDescription="Create a new document." ma:contentTypeScope="" ma:versionID="6d4b95eef3da915aa7f2e00b166cc4b6">
  <xsd:schema xmlns:xsd="http://www.w3.org/2001/XMLSchema" xmlns:xs="http://www.w3.org/2001/XMLSchema" xmlns:p="http://schemas.microsoft.com/office/2006/metadata/properties" xmlns:ns2="43bea11f-186d-4eb0-8a4a-9472c61d13ac" xmlns:ns3="d0ee3c9b-704d-450d-a502-fec85d244018" targetNamespace="http://schemas.microsoft.com/office/2006/metadata/properties" ma:root="true" ma:fieldsID="ea4d85091a4f419408c0081e2eda6874" ns2:_="" ns3:_="">
    <xsd:import namespace="43bea11f-186d-4eb0-8a4a-9472c61d13ac"/>
    <xsd:import namespace="d0ee3c9b-704d-450d-a502-fec85d2440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ea11f-186d-4eb0-8a4a-9472c61d1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e3c9b-704d-450d-a502-fec85d2440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1FC1C-0C46-444A-9433-A6A84E3D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ea11f-186d-4eb0-8a4a-9472c61d13ac"/>
    <ds:schemaRef ds:uri="d0ee3c9b-704d-450d-a502-fec85d244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78B092-609D-4A68-A471-25ACEAA78352}">
  <ds:schemaRefs>
    <ds:schemaRef ds:uri="http://schemas.microsoft.com/sharepoint/v3/contenttype/forms"/>
  </ds:schemaRefs>
</ds:datastoreItem>
</file>

<file path=customXml/itemProps3.xml><?xml version="1.0" encoding="utf-8"?>
<ds:datastoreItem xmlns:ds="http://schemas.openxmlformats.org/officeDocument/2006/customXml" ds:itemID="{DD019210-4967-4229-A9E8-94D7C8B70A47}">
  <ds:schemaRefs>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 ds:uri="d0ee3c9b-704d-450d-a502-fec85d244018"/>
    <ds:schemaRef ds:uri="http://schemas.microsoft.com/office/infopath/2007/PartnerControls"/>
    <ds:schemaRef ds:uri="43bea11f-186d-4eb0-8a4a-9472c61d13ac"/>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5109EE4-2724-4CED-9484-41C0E865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2535-ISCA_Letterhead_Word Template_FA.dotx</Template>
  <TotalTime>0</TotalTime>
  <Pages>18</Pages>
  <Words>6108</Words>
  <Characters>34817</Characters>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40844</CharactersWithSpaces>
  <SharedDoc>false</SharedDoc>
  <HLinks>
    <vt:vector size="156" baseType="variant">
      <vt:variant>
        <vt:i4>1507386</vt:i4>
      </vt:variant>
      <vt:variant>
        <vt:i4>146</vt:i4>
      </vt:variant>
      <vt:variant>
        <vt:i4>0</vt:i4>
      </vt:variant>
      <vt:variant>
        <vt:i4>5</vt:i4>
      </vt:variant>
      <vt:variant>
        <vt:lpwstr/>
      </vt:variant>
      <vt:variant>
        <vt:lpwstr>_Toc33021584</vt:lpwstr>
      </vt:variant>
      <vt:variant>
        <vt:i4>1048634</vt:i4>
      </vt:variant>
      <vt:variant>
        <vt:i4>140</vt:i4>
      </vt:variant>
      <vt:variant>
        <vt:i4>0</vt:i4>
      </vt:variant>
      <vt:variant>
        <vt:i4>5</vt:i4>
      </vt:variant>
      <vt:variant>
        <vt:lpwstr/>
      </vt:variant>
      <vt:variant>
        <vt:lpwstr>_Toc33021583</vt:lpwstr>
      </vt:variant>
      <vt:variant>
        <vt:i4>1114170</vt:i4>
      </vt:variant>
      <vt:variant>
        <vt:i4>134</vt:i4>
      </vt:variant>
      <vt:variant>
        <vt:i4>0</vt:i4>
      </vt:variant>
      <vt:variant>
        <vt:i4>5</vt:i4>
      </vt:variant>
      <vt:variant>
        <vt:lpwstr/>
      </vt:variant>
      <vt:variant>
        <vt:lpwstr>_Toc33021582</vt:lpwstr>
      </vt:variant>
      <vt:variant>
        <vt:i4>1179706</vt:i4>
      </vt:variant>
      <vt:variant>
        <vt:i4>128</vt:i4>
      </vt:variant>
      <vt:variant>
        <vt:i4>0</vt:i4>
      </vt:variant>
      <vt:variant>
        <vt:i4>5</vt:i4>
      </vt:variant>
      <vt:variant>
        <vt:lpwstr/>
      </vt:variant>
      <vt:variant>
        <vt:lpwstr>_Toc33021581</vt:lpwstr>
      </vt:variant>
      <vt:variant>
        <vt:i4>1245242</vt:i4>
      </vt:variant>
      <vt:variant>
        <vt:i4>122</vt:i4>
      </vt:variant>
      <vt:variant>
        <vt:i4>0</vt:i4>
      </vt:variant>
      <vt:variant>
        <vt:i4>5</vt:i4>
      </vt:variant>
      <vt:variant>
        <vt:lpwstr/>
      </vt:variant>
      <vt:variant>
        <vt:lpwstr>_Toc33021580</vt:lpwstr>
      </vt:variant>
      <vt:variant>
        <vt:i4>1703989</vt:i4>
      </vt:variant>
      <vt:variant>
        <vt:i4>116</vt:i4>
      </vt:variant>
      <vt:variant>
        <vt:i4>0</vt:i4>
      </vt:variant>
      <vt:variant>
        <vt:i4>5</vt:i4>
      </vt:variant>
      <vt:variant>
        <vt:lpwstr/>
      </vt:variant>
      <vt:variant>
        <vt:lpwstr>_Toc33021579</vt:lpwstr>
      </vt:variant>
      <vt:variant>
        <vt:i4>1769525</vt:i4>
      </vt:variant>
      <vt:variant>
        <vt:i4>110</vt:i4>
      </vt:variant>
      <vt:variant>
        <vt:i4>0</vt:i4>
      </vt:variant>
      <vt:variant>
        <vt:i4>5</vt:i4>
      </vt:variant>
      <vt:variant>
        <vt:lpwstr/>
      </vt:variant>
      <vt:variant>
        <vt:lpwstr>_Toc33021578</vt:lpwstr>
      </vt:variant>
      <vt:variant>
        <vt:i4>1310773</vt:i4>
      </vt:variant>
      <vt:variant>
        <vt:i4>104</vt:i4>
      </vt:variant>
      <vt:variant>
        <vt:i4>0</vt:i4>
      </vt:variant>
      <vt:variant>
        <vt:i4>5</vt:i4>
      </vt:variant>
      <vt:variant>
        <vt:lpwstr/>
      </vt:variant>
      <vt:variant>
        <vt:lpwstr>_Toc33021577</vt:lpwstr>
      </vt:variant>
      <vt:variant>
        <vt:i4>1376309</vt:i4>
      </vt:variant>
      <vt:variant>
        <vt:i4>98</vt:i4>
      </vt:variant>
      <vt:variant>
        <vt:i4>0</vt:i4>
      </vt:variant>
      <vt:variant>
        <vt:i4>5</vt:i4>
      </vt:variant>
      <vt:variant>
        <vt:lpwstr/>
      </vt:variant>
      <vt:variant>
        <vt:lpwstr>_Toc33021576</vt:lpwstr>
      </vt:variant>
      <vt:variant>
        <vt:i4>1441845</vt:i4>
      </vt:variant>
      <vt:variant>
        <vt:i4>92</vt:i4>
      </vt:variant>
      <vt:variant>
        <vt:i4>0</vt:i4>
      </vt:variant>
      <vt:variant>
        <vt:i4>5</vt:i4>
      </vt:variant>
      <vt:variant>
        <vt:lpwstr/>
      </vt:variant>
      <vt:variant>
        <vt:lpwstr>_Toc33021575</vt:lpwstr>
      </vt:variant>
      <vt:variant>
        <vt:i4>1507381</vt:i4>
      </vt:variant>
      <vt:variant>
        <vt:i4>86</vt:i4>
      </vt:variant>
      <vt:variant>
        <vt:i4>0</vt:i4>
      </vt:variant>
      <vt:variant>
        <vt:i4>5</vt:i4>
      </vt:variant>
      <vt:variant>
        <vt:lpwstr/>
      </vt:variant>
      <vt:variant>
        <vt:lpwstr>_Toc33021574</vt:lpwstr>
      </vt:variant>
      <vt:variant>
        <vt:i4>1048629</vt:i4>
      </vt:variant>
      <vt:variant>
        <vt:i4>80</vt:i4>
      </vt:variant>
      <vt:variant>
        <vt:i4>0</vt:i4>
      </vt:variant>
      <vt:variant>
        <vt:i4>5</vt:i4>
      </vt:variant>
      <vt:variant>
        <vt:lpwstr/>
      </vt:variant>
      <vt:variant>
        <vt:lpwstr>_Toc33021573</vt:lpwstr>
      </vt:variant>
      <vt:variant>
        <vt:i4>1114165</vt:i4>
      </vt:variant>
      <vt:variant>
        <vt:i4>74</vt:i4>
      </vt:variant>
      <vt:variant>
        <vt:i4>0</vt:i4>
      </vt:variant>
      <vt:variant>
        <vt:i4>5</vt:i4>
      </vt:variant>
      <vt:variant>
        <vt:lpwstr/>
      </vt:variant>
      <vt:variant>
        <vt:lpwstr>_Toc33021572</vt:lpwstr>
      </vt:variant>
      <vt:variant>
        <vt:i4>1179701</vt:i4>
      </vt:variant>
      <vt:variant>
        <vt:i4>68</vt:i4>
      </vt:variant>
      <vt:variant>
        <vt:i4>0</vt:i4>
      </vt:variant>
      <vt:variant>
        <vt:i4>5</vt:i4>
      </vt:variant>
      <vt:variant>
        <vt:lpwstr/>
      </vt:variant>
      <vt:variant>
        <vt:lpwstr>_Toc33021571</vt:lpwstr>
      </vt:variant>
      <vt:variant>
        <vt:i4>1245237</vt:i4>
      </vt:variant>
      <vt:variant>
        <vt:i4>62</vt:i4>
      </vt:variant>
      <vt:variant>
        <vt:i4>0</vt:i4>
      </vt:variant>
      <vt:variant>
        <vt:i4>5</vt:i4>
      </vt:variant>
      <vt:variant>
        <vt:lpwstr/>
      </vt:variant>
      <vt:variant>
        <vt:lpwstr>_Toc33021570</vt:lpwstr>
      </vt:variant>
      <vt:variant>
        <vt:i4>1703988</vt:i4>
      </vt:variant>
      <vt:variant>
        <vt:i4>56</vt:i4>
      </vt:variant>
      <vt:variant>
        <vt:i4>0</vt:i4>
      </vt:variant>
      <vt:variant>
        <vt:i4>5</vt:i4>
      </vt:variant>
      <vt:variant>
        <vt:lpwstr/>
      </vt:variant>
      <vt:variant>
        <vt:lpwstr>_Toc33021569</vt:lpwstr>
      </vt:variant>
      <vt:variant>
        <vt:i4>1769524</vt:i4>
      </vt:variant>
      <vt:variant>
        <vt:i4>50</vt:i4>
      </vt:variant>
      <vt:variant>
        <vt:i4>0</vt:i4>
      </vt:variant>
      <vt:variant>
        <vt:i4>5</vt:i4>
      </vt:variant>
      <vt:variant>
        <vt:lpwstr/>
      </vt:variant>
      <vt:variant>
        <vt:lpwstr>_Toc33021568</vt:lpwstr>
      </vt:variant>
      <vt:variant>
        <vt:i4>1310772</vt:i4>
      </vt:variant>
      <vt:variant>
        <vt:i4>44</vt:i4>
      </vt:variant>
      <vt:variant>
        <vt:i4>0</vt:i4>
      </vt:variant>
      <vt:variant>
        <vt:i4>5</vt:i4>
      </vt:variant>
      <vt:variant>
        <vt:lpwstr/>
      </vt:variant>
      <vt:variant>
        <vt:lpwstr>_Toc33021567</vt:lpwstr>
      </vt:variant>
      <vt:variant>
        <vt:i4>1376308</vt:i4>
      </vt:variant>
      <vt:variant>
        <vt:i4>38</vt:i4>
      </vt:variant>
      <vt:variant>
        <vt:i4>0</vt:i4>
      </vt:variant>
      <vt:variant>
        <vt:i4>5</vt:i4>
      </vt:variant>
      <vt:variant>
        <vt:lpwstr/>
      </vt:variant>
      <vt:variant>
        <vt:lpwstr>_Toc33021566</vt:lpwstr>
      </vt:variant>
      <vt:variant>
        <vt:i4>1441844</vt:i4>
      </vt:variant>
      <vt:variant>
        <vt:i4>32</vt:i4>
      </vt:variant>
      <vt:variant>
        <vt:i4>0</vt:i4>
      </vt:variant>
      <vt:variant>
        <vt:i4>5</vt:i4>
      </vt:variant>
      <vt:variant>
        <vt:lpwstr/>
      </vt:variant>
      <vt:variant>
        <vt:lpwstr>_Toc33021565</vt:lpwstr>
      </vt:variant>
      <vt:variant>
        <vt:i4>1507380</vt:i4>
      </vt:variant>
      <vt:variant>
        <vt:i4>26</vt:i4>
      </vt:variant>
      <vt:variant>
        <vt:i4>0</vt:i4>
      </vt:variant>
      <vt:variant>
        <vt:i4>5</vt:i4>
      </vt:variant>
      <vt:variant>
        <vt:lpwstr/>
      </vt:variant>
      <vt:variant>
        <vt:lpwstr>_Toc33021564</vt:lpwstr>
      </vt:variant>
      <vt:variant>
        <vt:i4>1048628</vt:i4>
      </vt:variant>
      <vt:variant>
        <vt:i4>20</vt:i4>
      </vt:variant>
      <vt:variant>
        <vt:i4>0</vt:i4>
      </vt:variant>
      <vt:variant>
        <vt:i4>5</vt:i4>
      </vt:variant>
      <vt:variant>
        <vt:lpwstr/>
      </vt:variant>
      <vt:variant>
        <vt:lpwstr>_Toc33021563</vt:lpwstr>
      </vt:variant>
      <vt:variant>
        <vt:i4>1114164</vt:i4>
      </vt:variant>
      <vt:variant>
        <vt:i4>14</vt:i4>
      </vt:variant>
      <vt:variant>
        <vt:i4>0</vt:i4>
      </vt:variant>
      <vt:variant>
        <vt:i4>5</vt:i4>
      </vt:variant>
      <vt:variant>
        <vt:lpwstr/>
      </vt:variant>
      <vt:variant>
        <vt:lpwstr>_Toc33021562</vt:lpwstr>
      </vt:variant>
      <vt:variant>
        <vt:i4>1179700</vt:i4>
      </vt:variant>
      <vt:variant>
        <vt:i4>8</vt:i4>
      </vt:variant>
      <vt:variant>
        <vt:i4>0</vt:i4>
      </vt:variant>
      <vt:variant>
        <vt:i4>5</vt:i4>
      </vt:variant>
      <vt:variant>
        <vt:lpwstr/>
      </vt:variant>
      <vt:variant>
        <vt:lpwstr>_Toc33021561</vt:lpwstr>
      </vt:variant>
      <vt:variant>
        <vt:i4>1245236</vt:i4>
      </vt:variant>
      <vt:variant>
        <vt:i4>2</vt:i4>
      </vt:variant>
      <vt:variant>
        <vt:i4>0</vt:i4>
      </vt:variant>
      <vt:variant>
        <vt:i4>5</vt:i4>
      </vt:variant>
      <vt:variant>
        <vt:lpwstr/>
      </vt:variant>
      <vt:variant>
        <vt:lpwstr>_Toc33021560</vt:lpwstr>
      </vt:variant>
      <vt:variant>
        <vt:i4>8060986</vt:i4>
      </vt:variant>
      <vt:variant>
        <vt:i4>0</vt:i4>
      </vt:variant>
      <vt:variant>
        <vt:i4>0</vt:i4>
      </vt:variant>
      <vt:variant>
        <vt:i4>5</vt:i4>
      </vt:variant>
      <vt:variant>
        <vt:lpwstr>https://ministers.education.gov.au/tehan/supporting-our-remote-child-care-workforce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2020-09-25T03:24:00Z</cp:lastPrinted>
  <dcterms:created xsi:type="dcterms:W3CDTF">2020-11-26T23:47:00Z</dcterms:created>
  <dcterms:modified xsi:type="dcterms:W3CDTF">2020-11-26T23:47:00Z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0x01010042E6B4E65CF58C47B7F7C20FDB726228</vt:lpwstr>
  </property>
</Properties>
</file>