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78E1" w14:textId="6E2E229B" w:rsidR="00A52215" w:rsidRDefault="00E92832">
      <w:pPr>
        <w:pStyle w:val="Heading1"/>
        <w:spacing w:before="0" w:after="0"/>
        <w:jc w:val="center"/>
      </w:pPr>
      <w:bookmarkStart w:id="0" w:name="_GoBack"/>
      <w:bookmarkEnd w:id="0"/>
      <w:r>
        <w:t>Don</w:t>
      </w:r>
      <w:r w:rsidR="00337E32">
        <w:t>'</w:t>
      </w:r>
      <w:r>
        <w:t>t wait until they</w:t>
      </w:r>
      <w:r w:rsidR="00337E32">
        <w:t>'</w:t>
      </w:r>
      <w:r>
        <w:t>re well</w:t>
      </w:r>
    </w:p>
    <w:p w14:paraId="5B944167" w14:textId="732AC95C" w:rsidR="00A52215" w:rsidRDefault="00E92832">
      <w:pPr>
        <w:pStyle w:val="Heading1"/>
        <w:spacing w:before="0" w:after="0"/>
        <w:jc w:val="center"/>
      </w:pPr>
      <w:r>
        <w:t xml:space="preserve">School </w:t>
      </w:r>
      <w:r w:rsidR="00F031D4">
        <w:t xml:space="preserve">support </w:t>
      </w:r>
      <w:r>
        <w:t xml:space="preserve">systems </w:t>
      </w:r>
      <w:r w:rsidR="00F031D4">
        <w:t>for</w:t>
      </w:r>
      <w:r w:rsidR="002F37F6">
        <w:t xml:space="preserve"> </w:t>
      </w:r>
      <w:r>
        <w:t>students with serious illness</w:t>
      </w:r>
    </w:p>
    <w:p w14:paraId="4B7BCC3A" w14:textId="575F59C0" w:rsidR="0076735F" w:rsidRPr="00553BBF" w:rsidRDefault="001045A5" w:rsidP="0076735F">
      <w:pPr>
        <w:jc w:val="center"/>
        <w:rPr>
          <w:b/>
          <w:bCs/>
        </w:rPr>
      </w:pPr>
      <w:r>
        <w:rPr>
          <w:b/>
          <w:bCs/>
        </w:rPr>
        <w:t>Authored and s</w:t>
      </w:r>
      <w:r w:rsidR="0076735F" w:rsidRPr="00553BBF">
        <w:rPr>
          <w:b/>
          <w:bCs/>
        </w:rPr>
        <w:t xml:space="preserve">ubmitted </w:t>
      </w:r>
      <w:proofErr w:type="gramStart"/>
      <w:r w:rsidR="0076735F" w:rsidRPr="00553BBF">
        <w:rPr>
          <w:b/>
          <w:bCs/>
        </w:rPr>
        <w:t>by:</w:t>
      </w:r>
      <w:proofErr w:type="gramEnd"/>
      <w:r w:rsidR="0076735F" w:rsidRPr="00553BBF">
        <w:rPr>
          <w:b/>
          <w:bCs/>
        </w:rPr>
        <w:t xml:space="preserve"> Megan Gilmour, Cofounder and CEO of Missing School Inc.</w:t>
      </w:r>
      <w:r w:rsidR="00FB50A4" w:rsidRPr="00553BBF">
        <w:rPr>
          <w:b/>
          <w:bCs/>
        </w:rPr>
        <w:t>*</w:t>
      </w:r>
    </w:p>
    <w:p w14:paraId="619DFB63" w14:textId="77777777" w:rsidR="00A52215" w:rsidRDefault="00E92832">
      <w:pPr>
        <w:pStyle w:val="Heading1"/>
      </w:pPr>
      <w:bookmarkStart w:id="1" w:name="_gjdgxs" w:colFirst="0" w:colLast="0"/>
      <w:bookmarkEnd w:id="1"/>
      <w:r>
        <w:t xml:space="preserve">Summary </w:t>
      </w:r>
    </w:p>
    <w:p w14:paraId="3E3C5B16" w14:textId="07F6906A" w:rsidR="000F25D7" w:rsidRDefault="000F25D7" w:rsidP="00CA60FF">
      <w:bookmarkStart w:id="2" w:name="_Hlk50807380"/>
      <w:r w:rsidRPr="000F25D7">
        <w:t xml:space="preserve">In schools across </w:t>
      </w:r>
      <w:r w:rsidR="00F477E1">
        <w:t>developed countries</w:t>
      </w:r>
      <w:r w:rsidRPr="000F25D7">
        <w:t xml:space="preserve">, up to </w:t>
      </w:r>
      <w:r w:rsidR="00A33B6F">
        <w:t>30% of</w:t>
      </w:r>
      <w:r w:rsidRPr="000F25D7">
        <w:t xml:space="preserve"> students have an illness serious enough to affect their attendance</w:t>
      </w:r>
      <w:r w:rsidR="00D06E45">
        <w:rPr>
          <w:rStyle w:val="EndnoteReference"/>
        </w:rPr>
        <w:endnoteReference w:id="1"/>
      </w:r>
      <w:r w:rsidR="00E17D8C" w:rsidRPr="003F3424">
        <w:rPr>
          <w:vertAlign w:val="superscript"/>
        </w:rPr>
        <w:t>,</w:t>
      </w:r>
      <w:r w:rsidR="00E17D8C">
        <w:rPr>
          <w:rStyle w:val="EndnoteReference"/>
        </w:rPr>
        <w:endnoteReference w:id="2"/>
      </w:r>
      <w:r w:rsidR="00252CF2" w:rsidRPr="00252CF2">
        <w:rPr>
          <w:vertAlign w:val="superscript"/>
        </w:rPr>
        <w:t>,</w:t>
      </w:r>
      <w:r w:rsidR="00777A36" w:rsidRPr="00252CF2">
        <w:rPr>
          <w:rStyle w:val="EndnoteReference"/>
        </w:rPr>
        <w:endnoteReference w:id="3"/>
      </w:r>
      <w:r w:rsidR="002401EF">
        <w:t>, with millions</w:t>
      </w:r>
      <w:r w:rsidR="00813584">
        <w:t xml:space="preserve"> </w:t>
      </w:r>
      <w:r w:rsidR="002401EF">
        <w:t>i</w:t>
      </w:r>
      <w:r w:rsidR="00B05917">
        <w:t>n homes and hospitals</w:t>
      </w:r>
      <w:r w:rsidR="00BD28D0">
        <w:t xml:space="preserve"> </w:t>
      </w:r>
      <w:r w:rsidR="000A2FC3">
        <w:t xml:space="preserve">experiencing </w:t>
      </w:r>
      <w:r w:rsidR="000A2FC3" w:rsidRPr="000A2FC3">
        <w:t>isolation</w:t>
      </w:r>
      <w:r w:rsidRPr="000A2FC3">
        <w:t xml:space="preserve"> from their schools, teachers and peers</w:t>
      </w:r>
      <w:r w:rsidR="00252CF2">
        <w:rPr>
          <w:rStyle w:val="EndnoteReference"/>
        </w:rPr>
        <w:endnoteReference w:id="4"/>
      </w:r>
      <w:r w:rsidRPr="000F25D7">
        <w:t xml:space="preserve">. But we don't have to leave our sick kids behind. </w:t>
      </w:r>
      <w:r w:rsidR="000E2A23">
        <w:t>We have the legislation and technology</w:t>
      </w:r>
      <w:r w:rsidR="00387A48">
        <w:t xml:space="preserve">, </w:t>
      </w:r>
      <w:r w:rsidR="00225F9A">
        <w:t xml:space="preserve">now </w:t>
      </w:r>
      <w:r w:rsidR="00141E93">
        <w:t>we just need</w:t>
      </w:r>
      <w:r w:rsidRPr="000F25D7">
        <w:t xml:space="preserve"> the policy to </w:t>
      </w:r>
      <w:r w:rsidR="0011550C">
        <w:t>get</w:t>
      </w:r>
      <w:r w:rsidRPr="000F25D7">
        <w:t xml:space="preserve"> sick kids in Australia </w:t>
      </w:r>
      <w:r w:rsidR="0011550C">
        <w:t>back into</w:t>
      </w:r>
      <w:r w:rsidRPr="000F25D7">
        <w:t xml:space="preserve"> their classrooms</w:t>
      </w:r>
      <w:bookmarkEnd w:id="2"/>
      <w:r w:rsidR="005C61BE">
        <w:t>.</w:t>
      </w:r>
    </w:p>
    <w:p w14:paraId="1C9BB5DD" w14:textId="77777777" w:rsidR="00E84D8F" w:rsidRDefault="00E84D8F">
      <w:pPr>
        <w:pStyle w:val="Heading1"/>
      </w:pPr>
      <w:r>
        <w:t>Background</w:t>
      </w:r>
    </w:p>
    <w:p w14:paraId="0AC68405" w14:textId="6862D251" w:rsidR="00E84D8F" w:rsidRDefault="00E84D8F">
      <w:r>
        <w:t xml:space="preserve">Good health and education </w:t>
      </w:r>
      <w:r w:rsidR="000547B0">
        <w:t>place</w:t>
      </w:r>
      <w:r>
        <w:t xml:space="preserve"> third and fourth in our global Sustainable Development Goals</w:t>
      </w:r>
      <w:r>
        <w:rPr>
          <w:rStyle w:val="EndnoteReference"/>
        </w:rPr>
        <w:endnoteReference w:id="5"/>
      </w:r>
      <w:r>
        <w:t xml:space="preserve">. Yet in schools across Australia, up to </w:t>
      </w:r>
      <w:r w:rsidR="006B2385">
        <w:t>1,185,000</w:t>
      </w:r>
      <w:r>
        <w:t xml:space="preserve"> students</w:t>
      </w:r>
      <w:r>
        <w:rPr>
          <w:rStyle w:val="EndnoteReference"/>
        </w:rPr>
        <w:endnoteReference w:id="6"/>
      </w:r>
      <w:r>
        <w:t xml:space="preserve"> </w:t>
      </w:r>
      <w:r w:rsidR="00610914">
        <w:t xml:space="preserve">may </w:t>
      </w:r>
      <w:r>
        <w:t xml:space="preserve">face an illness serious enough to affect their education and attendance. Within this cohort, </w:t>
      </w:r>
      <w:r w:rsidR="007F4580">
        <w:t>tens of thousands</w:t>
      </w:r>
      <w:r w:rsidR="00C233E7">
        <w:t xml:space="preserve"> </w:t>
      </w:r>
      <w:r>
        <w:t>are missing months to years of school and are cut off from their classrooms and community</w:t>
      </w:r>
      <w:r w:rsidR="00252CF2">
        <w:rPr>
          <w:rStyle w:val="EndnoteReference"/>
        </w:rPr>
        <w:endnoteReference w:id="7"/>
      </w:r>
      <w:r>
        <w:t>. They're not getting a complete education, and thanks to incomplete data, we don't know the full extent of the problem</w:t>
      </w:r>
      <w:r>
        <w:rPr>
          <w:rStyle w:val="EndnoteReference"/>
        </w:rPr>
        <w:endnoteReference w:id="8"/>
      </w:r>
      <w:r>
        <w:t xml:space="preserve">. </w:t>
      </w:r>
      <w:bookmarkStart w:id="3" w:name="_30j0zll" w:colFirst="0" w:colLast="0"/>
      <w:bookmarkEnd w:id="3"/>
    </w:p>
    <w:p w14:paraId="35244BB9" w14:textId="42FD9173" w:rsidR="00E84D8F" w:rsidRDefault="00E84D8F">
      <w:r>
        <w:t xml:space="preserve">Unseen, these students face </w:t>
      </w:r>
      <w:r w:rsidRPr="006C35FD">
        <w:t>an increased risk of academic failure, social isolation and poor mental health</w:t>
      </w:r>
      <w:r w:rsidR="00DD2A20">
        <w:rPr>
          <w:rStyle w:val="EndnoteReference"/>
        </w:rPr>
        <w:endnoteReference w:id="9"/>
      </w:r>
      <w:r w:rsidR="00DD2A20">
        <w:rPr>
          <w:vertAlign w:val="superscript"/>
        </w:rPr>
        <w:t>,</w:t>
      </w:r>
      <w:r w:rsidR="00F75AF3">
        <w:rPr>
          <w:rStyle w:val="EndnoteReference"/>
        </w:rPr>
        <w:endnoteReference w:id="10"/>
      </w:r>
      <w:r w:rsidR="00F75AF3" w:rsidRPr="00F75AF3">
        <w:rPr>
          <w:vertAlign w:val="superscript"/>
        </w:rPr>
        <w:t>,</w:t>
      </w:r>
      <w:r w:rsidRPr="004A7CF9">
        <w:rPr>
          <w:rStyle w:val="EndnoteReference"/>
        </w:rPr>
        <w:endnoteReference w:id="11"/>
      </w:r>
      <w:r w:rsidRPr="004A7CF9">
        <w:rPr>
          <w:vertAlign w:val="superscript"/>
        </w:rPr>
        <w:t>,</w:t>
      </w:r>
      <w:r w:rsidRPr="004A7CF9">
        <w:rPr>
          <w:rStyle w:val="EndnoteReference"/>
        </w:rPr>
        <w:endnoteReference w:id="12"/>
      </w:r>
      <w:r w:rsidRPr="004A7CF9">
        <w:rPr>
          <w:vertAlign w:val="superscript"/>
        </w:rPr>
        <w:t>,</w:t>
      </w:r>
      <w:r w:rsidRPr="004A7CF9">
        <w:rPr>
          <w:rStyle w:val="EndnoteReference"/>
        </w:rPr>
        <w:endnoteReference w:id="13"/>
      </w:r>
      <w:r w:rsidRPr="004A7CF9">
        <w:rPr>
          <w:vertAlign w:val="superscript"/>
        </w:rPr>
        <w:t>,</w:t>
      </w:r>
      <w:r w:rsidRPr="004A7CF9">
        <w:rPr>
          <w:rStyle w:val="EndnoteReference"/>
        </w:rPr>
        <w:endnoteReference w:id="14"/>
      </w:r>
      <w:r w:rsidRPr="004A7CF9">
        <w:rPr>
          <w:vertAlign w:val="superscript"/>
        </w:rPr>
        <w:t>,</w:t>
      </w:r>
      <w:r w:rsidRPr="004A7CF9">
        <w:rPr>
          <w:rStyle w:val="EndnoteReference"/>
        </w:rPr>
        <w:endnoteReference w:id="15"/>
      </w:r>
      <w:r w:rsidR="00A82004">
        <w:rPr>
          <w:vertAlign w:val="superscript"/>
        </w:rPr>
        <w:t>,</w:t>
      </w:r>
      <w:r w:rsidR="00A82004">
        <w:rPr>
          <w:rStyle w:val="EndnoteReference"/>
        </w:rPr>
        <w:endnoteReference w:id="16"/>
      </w:r>
      <w:r w:rsidRPr="006C35FD">
        <w:t xml:space="preserve">. </w:t>
      </w:r>
      <w:r w:rsidR="000D7CCF">
        <w:t xml:space="preserve">Combined with illness, </w:t>
      </w:r>
      <w:r w:rsidR="00143B06">
        <w:t>social</w:t>
      </w:r>
      <w:r>
        <w:t xml:space="preserve"> side effects can </w:t>
      </w:r>
      <w:r w:rsidR="00AF1A30">
        <w:t xml:space="preserve">lower </w:t>
      </w:r>
      <w:r w:rsidRPr="006C35FD">
        <w:t xml:space="preserve">school completion </w:t>
      </w:r>
      <w:r w:rsidR="00AF1A30">
        <w:t xml:space="preserve">rates </w:t>
      </w:r>
      <w:r w:rsidRPr="006C35FD">
        <w:t xml:space="preserve">and </w:t>
      </w:r>
      <w:r w:rsidR="00AF1A30" w:rsidRPr="006C35FD">
        <w:t xml:space="preserve">compromise </w:t>
      </w:r>
      <w:r w:rsidRPr="006C35FD">
        <w:t>career attainmen</w:t>
      </w:r>
      <w:r>
        <w:t xml:space="preserve">t, </w:t>
      </w:r>
      <w:r w:rsidR="00AF1A30">
        <w:t xml:space="preserve">factors </w:t>
      </w:r>
      <w:r w:rsidR="00821D00">
        <w:t>putting</w:t>
      </w:r>
      <w:r>
        <w:t xml:space="preserve"> estimated lifetime costs</w:t>
      </w:r>
      <w:r w:rsidRPr="006C35FD">
        <w:t xml:space="preserve"> in lost productivity close to $1 million per student</w:t>
      </w:r>
      <w:r>
        <w:t xml:space="preserve">, and </w:t>
      </w:r>
      <w:r w:rsidR="00307397">
        <w:t>the</w:t>
      </w:r>
      <w:r w:rsidR="00436D92">
        <w:t xml:space="preserve"> potential</w:t>
      </w:r>
      <w:r>
        <w:t xml:space="preserve"> </w:t>
      </w:r>
      <w:r w:rsidRPr="006C35FD">
        <w:t>price tag of inaction into the billions</w:t>
      </w:r>
      <w:r>
        <w:rPr>
          <w:rStyle w:val="EndnoteReference"/>
        </w:rPr>
        <w:endnoteReference w:id="17"/>
      </w:r>
      <w:r w:rsidRPr="006C35FD">
        <w:t>.</w:t>
      </w:r>
    </w:p>
    <w:p w14:paraId="4C79D03F" w14:textId="3A3A4EAE" w:rsidR="00E84D8F" w:rsidRDefault="00E84D8F">
      <w:r>
        <w:t>An increasing number of students</w:t>
      </w:r>
      <w:r>
        <w:rPr>
          <w:rStyle w:val="EndnoteReference"/>
        </w:rPr>
        <w:endnoteReference w:id="18"/>
      </w:r>
      <w:r>
        <w:t xml:space="preserve"> from all walks of life are confronting </w:t>
      </w:r>
      <w:r w:rsidRPr="00EA76AD">
        <w:t>this double disadvantage.</w:t>
      </w:r>
      <w:r>
        <w:t xml:space="preserve"> </w:t>
      </w:r>
      <w:r w:rsidR="00E45F43">
        <w:t>Advances</w:t>
      </w:r>
      <w:r>
        <w:t xml:space="preserve"> in healthcare mean more are surviving serious illnesses (e.g. cancers), living longer with life-limiting illnesses (e.g. cystic fibrosis), and gaining</w:t>
      </w:r>
      <w:r w:rsidR="007B297E">
        <w:t xml:space="preserve"> clearer</w:t>
      </w:r>
      <w:r>
        <w:t xml:space="preserve"> diagnoses (e.g. anxiety)</w:t>
      </w:r>
      <w:r w:rsidRPr="00480756">
        <w:rPr>
          <w:rStyle w:val="EndnoteReference"/>
        </w:rPr>
        <w:endnoteReference w:id="19"/>
      </w:r>
      <w:r w:rsidRPr="00480756">
        <w:rPr>
          <w:vertAlign w:val="superscript"/>
        </w:rPr>
        <w:t>,</w:t>
      </w:r>
      <w:r>
        <w:rPr>
          <w:rStyle w:val="EndnoteReference"/>
        </w:rPr>
        <w:endnoteReference w:id="20"/>
      </w:r>
      <w:r>
        <w:t>. As they brave medical trauma, these kids are spending less time in hospital and more time at home</w:t>
      </w:r>
      <w:r w:rsidR="000D3965">
        <w:rPr>
          <w:rStyle w:val="EndnoteReference"/>
        </w:rPr>
        <w:endnoteReference w:id="21"/>
      </w:r>
      <w:r w:rsidR="000D3965" w:rsidRPr="000D3965">
        <w:rPr>
          <w:vertAlign w:val="superscript"/>
        </w:rPr>
        <w:t>,</w:t>
      </w:r>
      <w:r>
        <w:rPr>
          <w:rStyle w:val="EndnoteReference"/>
        </w:rPr>
        <w:endnoteReference w:id="22"/>
      </w:r>
      <w:r>
        <w:t>.</w:t>
      </w:r>
    </w:p>
    <w:p w14:paraId="7836EB22" w14:textId="492A28B8" w:rsidR="00E84D8F" w:rsidRDefault="00E84D8F">
      <w:r>
        <w:t xml:space="preserve">Unsurprisingly, it's parents who find themselves carrying the burden </w:t>
      </w:r>
      <w:r w:rsidR="00AF1A30">
        <w:t>of</w:t>
      </w:r>
      <w:r>
        <w:t xml:space="preserve"> their child's learning and loneliness</w:t>
      </w:r>
      <w:r>
        <w:rPr>
          <w:rStyle w:val="EndnoteReference"/>
        </w:rPr>
        <w:endnoteReference w:id="23"/>
      </w:r>
      <w:r w:rsidR="00283CFC" w:rsidRPr="00D22489">
        <w:rPr>
          <w:vertAlign w:val="superscript"/>
        </w:rPr>
        <w:t>,</w:t>
      </w:r>
      <w:r w:rsidR="00F13957">
        <w:rPr>
          <w:rStyle w:val="EndnoteReference"/>
        </w:rPr>
        <w:endnoteReference w:id="24"/>
      </w:r>
      <w:r w:rsidR="00D5187A">
        <w:rPr>
          <w:vertAlign w:val="superscript"/>
        </w:rPr>
        <w:t>,</w:t>
      </w:r>
      <w:r w:rsidR="00283CFC">
        <w:rPr>
          <w:rStyle w:val="EndnoteReference"/>
        </w:rPr>
        <w:endnoteReference w:id="25"/>
      </w:r>
      <w:r>
        <w:t xml:space="preserve">. </w:t>
      </w:r>
      <w:r w:rsidR="00F8722A">
        <w:t>Too often</w:t>
      </w:r>
      <w:r w:rsidR="002329D2">
        <w:t xml:space="preserve"> </w:t>
      </w:r>
      <w:r w:rsidR="00503575">
        <w:t>the student’s education is</w:t>
      </w:r>
      <w:r w:rsidR="002329D2">
        <w:t xml:space="preserve"> left </w:t>
      </w:r>
      <w:r w:rsidR="00457E3D">
        <w:t>to charity or chance</w:t>
      </w:r>
      <w:r w:rsidR="002329D2">
        <w:t xml:space="preserve">, </w:t>
      </w:r>
      <w:r w:rsidR="00457E3D">
        <w:t>or</w:t>
      </w:r>
      <w:r w:rsidR="00503575">
        <w:t xml:space="preserve"> they’re</w:t>
      </w:r>
      <w:r w:rsidR="00457E3D">
        <w:t xml:space="preserve"> </w:t>
      </w:r>
      <w:r w:rsidR="004A61A0">
        <w:t>segregated to</w:t>
      </w:r>
      <w:r w:rsidR="0068252E">
        <w:t xml:space="preserve"> </w:t>
      </w:r>
      <w:r w:rsidR="002329D2">
        <w:t>distance education</w:t>
      </w:r>
      <w:r w:rsidR="00A200E0">
        <w:rPr>
          <w:rStyle w:val="EndnoteReference"/>
        </w:rPr>
        <w:endnoteReference w:id="26"/>
      </w:r>
      <w:r w:rsidR="00AC7CB1">
        <w:rPr>
          <w:vertAlign w:val="superscript"/>
        </w:rPr>
        <w:t>,</w:t>
      </w:r>
      <w:r>
        <w:rPr>
          <w:rStyle w:val="EndnoteReference"/>
        </w:rPr>
        <w:endnoteReference w:id="27"/>
      </w:r>
      <w:r>
        <w:t xml:space="preserve">. In hospital, </w:t>
      </w:r>
      <w:r w:rsidR="00503575">
        <w:t>students</w:t>
      </w:r>
      <w:r>
        <w:t xml:space="preserve"> may access hospital schooling, but this too lacks what is vital: continuous connection with their peers, teachers, curriculum, and community</w:t>
      </w:r>
      <w:r>
        <w:rPr>
          <w:rStyle w:val="EndnoteReference"/>
        </w:rPr>
        <w:endnoteReference w:id="28"/>
      </w:r>
      <w:r>
        <w:t xml:space="preserve">. The outpouring of anxiety over education </w:t>
      </w:r>
      <w:r w:rsidR="008226D9">
        <w:t>in</w:t>
      </w:r>
      <w:r>
        <w:t xml:space="preserve"> COVID-19 lockdowns makes </w:t>
      </w:r>
      <w:r w:rsidR="00183DAF">
        <w:t>the need for connection</w:t>
      </w:r>
      <w:r>
        <w:t xml:space="preserve"> extraordinarily clear</w:t>
      </w:r>
      <w:r w:rsidR="007D0CDB">
        <w:rPr>
          <w:rStyle w:val="EndnoteReference"/>
        </w:rPr>
        <w:endnoteReference w:id="29"/>
      </w:r>
      <w:r w:rsidR="00BB1982" w:rsidRPr="00BB1982">
        <w:rPr>
          <w:vertAlign w:val="superscript"/>
        </w:rPr>
        <w:t>,</w:t>
      </w:r>
      <w:r>
        <w:rPr>
          <w:rStyle w:val="EndnoteReference"/>
        </w:rPr>
        <w:endnoteReference w:id="30"/>
      </w:r>
      <w:r>
        <w:t>.</w:t>
      </w:r>
    </w:p>
    <w:p w14:paraId="6DE766EB" w14:textId="081AB077" w:rsidR="00E84D8F" w:rsidRDefault="00E84D8F">
      <w:r>
        <w:t>In 2012, after experiencing my own son's two-year medical isolation,</w:t>
      </w:r>
      <w:r w:rsidRPr="00A90BF9">
        <w:t xml:space="preserve"> </w:t>
      </w:r>
      <w:r>
        <w:t xml:space="preserve">I co-founded advocacy group </w:t>
      </w:r>
      <w:proofErr w:type="spellStart"/>
      <w:r>
        <w:t>MissingSchool</w:t>
      </w:r>
      <w:proofErr w:type="spellEnd"/>
      <w:r>
        <w:t>. The organisation has engaged in several audits of Australian law, policy, standards, and guidelines for these students</w:t>
      </w:r>
      <w:r>
        <w:rPr>
          <w:rStyle w:val="EndnoteReference"/>
        </w:rPr>
        <w:endnoteReference w:id="31"/>
      </w:r>
      <w:r w:rsidRPr="004D558C">
        <w:rPr>
          <w:vertAlign w:val="superscript"/>
        </w:rPr>
        <w:t>,</w:t>
      </w:r>
      <w:r>
        <w:rPr>
          <w:rStyle w:val="EndnoteReference"/>
        </w:rPr>
        <w:endnoteReference w:id="32"/>
      </w:r>
      <w:r>
        <w:rPr>
          <w:vertAlign w:val="superscript"/>
        </w:rPr>
        <w:t>,</w:t>
      </w:r>
      <w:r>
        <w:rPr>
          <w:rStyle w:val="EndnoteReference"/>
        </w:rPr>
        <w:endnoteReference w:id="33"/>
      </w:r>
      <w:r>
        <w:t xml:space="preserve">. The findings </w:t>
      </w:r>
      <w:r w:rsidR="009B440E">
        <w:t>concluded</w:t>
      </w:r>
      <w:r>
        <w:t xml:space="preserve"> that sick kids across Australia </w:t>
      </w:r>
      <w:r>
        <w:rPr>
          <w:i/>
        </w:rPr>
        <w:t>are</w:t>
      </w:r>
      <w:r>
        <w:t xml:space="preserve"> educationally disadvantaged because of critical gaps in governance, an absence of formal education and health agreements, and a lack of </w:t>
      </w:r>
      <w:r w:rsidR="00CD5641">
        <w:t>specialised</w:t>
      </w:r>
      <w:r>
        <w:t xml:space="preserve"> support between school, </w:t>
      </w:r>
      <w:r w:rsidR="007B297E">
        <w:t>medical settings</w:t>
      </w:r>
      <w:r>
        <w:t xml:space="preserve"> and home</w:t>
      </w:r>
      <w:r w:rsidR="00B04416">
        <w:rPr>
          <w:rStyle w:val="EndnoteReference"/>
        </w:rPr>
        <w:endnoteReference w:id="34"/>
      </w:r>
      <w:r w:rsidR="000512E1" w:rsidRPr="000512E1">
        <w:rPr>
          <w:vertAlign w:val="superscript"/>
        </w:rPr>
        <w:t>,</w:t>
      </w:r>
      <w:r>
        <w:rPr>
          <w:rStyle w:val="EndnoteReference"/>
        </w:rPr>
        <w:endnoteReference w:id="35"/>
      </w:r>
      <w:r>
        <w:t xml:space="preserve">. </w:t>
      </w:r>
    </w:p>
    <w:p w14:paraId="6164310B" w14:textId="56876DEE" w:rsidR="00E84D8F" w:rsidRDefault="00E84D8F">
      <w:r>
        <w:t>Incomplete governance explains why schools find supporting students beyond the school gates a significant challenge, and hospitals don't see education as their role</w:t>
      </w:r>
      <w:r w:rsidR="00A712FB">
        <w:rPr>
          <w:rStyle w:val="EndnoteReference"/>
        </w:rPr>
        <w:endnoteReference w:id="36"/>
      </w:r>
      <w:r>
        <w:t xml:space="preserve">. Without clear policy, standards and practice guidelines, </w:t>
      </w:r>
      <w:r w:rsidR="00FA0C3C">
        <w:t xml:space="preserve">coordinated </w:t>
      </w:r>
      <w:r w:rsidR="00562B40">
        <w:t xml:space="preserve">systematic </w:t>
      </w:r>
      <w:r>
        <w:t>support for these students</w:t>
      </w:r>
      <w:r w:rsidR="001E3FEE">
        <w:t xml:space="preserve">, wherever they are, </w:t>
      </w:r>
      <w:r>
        <w:t>is impossible</w:t>
      </w:r>
      <w:r w:rsidR="000D41CA">
        <w:rPr>
          <w:rStyle w:val="EndnoteReference"/>
        </w:rPr>
        <w:endnoteReference w:id="37"/>
      </w:r>
      <w:r>
        <w:t>. We can do better.</w:t>
      </w:r>
    </w:p>
    <w:p w14:paraId="5BBA4D95" w14:textId="6F876947" w:rsidR="00E84D8F" w:rsidRDefault="0079320D">
      <w:r>
        <w:t>As it stands, t</w:t>
      </w:r>
      <w:r w:rsidR="00E84D8F">
        <w:t xml:space="preserve">he </w:t>
      </w:r>
      <w:r w:rsidR="00E84D8F" w:rsidRPr="0023538F">
        <w:t>consequence</w:t>
      </w:r>
      <w:r w:rsidR="00E84D8F">
        <w:t xml:space="preserve"> of coding "</w:t>
      </w:r>
      <w:r w:rsidR="00E84D8F" w:rsidRPr="0023538F">
        <w:t>authorised absence</w:t>
      </w:r>
      <w:r w:rsidR="00E84D8F">
        <w:t>"</w:t>
      </w:r>
      <w:r w:rsidR="00E910D5">
        <w:rPr>
          <w:rStyle w:val="EndnoteReference"/>
        </w:rPr>
        <w:endnoteReference w:id="38"/>
      </w:r>
      <w:r w:rsidR="00E84D8F" w:rsidRPr="0023538F">
        <w:t xml:space="preserve"> </w:t>
      </w:r>
      <w:r w:rsidR="00562B40">
        <w:t>for everything from</w:t>
      </w:r>
      <w:r w:rsidR="00E84D8F" w:rsidRPr="0023538F">
        <w:t xml:space="preserve"> a common cold</w:t>
      </w:r>
      <w:r w:rsidR="00562B40">
        <w:t xml:space="preserve"> upwards</w:t>
      </w:r>
      <w:r w:rsidR="00E84D8F">
        <w:t>, results in</w:t>
      </w:r>
      <w:r w:rsidR="00E84D8F" w:rsidRPr="0023538F">
        <w:t xml:space="preserve"> </w:t>
      </w:r>
      <w:r w:rsidR="00E84D8F">
        <w:t>automatically suspending</w:t>
      </w:r>
      <w:r w:rsidR="00E84D8F" w:rsidRPr="00B66487">
        <w:t xml:space="preserve"> </w:t>
      </w:r>
      <w:r w:rsidR="00E84D8F">
        <w:t>school support for students with serious illness</w:t>
      </w:r>
      <w:r w:rsidR="00140F0D">
        <w:t xml:space="preserve"> during absence</w:t>
      </w:r>
      <w:r w:rsidR="00E84D8F">
        <w:t xml:space="preserve">. While still enrolled, these students slip into a policy wilderness, unable to </w:t>
      </w:r>
      <w:r w:rsidR="00562B40">
        <w:t>attain the</w:t>
      </w:r>
      <w:r w:rsidR="00E84D8F">
        <w:t xml:space="preserve"> equity and </w:t>
      </w:r>
      <w:r w:rsidR="00E84D8F">
        <w:lastRenderedPageBreak/>
        <w:t xml:space="preserve">inclusion in their education on the same basis as others, as </w:t>
      </w:r>
      <w:r w:rsidR="00562B40">
        <w:t>enshrined</w:t>
      </w:r>
      <w:r w:rsidR="00E84D8F">
        <w:t xml:space="preserve"> by Australian law</w:t>
      </w:r>
      <w:r w:rsidR="00E84D8F">
        <w:rPr>
          <w:rStyle w:val="EndnoteReference"/>
        </w:rPr>
        <w:endnoteReference w:id="39"/>
      </w:r>
      <w:r w:rsidR="00E84D8F">
        <w:t xml:space="preserve">, </w:t>
      </w:r>
      <w:r w:rsidR="00562B40">
        <w:t>D</w:t>
      </w:r>
      <w:r w:rsidR="00E84D8F">
        <w:t xml:space="preserve">isability </w:t>
      </w:r>
      <w:r w:rsidR="00562B40">
        <w:t>S</w:t>
      </w:r>
      <w:r w:rsidR="00E84D8F">
        <w:t>tandards</w:t>
      </w:r>
      <w:r w:rsidR="00E84D8F">
        <w:rPr>
          <w:rStyle w:val="EndnoteReference"/>
        </w:rPr>
        <w:endnoteReference w:id="40"/>
      </w:r>
      <w:r w:rsidR="00E84D8F">
        <w:t xml:space="preserve"> and ministerial declarations</w:t>
      </w:r>
      <w:r w:rsidR="00E84D8F">
        <w:rPr>
          <w:rStyle w:val="EndnoteReference"/>
        </w:rPr>
        <w:endnoteReference w:id="41"/>
      </w:r>
      <w:r w:rsidR="00E84D8F">
        <w:t xml:space="preserve">. </w:t>
      </w:r>
    </w:p>
    <w:p w14:paraId="263F197B" w14:textId="2643FA8E" w:rsidR="00E84D8F" w:rsidRDefault="00E84D8F" w:rsidP="000D5D2E">
      <w:r>
        <w:t xml:space="preserve">We can't afford to wait until they are well. School connection keeps sick students in sync socially, helping to nurture their resilience and </w:t>
      </w:r>
      <w:r w:rsidR="00562B40">
        <w:t xml:space="preserve">their </w:t>
      </w:r>
      <w:r>
        <w:t xml:space="preserve">identity as learners, and </w:t>
      </w:r>
      <w:r w:rsidR="00562B40">
        <w:t xml:space="preserve">to </w:t>
      </w:r>
      <w:r>
        <w:t>ease deep anxiety about school absence</w:t>
      </w:r>
      <w:r w:rsidR="00060AD6">
        <w:t xml:space="preserve"> and belonging</w:t>
      </w:r>
      <w:r>
        <w:rPr>
          <w:rStyle w:val="EndnoteReference"/>
        </w:rPr>
        <w:endnoteReference w:id="42"/>
      </w:r>
      <w:r w:rsidRPr="00405066">
        <w:rPr>
          <w:vertAlign w:val="superscript"/>
        </w:rPr>
        <w:t>,</w:t>
      </w:r>
      <w:r>
        <w:rPr>
          <w:rStyle w:val="EndnoteReference"/>
        </w:rPr>
        <w:endnoteReference w:id="43"/>
      </w:r>
      <w:r w:rsidRPr="00405066">
        <w:rPr>
          <w:vertAlign w:val="superscript"/>
        </w:rPr>
        <w:t>,</w:t>
      </w:r>
      <w:r>
        <w:rPr>
          <w:rStyle w:val="EndnoteReference"/>
        </w:rPr>
        <w:endnoteReference w:id="44"/>
      </w:r>
      <w:r w:rsidR="00624012">
        <w:rPr>
          <w:vertAlign w:val="superscript"/>
        </w:rPr>
        <w:t>,</w:t>
      </w:r>
      <w:r w:rsidR="00624012">
        <w:rPr>
          <w:rStyle w:val="EndnoteReference"/>
        </w:rPr>
        <w:endnoteReference w:id="45"/>
      </w:r>
      <w:r>
        <w:t xml:space="preserve">. Critically, it offers hope by proving to sick </w:t>
      </w:r>
      <w:r w:rsidR="007C3A79">
        <w:t>kids</w:t>
      </w:r>
      <w:r>
        <w:t xml:space="preserve"> that they are worth educating.</w:t>
      </w:r>
    </w:p>
    <w:p w14:paraId="3561823D" w14:textId="475E4019" w:rsidR="00E84D8F" w:rsidRDefault="00E84D8F">
      <w:r w:rsidRPr="00EE62FE">
        <w:t>For Australian</w:t>
      </w:r>
      <w:r>
        <w:t xml:space="preserve"> t</w:t>
      </w:r>
      <w:r w:rsidRPr="002C7175">
        <w:t>axpayer</w:t>
      </w:r>
      <w:r w:rsidR="00562B40">
        <w:t>s,</w:t>
      </w:r>
      <w:r>
        <w:t xml:space="preserve"> investments in </w:t>
      </w:r>
      <w:r w:rsidR="00562B40">
        <w:t xml:space="preserve">students’ </w:t>
      </w:r>
      <w:r>
        <w:t>healthcare and education—</w:t>
      </w:r>
      <w:r w:rsidRPr="002C7175">
        <w:t xml:space="preserve">that continue even when </w:t>
      </w:r>
      <w:r>
        <w:t>they</w:t>
      </w:r>
      <w:r w:rsidRPr="002C7175">
        <w:t xml:space="preserve"> are absent from school</w:t>
      </w:r>
      <w:r>
        <w:t>—</w:t>
      </w:r>
      <w:r w:rsidR="00695BF6">
        <w:t xml:space="preserve">must </w:t>
      </w:r>
      <w:r>
        <w:t>yield equivalent personal, social and public returns</w:t>
      </w:r>
      <w:r w:rsidR="00D22A7D">
        <w:rPr>
          <w:rStyle w:val="EndnoteReference"/>
        </w:rPr>
        <w:endnoteReference w:id="46"/>
      </w:r>
      <w:r>
        <w:t xml:space="preserve"> by giving these kids the opportunity to reach their potential. </w:t>
      </w:r>
    </w:p>
    <w:p w14:paraId="363F01CE" w14:textId="0FE64269" w:rsidR="00E84D8F" w:rsidRDefault="00E84D8F">
      <w:r>
        <w:t xml:space="preserve">The value of </w:t>
      </w:r>
      <w:r w:rsidR="0066600E">
        <w:t xml:space="preserve">urgent </w:t>
      </w:r>
      <w:r>
        <w:t xml:space="preserve">action to these young lives is immeasurable. Our policymakers have the power of evidence to make effective, cost-neutral change. In fact, we don't even need new legislation. We simply need to apply support systems and technology to give these unseen students presence in their schools. </w:t>
      </w:r>
    </w:p>
    <w:p w14:paraId="2A350DCF" w14:textId="77777777" w:rsidR="00E84D8F" w:rsidRDefault="00E84D8F">
      <w:pPr>
        <w:pStyle w:val="Heading1"/>
      </w:pPr>
      <w:r>
        <w:t>Issues</w:t>
      </w:r>
    </w:p>
    <w:p w14:paraId="059C02F0" w14:textId="16010B7C" w:rsidR="00E84D8F" w:rsidRDefault="00BA6822" w:rsidP="00691271">
      <w:r>
        <w:t>O</w:t>
      </w:r>
      <w:r w:rsidR="00E84D8F">
        <w:t>n the world stage, c</w:t>
      </w:r>
      <w:r w:rsidR="00E84D8F" w:rsidRPr="001E78C5">
        <w:t xml:space="preserve">ountries invested in </w:t>
      </w:r>
      <w:r w:rsidR="00E84D8F">
        <w:t>their</w:t>
      </w:r>
      <w:r w:rsidR="00E84D8F" w:rsidRPr="001E78C5">
        <w:t xml:space="preserve"> future </w:t>
      </w:r>
      <w:r w:rsidR="00E84D8F">
        <w:t>workforce</w:t>
      </w:r>
      <w:r w:rsidR="00E84D8F" w:rsidRPr="001E78C5">
        <w:t xml:space="preserve"> are doing things differently. In 2017, my Churchill Fellowship highlighted long-standing models of school support in Finland, Sweden, </w:t>
      </w:r>
      <w:r>
        <w:t xml:space="preserve">the </w:t>
      </w:r>
      <w:r w:rsidR="00E84D8F" w:rsidRPr="001E78C5">
        <w:t xml:space="preserve">Netherlands, Belgium, </w:t>
      </w:r>
      <w:r>
        <w:t xml:space="preserve">the </w:t>
      </w:r>
      <w:r w:rsidR="00E84D8F" w:rsidRPr="001E78C5">
        <w:t xml:space="preserve">United Kingdom </w:t>
      </w:r>
      <w:r w:rsidR="008D222B">
        <w:t xml:space="preserve">(UK) </w:t>
      </w:r>
      <w:r w:rsidR="00E84D8F" w:rsidRPr="001E78C5">
        <w:t>and Canada</w:t>
      </w:r>
      <w:r w:rsidR="00E84D8F">
        <w:t xml:space="preserve">. </w:t>
      </w:r>
      <w:r>
        <w:t>C</w:t>
      </w:r>
      <w:r w:rsidR="00E84D8F">
        <w:t xml:space="preserve">ommon </w:t>
      </w:r>
      <w:r>
        <w:t>to all</w:t>
      </w:r>
      <w:r w:rsidR="00E84D8F">
        <w:t xml:space="preserve"> these countries</w:t>
      </w:r>
      <w:r w:rsidR="00E84D8F" w:rsidRPr="003A0EAD">
        <w:t>—and New Zealand, which has long practi</w:t>
      </w:r>
      <w:r w:rsidR="00CE136C">
        <w:t>s</w:t>
      </w:r>
      <w:r w:rsidR="00E84D8F" w:rsidRPr="003A0EAD">
        <w:t xml:space="preserve">ed home teaching for </w:t>
      </w:r>
      <w:r w:rsidR="009F10D0">
        <w:t>kids</w:t>
      </w:r>
      <w:r w:rsidR="00E84D8F" w:rsidRPr="003A0EAD">
        <w:t xml:space="preserve"> in this context—</w:t>
      </w:r>
      <w:r w:rsidR="00E84D8F" w:rsidRPr="00C2668B">
        <w:t xml:space="preserve">were strong legal frameworks </w:t>
      </w:r>
      <w:r w:rsidR="00E84D8F">
        <w:t>guiding school</w:t>
      </w:r>
      <w:r w:rsidR="00E84D8F" w:rsidRPr="00C2668B">
        <w:t xml:space="preserve"> support </w:t>
      </w:r>
      <w:r w:rsidR="00E84D8F">
        <w:t xml:space="preserve">for </w:t>
      </w:r>
      <w:r w:rsidR="00E84D8F" w:rsidRPr="00C2668B">
        <w:t>sick kids in practice</w:t>
      </w:r>
      <w:r w:rsidR="00E84D8F">
        <w:t>,</w:t>
      </w:r>
      <w:r w:rsidR="00E84D8F" w:rsidRPr="00C2668B">
        <w:t xml:space="preserve"> and a responsibility of governments to reduce educational isolation</w:t>
      </w:r>
      <w:r w:rsidR="00B82421">
        <w:rPr>
          <w:rStyle w:val="EndnoteReference"/>
        </w:rPr>
        <w:endnoteReference w:id="47"/>
      </w:r>
      <w:r w:rsidR="00E84D8F" w:rsidRPr="00C2668B">
        <w:t xml:space="preserve">. </w:t>
      </w:r>
    </w:p>
    <w:p w14:paraId="0A32D99A" w14:textId="6E87CDB3" w:rsidR="00E84D8F" w:rsidRDefault="00E84D8F" w:rsidP="00691271">
      <w:r>
        <w:t xml:space="preserve">Australia </w:t>
      </w:r>
      <w:r w:rsidR="00BA6822">
        <w:t>does not lack</w:t>
      </w:r>
      <w:r>
        <w:t xml:space="preserve"> legislation</w:t>
      </w:r>
      <w:r w:rsidR="00641472">
        <w:rPr>
          <w:rStyle w:val="EndnoteReference"/>
        </w:rPr>
        <w:endnoteReference w:id="48"/>
      </w:r>
      <w:r>
        <w:t xml:space="preserve">. </w:t>
      </w:r>
      <w:r w:rsidR="00CE136C">
        <w:t>T</w:t>
      </w:r>
      <w:r>
        <w:t xml:space="preserve">he national </w:t>
      </w:r>
      <w:r w:rsidRPr="005A0666">
        <w:rPr>
          <w:i/>
          <w:iCs/>
        </w:rPr>
        <w:t>Disability Discrimination Act 1992</w:t>
      </w:r>
      <w:r w:rsidR="00CE136C">
        <w:rPr>
          <w:i/>
          <w:iCs/>
        </w:rPr>
        <w:t xml:space="preserve"> </w:t>
      </w:r>
      <w:r w:rsidR="00CE136C">
        <w:t>includes illness as a protected attribute</w:t>
      </w:r>
      <w:r w:rsidR="00A156CB">
        <w:rPr>
          <w:rStyle w:val="EndnoteReference"/>
          <w:i/>
          <w:iCs/>
        </w:rPr>
        <w:endnoteReference w:id="49"/>
      </w:r>
      <w:r>
        <w:t xml:space="preserve">. Under the Act, the Disability Standards for Education (DSE) </w:t>
      </w:r>
      <w:r w:rsidR="000F35E6">
        <w:t>require</w:t>
      </w:r>
      <w:r>
        <w:t xml:space="preserve"> schools to give students with illness access to school facilities, accredited curriculum</w:t>
      </w:r>
      <w:r w:rsidR="000E7F03">
        <w:t>,</w:t>
      </w:r>
      <w:r>
        <w:t xml:space="preserve"> and learning alongside their peers</w:t>
      </w:r>
      <w:r w:rsidR="00A156CB">
        <w:rPr>
          <w:rStyle w:val="EndnoteReference"/>
        </w:rPr>
        <w:endnoteReference w:id="50"/>
      </w:r>
      <w:r>
        <w:t xml:space="preserve">. The </w:t>
      </w:r>
      <w:r w:rsidR="00A162DA">
        <w:t>Standards</w:t>
      </w:r>
      <w:r>
        <w:t xml:space="preserve"> provide for learning adjustments, use of assistive devices, and delivery of specialised support </w:t>
      </w:r>
      <w:r w:rsidR="00A162DA">
        <w:t>by</w:t>
      </w:r>
      <w:r>
        <w:t xml:space="preserve"> schools. Essentially, </w:t>
      </w:r>
      <w:r w:rsidR="00A162DA">
        <w:t>they</w:t>
      </w:r>
      <w:r>
        <w:t xml:space="preserve"> prohibit</w:t>
      </w:r>
      <w:r w:rsidR="00A162DA">
        <w:t xml:space="preserve"> </w:t>
      </w:r>
      <w:r w:rsidR="00254B04">
        <w:t>restrictive</w:t>
      </w:r>
      <w:r>
        <w:t xml:space="preserve"> </w:t>
      </w:r>
      <w:r w:rsidR="009D22EA">
        <w:t xml:space="preserve">and gatekeeping </w:t>
      </w:r>
      <w:r>
        <w:t xml:space="preserve">practices in education settings. </w:t>
      </w:r>
    </w:p>
    <w:p w14:paraId="3CBFE15C" w14:textId="427FADEA" w:rsidR="00E84D8F" w:rsidRDefault="004C3977" w:rsidP="003D1807">
      <w:r>
        <w:t xml:space="preserve">However, </w:t>
      </w:r>
      <w:r w:rsidR="00E84D8F">
        <w:t>non-compliance in this context</w:t>
      </w:r>
      <w:r w:rsidR="00E84D8F" w:rsidRPr="00E2378E">
        <w:t xml:space="preserve"> </w:t>
      </w:r>
      <w:r w:rsidR="004341E8">
        <w:t>continues</w:t>
      </w:r>
      <w:r w:rsidR="00E84D8F" w:rsidRPr="00E2378E">
        <w:t xml:space="preserve"> </w:t>
      </w:r>
      <w:r w:rsidR="0017077A">
        <w:t>because of</w:t>
      </w:r>
      <w:r w:rsidR="00E84D8F" w:rsidRPr="00E2378E">
        <w:t xml:space="preserve"> </w:t>
      </w:r>
      <w:r w:rsidR="00E84D8F">
        <w:t>a</w:t>
      </w:r>
      <w:r w:rsidR="00E84D8F" w:rsidRPr="00E2378E">
        <w:t xml:space="preserve"> blind spot</w:t>
      </w:r>
      <w:r w:rsidR="00043F04">
        <w:t xml:space="preserve"> in which s</w:t>
      </w:r>
      <w:r w:rsidR="00E84D8F">
        <w:t>chools</w:t>
      </w:r>
      <w:r w:rsidR="00E84D8F" w:rsidRPr="00E2378E">
        <w:t xml:space="preserve"> </w:t>
      </w:r>
      <w:r w:rsidR="00E84D8F">
        <w:t>fail to</w:t>
      </w:r>
      <w:r w:rsidR="00E84D8F" w:rsidRPr="00E2378E">
        <w:t xml:space="preserve"> </w:t>
      </w:r>
      <w:r w:rsidR="00443EC7">
        <w:t>connect</w:t>
      </w:r>
      <w:r w:rsidR="00E84D8F" w:rsidRPr="00E2378E">
        <w:t xml:space="preserve"> illness with </w:t>
      </w:r>
      <w:r w:rsidR="004D5CF0">
        <w:t>the Disability S</w:t>
      </w:r>
      <w:r w:rsidR="00E84D8F">
        <w:t>tandard</w:t>
      </w:r>
      <w:r w:rsidR="004D5CF0">
        <w:t>s</w:t>
      </w:r>
      <w:r w:rsidR="00E84D8F" w:rsidRPr="00E2378E">
        <w:t xml:space="preserve"> </w:t>
      </w:r>
      <w:r w:rsidR="00E84D8F">
        <w:t>in order to trigger action</w:t>
      </w:r>
      <w:r w:rsidR="00E84D8F">
        <w:rPr>
          <w:rStyle w:val="EndnoteReference"/>
        </w:rPr>
        <w:endnoteReference w:id="51"/>
      </w:r>
      <w:r w:rsidR="00E84D8F">
        <w:t>.</w:t>
      </w:r>
      <w:r w:rsidR="00E84D8F" w:rsidRPr="00E2378E">
        <w:t xml:space="preserve"> </w:t>
      </w:r>
      <w:r w:rsidR="000B3E93">
        <w:t>Still</w:t>
      </w:r>
      <w:r w:rsidR="00E84D8F">
        <w:t>, the</w:t>
      </w:r>
      <w:r w:rsidR="00E84D8F" w:rsidRPr="00FC74AD">
        <w:t xml:space="preserve"> DSE </w:t>
      </w:r>
      <w:r w:rsidR="00EA2E38">
        <w:t>do not</w:t>
      </w:r>
      <w:r w:rsidR="00E84D8F" w:rsidRPr="00FC74AD">
        <w:t xml:space="preserve"> limit equality to physical </w:t>
      </w:r>
      <w:r w:rsidR="00E84D8F">
        <w:t>presence, signalling that s</w:t>
      </w:r>
      <w:r w:rsidR="00E84D8F" w:rsidRPr="00FC74AD">
        <w:t>tudents who miss school with a</w:t>
      </w:r>
      <w:r w:rsidR="00E84D8F">
        <w:t xml:space="preserve"> serious illness </w:t>
      </w:r>
      <w:r w:rsidR="002F068B">
        <w:t xml:space="preserve">still </w:t>
      </w:r>
      <w:r w:rsidR="00E84D8F">
        <w:t>have a right to access their schools with assistive devices and to receive ongoing support</w:t>
      </w:r>
      <w:r w:rsidR="00DD3357">
        <w:rPr>
          <w:rStyle w:val="EndnoteReference"/>
        </w:rPr>
        <w:endnoteReference w:id="52"/>
      </w:r>
      <w:r w:rsidR="00E84D8F">
        <w:t>.</w:t>
      </w:r>
      <w:r w:rsidR="00E84D8F" w:rsidRPr="003D1807">
        <w:t xml:space="preserve"> </w:t>
      </w:r>
      <w:r w:rsidR="00E84D8F">
        <w:t>In fact, t</w:t>
      </w:r>
      <w:r w:rsidR="00E84D8F" w:rsidRPr="00FC74AD">
        <w:t xml:space="preserve">he </w:t>
      </w:r>
      <w:r w:rsidR="006711CE">
        <w:t xml:space="preserve">current </w:t>
      </w:r>
      <w:r w:rsidR="00E84D8F" w:rsidRPr="00FC74AD">
        <w:t xml:space="preserve">pandemic </w:t>
      </w:r>
      <w:r w:rsidR="00E84D8F">
        <w:t>confirms</w:t>
      </w:r>
      <w:r w:rsidR="00E84D8F" w:rsidRPr="00FC74AD">
        <w:t xml:space="preserve"> the role of schools and technology in continuing education </w:t>
      </w:r>
      <w:r w:rsidR="00E10337">
        <w:t>for</w:t>
      </w:r>
      <w:r w:rsidR="00E84D8F" w:rsidRPr="00FC74AD">
        <w:t xml:space="preserve"> students homebound in a health crisis</w:t>
      </w:r>
      <w:r w:rsidR="00E84D8F">
        <w:rPr>
          <w:rStyle w:val="EndnoteReference"/>
        </w:rPr>
        <w:endnoteReference w:id="53"/>
      </w:r>
      <w:r w:rsidR="00E84D8F" w:rsidRPr="00FC74AD">
        <w:t xml:space="preserve">. </w:t>
      </w:r>
    </w:p>
    <w:p w14:paraId="68136366" w14:textId="502D7A31" w:rsidR="00E84D8F" w:rsidRPr="00C47F87" w:rsidRDefault="00E84D8F">
      <w:r w:rsidRPr="004B7D6F">
        <w:t xml:space="preserve">Australia has the </w:t>
      </w:r>
      <w:r w:rsidR="00E10337">
        <w:t>legislation</w:t>
      </w:r>
      <w:r w:rsidR="000E36C8">
        <w:t>,</w:t>
      </w:r>
      <w:r w:rsidRPr="004B7D6F">
        <w:t xml:space="preserve"> </w:t>
      </w:r>
      <w:r>
        <w:t xml:space="preserve">now </w:t>
      </w:r>
      <w:r w:rsidR="00DE7C0C" w:rsidRPr="004B7D6F">
        <w:t xml:space="preserve">we </w:t>
      </w:r>
      <w:r w:rsidR="00283CFC">
        <w:t>urgently</w:t>
      </w:r>
      <w:r w:rsidR="00E10337">
        <w:t xml:space="preserve"> </w:t>
      </w:r>
      <w:r>
        <w:t xml:space="preserve">need the policy to </w:t>
      </w:r>
      <w:r w:rsidRPr="004B7D6F">
        <w:t xml:space="preserve">scale </w:t>
      </w:r>
      <w:r w:rsidR="00572D26">
        <w:t xml:space="preserve">up </w:t>
      </w:r>
      <w:r w:rsidRPr="004B7D6F">
        <w:t>school support for sick students</w:t>
      </w:r>
      <w:r w:rsidR="00985EC7">
        <w:t xml:space="preserve"> during absence</w:t>
      </w:r>
      <w:r w:rsidRPr="004B7D6F">
        <w:t xml:space="preserve">. </w:t>
      </w:r>
      <w:r w:rsidR="000E36C8">
        <w:t>Here</w:t>
      </w:r>
      <w:r w:rsidR="00EF5F43">
        <w:t xml:space="preserve"> is an opportunity for </w:t>
      </w:r>
      <w:r w:rsidR="00B45CC3">
        <w:t xml:space="preserve">education and health </w:t>
      </w:r>
      <w:r w:rsidRPr="004B7D6F">
        <w:t xml:space="preserve">policymakers </w:t>
      </w:r>
      <w:r w:rsidR="0091515B">
        <w:t xml:space="preserve">to </w:t>
      </w:r>
      <w:r w:rsidRPr="004B7D6F">
        <w:t xml:space="preserve">establish </w:t>
      </w:r>
      <w:r w:rsidR="002B4C82">
        <w:t xml:space="preserve">an </w:t>
      </w:r>
      <w:r w:rsidR="00595DBF">
        <w:t>integrated</w:t>
      </w:r>
      <w:r w:rsidRPr="004B7D6F">
        <w:t xml:space="preserve"> </w:t>
      </w:r>
      <w:r w:rsidR="00B45CC3">
        <w:t>policy</w:t>
      </w:r>
      <w:r w:rsidR="002B4C82">
        <w:t xml:space="preserve"> framework</w:t>
      </w:r>
      <w:r w:rsidR="00FA32E4">
        <w:rPr>
          <w:rStyle w:val="EndnoteReference"/>
        </w:rPr>
        <w:endnoteReference w:id="54"/>
      </w:r>
      <w:r w:rsidR="00EA0D2E" w:rsidRPr="0077685F">
        <w:rPr>
          <w:vertAlign w:val="superscript"/>
        </w:rPr>
        <w:t>,</w:t>
      </w:r>
      <w:r w:rsidR="00EA0D2E">
        <w:rPr>
          <w:rStyle w:val="EndnoteReference"/>
        </w:rPr>
        <w:endnoteReference w:id="55"/>
      </w:r>
      <w:r w:rsidR="00FA32E4">
        <w:t xml:space="preserve">. </w:t>
      </w:r>
      <w:r w:rsidR="00B45CC3">
        <w:t>The</w:t>
      </w:r>
      <w:r w:rsidRPr="003762C0">
        <w:t xml:space="preserve"> first</w:t>
      </w:r>
      <w:r w:rsidR="000676B5">
        <w:t xml:space="preserve"> </w:t>
      </w:r>
      <w:r w:rsidR="000E36C8">
        <w:t>step</w:t>
      </w:r>
      <w:r w:rsidR="000676B5">
        <w:t xml:space="preserve"> is </w:t>
      </w:r>
      <w:r w:rsidR="000E36C8">
        <w:t xml:space="preserve">in </w:t>
      </w:r>
      <w:r w:rsidR="000676B5">
        <w:t>establishing</w:t>
      </w:r>
      <w:r w:rsidR="00A26ED7">
        <w:t xml:space="preserve"> </w:t>
      </w:r>
      <w:r w:rsidR="00FA32E4" w:rsidRPr="003762C0">
        <w:t xml:space="preserve">standard operating procedures </w:t>
      </w:r>
      <w:r w:rsidR="00FA32E4">
        <w:t>between</w:t>
      </w:r>
      <w:r w:rsidR="00FA32E4" w:rsidRPr="004B7D6F">
        <w:t xml:space="preserve"> education and health</w:t>
      </w:r>
      <w:r w:rsidR="00FA32E4">
        <w:t xml:space="preserve"> </w:t>
      </w:r>
      <w:r w:rsidR="009B4A8B">
        <w:t xml:space="preserve">authorities </w:t>
      </w:r>
      <w:r w:rsidR="00FA32E4" w:rsidRPr="003762C0">
        <w:t xml:space="preserve">and </w:t>
      </w:r>
      <w:r w:rsidR="000E36C8">
        <w:t xml:space="preserve">identifying </w:t>
      </w:r>
      <w:r w:rsidR="00FA32E4" w:rsidRPr="003762C0">
        <w:t>resour</w:t>
      </w:r>
      <w:r w:rsidR="00FA32E4">
        <w:t xml:space="preserve">cing options, </w:t>
      </w:r>
      <w:r w:rsidR="00A26ED7">
        <w:t>so</w:t>
      </w:r>
      <w:r w:rsidR="000E7F03">
        <w:t xml:space="preserve"> </w:t>
      </w:r>
      <w:r w:rsidR="000E36C8">
        <w:t xml:space="preserve">that </w:t>
      </w:r>
      <w:r w:rsidR="00F3666C" w:rsidRPr="003762C0">
        <w:t xml:space="preserve">regular </w:t>
      </w:r>
      <w:r w:rsidR="00F171B3" w:rsidRPr="003762C0">
        <w:t>schools</w:t>
      </w:r>
      <w:r w:rsidR="002E1662">
        <w:t xml:space="preserve"> </w:t>
      </w:r>
      <w:r w:rsidR="000E36C8">
        <w:t xml:space="preserve">can </w:t>
      </w:r>
      <w:r w:rsidR="00734CAC">
        <w:t>manage</w:t>
      </w:r>
      <w:r w:rsidR="003A5F7F">
        <w:t xml:space="preserve"> continuity of</w:t>
      </w:r>
      <w:r w:rsidR="00E90407">
        <w:t xml:space="preserve"> </w:t>
      </w:r>
      <w:r w:rsidRPr="00C47F87">
        <w:t>education</w:t>
      </w:r>
      <w:r w:rsidR="00FA32E4">
        <w:t xml:space="preserve"> for sick students</w:t>
      </w:r>
      <w:r w:rsidR="000676B5">
        <w:t xml:space="preserve">, </w:t>
      </w:r>
      <w:r w:rsidR="003A5F7F">
        <w:t>wherever they are</w:t>
      </w:r>
      <w:r w:rsidR="009B4A8B">
        <w:t xml:space="preserve"> and throughout</w:t>
      </w:r>
      <w:r w:rsidR="000E36C8">
        <w:t xml:space="preserve"> </w:t>
      </w:r>
      <w:r w:rsidR="00283CFC">
        <w:t>transitions</w:t>
      </w:r>
      <w:r w:rsidR="00F74E2B">
        <w:t xml:space="preserve"> between places of care</w:t>
      </w:r>
      <w:r w:rsidR="00D25D17">
        <w:rPr>
          <w:rStyle w:val="EndnoteReference"/>
        </w:rPr>
        <w:endnoteReference w:id="56"/>
      </w:r>
      <w:r w:rsidR="009D6E79" w:rsidRPr="009D6E79">
        <w:rPr>
          <w:vertAlign w:val="superscript"/>
        </w:rPr>
        <w:t>,</w:t>
      </w:r>
      <w:r w:rsidR="008F61F8">
        <w:rPr>
          <w:rStyle w:val="EndnoteReference"/>
        </w:rPr>
        <w:endnoteReference w:id="57"/>
      </w:r>
      <w:r w:rsidR="006268B7" w:rsidRPr="0077685F">
        <w:rPr>
          <w:vertAlign w:val="superscript"/>
        </w:rPr>
        <w:t>,</w:t>
      </w:r>
      <w:r w:rsidR="00733789">
        <w:rPr>
          <w:rStyle w:val="EndnoteReference"/>
        </w:rPr>
        <w:endnoteReference w:id="58"/>
      </w:r>
      <w:r w:rsidR="006268B7" w:rsidRPr="0077685F">
        <w:rPr>
          <w:vertAlign w:val="superscript"/>
        </w:rPr>
        <w:t>,</w:t>
      </w:r>
      <w:r w:rsidR="006268B7">
        <w:rPr>
          <w:rStyle w:val="EndnoteReference"/>
        </w:rPr>
        <w:endnoteReference w:id="59"/>
      </w:r>
      <w:r w:rsidRPr="00C47F87">
        <w:t>.</w:t>
      </w:r>
    </w:p>
    <w:p w14:paraId="3885AFAE" w14:textId="126D0322" w:rsidR="00E84D8F" w:rsidRPr="00B91240" w:rsidRDefault="00E84D8F" w:rsidP="00D30A10">
      <w:pPr>
        <w:spacing w:before="0" w:after="160"/>
        <w:rPr>
          <w:i/>
        </w:rPr>
      </w:pPr>
      <w:r w:rsidRPr="00C47F87">
        <w:rPr>
          <w:i/>
        </w:rPr>
        <w:t>"</w:t>
      </w:r>
      <w:proofErr w:type="spellStart"/>
      <w:r w:rsidR="00D100F0" w:rsidRPr="00C47F87">
        <w:rPr>
          <w:i/>
        </w:rPr>
        <w:t>MissingSchool</w:t>
      </w:r>
      <w:proofErr w:type="spellEnd"/>
      <w:r w:rsidR="00D100F0" w:rsidRPr="00C47F87">
        <w:rPr>
          <w:i/>
        </w:rPr>
        <w:t xml:space="preserve"> d</w:t>
      </w:r>
      <w:r w:rsidRPr="00C47F87">
        <w:rPr>
          <w:i/>
        </w:rPr>
        <w:t xml:space="preserve">ata from </w:t>
      </w:r>
      <w:r w:rsidR="00D100F0" w:rsidRPr="00C47F87">
        <w:rPr>
          <w:i/>
        </w:rPr>
        <w:t>~160</w:t>
      </w:r>
      <w:r w:rsidR="00A60866" w:rsidRPr="00C47F87">
        <w:rPr>
          <w:i/>
        </w:rPr>
        <w:t xml:space="preserve"> students</w:t>
      </w:r>
      <w:r w:rsidRPr="00C47F87">
        <w:rPr>
          <w:i/>
        </w:rPr>
        <w:t xml:space="preserve"> </w:t>
      </w:r>
      <w:proofErr w:type="gramStart"/>
      <w:r w:rsidRPr="00C47F87">
        <w:rPr>
          <w:i/>
        </w:rPr>
        <w:t>identifies</w:t>
      </w:r>
      <w:proofErr w:type="gramEnd"/>
      <w:r w:rsidRPr="00C47F87">
        <w:rPr>
          <w:i/>
        </w:rPr>
        <w:t xml:space="preserve"> that </w:t>
      </w:r>
      <w:r w:rsidR="00D875AF" w:rsidRPr="00C47F87">
        <w:rPr>
          <w:i/>
        </w:rPr>
        <w:t>almost 40</w:t>
      </w:r>
      <w:r w:rsidRPr="00C47F87">
        <w:rPr>
          <w:i/>
        </w:rPr>
        <w:t xml:space="preserve">% of students had an expected absence of more than </w:t>
      </w:r>
      <w:r w:rsidR="00D875AF" w:rsidRPr="00C47F87">
        <w:rPr>
          <w:i/>
        </w:rPr>
        <w:t>12</w:t>
      </w:r>
      <w:r w:rsidRPr="00C47F87">
        <w:rPr>
          <w:i/>
        </w:rPr>
        <w:t xml:space="preserve"> months, and 70% of students </w:t>
      </w:r>
      <w:r w:rsidR="00812536" w:rsidRPr="00C47F87">
        <w:rPr>
          <w:i/>
        </w:rPr>
        <w:t>did not have an</w:t>
      </w:r>
      <w:r w:rsidRPr="00C47F87">
        <w:rPr>
          <w:i/>
        </w:rPr>
        <w:t xml:space="preserve"> individual education plan from their school." - Sarah Jones, </w:t>
      </w:r>
      <w:proofErr w:type="spellStart"/>
      <w:r w:rsidRPr="00C47F87">
        <w:rPr>
          <w:i/>
        </w:rPr>
        <w:t>MissingSchool</w:t>
      </w:r>
      <w:proofErr w:type="spellEnd"/>
      <w:r w:rsidRPr="00C47F87">
        <w:rPr>
          <w:i/>
        </w:rPr>
        <w:t xml:space="preserve"> Impact Manager</w:t>
      </w:r>
      <w:r w:rsidR="00461FAE">
        <w:rPr>
          <w:rStyle w:val="EndnoteReference"/>
          <w:i/>
        </w:rPr>
        <w:endnoteReference w:id="60"/>
      </w:r>
      <w:r w:rsidRPr="00B91240">
        <w:rPr>
          <w:i/>
        </w:rPr>
        <w:t xml:space="preserve"> </w:t>
      </w:r>
    </w:p>
    <w:p w14:paraId="0EB2E0FE" w14:textId="7DED2B89" w:rsidR="00E84D8F" w:rsidRDefault="00E84D8F">
      <w:r w:rsidRPr="00701826">
        <w:t>To ensure Australian schools and healthcare settings are fit-for-purpose, explicit standards for professional practice must be set</w:t>
      </w:r>
      <w:r w:rsidR="00BE6056" w:rsidRPr="00BE6056">
        <w:t xml:space="preserve"> for school and hospital </w:t>
      </w:r>
      <w:proofErr w:type="gramStart"/>
      <w:r w:rsidR="00BE6056" w:rsidRPr="00BE6056">
        <w:t>operations</w:t>
      </w:r>
      <w:r w:rsidRPr="00701826">
        <w:t xml:space="preserve">, </w:t>
      </w:r>
      <w:r w:rsidR="00BE6056">
        <w:t>and</w:t>
      </w:r>
      <w:proofErr w:type="gramEnd"/>
      <w:r w:rsidR="00BE6056">
        <w:t xml:space="preserve"> come with</w:t>
      </w:r>
      <w:r w:rsidRPr="00701826">
        <w:t xml:space="preserve"> </w:t>
      </w:r>
      <w:r>
        <w:t xml:space="preserve">mandatory </w:t>
      </w:r>
      <w:r w:rsidRPr="00701826">
        <w:t>specialised training for educators and paediatric health professionals</w:t>
      </w:r>
      <w:r w:rsidR="006C77DF">
        <w:rPr>
          <w:rStyle w:val="EndnoteReference"/>
        </w:rPr>
        <w:endnoteReference w:id="61"/>
      </w:r>
      <w:r w:rsidR="00477468" w:rsidRPr="00477468">
        <w:rPr>
          <w:vertAlign w:val="superscript"/>
        </w:rPr>
        <w:t>,</w:t>
      </w:r>
      <w:r>
        <w:rPr>
          <w:rStyle w:val="EndnoteReference"/>
        </w:rPr>
        <w:endnoteReference w:id="62"/>
      </w:r>
      <w:r w:rsidRPr="00701826">
        <w:t xml:space="preserve">. State and territory authorities </w:t>
      </w:r>
      <w:r w:rsidRPr="00701826">
        <w:lastRenderedPageBreak/>
        <w:t xml:space="preserve">should work with tertiary </w:t>
      </w:r>
      <w:r w:rsidR="00491BE5" w:rsidRPr="00701826">
        <w:t xml:space="preserve">institutions </w:t>
      </w:r>
      <w:r w:rsidRPr="00701826">
        <w:t xml:space="preserve">and </w:t>
      </w:r>
      <w:r w:rsidR="00473DCE">
        <w:t>relevant</w:t>
      </w:r>
      <w:r w:rsidR="00042AD9">
        <w:t xml:space="preserve"> </w:t>
      </w:r>
      <w:r w:rsidRPr="00701826">
        <w:t xml:space="preserve">professional </w:t>
      </w:r>
      <w:r w:rsidR="00491BE5">
        <w:t xml:space="preserve">associations </w:t>
      </w:r>
      <w:r w:rsidRPr="00701826">
        <w:t xml:space="preserve">to </w:t>
      </w:r>
      <w:r w:rsidR="00121801">
        <w:t>develop</w:t>
      </w:r>
      <w:r w:rsidRPr="00701826">
        <w:t xml:space="preserve"> </w:t>
      </w:r>
      <w:r w:rsidR="00276DF3">
        <w:t>training</w:t>
      </w:r>
      <w:r>
        <w:t xml:space="preserve"> and </w:t>
      </w:r>
      <w:r w:rsidR="00F41E39">
        <w:t xml:space="preserve">to establish </w:t>
      </w:r>
      <w:r w:rsidR="009C2F9A">
        <w:t>accountability measures and monitoring to ensure compliance</w:t>
      </w:r>
      <w:r>
        <w:t>.</w:t>
      </w:r>
    </w:p>
    <w:p w14:paraId="6559359F" w14:textId="7C3FBD29" w:rsidR="009C154B" w:rsidRDefault="009C154B" w:rsidP="009C154B">
      <w:pPr>
        <w:rPr>
          <w:i/>
        </w:rPr>
      </w:pPr>
      <w:r>
        <w:rPr>
          <w:i/>
        </w:rPr>
        <w:t>"When you're lying in a hospital bed, to be able to engage with your peers, to be able to join in with the learning, is what the student wants to be able to do." - Mercedes Wilkinson, Principal</w:t>
      </w:r>
      <w:r w:rsidR="00A23DCD">
        <w:rPr>
          <w:rStyle w:val="EndnoteReference"/>
          <w:i/>
        </w:rPr>
        <w:endnoteReference w:id="63"/>
      </w:r>
    </w:p>
    <w:p w14:paraId="0B915501" w14:textId="6E47D929" w:rsidR="00E84D8F" w:rsidRDefault="00E84D8F">
      <w:r>
        <w:t>An underpinning objective is to establish</w:t>
      </w:r>
      <w:r w:rsidRPr="0097564A">
        <w:t xml:space="preserve"> </w:t>
      </w:r>
      <w:r>
        <w:t xml:space="preserve">data collection and monitoring at school, state and national levels. In </w:t>
      </w:r>
      <w:r w:rsidR="00C55218">
        <w:t xml:space="preserve">the Flanders region in northern Belgium </w:t>
      </w:r>
      <w:r>
        <w:t xml:space="preserve">in 2017, real-time </w:t>
      </w:r>
      <w:r w:rsidR="002C2AF3">
        <w:t>public-school</w:t>
      </w:r>
      <w:r w:rsidR="00177861">
        <w:t xml:space="preserve"> </w:t>
      </w:r>
      <w:r>
        <w:t xml:space="preserve">attendance data tracked students </w:t>
      </w:r>
      <w:r w:rsidR="001306C0">
        <w:t xml:space="preserve">with chronic illness </w:t>
      </w:r>
      <w:r w:rsidR="00C71950">
        <w:t xml:space="preserve">and </w:t>
      </w:r>
      <w:r w:rsidR="00496EC6">
        <w:t xml:space="preserve">observed </w:t>
      </w:r>
      <w:r w:rsidR="00C71950">
        <w:t xml:space="preserve">absence </w:t>
      </w:r>
      <w:r>
        <w:t>at 1.7% of the student population</w:t>
      </w:r>
      <w:r>
        <w:rPr>
          <w:rStyle w:val="EndnoteReference"/>
        </w:rPr>
        <w:endnoteReference w:id="64"/>
      </w:r>
      <w:r>
        <w:t>.</w:t>
      </w:r>
      <w:r w:rsidR="00CC67D2">
        <w:t xml:space="preserve">  Closely matching</w:t>
      </w:r>
      <w:r w:rsidR="00283CFC">
        <w:t xml:space="preserve"> </w:t>
      </w:r>
      <w:r w:rsidR="007A3AFC">
        <w:t xml:space="preserve">unofficial estimates, </w:t>
      </w:r>
      <w:r w:rsidR="00CC67D2">
        <w:t xml:space="preserve">this </w:t>
      </w:r>
      <w:r w:rsidR="00C32338">
        <w:t xml:space="preserve">would </w:t>
      </w:r>
      <w:r w:rsidR="00750C97">
        <w:t>equate</w:t>
      </w:r>
      <w:r w:rsidR="00C32338">
        <w:t xml:space="preserve"> </w:t>
      </w:r>
      <w:r w:rsidR="00750C97">
        <w:t>to</w:t>
      </w:r>
      <w:r>
        <w:t xml:space="preserve"> </w:t>
      </w:r>
      <w:r w:rsidR="007C5A70">
        <w:t>~</w:t>
      </w:r>
      <w:r>
        <w:t>70,000 students</w:t>
      </w:r>
      <w:r w:rsidR="00D31777" w:rsidRPr="00D31777">
        <w:t xml:space="preserve"> </w:t>
      </w:r>
      <w:r w:rsidR="00D31777">
        <w:t>in Australia</w:t>
      </w:r>
      <w:r w:rsidR="00D31777">
        <w:rPr>
          <w:rStyle w:val="EndnoteReference"/>
        </w:rPr>
        <w:t xml:space="preserve"> </w:t>
      </w:r>
      <w:r>
        <w:rPr>
          <w:rStyle w:val="EndnoteReference"/>
        </w:rPr>
        <w:endnoteReference w:id="65"/>
      </w:r>
      <w:r w:rsidR="00146CE6" w:rsidRPr="00EB1144">
        <w:rPr>
          <w:vertAlign w:val="superscript"/>
        </w:rPr>
        <w:t>,</w:t>
      </w:r>
      <w:r w:rsidR="00146CE6">
        <w:rPr>
          <w:rStyle w:val="EndnoteReference"/>
        </w:rPr>
        <w:endnoteReference w:id="66"/>
      </w:r>
      <w:r w:rsidR="007A3AFC">
        <w:t xml:space="preserve">. But this number may misrepresent reality </w:t>
      </w:r>
      <w:r w:rsidR="00CC67D2">
        <w:t>if</w:t>
      </w:r>
      <w:r w:rsidR="007A3AFC">
        <w:t xml:space="preserve"> </w:t>
      </w:r>
      <w:r>
        <w:t xml:space="preserve">chronic </w:t>
      </w:r>
      <w:r w:rsidR="002C0197">
        <w:t>illness</w:t>
      </w:r>
      <w:r w:rsidR="006F4E9D">
        <w:t xml:space="preserve"> </w:t>
      </w:r>
      <w:r w:rsidR="00006851">
        <w:t>affects</w:t>
      </w:r>
      <w:r w:rsidR="0032638D">
        <w:t xml:space="preserve"> </w:t>
      </w:r>
      <w:r w:rsidR="006F4E9D">
        <w:t xml:space="preserve">over a million students, </w:t>
      </w:r>
      <w:r w:rsidR="000E36C8">
        <w:t>and</w:t>
      </w:r>
      <w:r w:rsidR="00CC67D2">
        <w:t xml:space="preserve"> </w:t>
      </w:r>
      <w:r>
        <w:t>hundreds of thousands</w:t>
      </w:r>
      <w:r w:rsidR="00CC67D2">
        <w:t xml:space="preserve"> </w:t>
      </w:r>
      <w:r w:rsidR="00126B33">
        <w:t>of kids</w:t>
      </w:r>
      <w:r w:rsidR="00527162">
        <w:t xml:space="preserve"> are</w:t>
      </w:r>
      <w:r w:rsidR="00126B33">
        <w:t xml:space="preserve"> </w:t>
      </w:r>
      <w:r w:rsidR="006F4E9D">
        <w:t>experienc</w:t>
      </w:r>
      <w:r w:rsidR="00527162">
        <w:t>ing</w:t>
      </w:r>
      <w:r w:rsidR="00CC67D2">
        <w:t xml:space="preserve"> </w:t>
      </w:r>
      <w:r w:rsidR="005E0CCA">
        <w:t>“</w:t>
      </w:r>
      <w:r>
        <w:t xml:space="preserve">mental </w:t>
      </w:r>
      <w:r w:rsidR="00361FA2">
        <w:t xml:space="preserve">health </w:t>
      </w:r>
      <w:r>
        <w:t>disorder</w:t>
      </w:r>
      <w:r w:rsidR="00361FA2">
        <w:t>s</w:t>
      </w:r>
      <w:r w:rsidR="00CC67D2">
        <w:t>”</w:t>
      </w:r>
      <w:r>
        <w:rPr>
          <w:rStyle w:val="EndnoteReference"/>
        </w:rPr>
        <w:endnoteReference w:id="67"/>
      </w:r>
      <w:r>
        <w:t>.</w:t>
      </w:r>
    </w:p>
    <w:p w14:paraId="416FEAB0" w14:textId="13016FFE" w:rsidR="00E84D8F" w:rsidRDefault="00705D4A">
      <w:r>
        <w:t>S</w:t>
      </w:r>
      <w:r w:rsidR="00E84D8F">
        <w:t xml:space="preserve">urveys conducted through the </w:t>
      </w:r>
      <w:bookmarkStart w:id="6" w:name="_Hlk50322580"/>
      <w:r w:rsidR="00E84D8F" w:rsidRPr="003029BC">
        <w:rPr>
          <w:i/>
          <w:iCs/>
        </w:rPr>
        <w:t xml:space="preserve">Nationally Consistent Collection of Data </w:t>
      </w:r>
      <w:bookmarkEnd w:id="6"/>
      <w:r w:rsidR="00E84D8F" w:rsidRPr="003029BC">
        <w:t>(NCCD</w:t>
      </w:r>
      <w:r w:rsidR="003029BC">
        <w:t>)</w:t>
      </w:r>
      <w:r w:rsidR="00E84D8F">
        <w:rPr>
          <w:rStyle w:val="EndnoteReference"/>
        </w:rPr>
        <w:endnoteReference w:id="68"/>
      </w:r>
      <w:r w:rsidR="00E84D8F">
        <w:t xml:space="preserve"> and Australian Bureau of Statistics (ABS)</w:t>
      </w:r>
      <w:r w:rsidR="00E84D8F">
        <w:rPr>
          <w:rStyle w:val="EndnoteReference"/>
        </w:rPr>
        <w:endnoteReference w:id="69"/>
      </w:r>
      <w:r w:rsidR="00E84D8F">
        <w:t xml:space="preserve"> must be </w:t>
      </w:r>
      <w:r w:rsidR="0098023C">
        <w:t>geared</w:t>
      </w:r>
      <w:r w:rsidR="00E84D8F">
        <w:t xml:space="preserve"> to</w:t>
      </w:r>
      <w:r w:rsidR="00785070">
        <w:t>wards</w:t>
      </w:r>
      <w:r w:rsidR="00E84D8F">
        <w:t xml:space="preserve"> identify</w:t>
      </w:r>
      <w:r w:rsidR="00785070">
        <w:t>ing</w:t>
      </w:r>
      <w:r w:rsidR="00E84D8F">
        <w:t xml:space="preserve"> how many kids </w:t>
      </w:r>
      <w:r w:rsidR="00EE7F14">
        <w:t>are chronically absent due to illness</w:t>
      </w:r>
      <w:r w:rsidR="00E84D8F">
        <w:t xml:space="preserve">, how much school they miss, and what </w:t>
      </w:r>
      <w:r w:rsidR="002D51EE">
        <w:t>effect</w:t>
      </w:r>
      <w:r w:rsidR="00E84D8F">
        <w:t xml:space="preserve"> it has.</w:t>
      </w:r>
      <w:r w:rsidR="00E84D8F" w:rsidRPr="00877253">
        <w:t xml:space="preserve"> </w:t>
      </w:r>
      <w:r w:rsidR="00E84D8F">
        <w:t xml:space="preserve">Currently, students who are absent through serious illness </w:t>
      </w:r>
      <w:r w:rsidR="002754D6">
        <w:t>are</w:t>
      </w:r>
      <w:r w:rsidR="00E84D8F">
        <w:t xml:space="preserve"> overlooked by most data collection processes, and sometimes explicitly excluded</w:t>
      </w:r>
      <w:r w:rsidR="00E84D8F">
        <w:rPr>
          <w:rStyle w:val="EndnoteReference"/>
        </w:rPr>
        <w:endnoteReference w:id="70"/>
      </w:r>
      <w:r w:rsidR="00E84D8F">
        <w:t xml:space="preserve">. Without the right data, we can't </w:t>
      </w:r>
      <w:r w:rsidR="009D38E2">
        <w:t>understand or address</w:t>
      </w:r>
      <w:r w:rsidR="00E84D8F">
        <w:t xml:space="preserve"> their needs</w:t>
      </w:r>
      <w:r w:rsidR="004E52D6">
        <w:rPr>
          <w:rStyle w:val="EndnoteReference"/>
        </w:rPr>
        <w:endnoteReference w:id="71"/>
      </w:r>
      <w:r w:rsidR="00E84D8F">
        <w:t xml:space="preserve">. </w:t>
      </w:r>
    </w:p>
    <w:p w14:paraId="1387D473" w14:textId="039FEF3F" w:rsidR="002E66D0" w:rsidRDefault="00774CCD" w:rsidP="00953C21">
      <w:r>
        <w:t xml:space="preserve">Guidelines </w:t>
      </w:r>
      <w:r w:rsidR="008C0B51">
        <w:t>on</w:t>
      </w:r>
      <w:r>
        <w:t xml:space="preserve"> a</w:t>
      </w:r>
      <w:r w:rsidR="00E84D8F" w:rsidRPr="00B91240">
        <w:t xml:space="preserve">bsence related to serious illness should </w:t>
      </w:r>
      <w:r w:rsidR="00E14F52">
        <w:t xml:space="preserve">specify </w:t>
      </w:r>
      <w:r w:rsidR="00AD1FB6">
        <w:t xml:space="preserve">an </w:t>
      </w:r>
      <w:r w:rsidR="00E14F52">
        <w:t>explicit</w:t>
      </w:r>
      <w:r w:rsidR="00E84D8F" w:rsidRPr="00B91240">
        <w:t xml:space="preserve"> </w:t>
      </w:r>
      <w:r w:rsidR="00B9027B">
        <w:t>absence</w:t>
      </w:r>
      <w:r w:rsidR="00E84D8F" w:rsidRPr="00B91240">
        <w:t xml:space="preserve"> code</w:t>
      </w:r>
      <w:r w:rsidR="00326881">
        <w:t xml:space="preserve"> (or </w:t>
      </w:r>
      <w:r w:rsidR="00CF3699">
        <w:t>flag</w:t>
      </w:r>
      <w:r w:rsidR="00326881">
        <w:t xml:space="preserve">) </w:t>
      </w:r>
      <w:r w:rsidR="00CF3699">
        <w:t>to</w:t>
      </w:r>
      <w:r w:rsidR="002461CE">
        <w:t xml:space="preserve"> </w:t>
      </w:r>
      <w:r w:rsidR="00C65021">
        <w:t>track prolonged and cumulative</w:t>
      </w:r>
      <w:r w:rsidR="00ED2708">
        <w:t xml:space="preserve"> absence</w:t>
      </w:r>
      <w:r w:rsidR="00E84D8F">
        <w:rPr>
          <w:rStyle w:val="EndnoteReference"/>
        </w:rPr>
        <w:endnoteReference w:id="72"/>
      </w:r>
      <w:r w:rsidR="00E84D8F" w:rsidRPr="00B91240">
        <w:t xml:space="preserve">. </w:t>
      </w:r>
      <w:r w:rsidR="007C0FBB" w:rsidRPr="00A9331B">
        <w:t>It turns out that there</w:t>
      </w:r>
      <w:r w:rsidR="007C0FBB">
        <w:t>'</w:t>
      </w:r>
      <w:r w:rsidR="007C0FBB" w:rsidRPr="00A9331B">
        <w:t xml:space="preserve">s </w:t>
      </w:r>
      <w:r w:rsidR="007C0FBB">
        <w:t>‘</w:t>
      </w:r>
      <w:r w:rsidR="007C0FBB" w:rsidRPr="00A9331B">
        <w:t>no safe threshold for absence</w:t>
      </w:r>
      <w:r w:rsidR="007C0FBB">
        <w:t>’</w:t>
      </w:r>
      <w:r w:rsidR="007C0FBB">
        <w:rPr>
          <w:rStyle w:val="EndnoteReference"/>
        </w:rPr>
        <w:endnoteReference w:id="73"/>
      </w:r>
      <w:r w:rsidR="007C0FBB" w:rsidRPr="00A9331B">
        <w:t xml:space="preserve">, and missing more than </w:t>
      </w:r>
      <w:r w:rsidR="007C0FBB">
        <w:t>1</w:t>
      </w:r>
      <w:r w:rsidR="007C0FBB" w:rsidRPr="00A9331B">
        <w:t xml:space="preserve">0 school days </w:t>
      </w:r>
      <w:r w:rsidR="007C0FBB">
        <w:t>per school semester</w:t>
      </w:r>
      <w:r w:rsidR="007C0FBB" w:rsidRPr="00A9331B">
        <w:t xml:space="preserve"> </w:t>
      </w:r>
      <w:r w:rsidR="007C0FBB">
        <w:t>increases</w:t>
      </w:r>
      <w:r w:rsidR="007C0FBB" w:rsidRPr="00A9331B">
        <w:t xml:space="preserve"> </w:t>
      </w:r>
      <w:r w:rsidR="007C0FBB">
        <w:t>the likelihood</w:t>
      </w:r>
      <w:r w:rsidR="007C0FBB" w:rsidRPr="00A9331B">
        <w:t xml:space="preserve"> of negative effects</w:t>
      </w:r>
      <w:r w:rsidR="007C0FBB" w:rsidRPr="005E0BB7">
        <w:t xml:space="preserve"> </w:t>
      </w:r>
      <w:r w:rsidR="007C0FBB">
        <w:t>on education outcomes</w:t>
      </w:r>
      <w:r w:rsidR="003C1EC9">
        <w:rPr>
          <w:rStyle w:val="EndnoteReference"/>
        </w:rPr>
        <w:endnoteReference w:id="74"/>
      </w:r>
      <w:r w:rsidR="008C0B51" w:rsidRPr="008C0B51">
        <w:rPr>
          <w:vertAlign w:val="superscript"/>
        </w:rPr>
        <w:t>,</w:t>
      </w:r>
      <w:r w:rsidR="003C1EC9">
        <w:rPr>
          <w:rStyle w:val="EndnoteReference"/>
        </w:rPr>
        <w:endnoteReference w:id="75"/>
      </w:r>
      <w:r w:rsidR="007C0FBB" w:rsidRPr="00A9331B">
        <w:t xml:space="preserve">. </w:t>
      </w:r>
      <w:r w:rsidR="00961EA6">
        <w:t>D</w:t>
      </w:r>
      <w:r w:rsidR="009E3D7D">
        <w:t xml:space="preserve">ata </w:t>
      </w:r>
      <w:r w:rsidR="00386E54">
        <w:t xml:space="preserve">on absence </w:t>
      </w:r>
      <w:r w:rsidR="009E3D7D">
        <w:t xml:space="preserve">will aggregate to </w:t>
      </w:r>
      <w:r w:rsidR="00293DD2">
        <w:t xml:space="preserve">the </w:t>
      </w:r>
      <w:r w:rsidR="009E3D7D" w:rsidRPr="00335068">
        <w:rPr>
          <w:i/>
          <w:iCs/>
        </w:rPr>
        <w:t>National Standards for Student Attendance Data Reporting</w:t>
      </w:r>
      <w:r w:rsidR="009E3D7D">
        <w:rPr>
          <w:rStyle w:val="EndnoteReference"/>
        </w:rPr>
        <w:endnoteReference w:id="76"/>
      </w:r>
      <w:r w:rsidR="009E3D7D">
        <w:t xml:space="preserve"> to inform </w:t>
      </w:r>
      <w:r w:rsidR="005D3997">
        <w:t xml:space="preserve">top-line </w:t>
      </w:r>
      <w:r w:rsidR="009E3D7D">
        <w:t>decision</w:t>
      </w:r>
      <w:r w:rsidR="00605C18">
        <w:t xml:space="preserve"> making</w:t>
      </w:r>
      <w:r w:rsidR="009E3D7D" w:rsidRPr="00953C21">
        <w:t>.</w:t>
      </w:r>
    </w:p>
    <w:p w14:paraId="774EC92D" w14:textId="6F44B7CE" w:rsidR="00E84D8F" w:rsidRPr="00B91240" w:rsidRDefault="002E66D0" w:rsidP="002E66D0">
      <w:r>
        <w:t xml:space="preserve">We must also </w:t>
      </w:r>
      <w:r w:rsidR="00135BC0">
        <w:t>formally define</w:t>
      </w:r>
      <w:r w:rsidR="00135BC0" w:rsidRPr="00A9331B">
        <w:t xml:space="preserve"> a chronic absence threshold. </w:t>
      </w:r>
      <w:r>
        <w:t xml:space="preserve">Along </w:t>
      </w:r>
      <w:r w:rsidR="00334789">
        <w:t xml:space="preserve">with </w:t>
      </w:r>
      <w:r w:rsidR="00135BC0">
        <w:t>medical diagnosis,</w:t>
      </w:r>
      <w:r w:rsidR="00135BC0" w:rsidRPr="00A9331B">
        <w:t xml:space="preserve"> </w:t>
      </w:r>
      <w:r>
        <w:t>a breach of the threshold would</w:t>
      </w:r>
      <w:r w:rsidR="00135BC0" w:rsidRPr="00A9331B">
        <w:t xml:space="preserve"> </w:t>
      </w:r>
      <w:r w:rsidR="00135BC0">
        <w:t>oblige</w:t>
      </w:r>
      <w:r w:rsidR="00135BC0" w:rsidRPr="00A9331B">
        <w:t xml:space="preserve"> schools </w:t>
      </w:r>
      <w:r w:rsidR="00135BC0">
        <w:t xml:space="preserve">to intervene early </w:t>
      </w:r>
      <w:r w:rsidR="00282683">
        <w:t xml:space="preserve">and </w:t>
      </w:r>
      <w:r w:rsidR="00FB682B">
        <w:t>collaborate with</w:t>
      </w:r>
      <w:r w:rsidR="00282683">
        <w:t xml:space="preserve"> health settings for </w:t>
      </w:r>
      <w:r w:rsidR="00135BC0">
        <w:t>specialised support</w:t>
      </w:r>
      <w:r w:rsidR="00535BF5">
        <w:t xml:space="preserve">, and </w:t>
      </w:r>
      <w:r w:rsidR="00646270" w:rsidRPr="00953C21">
        <w:t xml:space="preserve">individual </w:t>
      </w:r>
      <w:r w:rsidR="004F1663">
        <w:t>plan</w:t>
      </w:r>
      <w:r w:rsidR="00FC53CA">
        <w:t>s</w:t>
      </w:r>
      <w:r w:rsidR="00646270" w:rsidRPr="00953C21">
        <w:t xml:space="preserve"> for students</w:t>
      </w:r>
      <w:r w:rsidR="004317CC">
        <w:rPr>
          <w:rStyle w:val="EndnoteReference"/>
        </w:rPr>
        <w:endnoteReference w:id="77"/>
      </w:r>
      <w:r w:rsidR="00FB682B">
        <w:rPr>
          <w:vertAlign w:val="superscript"/>
        </w:rPr>
        <w:t>,</w:t>
      </w:r>
      <w:r w:rsidR="00FB682B">
        <w:rPr>
          <w:rStyle w:val="EndnoteReference"/>
        </w:rPr>
        <w:endnoteReference w:id="78"/>
      </w:r>
      <w:r w:rsidR="00C437CF">
        <w:t>, ultimately count</w:t>
      </w:r>
      <w:r w:rsidR="00275676">
        <w:t>ing</w:t>
      </w:r>
      <w:r w:rsidR="0056620B">
        <w:t xml:space="preserve"> </w:t>
      </w:r>
      <w:r w:rsidR="004F1663">
        <w:t>as</w:t>
      </w:r>
      <w:r w:rsidR="00646270" w:rsidRPr="00953C21">
        <w:t xml:space="preserve"> adjustments </w:t>
      </w:r>
      <w:r w:rsidR="00BF6FD0">
        <w:t>through</w:t>
      </w:r>
      <w:r w:rsidR="00646270" w:rsidRPr="00953C21">
        <w:t xml:space="preserve"> the </w:t>
      </w:r>
      <w:r w:rsidR="0056620B">
        <w:t>NCCD</w:t>
      </w:r>
      <w:r w:rsidR="00646270">
        <w:t>.</w:t>
      </w:r>
      <w:r w:rsidR="0052026E">
        <w:t xml:space="preserve"> </w:t>
      </w:r>
    </w:p>
    <w:p w14:paraId="22F67A2E" w14:textId="5883FF86" w:rsidR="00E84D8F" w:rsidRDefault="00E84D8F">
      <w:r>
        <w:t xml:space="preserve">To support </w:t>
      </w:r>
      <w:r w:rsidR="0061338E">
        <w:t>social connection</w:t>
      </w:r>
      <w:r>
        <w:t>, s</w:t>
      </w:r>
      <w:r w:rsidRPr="00BA45A0">
        <w:t xml:space="preserve">chools should be required to offer telepresence for classroom </w:t>
      </w:r>
      <w:r w:rsidR="0061338E">
        <w:t>attendance</w:t>
      </w:r>
      <w:r w:rsidRPr="00BA45A0">
        <w:t>,</w:t>
      </w:r>
      <w:r>
        <w:t xml:space="preserve"> </w:t>
      </w:r>
      <w:r w:rsidR="007A6CE0">
        <w:t xml:space="preserve">within a </w:t>
      </w:r>
      <w:r w:rsidR="008833B0">
        <w:t>coordinated</w:t>
      </w:r>
      <w:r w:rsidR="007A6CE0">
        <w:t xml:space="preserve"> service</w:t>
      </w:r>
      <w:r w:rsidR="005B2054">
        <w:t xml:space="preserve">, to </w:t>
      </w:r>
      <w:r w:rsidRPr="00BA45A0">
        <w:t xml:space="preserve">ensure that </w:t>
      </w:r>
      <w:r>
        <w:t>students</w:t>
      </w:r>
      <w:r w:rsidRPr="00BA45A0">
        <w:t xml:space="preserve"> can connect with </w:t>
      </w:r>
      <w:r>
        <w:t>their schools from</w:t>
      </w:r>
      <w:r w:rsidRPr="00BA45A0">
        <w:t xml:space="preserve"> hospital</w:t>
      </w:r>
      <w:r>
        <w:t xml:space="preserve"> and</w:t>
      </w:r>
      <w:r w:rsidRPr="00BA45A0">
        <w:t xml:space="preserve"> home</w:t>
      </w:r>
      <w:r>
        <w:rPr>
          <w:rStyle w:val="EndnoteReference"/>
        </w:rPr>
        <w:endnoteReference w:id="79"/>
      </w:r>
      <w:r w:rsidRPr="00BA45A0">
        <w:t xml:space="preserve">. It is </w:t>
      </w:r>
      <w:r w:rsidR="00FD5026">
        <w:t xml:space="preserve">then </w:t>
      </w:r>
      <w:r w:rsidRPr="00BA45A0">
        <w:t xml:space="preserve">vital to </w:t>
      </w:r>
      <w:r w:rsidR="00092A8C" w:rsidRPr="00BA45A0">
        <w:t xml:space="preserve">bridge </w:t>
      </w:r>
      <w:r w:rsidR="00E15D0A">
        <w:t xml:space="preserve">any </w:t>
      </w:r>
      <w:r w:rsidR="00092A8C" w:rsidRPr="00BA45A0">
        <w:t xml:space="preserve">learning gaps </w:t>
      </w:r>
      <w:r w:rsidR="00092A8C">
        <w:t>through</w:t>
      </w:r>
      <w:r w:rsidRPr="00BA45A0">
        <w:t xml:space="preserve"> one-</w:t>
      </w:r>
      <w:r w:rsidR="005B2054">
        <w:t>to</w:t>
      </w:r>
      <w:r w:rsidRPr="00BA45A0">
        <w:t xml:space="preserve">-one </w:t>
      </w:r>
      <w:r w:rsidR="006D6623">
        <w:t xml:space="preserve">videoconferencing </w:t>
      </w:r>
      <w:r w:rsidR="00F112F4">
        <w:t xml:space="preserve">with </w:t>
      </w:r>
      <w:r w:rsidR="00594A9A">
        <w:t>their teachers</w:t>
      </w:r>
      <w:r>
        <w:rPr>
          <w:rStyle w:val="EndnoteReference"/>
        </w:rPr>
        <w:endnoteReference w:id="80"/>
      </w:r>
      <w:r w:rsidRPr="00BA45A0">
        <w:t xml:space="preserve">. </w:t>
      </w:r>
      <w:r>
        <w:t>Education authorities and s</w:t>
      </w:r>
      <w:r w:rsidRPr="00BA45A0">
        <w:t xml:space="preserve">chools must publish </w:t>
      </w:r>
      <w:r w:rsidR="0013074E">
        <w:t xml:space="preserve">their </w:t>
      </w:r>
      <w:r w:rsidRPr="00BA45A0">
        <w:t>policies</w:t>
      </w:r>
      <w:r>
        <w:t xml:space="preserve"> </w:t>
      </w:r>
      <w:r w:rsidR="001F1388">
        <w:t xml:space="preserve">for </w:t>
      </w:r>
      <w:r>
        <w:t xml:space="preserve">serious illness, </w:t>
      </w:r>
      <w:r w:rsidR="000E0439">
        <w:t>and specify technology</w:t>
      </w:r>
      <w:r w:rsidR="00E57D6E">
        <w:t xml:space="preserve"> and support</w:t>
      </w:r>
      <w:r w:rsidR="000E0439">
        <w:t xml:space="preserve"> options, </w:t>
      </w:r>
      <w:r>
        <w:t xml:space="preserve">so </w:t>
      </w:r>
      <w:r w:rsidR="000E0439">
        <w:t xml:space="preserve">students and </w:t>
      </w:r>
      <w:r>
        <w:t>families know what to do</w:t>
      </w:r>
      <w:r>
        <w:rPr>
          <w:rStyle w:val="EndnoteReference"/>
        </w:rPr>
        <w:endnoteReference w:id="81"/>
      </w:r>
      <w:r w:rsidR="007C13B1">
        <w:t>.</w:t>
      </w:r>
    </w:p>
    <w:p w14:paraId="36BAC1D6" w14:textId="77777777" w:rsidR="00CE6316" w:rsidRPr="00B91240" w:rsidRDefault="00CE6316" w:rsidP="00CE6316">
      <w:pPr>
        <w:spacing w:before="0" w:after="160"/>
        <w:rPr>
          <w:i/>
        </w:rPr>
      </w:pPr>
      <w:r>
        <w:rPr>
          <w:i/>
        </w:rPr>
        <w:t>"</w:t>
      </w:r>
      <w:r w:rsidRPr="00B91240">
        <w:rPr>
          <w:i/>
        </w:rPr>
        <w:t xml:space="preserve">While missing large periods of time off school due to having a flare up, I had virtual learning to help keep up with </w:t>
      </w:r>
      <w:proofErr w:type="gramStart"/>
      <w:r w:rsidRPr="00B91240">
        <w:rPr>
          <w:i/>
        </w:rPr>
        <w:t>school work</w:t>
      </w:r>
      <w:proofErr w:type="gramEnd"/>
      <w:r w:rsidRPr="00B91240">
        <w:rPr>
          <w:i/>
        </w:rPr>
        <w:t>; this helped a lot.</w:t>
      </w:r>
      <w:r>
        <w:rPr>
          <w:i/>
        </w:rPr>
        <w:t>"</w:t>
      </w:r>
      <w:r w:rsidRPr="00B91240">
        <w:rPr>
          <w:i/>
        </w:rPr>
        <w:t xml:space="preserve"> - Student</w:t>
      </w:r>
      <w:r>
        <w:rPr>
          <w:rStyle w:val="EndnoteReference"/>
          <w:i/>
        </w:rPr>
        <w:endnoteReference w:id="82"/>
      </w:r>
    </w:p>
    <w:p w14:paraId="32BC629A" w14:textId="6DC0B193" w:rsidR="00E84D8F" w:rsidRDefault="00E84D8F" w:rsidP="00D65786">
      <w:pPr>
        <w:rPr>
          <w:b/>
        </w:rPr>
      </w:pPr>
      <w:r>
        <w:t xml:space="preserve">The Netherlands led the world in education technology for sick students, building on </w:t>
      </w:r>
      <w:r w:rsidR="00D17848">
        <w:t>legislation</w:t>
      </w:r>
      <w:r>
        <w:t xml:space="preserve"> from 1999. In Belgium</w:t>
      </w:r>
      <w:r w:rsidR="005A4FC7">
        <w:t xml:space="preserve"> (Flanders)</w:t>
      </w:r>
      <w:r>
        <w:t xml:space="preserve">, technology </w:t>
      </w:r>
      <w:r w:rsidR="003D32B8">
        <w:t>provided</w:t>
      </w:r>
      <w:r w:rsidR="003A489C">
        <w:t xml:space="preserve"> for</w:t>
      </w:r>
      <w:r w:rsidR="006F62DD">
        <w:t xml:space="preserve"> sick students</w:t>
      </w:r>
      <w:r>
        <w:t xml:space="preserve"> by a social enterprise drove </w:t>
      </w:r>
      <w:r w:rsidR="005E1311">
        <w:t xml:space="preserve">education </w:t>
      </w:r>
      <w:r>
        <w:t>policy. Now schools are required to offer two-way digital connection to every sick student who needs it, and government funding</w:t>
      </w:r>
      <w:r w:rsidR="004447BC">
        <w:t xml:space="preserve"> has</w:t>
      </w:r>
      <w:r>
        <w:t xml:space="preserve"> followed</w:t>
      </w:r>
      <w:r>
        <w:rPr>
          <w:rStyle w:val="EndnoteReference"/>
        </w:rPr>
        <w:endnoteReference w:id="83"/>
      </w:r>
      <w:r>
        <w:t xml:space="preserve">. Similar approaches are underway in Japan, Scandinavia, Switzerland, </w:t>
      </w:r>
      <w:r w:rsidR="00E8748E">
        <w:t xml:space="preserve">the </w:t>
      </w:r>
      <w:r>
        <w:t xml:space="preserve">UK, and </w:t>
      </w:r>
      <w:r w:rsidR="00670864">
        <w:t xml:space="preserve">the </w:t>
      </w:r>
      <w:r>
        <w:t>USA</w:t>
      </w:r>
      <w:r>
        <w:rPr>
          <w:rStyle w:val="EndnoteReference"/>
        </w:rPr>
        <w:endnoteReference w:id="84"/>
      </w:r>
      <w:r>
        <w:t xml:space="preserve">. </w:t>
      </w:r>
      <w:r w:rsidRPr="003E550B">
        <w:t>Australia can do the same, and better—we can take it a step further and be a leader. The good news is, we have a head start.</w:t>
      </w:r>
    </w:p>
    <w:p w14:paraId="001F7834" w14:textId="2481852E" w:rsidR="00E84D8F" w:rsidRDefault="00584ED0" w:rsidP="00D65786">
      <w:pPr>
        <w:spacing w:before="0" w:after="160"/>
      </w:pPr>
      <w:r>
        <w:t>Since</w:t>
      </w:r>
      <w:r w:rsidR="00E84D8F">
        <w:t xml:space="preserve"> 2017, </w:t>
      </w:r>
      <w:proofErr w:type="spellStart"/>
      <w:r w:rsidR="00E84D8F">
        <w:t>MissingSchool</w:t>
      </w:r>
      <w:proofErr w:type="spellEnd"/>
      <w:r w:rsidR="00E84D8F">
        <w:t xml:space="preserve"> </w:t>
      </w:r>
      <w:r w:rsidR="000A1BAF">
        <w:t>has run</w:t>
      </w:r>
      <w:r w:rsidR="00E84D8F">
        <w:t xml:space="preserve"> </w:t>
      </w:r>
      <w:r w:rsidR="004A2C9B">
        <w:t>an Australian</w:t>
      </w:r>
      <w:r w:rsidR="00BF6F0F">
        <w:t>-first</w:t>
      </w:r>
      <w:r w:rsidR="000A1BAF">
        <w:t xml:space="preserve"> service</w:t>
      </w:r>
      <w:r w:rsidR="003F7293">
        <w:t xml:space="preserve"> </w:t>
      </w:r>
      <w:r w:rsidR="001A5D48">
        <w:t>through</w:t>
      </w:r>
      <w:r w:rsidR="00E84D8F">
        <w:t xml:space="preserve"> education and health systems </w:t>
      </w:r>
      <w:r w:rsidR="00FD5AA1">
        <w:t>to</w:t>
      </w:r>
      <w:r w:rsidR="00E84D8F">
        <w:t xml:space="preserve"> put sick kids back in their classrooms through telepresence robots (robots)</w:t>
      </w:r>
      <w:r w:rsidR="00E84D8F">
        <w:rPr>
          <w:rStyle w:val="EndnoteReference"/>
        </w:rPr>
        <w:endnoteReference w:id="85"/>
      </w:r>
      <w:r w:rsidR="00AA656C">
        <w:rPr>
          <w:vertAlign w:val="superscript"/>
        </w:rPr>
        <w:t>,</w:t>
      </w:r>
      <w:r w:rsidR="00AA656C">
        <w:rPr>
          <w:rStyle w:val="EndnoteReference"/>
        </w:rPr>
        <w:endnoteReference w:id="86"/>
      </w:r>
      <w:r w:rsidR="00E84D8F">
        <w:t>. These robots enable sick kids to dial</w:t>
      </w:r>
      <w:r>
        <w:t xml:space="preserve"> </w:t>
      </w:r>
      <w:r w:rsidR="00E84D8F">
        <w:t xml:space="preserve">in to their class from hospital or home – </w:t>
      </w:r>
      <w:r w:rsidR="00CF0EC4">
        <w:t>where</w:t>
      </w:r>
      <w:r w:rsidR="00E84D8F">
        <w:t xml:space="preserve"> they can be seen and heard, and </w:t>
      </w:r>
      <w:r w:rsidR="004314CC">
        <w:t xml:space="preserve">can </w:t>
      </w:r>
      <w:r w:rsidR="00E84D8F">
        <w:t>take their lessons in real-time</w:t>
      </w:r>
      <w:r w:rsidR="008F0810">
        <w:rPr>
          <w:rStyle w:val="EndnoteReference"/>
        </w:rPr>
        <w:endnoteReference w:id="87"/>
      </w:r>
      <w:r w:rsidR="007C7FFB">
        <w:rPr>
          <w:vertAlign w:val="superscript"/>
        </w:rPr>
        <w:t>,</w:t>
      </w:r>
      <w:r w:rsidR="007C7FFB">
        <w:rPr>
          <w:rStyle w:val="EndnoteReference"/>
        </w:rPr>
        <w:endnoteReference w:id="88"/>
      </w:r>
      <w:r w:rsidR="00E84D8F">
        <w:t>. The 'human' characteristics and interactivity of the robots cultivate greater social attachment through social experiences</w:t>
      </w:r>
      <w:r w:rsidR="00E84D8F">
        <w:rPr>
          <w:rStyle w:val="EndnoteReference"/>
        </w:rPr>
        <w:endnoteReference w:id="89"/>
      </w:r>
      <w:r w:rsidR="00E84D8F">
        <w:t xml:space="preserve">. </w:t>
      </w:r>
      <w:r w:rsidR="004314CC">
        <w:t>The kids are excited to</w:t>
      </w:r>
      <w:r w:rsidR="00E84D8F">
        <w:t xml:space="preserve"> share the 'space' by moving their robot around the classroom from their remote location. </w:t>
      </w:r>
    </w:p>
    <w:p w14:paraId="52531697" w14:textId="4E3475B3" w:rsidR="00E84D8F" w:rsidRDefault="00E84D8F" w:rsidP="00D65786">
      <w:pPr>
        <w:spacing w:before="0" w:after="160"/>
        <w:rPr>
          <w:i/>
        </w:rPr>
      </w:pPr>
      <w:r>
        <w:rPr>
          <w:i/>
        </w:rPr>
        <w:t>"The robot brought light into Jensen's life when he was at his saddest point in treatment and it assisted his motivation for recovery." - Heidi, Mum</w:t>
      </w:r>
      <w:r w:rsidR="00E470EF">
        <w:rPr>
          <w:rStyle w:val="EndnoteReference"/>
          <w:i/>
        </w:rPr>
        <w:endnoteReference w:id="90"/>
      </w:r>
    </w:p>
    <w:p w14:paraId="3B0D2F7B" w14:textId="55696DDF" w:rsidR="00E84D8F" w:rsidRDefault="00E84D8F" w:rsidP="00732A8D">
      <w:pPr>
        <w:spacing w:before="0" w:after="160"/>
      </w:pPr>
      <w:r>
        <w:t xml:space="preserve">Confirming </w:t>
      </w:r>
      <w:proofErr w:type="spellStart"/>
      <w:r>
        <w:t>MissingSchool's</w:t>
      </w:r>
      <w:proofErr w:type="spellEnd"/>
      <w:r>
        <w:t xml:space="preserve"> theory of change</w:t>
      </w:r>
      <w:r w:rsidR="00B43098">
        <w:t>,</w:t>
      </w:r>
      <w:r>
        <w:t xml:space="preserve"> parents and teachers report </w:t>
      </w:r>
      <w:r w:rsidR="00B43098">
        <w:t>that solving the problem of absence by using the robots</w:t>
      </w:r>
      <w:r w:rsidR="00B43098">
        <w:rPr>
          <w:rStyle w:val="EndnoteReference"/>
        </w:rPr>
        <w:endnoteReference w:id="91"/>
      </w:r>
      <w:r w:rsidR="009E2AA6" w:rsidRPr="0038624C">
        <w:rPr>
          <w:vertAlign w:val="superscript"/>
        </w:rPr>
        <w:t>,</w:t>
      </w:r>
      <w:r w:rsidR="009E2AA6">
        <w:rPr>
          <w:rStyle w:val="EndnoteReference"/>
        </w:rPr>
        <w:endnoteReference w:id="92"/>
      </w:r>
      <w:r w:rsidR="00B43098">
        <w:t xml:space="preserve"> </w:t>
      </w:r>
      <w:r>
        <w:t>help</w:t>
      </w:r>
      <w:r w:rsidR="00B43098">
        <w:t>s</w:t>
      </w:r>
      <w:r>
        <w:t xml:space="preserve"> student friendships, ease</w:t>
      </w:r>
      <w:r w:rsidR="00B43098">
        <w:t>s</w:t>
      </w:r>
      <w:r>
        <w:t xml:space="preserve"> anxiety, increase</w:t>
      </w:r>
      <w:r w:rsidR="00B43098">
        <w:t>s</w:t>
      </w:r>
      <w:r>
        <w:t xml:space="preserve"> participation</w:t>
      </w:r>
      <w:r w:rsidR="00B43098">
        <w:t xml:space="preserve"> and </w:t>
      </w:r>
      <w:r w:rsidR="00B43098">
        <w:lastRenderedPageBreak/>
        <w:t>learning</w:t>
      </w:r>
      <w:r>
        <w:t xml:space="preserve">, and </w:t>
      </w:r>
      <w:r w:rsidR="00B43098">
        <w:t xml:space="preserve">reactivates </w:t>
      </w:r>
      <w:r>
        <w:t>school support. Further, funding in some schools has now been accessed, policy for robots in schools and hospitals has been applied</w:t>
      </w:r>
      <w:r w:rsidR="00510E89">
        <w:rPr>
          <w:rStyle w:val="EndnoteReference"/>
        </w:rPr>
        <w:endnoteReference w:id="93"/>
      </w:r>
      <w:r>
        <w:t xml:space="preserve">, and collaboration with teachers and health professionals is </w:t>
      </w:r>
      <w:r w:rsidR="00CF78F9">
        <w:t>taking</w:t>
      </w:r>
      <w:r>
        <w:t xml:space="preserve"> place.</w:t>
      </w:r>
    </w:p>
    <w:p w14:paraId="03E351A3" w14:textId="57DB8FA9" w:rsidR="00E84D8F" w:rsidRDefault="00E84D8F" w:rsidP="00732A8D">
      <w:pPr>
        <w:spacing w:before="0" w:after="160"/>
      </w:pPr>
      <w:r w:rsidRPr="00B91240">
        <w:t xml:space="preserve">Three years on, an estimated </w:t>
      </w:r>
      <w:r w:rsidR="00AC7CB1">
        <w:t>3,140</w:t>
      </w:r>
      <w:r w:rsidRPr="00B91240">
        <w:t xml:space="preserve"> classmates have been reconnected through </w:t>
      </w:r>
      <w:r>
        <w:t xml:space="preserve">the deployment of </w:t>
      </w:r>
      <w:r w:rsidRPr="00B91240">
        <w:t xml:space="preserve">over </w:t>
      </w:r>
      <w:r w:rsidRPr="00AC7CB1">
        <w:t>100</w:t>
      </w:r>
      <w:r w:rsidRPr="00B91240">
        <w:t xml:space="preserve"> robots, </w:t>
      </w:r>
      <w:r w:rsidR="00AC7CB1">
        <w:t>310</w:t>
      </w:r>
      <w:r w:rsidRPr="00B91240">
        <w:t xml:space="preserve"> teachers have been trained</w:t>
      </w:r>
      <w:r>
        <w:t xml:space="preserve"> in their use</w:t>
      </w:r>
      <w:r w:rsidRPr="00B91240">
        <w:t xml:space="preserve">, </w:t>
      </w:r>
      <w:r w:rsidR="00AC7CB1">
        <w:t>1,040</w:t>
      </w:r>
      <w:r w:rsidRPr="00B91240">
        <w:t xml:space="preserve"> teachers have been observ</w:t>
      </w:r>
      <w:r>
        <w:t>ers</w:t>
      </w:r>
      <w:r w:rsidR="00463D7E">
        <w:rPr>
          <w:rStyle w:val="EndnoteReference"/>
        </w:rPr>
        <w:endnoteReference w:id="94"/>
      </w:r>
      <w:r w:rsidRPr="00B91240">
        <w:t xml:space="preserve">, </w:t>
      </w:r>
      <w:r w:rsidRPr="000C7AAC">
        <w:t>and momentum continues to build through ongoing media and positive public feedback</w:t>
      </w:r>
      <w:r w:rsidRPr="00B91240">
        <w:t>. One primary school student</w:t>
      </w:r>
      <w:r w:rsidR="007D0DAF">
        <w:t xml:space="preserve"> </w:t>
      </w:r>
      <w:r w:rsidRPr="00B91240">
        <w:t>recently shared with Prime Minister Scott Morrison how using a telepresence robot has given him access to his school and his friends, despite a long illness</w:t>
      </w:r>
      <w:r w:rsidR="008A0BAC">
        <w:rPr>
          <w:rStyle w:val="EndnoteReference"/>
        </w:rPr>
        <w:endnoteReference w:id="95"/>
      </w:r>
      <w:r w:rsidRPr="00B91240">
        <w:t xml:space="preserve">. </w:t>
      </w:r>
    </w:p>
    <w:p w14:paraId="5580BA70" w14:textId="78E8A92D" w:rsidR="00E84D8F" w:rsidRPr="000A30C8" w:rsidRDefault="00425EAC" w:rsidP="00732A8D">
      <w:pPr>
        <w:spacing w:before="0" w:after="160"/>
        <w:rPr>
          <w:i/>
        </w:rPr>
      </w:pPr>
      <w:r>
        <w:rPr>
          <w:i/>
        </w:rPr>
        <w:t>"</w:t>
      </w:r>
      <w:r w:rsidR="00E84D8F">
        <w:rPr>
          <w:i/>
        </w:rPr>
        <w:t>It</w:t>
      </w:r>
      <w:r>
        <w:rPr>
          <w:i/>
        </w:rPr>
        <w:t>'</w:t>
      </w:r>
      <w:r w:rsidR="00E84D8F">
        <w:rPr>
          <w:i/>
        </w:rPr>
        <w:t>s</w:t>
      </w:r>
      <w:r w:rsidR="00E84D8F" w:rsidRPr="000A30C8">
        <w:rPr>
          <w:i/>
        </w:rPr>
        <w:t xml:space="preserve"> been good, I go on the robot…</w:t>
      </w:r>
      <w:r w:rsidR="00E84D8F">
        <w:rPr>
          <w:i/>
        </w:rPr>
        <w:t xml:space="preserve">I can drive around!" </w:t>
      </w:r>
      <w:r w:rsidR="00025279">
        <w:rPr>
          <w:i/>
        </w:rPr>
        <w:t>–</w:t>
      </w:r>
      <w:r w:rsidR="00E84D8F">
        <w:rPr>
          <w:i/>
        </w:rPr>
        <w:t xml:space="preserve"> </w:t>
      </w:r>
      <w:r w:rsidR="00E84D8F" w:rsidRPr="000A30C8">
        <w:rPr>
          <w:i/>
        </w:rPr>
        <w:t>Joshua</w:t>
      </w:r>
      <w:r w:rsidR="00025279">
        <w:rPr>
          <w:i/>
        </w:rPr>
        <w:t>, Student</w:t>
      </w:r>
      <w:r w:rsidR="008A6217">
        <w:rPr>
          <w:rStyle w:val="EndnoteReference"/>
          <w:i/>
        </w:rPr>
        <w:endnoteReference w:id="96"/>
      </w:r>
      <w:r w:rsidR="00E84D8F" w:rsidRPr="000A30C8">
        <w:rPr>
          <w:i/>
        </w:rPr>
        <w:t xml:space="preserve"> </w:t>
      </w:r>
    </w:p>
    <w:p w14:paraId="7FEA56FD" w14:textId="32D8983E" w:rsidR="00A52215" w:rsidRDefault="00E84D8F">
      <w:bookmarkStart w:id="7" w:name="_fsvrbaswq7yz" w:colFirst="0" w:colLast="0"/>
      <w:bookmarkEnd w:id="7"/>
      <w:r w:rsidRPr="00B91240">
        <w:t>When schools see these students, count them, and take responsibility for their education, existing disability and assistive technology funding channels can be unlocked</w:t>
      </w:r>
      <w:r w:rsidR="009B0E77">
        <w:rPr>
          <w:rStyle w:val="EndnoteReference"/>
        </w:rPr>
        <w:endnoteReference w:id="97"/>
      </w:r>
      <w:r w:rsidRPr="00B91240">
        <w:t xml:space="preserve">. </w:t>
      </w:r>
      <w:r w:rsidR="00736AC0">
        <w:t xml:space="preserve">The </w:t>
      </w:r>
      <w:r w:rsidR="002B2EF7">
        <w:t>funding</w:t>
      </w:r>
      <w:r w:rsidR="00A00FBB">
        <w:t xml:space="preserve"> is</w:t>
      </w:r>
      <w:r w:rsidR="002B2EF7">
        <w:t xml:space="preserve"> </w:t>
      </w:r>
      <w:r w:rsidR="00736AC0">
        <w:t>there</w:t>
      </w:r>
      <w:r w:rsidR="007B0DB6">
        <w:t xml:space="preserve">, </w:t>
      </w:r>
      <w:r w:rsidR="005A2AB6">
        <w:t xml:space="preserve">sitting </w:t>
      </w:r>
      <w:r w:rsidR="007B0DB6">
        <w:t>alongside the net social benefit</w:t>
      </w:r>
      <w:r w:rsidR="00D56932">
        <w:t>. W</w:t>
      </w:r>
      <w:r w:rsidRPr="00B91240">
        <w:t>e don</w:t>
      </w:r>
      <w:r>
        <w:t>'</w:t>
      </w:r>
      <w:r w:rsidRPr="00B91240">
        <w:t xml:space="preserve">t need a change in legislation—the building blocks are already in place. </w:t>
      </w:r>
      <w:r>
        <w:t>With clear policy options in sight</w:t>
      </w:r>
      <w:r w:rsidRPr="00B91240">
        <w:t>, we can start right away.</w:t>
      </w:r>
      <w:r w:rsidR="00E92832" w:rsidRPr="00B91240">
        <w:t xml:space="preserve"> </w:t>
      </w:r>
      <w:r w:rsidR="000E4986">
        <w:t>Judging by ongoing media</w:t>
      </w:r>
      <w:r w:rsidR="00100334">
        <w:t xml:space="preserve"> attention</w:t>
      </w:r>
      <w:r w:rsidR="0065605A">
        <w:t>, p</w:t>
      </w:r>
      <w:r w:rsidR="00434048" w:rsidRPr="00B91240">
        <w:t>olicymakers</w:t>
      </w:r>
      <w:r w:rsidR="00E92832" w:rsidRPr="00B91240">
        <w:t xml:space="preserve"> will be backed by millions of people </w:t>
      </w:r>
      <w:r w:rsidR="0065605A">
        <w:t>who value this</w:t>
      </w:r>
      <w:r w:rsidR="00E92832">
        <w:t xml:space="preserve"> innovation</w:t>
      </w:r>
      <w:r w:rsidR="00C6325D">
        <w:t xml:space="preserve"> for sick kids</w:t>
      </w:r>
      <w:r w:rsidR="00E92832">
        <w:t>.</w:t>
      </w:r>
    </w:p>
    <w:p w14:paraId="5C181454" w14:textId="0DFD416C" w:rsidR="00A52215" w:rsidRDefault="00E92832">
      <w:r>
        <w:t>For lasting change, system</w:t>
      </w:r>
      <w:r w:rsidR="00205749">
        <w:t>at</w:t>
      </w:r>
      <w:r w:rsidR="00B42034">
        <w:t>ic</w:t>
      </w:r>
      <w:r w:rsidR="00AA452A">
        <w:t xml:space="preserve"> policy, data collection,</w:t>
      </w:r>
      <w:r>
        <w:t xml:space="preserve"> </w:t>
      </w:r>
      <w:r w:rsidR="00205749">
        <w:t xml:space="preserve">utilisation of </w:t>
      </w:r>
      <w:r>
        <w:t>technolog</w:t>
      </w:r>
      <w:r w:rsidR="00205749">
        <w:t>y</w:t>
      </w:r>
      <w:r w:rsidR="00AA452A">
        <w:t>, and support</w:t>
      </w:r>
      <w:r>
        <w:t xml:space="preserve"> must be folded into the fabric of schools, hospitals, and homes nationwide—equitably and consistently, as our </w:t>
      </w:r>
      <w:r w:rsidR="00171D2C">
        <w:t>Disability</w:t>
      </w:r>
      <w:r>
        <w:t xml:space="preserve"> Standards </w:t>
      </w:r>
      <w:r w:rsidR="00171D2C">
        <w:t xml:space="preserve">for Education </w:t>
      </w:r>
      <w:r>
        <w:t>expect. Just like access ramps, robot</w:t>
      </w:r>
      <w:r w:rsidR="00870FF2">
        <w:t>s</w:t>
      </w:r>
      <w:r w:rsidR="006E39A1">
        <w:t xml:space="preserve"> </w:t>
      </w:r>
      <w:r>
        <w:t xml:space="preserve">can give our </w:t>
      </w:r>
      <w:r w:rsidR="00E3795A">
        <w:t xml:space="preserve">sick </w:t>
      </w:r>
      <w:r>
        <w:t xml:space="preserve">kids an unmistakable </w:t>
      </w:r>
      <w:r w:rsidR="00FC46E1">
        <w:t>presence</w:t>
      </w:r>
      <w:r>
        <w:t xml:space="preserve"> in their schools. </w:t>
      </w:r>
    </w:p>
    <w:p w14:paraId="59F578A5" w14:textId="77777777" w:rsidR="00FA1C24" w:rsidRDefault="00FA1C24" w:rsidP="00FA1C24">
      <w:pPr>
        <w:pStyle w:val="Heading1"/>
      </w:pPr>
      <w:r>
        <w:t xml:space="preserve">Policy recommendations </w:t>
      </w:r>
    </w:p>
    <w:p w14:paraId="27985EB9" w14:textId="2BF73370" w:rsidR="008B1716" w:rsidRDefault="008B1716" w:rsidP="008B1716">
      <w:r>
        <w:t>The zigzagging of sick kids between our education and health systems, and sometimes across state and territory borders for treatment, needs the Commonwealth to</w:t>
      </w:r>
      <w:r w:rsidR="00A831E5">
        <w:t xml:space="preserve"> establish mutual obligations through</w:t>
      </w:r>
      <w:r w:rsidR="00E7784C">
        <w:t xml:space="preserve"> </w:t>
      </w:r>
      <w:r>
        <w:t xml:space="preserve">education </w:t>
      </w:r>
      <w:r w:rsidR="00F72936">
        <w:t xml:space="preserve">and health </w:t>
      </w:r>
      <w:r>
        <w:t xml:space="preserve">ministers. </w:t>
      </w:r>
      <w:r w:rsidR="00A76DD0">
        <w:t>Here</w:t>
      </w:r>
      <w:r w:rsidR="00232659">
        <w:t>'</w:t>
      </w:r>
      <w:r w:rsidR="00A76DD0">
        <w:t>s how Australia can lead.</w:t>
      </w:r>
    </w:p>
    <w:p w14:paraId="6FED9E34" w14:textId="246494EA" w:rsidR="00FA1C24" w:rsidRDefault="00FA1C24" w:rsidP="00FA1C24">
      <w:pPr>
        <w:numPr>
          <w:ilvl w:val="0"/>
          <w:numId w:val="2"/>
        </w:numPr>
        <w:pBdr>
          <w:top w:val="nil"/>
          <w:left w:val="nil"/>
          <w:bottom w:val="nil"/>
          <w:right w:val="nil"/>
          <w:between w:val="nil"/>
        </w:pBdr>
        <w:spacing w:before="240" w:after="240" w:line="257" w:lineRule="auto"/>
        <w:ind w:left="714" w:hanging="357"/>
        <w:rPr>
          <w:b/>
          <w:color w:val="404040"/>
        </w:rPr>
      </w:pPr>
      <w:bookmarkStart w:id="8" w:name="_2et92p0" w:colFirst="0" w:colLast="0"/>
      <w:bookmarkEnd w:id="8"/>
      <w:r>
        <w:rPr>
          <w:b/>
          <w:color w:val="404040"/>
        </w:rPr>
        <w:t xml:space="preserve">Set </w:t>
      </w:r>
      <w:r w:rsidR="00553DB9">
        <w:rPr>
          <w:b/>
          <w:color w:val="404040"/>
        </w:rPr>
        <w:t xml:space="preserve">a </w:t>
      </w:r>
      <w:r>
        <w:rPr>
          <w:b/>
          <w:color w:val="404040"/>
        </w:rPr>
        <w:t xml:space="preserve">national policy </w:t>
      </w:r>
      <w:r w:rsidR="000D3E3C">
        <w:rPr>
          <w:b/>
          <w:color w:val="404040"/>
        </w:rPr>
        <w:t>initiative</w:t>
      </w:r>
      <w:r>
        <w:t>.</w:t>
      </w:r>
      <w:r>
        <w:rPr>
          <w:color w:val="000000"/>
        </w:rPr>
        <w:t xml:space="preserve"> </w:t>
      </w:r>
      <w:r>
        <w:t>C</w:t>
      </w:r>
      <w:r>
        <w:rPr>
          <w:color w:val="000000"/>
        </w:rPr>
        <w:t>onsult to verify public need and parameters, consider evidence, policy alternatives and implementation choic</w:t>
      </w:r>
      <w:r>
        <w:t>es</w:t>
      </w:r>
      <w:r>
        <w:rPr>
          <w:color w:val="000000"/>
        </w:rPr>
        <w:t>, and conduct cost-benefit</w:t>
      </w:r>
      <w:r>
        <w:rPr>
          <w:color w:val="404040"/>
        </w:rPr>
        <w:t xml:space="preserve"> </w:t>
      </w:r>
      <w:r>
        <w:rPr>
          <w:color w:val="000000"/>
        </w:rPr>
        <w:t>analysis</w:t>
      </w:r>
      <w:r>
        <w:rPr>
          <w:color w:val="404040"/>
        </w:rPr>
        <w:t xml:space="preserve">   </w:t>
      </w:r>
      <w:r>
        <w:rPr>
          <w:color w:val="000000"/>
        </w:rPr>
        <w:t>&gt;</w:t>
      </w:r>
      <w:r>
        <w:rPr>
          <w:b/>
          <w:color w:val="404040"/>
        </w:rPr>
        <w:t xml:space="preserve">Start </w:t>
      </w:r>
      <w:r w:rsidR="00B21A1D">
        <w:rPr>
          <w:b/>
          <w:color w:val="404040"/>
        </w:rPr>
        <w:t>by</w:t>
      </w:r>
      <w:r w:rsidR="000B3BD8">
        <w:rPr>
          <w:b/>
          <w:color w:val="404040"/>
        </w:rPr>
        <w:t xml:space="preserve"> </w:t>
      </w:r>
      <w:r w:rsidR="00A24B9A">
        <w:rPr>
          <w:b/>
          <w:color w:val="404040"/>
        </w:rPr>
        <w:t>making</w:t>
      </w:r>
      <w:r w:rsidR="000B3BD8">
        <w:rPr>
          <w:b/>
          <w:color w:val="404040"/>
        </w:rPr>
        <w:t xml:space="preserve"> ‘health condition’</w:t>
      </w:r>
      <w:r>
        <w:rPr>
          <w:b/>
          <w:color w:val="404040"/>
        </w:rPr>
        <w:t xml:space="preserve"> </w:t>
      </w:r>
      <w:r w:rsidR="00C5577B">
        <w:rPr>
          <w:b/>
          <w:color w:val="404040"/>
        </w:rPr>
        <w:t>a priority equity cohort in</w:t>
      </w:r>
      <w:r>
        <w:rPr>
          <w:b/>
          <w:color w:val="404040"/>
        </w:rPr>
        <w:t xml:space="preserve"> </w:t>
      </w:r>
      <w:r w:rsidR="00C5577B">
        <w:rPr>
          <w:b/>
          <w:color w:val="404040"/>
        </w:rPr>
        <w:t>N</w:t>
      </w:r>
      <w:r>
        <w:rPr>
          <w:b/>
          <w:color w:val="404040"/>
        </w:rPr>
        <w:t xml:space="preserve">ational </w:t>
      </w:r>
      <w:r w:rsidR="00C5577B">
        <w:rPr>
          <w:b/>
          <w:color w:val="404040"/>
        </w:rPr>
        <w:t>School Reform</w:t>
      </w:r>
      <w:r w:rsidR="000B3BD8">
        <w:rPr>
          <w:b/>
          <w:color w:val="404040"/>
        </w:rPr>
        <w:t>s</w:t>
      </w:r>
      <w:r w:rsidR="000D3E3C">
        <w:rPr>
          <w:rStyle w:val="EndnoteReference"/>
          <w:b/>
          <w:color w:val="404040"/>
        </w:rPr>
        <w:endnoteReference w:id="98"/>
      </w:r>
    </w:p>
    <w:p w14:paraId="09DB2781" w14:textId="781B70AF" w:rsidR="00FA1C24" w:rsidRDefault="00FA1C24" w:rsidP="00FA1C24">
      <w:pPr>
        <w:numPr>
          <w:ilvl w:val="0"/>
          <w:numId w:val="2"/>
        </w:numPr>
        <w:pBdr>
          <w:top w:val="nil"/>
          <w:left w:val="nil"/>
          <w:bottom w:val="nil"/>
          <w:right w:val="nil"/>
          <w:between w:val="nil"/>
        </w:pBdr>
        <w:spacing w:before="240" w:after="240" w:line="257" w:lineRule="auto"/>
        <w:ind w:left="714" w:hanging="357"/>
        <w:rPr>
          <w:b/>
          <w:color w:val="404040"/>
        </w:rPr>
      </w:pPr>
      <w:r>
        <w:rPr>
          <w:b/>
          <w:color w:val="404040"/>
        </w:rPr>
        <w:t>Collect and track data</w:t>
      </w:r>
      <w:r>
        <w:t xml:space="preserve">. Ensure visibility </w:t>
      </w:r>
      <w:r w:rsidR="006C7E44">
        <w:t xml:space="preserve">of the number of </w:t>
      </w:r>
      <w:r w:rsidR="006C7E44">
        <w:rPr>
          <w:color w:val="000000"/>
        </w:rPr>
        <w:t>students</w:t>
      </w:r>
      <w:r w:rsidR="006C7E44">
        <w:t xml:space="preserve"> needing specialised support </w:t>
      </w:r>
      <w:r>
        <w:t>thro</w:t>
      </w:r>
      <w:r>
        <w:rPr>
          <w:color w:val="000000"/>
        </w:rPr>
        <w:t xml:space="preserve">ugh NCCD, ABS, and state and territory school </w:t>
      </w:r>
      <w:r>
        <w:t xml:space="preserve">data, and </w:t>
      </w:r>
      <w:r>
        <w:rPr>
          <w:color w:val="000000"/>
        </w:rPr>
        <w:t xml:space="preserve">identify </w:t>
      </w:r>
      <w:r>
        <w:t xml:space="preserve">funding </w:t>
      </w:r>
      <w:r w:rsidR="00100B07">
        <w:t>models/</w:t>
      </w:r>
      <w:r>
        <w:t xml:space="preserve">schemes </w:t>
      </w:r>
      <w:r>
        <w:rPr>
          <w:color w:val="000000"/>
        </w:rPr>
        <w:t>&gt;</w:t>
      </w:r>
      <w:r>
        <w:rPr>
          <w:b/>
          <w:color w:val="404040"/>
        </w:rPr>
        <w:t xml:space="preserve">Start </w:t>
      </w:r>
      <w:r w:rsidR="00B21A1D">
        <w:rPr>
          <w:b/>
          <w:color w:val="404040"/>
        </w:rPr>
        <w:t>by</w:t>
      </w:r>
      <w:r>
        <w:rPr>
          <w:b/>
          <w:color w:val="404040"/>
        </w:rPr>
        <w:t xml:space="preserve"> identify</w:t>
      </w:r>
      <w:r w:rsidR="00B21A1D">
        <w:rPr>
          <w:b/>
          <w:color w:val="404040"/>
        </w:rPr>
        <w:t>ing</w:t>
      </w:r>
      <w:r>
        <w:rPr>
          <w:b/>
          <w:color w:val="404040"/>
        </w:rPr>
        <w:t xml:space="preserve"> students in need now and </w:t>
      </w:r>
      <w:r w:rsidR="00B651C3">
        <w:rPr>
          <w:b/>
          <w:color w:val="404040"/>
        </w:rPr>
        <w:t>the</w:t>
      </w:r>
      <w:r>
        <w:rPr>
          <w:b/>
          <w:color w:val="404040"/>
        </w:rPr>
        <w:t xml:space="preserve"> range of existing funding channels</w:t>
      </w:r>
    </w:p>
    <w:p w14:paraId="37874805" w14:textId="510C4081" w:rsidR="00FA1C24" w:rsidRDefault="00FA1C24" w:rsidP="00FA1C24">
      <w:pPr>
        <w:numPr>
          <w:ilvl w:val="0"/>
          <w:numId w:val="2"/>
        </w:numPr>
        <w:spacing w:before="240" w:after="240" w:line="257" w:lineRule="auto"/>
        <w:ind w:left="720"/>
        <w:rPr>
          <w:b/>
          <w:color w:val="404040"/>
        </w:rPr>
      </w:pPr>
      <w:bookmarkStart w:id="9" w:name="_tyjcwt" w:colFirst="0" w:colLast="0"/>
      <w:bookmarkEnd w:id="9"/>
      <w:r>
        <w:rPr>
          <w:b/>
          <w:color w:val="404040"/>
        </w:rPr>
        <w:t>Establish education-health policy.</w:t>
      </w:r>
      <w:r>
        <w:t xml:space="preserve"> Manage </w:t>
      </w:r>
      <w:r w:rsidR="00463E4A">
        <w:t xml:space="preserve">school </w:t>
      </w:r>
      <w:r>
        <w:t xml:space="preserve">access by mandating </w:t>
      </w:r>
      <w:r w:rsidR="008E09A1">
        <w:t xml:space="preserve">and publishing </w:t>
      </w:r>
      <w:r>
        <w:t xml:space="preserve">school responsibility </w:t>
      </w:r>
      <w:r w:rsidR="00967E4A">
        <w:t>to</w:t>
      </w:r>
      <w:r>
        <w:t xml:space="preserve"> support, </w:t>
      </w:r>
      <w:r w:rsidR="004C79A0">
        <w:t xml:space="preserve">technology for </w:t>
      </w:r>
      <w:r>
        <w:t>classroom telepresence and one-</w:t>
      </w:r>
      <w:r w:rsidR="00DB43C7">
        <w:t>to</w:t>
      </w:r>
      <w:r>
        <w:t xml:space="preserve">-one </w:t>
      </w:r>
      <w:r w:rsidR="004C79A0">
        <w:t>lessons</w:t>
      </w:r>
      <w:r>
        <w:t xml:space="preserve"> &gt;</w:t>
      </w:r>
      <w:r>
        <w:rPr>
          <w:b/>
          <w:color w:val="404040"/>
        </w:rPr>
        <w:t xml:space="preserve">Start </w:t>
      </w:r>
      <w:r w:rsidR="00B21A1D">
        <w:rPr>
          <w:b/>
          <w:color w:val="404040"/>
        </w:rPr>
        <w:t>by</w:t>
      </w:r>
      <w:r>
        <w:rPr>
          <w:b/>
          <w:color w:val="404040"/>
        </w:rPr>
        <w:t xml:space="preserve"> </w:t>
      </w:r>
      <w:r w:rsidR="007430BD">
        <w:rPr>
          <w:b/>
          <w:color w:val="404040"/>
        </w:rPr>
        <w:t>add</w:t>
      </w:r>
      <w:r w:rsidR="00B21A1D">
        <w:rPr>
          <w:b/>
          <w:color w:val="404040"/>
        </w:rPr>
        <w:t>ing</w:t>
      </w:r>
      <w:r>
        <w:rPr>
          <w:b/>
          <w:color w:val="404040"/>
        </w:rPr>
        <w:t xml:space="preserve"> </w:t>
      </w:r>
      <w:r w:rsidR="00232659">
        <w:rPr>
          <w:b/>
          <w:color w:val="404040"/>
        </w:rPr>
        <w:t>'</w:t>
      </w:r>
      <w:r>
        <w:rPr>
          <w:b/>
          <w:color w:val="404040"/>
        </w:rPr>
        <w:t>health condition</w:t>
      </w:r>
      <w:r w:rsidR="00232659">
        <w:rPr>
          <w:b/>
          <w:color w:val="404040"/>
        </w:rPr>
        <w:t>'</w:t>
      </w:r>
      <w:r>
        <w:rPr>
          <w:b/>
          <w:color w:val="404040"/>
        </w:rPr>
        <w:t xml:space="preserve"> </w:t>
      </w:r>
      <w:r w:rsidR="007430BD">
        <w:rPr>
          <w:b/>
          <w:color w:val="404040"/>
        </w:rPr>
        <w:t>to</w:t>
      </w:r>
      <w:r>
        <w:rPr>
          <w:b/>
          <w:color w:val="404040"/>
        </w:rPr>
        <w:t xml:space="preserve"> </w:t>
      </w:r>
      <w:r w:rsidR="00232659">
        <w:rPr>
          <w:b/>
          <w:color w:val="404040"/>
        </w:rPr>
        <w:t>'</w:t>
      </w:r>
      <w:r>
        <w:rPr>
          <w:b/>
          <w:color w:val="404040"/>
        </w:rPr>
        <w:t>other factor</w:t>
      </w:r>
      <w:r w:rsidR="001F5728">
        <w:rPr>
          <w:b/>
          <w:color w:val="404040"/>
        </w:rPr>
        <w:t>s</w:t>
      </w:r>
      <w:r w:rsidR="00232659">
        <w:rPr>
          <w:b/>
          <w:color w:val="404040"/>
        </w:rPr>
        <w:t>'</w:t>
      </w:r>
      <w:r>
        <w:rPr>
          <w:b/>
          <w:color w:val="404040"/>
        </w:rPr>
        <w:t xml:space="preserve"> and draft </w:t>
      </w:r>
      <w:r w:rsidR="00B21A1D">
        <w:rPr>
          <w:b/>
          <w:color w:val="404040"/>
        </w:rPr>
        <w:t xml:space="preserve">DSE </w:t>
      </w:r>
      <w:r>
        <w:rPr>
          <w:b/>
          <w:color w:val="404040"/>
        </w:rPr>
        <w:t>absence guideline</w:t>
      </w:r>
      <w:r w:rsidR="00F5316C">
        <w:rPr>
          <w:b/>
          <w:color w:val="404040"/>
        </w:rPr>
        <w:t>s</w:t>
      </w:r>
      <w:r>
        <w:rPr>
          <w:b/>
          <w:color w:val="404040"/>
        </w:rPr>
        <w:t xml:space="preserve"> </w:t>
      </w:r>
    </w:p>
    <w:p w14:paraId="5BE2BE95" w14:textId="0D85EB49" w:rsidR="00FA1C24" w:rsidRDefault="00FA1C24" w:rsidP="00FA1C24">
      <w:pPr>
        <w:numPr>
          <w:ilvl w:val="0"/>
          <w:numId w:val="2"/>
        </w:numPr>
        <w:spacing w:before="240" w:after="240" w:line="257" w:lineRule="auto"/>
        <w:ind w:left="720"/>
        <w:rPr>
          <w:b/>
          <w:color w:val="404040"/>
        </w:rPr>
      </w:pPr>
      <w:bookmarkStart w:id="10" w:name="_dhbn7t2m7hq" w:colFirst="0" w:colLast="0"/>
      <w:bookmarkEnd w:id="10"/>
      <w:r>
        <w:rPr>
          <w:b/>
          <w:color w:val="404040"/>
        </w:rPr>
        <w:t xml:space="preserve">Set and monitor standards. </w:t>
      </w:r>
      <w:r>
        <w:t xml:space="preserve">Enable equity by benchmarking explicit standards of professional practice and </w:t>
      </w:r>
      <w:r w:rsidR="006A7FE4">
        <w:t xml:space="preserve">set </w:t>
      </w:r>
      <w:r w:rsidR="00B54745">
        <w:t>compliance</w:t>
      </w:r>
      <w:r w:rsidR="00A8513B">
        <w:t xml:space="preserve"> measures </w:t>
      </w:r>
      <w:r w:rsidR="006A7FE4">
        <w:t>for</w:t>
      </w:r>
      <w:r w:rsidR="00A8513B">
        <w:t xml:space="preserve"> school</w:t>
      </w:r>
      <w:r w:rsidR="00011C99">
        <w:t xml:space="preserve"> and </w:t>
      </w:r>
      <w:r>
        <w:t xml:space="preserve">hospital </w:t>
      </w:r>
      <w:r w:rsidR="00011C99">
        <w:t xml:space="preserve">operations </w:t>
      </w:r>
      <w:r>
        <w:t>and support</w:t>
      </w:r>
      <w:r w:rsidR="002422B5">
        <w:t xml:space="preserve"> at home </w:t>
      </w:r>
      <w:r>
        <w:t>&gt;</w:t>
      </w:r>
      <w:r w:rsidR="000C4A86">
        <w:t>S</w:t>
      </w:r>
      <w:r>
        <w:rPr>
          <w:b/>
          <w:color w:val="404040"/>
        </w:rPr>
        <w:t xml:space="preserve">tart </w:t>
      </w:r>
      <w:r w:rsidR="00B21A1D">
        <w:rPr>
          <w:b/>
          <w:color w:val="404040"/>
        </w:rPr>
        <w:t>by</w:t>
      </w:r>
      <w:r>
        <w:rPr>
          <w:b/>
          <w:color w:val="404040"/>
        </w:rPr>
        <w:t xml:space="preserve"> set</w:t>
      </w:r>
      <w:r w:rsidR="00B21A1D">
        <w:rPr>
          <w:b/>
          <w:color w:val="404040"/>
        </w:rPr>
        <w:t>ting</w:t>
      </w:r>
      <w:r>
        <w:rPr>
          <w:b/>
          <w:color w:val="404040"/>
        </w:rPr>
        <w:t xml:space="preserve"> up education-health competency frameworks </w:t>
      </w:r>
      <w:r w:rsidR="006A7FE4">
        <w:rPr>
          <w:b/>
          <w:color w:val="404040"/>
        </w:rPr>
        <w:t>and</w:t>
      </w:r>
      <w:r>
        <w:rPr>
          <w:b/>
          <w:color w:val="404040"/>
        </w:rPr>
        <w:t xml:space="preserve"> mandat</w:t>
      </w:r>
      <w:r w:rsidR="003C37FC">
        <w:rPr>
          <w:b/>
          <w:color w:val="404040"/>
        </w:rPr>
        <w:t>ory</w:t>
      </w:r>
      <w:r>
        <w:rPr>
          <w:b/>
          <w:color w:val="404040"/>
        </w:rPr>
        <w:t xml:space="preserve"> training </w:t>
      </w:r>
    </w:p>
    <w:p w14:paraId="24B64102" w14:textId="74DBAF1B" w:rsidR="00FA1C24" w:rsidRDefault="00FA1C24" w:rsidP="00FA1C24">
      <w:pPr>
        <w:numPr>
          <w:ilvl w:val="0"/>
          <w:numId w:val="2"/>
        </w:numPr>
        <w:pBdr>
          <w:top w:val="nil"/>
          <w:left w:val="nil"/>
          <w:bottom w:val="nil"/>
          <w:right w:val="nil"/>
          <w:between w:val="nil"/>
        </w:pBdr>
        <w:spacing w:before="240" w:after="240" w:line="257" w:lineRule="auto"/>
        <w:ind w:left="714" w:hanging="357"/>
        <w:rPr>
          <w:b/>
          <w:color w:val="404040"/>
        </w:rPr>
      </w:pPr>
      <w:bookmarkStart w:id="11" w:name="_sdwx44qlka0t" w:colFirst="0" w:colLast="0"/>
      <w:bookmarkEnd w:id="11"/>
      <w:r>
        <w:rPr>
          <w:b/>
          <w:color w:val="404040"/>
        </w:rPr>
        <w:t xml:space="preserve">Develop education-health guidelines. </w:t>
      </w:r>
      <w:r>
        <w:t xml:space="preserve">Initiate inclusion and awareness by requiring a </w:t>
      </w:r>
      <w:r>
        <w:rPr>
          <w:color w:val="000000"/>
        </w:rPr>
        <w:t xml:space="preserve">dedicated </w:t>
      </w:r>
      <w:r>
        <w:t xml:space="preserve">absence </w:t>
      </w:r>
      <w:r>
        <w:rPr>
          <w:color w:val="000000"/>
        </w:rPr>
        <w:t>code</w:t>
      </w:r>
      <w:r>
        <w:t xml:space="preserve"> and </w:t>
      </w:r>
      <w:r>
        <w:rPr>
          <w:color w:val="000000"/>
        </w:rPr>
        <w:t xml:space="preserve">setting absence thresholds </w:t>
      </w:r>
      <w:r>
        <w:t xml:space="preserve">to </w:t>
      </w:r>
      <w:r>
        <w:rPr>
          <w:color w:val="000000"/>
        </w:rPr>
        <w:t>trigger specialis</w:t>
      </w:r>
      <w:r>
        <w:t>ed</w:t>
      </w:r>
      <w:r>
        <w:rPr>
          <w:color w:val="000000"/>
        </w:rPr>
        <w:t xml:space="preserve"> school support &gt;</w:t>
      </w:r>
      <w:r>
        <w:rPr>
          <w:b/>
          <w:color w:val="404040"/>
        </w:rPr>
        <w:t xml:space="preserve">Start </w:t>
      </w:r>
      <w:r w:rsidR="00B21A1D">
        <w:rPr>
          <w:b/>
          <w:color w:val="404040"/>
        </w:rPr>
        <w:t xml:space="preserve">by </w:t>
      </w:r>
      <w:r w:rsidR="00A050F8">
        <w:rPr>
          <w:b/>
          <w:color w:val="404040"/>
        </w:rPr>
        <w:t>setting</w:t>
      </w:r>
      <w:r w:rsidR="00A27FE9">
        <w:rPr>
          <w:b/>
          <w:color w:val="404040"/>
        </w:rPr>
        <w:t xml:space="preserve"> </w:t>
      </w:r>
      <w:r w:rsidR="00724831">
        <w:rPr>
          <w:b/>
          <w:color w:val="404040"/>
        </w:rPr>
        <w:t xml:space="preserve">a </w:t>
      </w:r>
      <w:r w:rsidR="00A050F8">
        <w:rPr>
          <w:b/>
          <w:color w:val="404040"/>
        </w:rPr>
        <w:t xml:space="preserve">medical absence flag </w:t>
      </w:r>
      <w:r>
        <w:rPr>
          <w:b/>
          <w:color w:val="404040"/>
        </w:rPr>
        <w:t xml:space="preserve">and </w:t>
      </w:r>
      <w:r w:rsidR="00223F5B">
        <w:rPr>
          <w:b/>
          <w:color w:val="404040"/>
        </w:rPr>
        <w:t xml:space="preserve">a </w:t>
      </w:r>
      <w:r>
        <w:rPr>
          <w:b/>
          <w:color w:val="404040"/>
        </w:rPr>
        <w:t xml:space="preserve">threshold to trigger absence adjustments </w:t>
      </w:r>
    </w:p>
    <w:p w14:paraId="7A0D3D20" w14:textId="67A3BF43" w:rsidR="006E51C4" w:rsidRDefault="006E51C4" w:rsidP="006E51C4">
      <w:pPr>
        <w:ind w:left="3"/>
      </w:pPr>
      <w:r>
        <w:t>Committing to a rigorous and transparent approach, such as Wiltshire</w:t>
      </w:r>
      <w:r w:rsidR="00232659">
        <w:t>'</w:t>
      </w:r>
      <w:r>
        <w:t xml:space="preserve">s Public Policy Business Case, will set policy that translates into practice </w:t>
      </w:r>
      <w:r w:rsidR="00077576">
        <w:t>in</w:t>
      </w:r>
      <w:r>
        <w:t xml:space="preserve"> states and territories.</w:t>
      </w:r>
    </w:p>
    <w:p w14:paraId="40722161" w14:textId="51397548" w:rsidR="00A52215" w:rsidRDefault="00E92832">
      <w:pPr>
        <w:pStyle w:val="Heading1"/>
      </w:pPr>
      <w:r>
        <w:lastRenderedPageBreak/>
        <w:t xml:space="preserve">Stakeholder consultation </w:t>
      </w:r>
    </w:p>
    <w:p w14:paraId="6DB412AA" w14:textId="4FEC35EB" w:rsidR="00DD1134" w:rsidRDefault="006E51C4">
      <w:r>
        <w:t>It</w:t>
      </w:r>
      <w:r w:rsidR="00232659">
        <w:t>'</w:t>
      </w:r>
      <w:r>
        <w:t xml:space="preserve">s time to </w:t>
      </w:r>
      <w:r w:rsidR="00DD1134">
        <w:t>move forward on</w:t>
      </w:r>
      <w:r>
        <w:t xml:space="preserve"> an issue that </w:t>
      </w:r>
      <w:r w:rsidR="00B651C3">
        <w:t>exists in</w:t>
      </w:r>
      <w:r>
        <w:t xml:space="preserve"> all schools, and cuts across all genders, school ages, socio-economic</w:t>
      </w:r>
      <w:r w:rsidR="00B651C3">
        <w:t xml:space="preserve"> </w:t>
      </w:r>
      <w:r w:rsidR="004217BE">
        <w:t>status</w:t>
      </w:r>
      <w:r>
        <w:t>, abilities and locations.</w:t>
      </w:r>
      <w:r w:rsidR="00DD1134">
        <w:t xml:space="preserve"> </w:t>
      </w:r>
      <w:r w:rsidR="00DD1134" w:rsidRPr="00DD1134">
        <w:t xml:space="preserve">To address the complexity of stakeholders, policymakers can build on current progress </w:t>
      </w:r>
      <w:r w:rsidR="00DD1134">
        <w:t xml:space="preserve">and public support </w:t>
      </w:r>
      <w:r w:rsidR="00DD1134" w:rsidRPr="00DD1134">
        <w:t xml:space="preserve">by </w:t>
      </w:r>
      <w:r w:rsidR="00445FBA">
        <w:t>consulting</w:t>
      </w:r>
      <w:r w:rsidR="00DD1134" w:rsidRPr="00DD1134">
        <w:t xml:space="preserve"> with:</w:t>
      </w:r>
      <w:r w:rsidR="00DD1134">
        <w:t xml:space="preserve"> </w:t>
      </w:r>
    </w:p>
    <w:p w14:paraId="7FBEF028" w14:textId="445CC354" w:rsidR="00A52215" w:rsidRDefault="00987F9C">
      <w:pPr>
        <w:numPr>
          <w:ilvl w:val="0"/>
          <w:numId w:val="1"/>
        </w:numPr>
        <w:pBdr>
          <w:top w:val="nil"/>
          <w:left w:val="nil"/>
          <w:bottom w:val="nil"/>
          <w:right w:val="nil"/>
          <w:between w:val="nil"/>
        </w:pBdr>
        <w:spacing w:before="240" w:after="240" w:line="257" w:lineRule="auto"/>
        <w:ind w:left="284" w:hanging="284"/>
      </w:pPr>
      <w:r>
        <w:rPr>
          <w:b/>
          <w:color w:val="404040"/>
        </w:rPr>
        <w:t xml:space="preserve">Students and </w:t>
      </w:r>
      <w:r w:rsidR="00F402FC">
        <w:rPr>
          <w:b/>
          <w:color w:val="404040"/>
        </w:rPr>
        <w:t>P</w:t>
      </w:r>
      <w:r w:rsidR="00E92832">
        <w:rPr>
          <w:b/>
          <w:color w:val="404040"/>
        </w:rPr>
        <w:t>arents</w:t>
      </w:r>
      <w:r w:rsidR="00E92832">
        <w:rPr>
          <w:color w:val="000000"/>
        </w:rPr>
        <w:t xml:space="preserve">: </w:t>
      </w:r>
      <w:r>
        <w:rPr>
          <w:color w:val="000000"/>
        </w:rPr>
        <w:t xml:space="preserve">students with serious illness and peers, siblings and carers; </w:t>
      </w:r>
      <w:r>
        <w:t xml:space="preserve">family, </w:t>
      </w:r>
      <w:r>
        <w:rPr>
          <w:color w:val="000000"/>
        </w:rPr>
        <w:t xml:space="preserve">parent and citizens organisations; patient and consumer organisations; </w:t>
      </w:r>
      <w:r w:rsidR="00E92832">
        <w:rPr>
          <w:color w:val="000000"/>
        </w:rPr>
        <w:t>children</w:t>
      </w:r>
      <w:r w:rsidR="00232659">
        <w:rPr>
          <w:color w:val="000000"/>
        </w:rPr>
        <w:t>'</w:t>
      </w:r>
      <w:r w:rsidR="00E92832">
        <w:rPr>
          <w:color w:val="000000"/>
        </w:rPr>
        <w:t>s charities and illness groups; organisations representing children and young people</w:t>
      </w:r>
      <w:r>
        <w:rPr>
          <w:color w:val="000000"/>
        </w:rPr>
        <w:t>;</w:t>
      </w:r>
      <w:r w:rsidR="00E92832">
        <w:rPr>
          <w:color w:val="000000"/>
        </w:rPr>
        <w:t xml:space="preserve"> </w:t>
      </w:r>
      <w:r w:rsidR="009407E8">
        <w:rPr>
          <w:color w:val="000000"/>
        </w:rPr>
        <w:t xml:space="preserve">and </w:t>
      </w:r>
      <w:r w:rsidR="00E92832">
        <w:rPr>
          <w:color w:val="000000"/>
        </w:rPr>
        <w:t>intersectional</w:t>
      </w:r>
      <w:r>
        <w:rPr>
          <w:color w:val="000000"/>
        </w:rPr>
        <w:t xml:space="preserve"> </w:t>
      </w:r>
      <w:r w:rsidR="00466B1A">
        <w:rPr>
          <w:color w:val="000000"/>
        </w:rPr>
        <w:t>representat</w:t>
      </w:r>
      <w:r w:rsidR="00ED7B8F">
        <w:rPr>
          <w:color w:val="000000"/>
        </w:rPr>
        <w:t>ion</w:t>
      </w:r>
      <w:r w:rsidR="00E92832">
        <w:rPr>
          <w:color w:val="000000"/>
        </w:rPr>
        <w:t>.</w:t>
      </w:r>
    </w:p>
    <w:p w14:paraId="5B103BEB" w14:textId="1EF1C925" w:rsidR="00A52215" w:rsidRDefault="00E92832">
      <w:pPr>
        <w:numPr>
          <w:ilvl w:val="0"/>
          <w:numId w:val="1"/>
        </w:numPr>
        <w:pBdr>
          <w:top w:val="nil"/>
          <w:left w:val="nil"/>
          <w:bottom w:val="nil"/>
          <w:right w:val="nil"/>
          <w:between w:val="nil"/>
        </w:pBdr>
        <w:spacing w:before="240" w:after="240" w:line="257" w:lineRule="auto"/>
        <w:ind w:left="284" w:hanging="284"/>
      </w:pPr>
      <w:r>
        <w:rPr>
          <w:b/>
          <w:color w:val="404040"/>
        </w:rPr>
        <w:t>Practitioners</w:t>
      </w:r>
      <w:r>
        <w:rPr>
          <w:color w:val="000000"/>
        </w:rPr>
        <w:t>: allied health services; children</w:t>
      </w:r>
      <w:r w:rsidR="00232659">
        <w:rPr>
          <w:color w:val="000000"/>
        </w:rPr>
        <w:t>'</w:t>
      </w:r>
      <w:r>
        <w:rPr>
          <w:color w:val="000000"/>
        </w:rPr>
        <w:t>s commissioners; disability sector groups; educators and health professionals; principal and paediatric associations; teacher and health worker unions; research and reference organisations; and tertiary training institutions.</w:t>
      </w:r>
    </w:p>
    <w:p w14:paraId="18D79D49" w14:textId="77777777" w:rsidR="00A52215" w:rsidRDefault="00E92832">
      <w:pPr>
        <w:numPr>
          <w:ilvl w:val="0"/>
          <w:numId w:val="1"/>
        </w:numPr>
        <w:pBdr>
          <w:top w:val="nil"/>
          <w:left w:val="nil"/>
          <w:bottom w:val="nil"/>
          <w:right w:val="nil"/>
          <w:between w:val="nil"/>
        </w:pBdr>
        <w:spacing w:before="240" w:after="240" w:line="257" w:lineRule="auto"/>
        <w:ind w:left="284" w:hanging="284"/>
      </w:pPr>
      <w:r>
        <w:rPr>
          <w:b/>
          <w:color w:val="404040"/>
        </w:rPr>
        <w:t>Policymakers</w:t>
      </w:r>
      <w:r>
        <w:rPr>
          <w:color w:val="000000"/>
        </w:rPr>
        <w:t>: child protection agencies; politicians and parliamentarians; education and health authorities; standards and regulatory bodies; statisticians; and data collection agencies.</w:t>
      </w:r>
    </w:p>
    <w:p w14:paraId="22B9B71D" w14:textId="43EC6AEC" w:rsidR="00A52215" w:rsidRDefault="00E92832">
      <w:pPr>
        <w:numPr>
          <w:ilvl w:val="0"/>
          <w:numId w:val="1"/>
        </w:numPr>
        <w:pBdr>
          <w:top w:val="nil"/>
          <w:left w:val="nil"/>
          <w:bottom w:val="nil"/>
          <w:right w:val="nil"/>
          <w:between w:val="nil"/>
        </w:pBdr>
        <w:spacing w:before="240" w:after="240" w:line="257" w:lineRule="auto"/>
        <w:ind w:left="284" w:hanging="284"/>
      </w:pPr>
      <w:r>
        <w:rPr>
          <w:b/>
          <w:color w:val="404040"/>
        </w:rPr>
        <w:t>Public</w:t>
      </w:r>
      <w:r>
        <w:rPr>
          <w:color w:val="000000"/>
        </w:rPr>
        <w:t>: corporate organisations; logistics organisations; non-government organisations; philanthropic organisations; technologists; innovators; and citizens.</w:t>
      </w:r>
    </w:p>
    <w:p w14:paraId="2723A1E0" w14:textId="0BDD27F4" w:rsidR="009E6032" w:rsidRDefault="009E6032">
      <w:r>
        <w:t>With the</w:t>
      </w:r>
      <w:r w:rsidR="00E92832">
        <w:t xml:space="preserve"> Commonwealth Department of Education lead</w:t>
      </w:r>
      <w:r>
        <w:t>ing</w:t>
      </w:r>
      <w:r w:rsidR="00E92832">
        <w:t xml:space="preserve">, </w:t>
      </w:r>
      <w:r w:rsidR="00C86349">
        <w:t>with</w:t>
      </w:r>
      <w:r w:rsidR="005C3B15">
        <w:t xml:space="preserve"> input from </w:t>
      </w:r>
      <w:r w:rsidR="00205BA2">
        <w:t xml:space="preserve">the </w:t>
      </w:r>
      <w:r w:rsidR="00E92832">
        <w:t>Commonwealth Attorney-General</w:t>
      </w:r>
      <w:r w:rsidR="00232659">
        <w:t>'</w:t>
      </w:r>
      <w:r w:rsidR="00E92832">
        <w:t>s Departmen</w:t>
      </w:r>
      <w:r w:rsidR="005C3B15">
        <w:t xml:space="preserve">t </w:t>
      </w:r>
      <w:r w:rsidR="00E92832">
        <w:t>and the Commonwealth Department of Health</w:t>
      </w:r>
      <w:r>
        <w:t>, w</w:t>
      </w:r>
      <w:r w:rsidR="00E92832">
        <w:t xml:space="preserve">e can start now. </w:t>
      </w:r>
    </w:p>
    <w:p w14:paraId="6A0A46D1" w14:textId="02830B01" w:rsidR="00A52215" w:rsidRDefault="00E92832">
      <w:r>
        <w:t>Australia must achieve academic and social inclusion for personal</w:t>
      </w:r>
      <w:r w:rsidR="00606827">
        <w:t>,</w:t>
      </w:r>
      <w:r>
        <w:t xml:space="preserve"> social and economic progress. We can be the best in the world at this. And so, we should</w:t>
      </w:r>
      <w:r w:rsidR="005017D2">
        <w:t>. T</w:t>
      </w:r>
      <w:r>
        <w:t>he wellbeing of our children, wherever they are, and the future of our nation depends on it.</w:t>
      </w:r>
    </w:p>
    <w:p w14:paraId="274BB052" w14:textId="77777777" w:rsidR="00A52215" w:rsidRDefault="00E92832">
      <w:pPr>
        <w:pStyle w:val="Heading1"/>
      </w:pPr>
      <w:r>
        <w:t>Acknowledgements</w:t>
      </w:r>
    </w:p>
    <w:p w14:paraId="1DB7FEF3" w14:textId="78B65CA8" w:rsidR="00661766" w:rsidRDefault="00E92832">
      <w:r>
        <w:t xml:space="preserve">Thank you to students with serious illness and their families for their courage and trust in sharing their stories in the hope that it will help. To the Winston Churchill Trust and the University of Queensland Centre for Policy Futures, for the ingenuity and support that made my contribution to the Policy Impact Program possible. To Tony Barnett and Meegan </w:t>
      </w:r>
      <w:proofErr w:type="spellStart"/>
      <w:r>
        <w:t>Fitzharris</w:t>
      </w:r>
      <w:proofErr w:type="spellEnd"/>
      <w:r>
        <w:t xml:space="preserve"> for giving your time to providing invaluable sector expertise, policy critique</w:t>
      </w:r>
      <w:r w:rsidR="00E12F31">
        <w:t>, and moral support</w:t>
      </w:r>
      <w:r>
        <w:t xml:space="preserve"> through your peer reviewer role. To Gina Meyers and Cathy Nell as co-authors to early formulations, contributions, and documentation of the problem and possible solutions. To the </w:t>
      </w:r>
      <w:proofErr w:type="spellStart"/>
      <w:r>
        <w:t>MissingSchool</w:t>
      </w:r>
      <w:proofErr w:type="spellEnd"/>
      <w:r>
        <w:t xml:space="preserve"> board, team, partners, and supporters whose everyday actions are helping solve school isolation for sick students. To hospital school leaders around the country for their frontline work and insights: Caleb Jones, </w:t>
      </w:r>
      <w:r w:rsidR="00B82814">
        <w:t xml:space="preserve">Craig Thorne, </w:t>
      </w:r>
      <w:r>
        <w:t xml:space="preserve">Matthew McCurry, Megan Watts, Mercedes Wilkinson, </w:t>
      </w:r>
      <w:r w:rsidR="00333494">
        <w:t xml:space="preserve">and </w:t>
      </w:r>
      <w:r>
        <w:t>Naomi McBride. To critical friend reviewers Hugh Dixon, Gina Meyers</w:t>
      </w:r>
      <w:r w:rsidR="0078263D">
        <w:t xml:space="preserve">, </w:t>
      </w:r>
      <w:r w:rsidR="00770D99">
        <w:t xml:space="preserve">Phoebe </w:t>
      </w:r>
      <w:proofErr w:type="spellStart"/>
      <w:r w:rsidR="00770D99">
        <w:t>Netto</w:t>
      </w:r>
      <w:proofErr w:type="spellEnd"/>
      <w:r w:rsidR="00770D99">
        <w:t xml:space="preserve">, Elisabeth Wale, </w:t>
      </w:r>
      <w:r w:rsidR="00110556">
        <w:t xml:space="preserve">Jenny </w:t>
      </w:r>
      <w:proofErr w:type="spellStart"/>
      <w:r w:rsidR="00110556">
        <w:t>Lavoipierre</w:t>
      </w:r>
      <w:proofErr w:type="spellEnd"/>
      <w:r w:rsidR="00110556">
        <w:t xml:space="preserve">, </w:t>
      </w:r>
      <w:r w:rsidR="00A60C63">
        <w:t>Sarah Jones</w:t>
      </w:r>
      <w:r w:rsidR="0081118C">
        <w:t>, Sara Webb,</w:t>
      </w:r>
      <w:r w:rsidR="00A60C63">
        <w:t xml:space="preserve"> and </w:t>
      </w:r>
      <w:proofErr w:type="spellStart"/>
      <w:r w:rsidR="0078263D">
        <w:t>Vira</w:t>
      </w:r>
      <w:proofErr w:type="spellEnd"/>
      <w:r w:rsidR="0078263D">
        <w:t xml:space="preserve"> Higgins</w:t>
      </w:r>
      <w:r>
        <w:t xml:space="preserve">. And to Hugh, Mia, Darcy, and my family who make this work possible. During the development of this paper, the COVID-19 context introduced dynamic and rapid change for schools and hospitals, and it is too soon to say what impact this will have on the topics included in this paper. The countries referred to were visited in 2017 and have probably advanced in their approaches. Any errors or omissions are my own. </w:t>
      </w:r>
    </w:p>
    <w:p w14:paraId="070D8768" w14:textId="77777777" w:rsidR="00661766" w:rsidRDefault="00661766">
      <w:r>
        <w:br w:type="page"/>
      </w:r>
    </w:p>
    <w:p w14:paraId="36BC7CDB" w14:textId="0F428CE3" w:rsidR="00A52215" w:rsidRDefault="00E92832">
      <w:pPr>
        <w:pBdr>
          <w:top w:val="single" w:sz="4" w:space="10" w:color="4472C4"/>
          <w:left w:val="nil"/>
          <w:bottom w:val="single" w:sz="4" w:space="10" w:color="4472C4"/>
          <w:right w:val="nil"/>
          <w:between w:val="nil"/>
        </w:pBdr>
        <w:spacing w:before="360" w:after="360"/>
        <w:ind w:left="864" w:right="864"/>
        <w:jc w:val="center"/>
        <w:rPr>
          <w:rFonts w:ascii="Calibri" w:eastAsia="Calibri" w:hAnsi="Calibri" w:cs="Calibri"/>
          <w:i/>
          <w:color w:val="000000"/>
        </w:rPr>
      </w:pPr>
      <w:r>
        <w:rPr>
          <w:rFonts w:ascii="Calibri" w:eastAsia="Calibri" w:hAnsi="Calibri" w:cs="Calibri"/>
          <w:i/>
          <w:color w:val="000000"/>
        </w:rPr>
        <w:lastRenderedPageBreak/>
        <w:t xml:space="preserve">Megan Gilmour is an Australian Winston Churchill Trust Fellow, who studied school support for sick students in 2017 by visiting Finland, Sweden, Netherlands, Belgium, United Kingdom and Canada. She is </w:t>
      </w:r>
      <w:r>
        <w:rPr>
          <w:rFonts w:ascii="Calibri" w:eastAsia="Calibri" w:hAnsi="Calibri" w:cs="Calibri"/>
          <w:i/>
        </w:rPr>
        <w:t>c</w:t>
      </w:r>
      <w:r>
        <w:rPr>
          <w:rFonts w:ascii="Calibri" w:eastAsia="Calibri" w:hAnsi="Calibri" w:cs="Calibri"/>
          <w:i/>
          <w:color w:val="000000"/>
        </w:rPr>
        <w:t xml:space="preserve">ofounder </w:t>
      </w:r>
      <w:r>
        <w:rPr>
          <w:rFonts w:ascii="Calibri" w:eastAsia="Calibri" w:hAnsi="Calibri" w:cs="Calibri"/>
          <w:i/>
        </w:rPr>
        <w:t>and</w:t>
      </w:r>
      <w:r>
        <w:rPr>
          <w:rFonts w:ascii="Calibri" w:eastAsia="Calibri" w:hAnsi="Calibri" w:cs="Calibri"/>
          <w:i/>
          <w:color w:val="000000"/>
        </w:rPr>
        <w:t xml:space="preserve"> CEO of </w:t>
      </w:r>
      <w:proofErr w:type="spellStart"/>
      <w:r>
        <w:rPr>
          <w:rFonts w:ascii="Calibri" w:eastAsia="Calibri" w:hAnsi="Calibri" w:cs="Calibri"/>
          <w:i/>
          <w:color w:val="000000"/>
        </w:rPr>
        <w:t>MissingSchool</w:t>
      </w:r>
      <w:proofErr w:type="spellEnd"/>
      <w:r w:rsidR="003639EB">
        <w:rPr>
          <w:rFonts w:ascii="Calibri" w:eastAsia="Calibri" w:hAnsi="Calibri" w:cs="Calibri"/>
          <w:i/>
          <w:color w:val="000000"/>
        </w:rPr>
        <w:t xml:space="preserve"> and </w:t>
      </w:r>
      <w:proofErr w:type="spellStart"/>
      <w:r w:rsidR="003639EB">
        <w:rPr>
          <w:rFonts w:ascii="Calibri" w:eastAsia="Calibri" w:hAnsi="Calibri" w:cs="Calibri"/>
          <w:i/>
          <w:color w:val="000000"/>
        </w:rPr>
        <w:t>Robots4Good</w:t>
      </w:r>
      <w:proofErr w:type="spellEnd"/>
      <w:r>
        <w:rPr>
          <w:rFonts w:ascii="Calibri" w:eastAsia="Calibri" w:hAnsi="Calibri" w:cs="Calibri"/>
          <w:i/>
          <w:color w:val="000000"/>
        </w:rPr>
        <w:t>, and creator of the national telepresence robot service in Australia for keeping sick kids connected to their classrooms – an initiative working across education and health systems.</w:t>
      </w:r>
    </w:p>
    <w:p w14:paraId="79A66A4E" w14:textId="08F85AA6" w:rsidR="00F50680" w:rsidRDefault="00F50680">
      <w:pPr>
        <w:rPr>
          <w:color w:val="000000"/>
        </w:rPr>
      </w:pPr>
      <w:r>
        <w:rPr>
          <w:color w:val="000000"/>
        </w:rPr>
        <w:br w:type="page"/>
      </w:r>
    </w:p>
    <w:p w14:paraId="3ABA49E7" w14:textId="660B0A57" w:rsidR="00D20CAA" w:rsidRPr="00F50680" w:rsidRDefault="00F50680" w:rsidP="00F50680">
      <w:pPr>
        <w:pStyle w:val="Heading1"/>
      </w:pPr>
      <w:r>
        <w:lastRenderedPageBreak/>
        <w:t>Endnotes</w:t>
      </w:r>
    </w:p>
    <w:sectPr w:rsidR="00D20CAA" w:rsidRPr="00F50680" w:rsidSect="00661766">
      <w:footerReference w:type="default" r:id="rId8"/>
      <w:footnotePr>
        <w:pos w:val="beneathText"/>
      </w:footnotePr>
      <w:endnotePr>
        <w:numFmt w:val="decimal"/>
      </w:endnotePr>
      <w:pgSz w:w="11906" w:h="16838"/>
      <w:pgMar w:top="1843" w:right="1274" w:bottom="212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5FCBB" w14:textId="77777777" w:rsidR="00272D60" w:rsidRDefault="00272D60" w:rsidP="00F31ADA">
      <w:pPr>
        <w:spacing w:before="0" w:after="0" w:line="240" w:lineRule="auto"/>
      </w:pPr>
      <w:r>
        <w:separator/>
      </w:r>
    </w:p>
  </w:endnote>
  <w:endnote w:type="continuationSeparator" w:id="0">
    <w:p w14:paraId="25ECC86E" w14:textId="77777777" w:rsidR="00272D60" w:rsidRDefault="00272D60" w:rsidP="00F31ADA">
      <w:pPr>
        <w:spacing w:before="0" w:after="0" w:line="240" w:lineRule="auto"/>
      </w:pPr>
      <w:r>
        <w:continuationSeparator/>
      </w:r>
    </w:p>
  </w:endnote>
  <w:endnote w:id="1">
    <w:p w14:paraId="39A5CA2F" w14:textId="29D50DF8" w:rsidR="00D06E45" w:rsidRDefault="00D06E45">
      <w:pPr>
        <w:pStyle w:val="EndnoteText"/>
      </w:pPr>
      <w:r w:rsidRPr="00E17D8C">
        <w:rPr>
          <w:rStyle w:val="EndnoteReference"/>
          <w:sz w:val="16"/>
          <w:szCs w:val="16"/>
        </w:rPr>
        <w:endnoteRef/>
      </w:r>
      <w:r w:rsidRPr="00E17D8C">
        <w:rPr>
          <w:rStyle w:val="EndnoteReference"/>
          <w:sz w:val="16"/>
          <w:szCs w:val="16"/>
        </w:rPr>
        <w:t xml:space="preserve"> </w:t>
      </w:r>
      <w:r w:rsidR="00E17D8C" w:rsidRPr="00E84D8F">
        <w:rPr>
          <w:sz w:val="16"/>
          <w:szCs w:val="16"/>
        </w:rPr>
        <w:t>Halfon</w:t>
      </w:r>
      <w:r w:rsidR="00E17D8C">
        <w:rPr>
          <w:sz w:val="16"/>
          <w:szCs w:val="16"/>
        </w:rPr>
        <w:t>,</w:t>
      </w:r>
      <w:r w:rsidR="00E17D8C" w:rsidRPr="00E84D8F">
        <w:rPr>
          <w:sz w:val="16"/>
          <w:szCs w:val="16"/>
        </w:rPr>
        <w:t xml:space="preserve"> Neal, Amy Houtrow, Kandyce Larson, and Paul W. Newacheck, “The changing landscape of disability in childhood,” </w:t>
      </w:r>
      <w:r w:rsidR="00E17D8C" w:rsidRPr="00E84D8F">
        <w:rPr>
          <w:i/>
          <w:iCs/>
          <w:sz w:val="16"/>
          <w:szCs w:val="16"/>
        </w:rPr>
        <w:t>Future Child</w:t>
      </w:r>
      <w:r w:rsidR="00E17D8C" w:rsidRPr="00E84D8F">
        <w:rPr>
          <w:sz w:val="16"/>
          <w:szCs w:val="16"/>
        </w:rPr>
        <w:t xml:space="preserve"> 22 (2012): </w:t>
      </w:r>
      <w:r w:rsidR="00E17D8C">
        <w:rPr>
          <w:sz w:val="16"/>
          <w:szCs w:val="16"/>
        </w:rPr>
        <w:t>13-42.</w:t>
      </w:r>
      <w:r w:rsidR="00E17D8C" w:rsidRPr="00E84D8F">
        <w:rPr>
          <w:sz w:val="16"/>
          <w:szCs w:val="16"/>
        </w:rPr>
        <w:t xml:space="preserve"> doi:10.1353/foc.2012.0004.</w:t>
      </w:r>
    </w:p>
  </w:endnote>
  <w:endnote w:id="2">
    <w:p w14:paraId="758FEB91" w14:textId="1BAF1096" w:rsidR="00E17D8C" w:rsidRPr="005C26BA" w:rsidRDefault="00E17D8C" w:rsidP="005C26BA">
      <w:pPr>
        <w:pStyle w:val="EndnoteText"/>
        <w:rPr>
          <w:sz w:val="16"/>
          <w:szCs w:val="16"/>
        </w:rPr>
      </w:pPr>
      <w:r w:rsidRPr="00E17D8C">
        <w:rPr>
          <w:rStyle w:val="EndnoteReference"/>
          <w:sz w:val="16"/>
          <w:szCs w:val="16"/>
        </w:rPr>
        <w:endnoteRef/>
      </w:r>
      <w:r>
        <w:t xml:space="preserve"> </w:t>
      </w:r>
      <w:r w:rsidR="005C26BA" w:rsidRPr="005C26BA">
        <w:rPr>
          <w:sz w:val="16"/>
          <w:szCs w:val="16"/>
        </w:rPr>
        <w:t>Barnett, Tony, Rebecca Giallo, Margaret Kelaher, Sharon Goldfeld, and Jon Quach</w:t>
      </w:r>
      <w:r w:rsidR="00E87822">
        <w:rPr>
          <w:sz w:val="16"/>
          <w:szCs w:val="16"/>
        </w:rPr>
        <w:t>.</w:t>
      </w:r>
      <w:r w:rsidR="005C26BA" w:rsidRPr="005C26BA">
        <w:rPr>
          <w:sz w:val="16"/>
          <w:szCs w:val="16"/>
        </w:rPr>
        <w:t xml:space="preserve"> "Predictors Of Learning Outcomes For Children With And Without Chronic Illness: An Australian Longitudinal Study"</w:t>
      </w:r>
      <w:r w:rsidR="00A157AE">
        <w:rPr>
          <w:sz w:val="16"/>
          <w:szCs w:val="16"/>
        </w:rPr>
        <w:t>,</w:t>
      </w:r>
      <w:r w:rsidR="005C26BA" w:rsidRPr="005C26BA">
        <w:rPr>
          <w:sz w:val="16"/>
          <w:szCs w:val="16"/>
        </w:rPr>
        <w:t xml:space="preserve"> </w:t>
      </w:r>
      <w:r w:rsidR="005C26BA" w:rsidRPr="005C26BA">
        <w:rPr>
          <w:i/>
          <w:iCs/>
          <w:sz w:val="16"/>
          <w:szCs w:val="16"/>
        </w:rPr>
        <w:t>Child: Care, Health And Development</w:t>
      </w:r>
      <w:r w:rsidR="000C16E1">
        <w:rPr>
          <w:sz w:val="16"/>
          <w:szCs w:val="16"/>
        </w:rPr>
        <w:t xml:space="preserve"> </w:t>
      </w:r>
      <w:r w:rsidR="005C26BA" w:rsidRPr="005C26BA">
        <w:rPr>
          <w:sz w:val="16"/>
          <w:szCs w:val="16"/>
        </w:rPr>
        <w:t>44</w:t>
      </w:r>
      <w:r w:rsidR="00D22A7D">
        <w:rPr>
          <w:sz w:val="16"/>
          <w:szCs w:val="16"/>
        </w:rPr>
        <w:t xml:space="preserve">, </w:t>
      </w:r>
      <w:r w:rsidR="005C26BA" w:rsidRPr="005C26BA">
        <w:rPr>
          <w:sz w:val="16"/>
          <w:szCs w:val="16"/>
        </w:rPr>
        <w:t>6</w:t>
      </w:r>
      <w:r w:rsidR="000C16E1">
        <w:rPr>
          <w:sz w:val="16"/>
          <w:szCs w:val="16"/>
        </w:rPr>
        <w:t xml:space="preserve"> (</w:t>
      </w:r>
      <w:r w:rsidR="000C16E1" w:rsidRPr="005C26BA">
        <w:rPr>
          <w:sz w:val="16"/>
          <w:szCs w:val="16"/>
        </w:rPr>
        <w:t>2018</w:t>
      </w:r>
      <w:r w:rsidR="000C16E1">
        <w:rPr>
          <w:sz w:val="16"/>
          <w:szCs w:val="16"/>
        </w:rPr>
        <w:t>)</w:t>
      </w:r>
      <w:r w:rsidR="005C26BA" w:rsidRPr="005C26BA">
        <w:rPr>
          <w:sz w:val="16"/>
          <w:szCs w:val="16"/>
        </w:rPr>
        <w:t>: 832-840. doi:10.1111/cch.12597.</w:t>
      </w:r>
    </w:p>
  </w:endnote>
  <w:endnote w:id="3">
    <w:p w14:paraId="1A118EDE" w14:textId="77777777" w:rsidR="00777A36" w:rsidRPr="004317CC" w:rsidRDefault="00777A36" w:rsidP="00777A36">
      <w:pPr>
        <w:widowControl w:val="0"/>
        <w:spacing w:before="0" w:after="0" w:line="240" w:lineRule="auto"/>
        <w:rPr>
          <w:color w:val="000000"/>
          <w:sz w:val="16"/>
          <w:szCs w:val="16"/>
        </w:rPr>
      </w:pPr>
      <w:r w:rsidRPr="00777A36">
        <w:rPr>
          <w:rStyle w:val="EndnoteReference"/>
          <w:sz w:val="16"/>
          <w:szCs w:val="16"/>
        </w:rPr>
        <w:endnoteRef/>
      </w:r>
      <w:r w:rsidRPr="00777A36">
        <w:rPr>
          <w:sz w:val="16"/>
          <w:szCs w:val="16"/>
        </w:rPr>
        <w:t xml:space="preserve"> </w:t>
      </w:r>
      <w:r w:rsidRPr="00777A36">
        <w:rPr>
          <w:color w:val="000000"/>
          <w:sz w:val="16"/>
          <w:szCs w:val="16"/>
        </w:rPr>
        <w:t>Shaw, Steven R., and Paul C. McCabe, "Hospital-to-school transition for children with chronic illness: Meeting the new</w:t>
      </w:r>
      <w:r w:rsidRPr="00E84D8F">
        <w:rPr>
          <w:color w:val="000000"/>
          <w:sz w:val="16"/>
          <w:szCs w:val="16"/>
        </w:rPr>
        <w:t xml:space="preserve"> challenges of and evolving health care system." </w:t>
      </w:r>
      <w:r w:rsidRPr="00E84D8F">
        <w:rPr>
          <w:i/>
          <w:color w:val="000000"/>
          <w:sz w:val="16"/>
          <w:szCs w:val="16"/>
        </w:rPr>
        <w:t>Psychology in the Schools</w:t>
      </w:r>
      <w:r w:rsidRPr="00E84D8F">
        <w:rPr>
          <w:color w:val="000000"/>
          <w:sz w:val="16"/>
          <w:szCs w:val="16"/>
        </w:rPr>
        <w:t xml:space="preserve"> 45, 1 (2007): </w:t>
      </w:r>
      <w:hyperlink r:id="rId1">
        <w:r w:rsidRPr="00E84D8F">
          <w:rPr>
            <w:color w:val="000000"/>
            <w:sz w:val="16"/>
            <w:szCs w:val="16"/>
          </w:rPr>
          <w:t>https://doi.org/10.1002/pits.20280</w:t>
        </w:r>
      </w:hyperlink>
      <w:r w:rsidRPr="00E84D8F">
        <w:rPr>
          <w:color w:val="000000"/>
          <w:sz w:val="16"/>
          <w:szCs w:val="16"/>
        </w:rPr>
        <w:t>.</w:t>
      </w:r>
    </w:p>
  </w:endnote>
  <w:endnote w:id="4">
    <w:p w14:paraId="64CAE1C2" w14:textId="1F82A6E0" w:rsidR="00252CF2" w:rsidRDefault="00252CF2" w:rsidP="00252CF2">
      <w:pPr>
        <w:pStyle w:val="EndnoteText"/>
      </w:pPr>
      <w:r w:rsidRPr="00777A36">
        <w:rPr>
          <w:rStyle w:val="EndnoteReference"/>
          <w:sz w:val="16"/>
          <w:szCs w:val="16"/>
        </w:rPr>
        <w:endnoteRef/>
      </w:r>
      <w:r w:rsidRPr="00777A36">
        <w:rPr>
          <w:sz w:val="16"/>
          <w:szCs w:val="16"/>
        </w:rPr>
        <w:t xml:space="preserve"> Gilmour, Megan, Liza Hopkins, Gina Meyers, Cathy Nell, and Neil Stafford, </w:t>
      </w:r>
      <w:r w:rsidRPr="00777A36">
        <w:rPr>
          <w:i/>
          <w:iCs/>
          <w:sz w:val="16"/>
          <w:szCs w:val="16"/>
        </w:rPr>
        <w:t>School connection for seriously sick kids. Who are they, how do we know what works, and whose job is it?</w:t>
      </w:r>
      <w:r w:rsidRPr="00777A36">
        <w:rPr>
          <w:sz w:val="16"/>
          <w:szCs w:val="16"/>
        </w:rPr>
        <w:t xml:space="preserve"> Report, Canberra: Australian Research Alliance for Children and Youth, </w:t>
      </w:r>
      <w:r w:rsidR="00D22A7D">
        <w:rPr>
          <w:sz w:val="16"/>
          <w:szCs w:val="16"/>
        </w:rPr>
        <w:t>(</w:t>
      </w:r>
      <w:r w:rsidRPr="00777A36">
        <w:rPr>
          <w:sz w:val="16"/>
          <w:szCs w:val="16"/>
        </w:rPr>
        <w:t>2015</w:t>
      </w:r>
      <w:r w:rsidR="00D22A7D">
        <w:rPr>
          <w:sz w:val="16"/>
          <w:szCs w:val="16"/>
        </w:rPr>
        <w:t>)</w:t>
      </w:r>
      <w:r w:rsidR="004013E0">
        <w:rPr>
          <w:sz w:val="16"/>
          <w:szCs w:val="16"/>
        </w:rPr>
        <w:t>,</w:t>
      </w:r>
      <w:r w:rsidRPr="00777A36">
        <w:rPr>
          <w:sz w:val="16"/>
          <w:szCs w:val="16"/>
        </w:rPr>
        <w:t xml:space="preserve"> Accessed September 9, 2020</w:t>
      </w:r>
      <w:r w:rsidR="00614024">
        <w:rPr>
          <w:sz w:val="16"/>
          <w:szCs w:val="16"/>
        </w:rPr>
        <w:t xml:space="preserve">, </w:t>
      </w:r>
      <w:r w:rsidRPr="00777A36">
        <w:rPr>
          <w:sz w:val="16"/>
          <w:szCs w:val="16"/>
        </w:rPr>
        <w:t>https://www.aracy.org.au/publications-</w:t>
      </w:r>
      <w:r w:rsidRPr="00E84D8F">
        <w:rPr>
          <w:sz w:val="16"/>
          <w:szCs w:val="16"/>
        </w:rPr>
        <w:t>resources/command/download_file/id/331/filename/School-connection-for-seriously-sick-kids-full-report-web.pdf</w:t>
      </w:r>
      <w:r>
        <w:rPr>
          <w:sz w:val="16"/>
          <w:szCs w:val="16"/>
        </w:rPr>
        <w:t>.</w:t>
      </w:r>
    </w:p>
  </w:endnote>
  <w:endnote w:id="5">
    <w:p w14:paraId="041FCBBA" w14:textId="0B99D63B" w:rsidR="00E84D8F" w:rsidRPr="00E84D8F" w:rsidRDefault="00E84D8F" w:rsidP="00CC2C8B">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E84D8F">
        <w:rPr>
          <w:sz w:val="16"/>
          <w:szCs w:val="16"/>
        </w:rPr>
        <w:t>“United Nations Sustainable Development Goals (2015),” United Nations</w:t>
      </w:r>
      <w:r w:rsidR="00325203">
        <w:rPr>
          <w:sz w:val="16"/>
          <w:szCs w:val="16"/>
        </w:rPr>
        <w:t>. A</w:t>
      </w:r>
      <w:r w:rsidRPr="00E84D8F">
        <w:rPr>
          <w:sz w:val="16"/>
          <w:szCs w:val="16"/>
        </w:rPr>
        <w:t>ccessed September 6, 2020</w:t>
      </w:r>
      <w:r w:rsidR="00325203">
        <w:rPr>
          <w:sz w:val="16"/>
          <w:szCs w:val="16"/>
        </w:rPr>
        <w:t xml:space="preserve">. </w:t>
      </w:r>
      <w:r w:rsidRPr="00E84D8F">
        <w:rPr>
          <w:sz w:val="16"/>
          <w:szCs w:val="16"/>
        </w:rPr>
        <w:t>https://sdgs.un.org/goals.</w:t>
      </w:r>
    </w:p>
  </w:endnote>
  <w:endnote w:id="6">
    <w:p w14:paraId="27091674" w14:textId="6086B908" w:rsidR="00E84D8F" w:rsidRPr="00E84D8F" w:rsidRDefault="00E84D8F" w:rsidP="00B316EE">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E84D8F">
        <w:rPr>
          <w:sz w:val="16"/>
          <w:szCs w:val="16"/>
        </w:rPr>
        <w:t xml:space="preserve">Calculated on 30% of the 3,948,811 school students in Australia in 2019, </w:t>
      </w:r>
      <w:r w:rsidR="00C42F22" w:rsidRPr="00E84D8F">
        <w:rPr>
          <w:sz w:val="16"/>
          <w:szCs w:val="16"/>
        </w:rPr>
        <w:t xml:space="preserve">Australian Bureau of Statistics, </w:t>
      </w:r>
      <w:r w:rsidRPr="00E84D8F">
        <w:rPr>
          <w:sz w:val="16"/>
          <w:szCs w:val="16"/>
        </w:rPr>
        <w:t>“</w:t>
      </w:r>
      <w:r w:rsidRPr="00C42F22">
        <w:rPr>
          <w:i/>
          <w:iCs/>
          <w:sz w:val="16"/>
          <w:szCs w:val="16"/>
        </w:rPr>
        <w:t>4221.0 - Schools, Australia, 2019</w:t>
      </w:r>
      <w:r w:rsidRPr="00E84D8F">
        <w:rPr>
          <w:sz w:val="16"/>
          <w:szCs w:val="16"/>
        </w:rPr>
        <w:t xml:space="preserve">,” </w:t>
      </w:r>
      <w:r w:rsidR="001C65D3">
        <w:rPr>
          <w:sz w:val="16"/>
          <w:szCs w:val="16"/>
        </w:rPr>
        <w:t>Accessed</w:t>
      </w:r>
      <w:r w:rsidRPr="00E84D8F">
        <w:rPr>
          <w:sz w:val="16"/>
          <w:szCs w:val="16"/>
        </w:rPr>
        <w:t xml:space="preserve"> September 6, 2020 https://www.abs.gov.au/ausstats/abs@.nsf/Latestproducts/4221.0Main%20Features12019?opendocument&amp;tabname=Summary&amp;prodno=4221.0&amp;issue=2019&amp;num=&amp;view=.</w:t>
      </w:r>
    </w:p>
  </w:endnote>
  <w:endnote w:id="7">
    <w:p w14:paraId="01BA7FFF" w14:textId="67E17422" w:rsidR="00252CF2" w:rsidRDefault="00252CF2" w:rsidP="00252CF2">
      <w:pPr>
        <w:pStyle w:val="EndnoteText"/>
      </w:pPr>
      <w:r w:rsidRPr="00777A36">
        <w:rPr>
          <w:rStyle w:val="EndnoteReference"/>
          <w:sz w:val="16"/>
          <w:szCs w:val="16"/>
        </w:rPr>
        <w:endnoteRef/>
      </w:r>
      <w:r w:rsidR="004013E0">
        <w:rPr>
          <w:sz w:val="16"/>
          <w:szCs w:val="16"/>
        </w:rPr>
        <w:t xml:space="preserve"> </w:t>
      </w:r>
      <w:r w:rsidR="004013E0" w:rsidRPr="00A157AE">
        <w:rPr>
          <w:sz w:val="16"/>
          <w:szCs w:val="16"/>
        </w:rPr>
        <w:t xml:space="preserve">Gilmour, Hopkins, Meyers, Nell and Stafford, </w:t>
      </w:r>
      <w:r w:rsidR="004013E0" w:rsidRPr="004013E0">
        <w:rPr>
          <w:i/>
          <w:iCs/>
          <w:sz w:val="16"/>
          <w:szCs w:val="16"/>
        </w:rPr>
        <w:t>School connection for seriously sick kids,</w:t>
      </w:r>
      <w:r w:rsidR="004013E0" w:rsidRPr="00A157AE">
        <w:rPr>
          <w:sz w:val="16"/>
          <w:szCs w:val="16"/>
        </w:rPr>
        <w:t xml:space="preserve"> 2015</w:t>
      </w:r>
    </w:p>
  </w:endnote>
  <w:endnote w:id="8">
    <w:p w14:paraId="378BEEC5" w14:textId="58C07453" w:rsidR="00E84D8F" w:rsidRPr="00E84D8F" w:rsidRDefault="00E84D8F">
      <w:pPr>
        <w:pStyle w:val="EndnoteText"/>
        <w:rPr>
          <w:sz w:val="16"/>
          <w:szCs w:val="16"/>
        </w:rPr>
      </w:pPr>
      <w:r w:rsidRPr="00A157AE">
        <w:rPr>
          <w:rStyle w:val="EndnoteReference"/>
          <w:sz w:val="16"/>
          <w:szCs w:val="16"/>
        </w:rPr>
        <w:endnoteRef/>
      </w:r>
      <w:r w:rsidRPr="00A157AE">
        <w:rPr>
          <w:sz w:val="16"/>
          <w:szCs w:val="16"/>
          <w:vertAlign w:val="superscript"/>
        </w:rPr>
        <w:t xml:space="preserve"> </w:t>
      </w:r>
      <w:r w:rsidR="008F0810" w:rsidRPr="00A157AE">
        <w:rPr>
          <w:sz w:val="16"/>
          <w:szCs w:val="16"/>
        </w:rPr>
        <w:t>Gilmour, Hopkins, Meyers, Nell</w:t>
      </w:r>
      <w:r w:rsidR="00A157AE" w:rsidRPr="00A157AE">
        <w:rPr>
          <w:sz w:val="16"/>
          <w:szCs w:val="16"/>
        </w:rPr>
        <w:t xml:space="preserve"> and</w:t>
      </w:r>
      <w:r w:rsidR="008F0810" w:rsidRPr="00A157AE">
        <w:rPr>
          <w:sz w:val="16"/>
          <w:szCs w:val="16"/>
        </w:rPr>
        <w:t xml:space="preserve"> Stafford, </w:t>
      </w:r>
      <w:r w:rsidR="00A157AE" w:rsidRPr="004013E0">
        <w:rPr>
          <w:i/>
          <w:iCs/>
          <w:sz w:val="16"/>
          <w:szCs w:val="16"/>
        </w:rPr>
        <w:t>School connection for seriously sick kids,</w:t>
      </w:r>
      <w:r w:rsidR="00A157AE" w:rsidRPr="00A157AE">
        <w:rPr>
          <w:sz w:val="16"/>
          <w:szCs w:val="16"/>
        </w:rPr>
        <w:t xml:space="preserve"> </w:t>
      </w:r>
      <w:r w:rsidR="008F0810" w:rsidRPr="00A157AE">
        <w:rPr>
          <w:sz w:val="16"/>
          <w:szCs w:val="16"/>
        </w:rPr>
        <w:t>2015</w:t>
      </w:r>
    </w:p>
  </w:endnote>
  <w:endnote w:id="9">
    <w:p w14:paraId="58C1208F" w14:textId="57893FB7" w:rsidR="00DD2A20" w:rsidRPr="00DD2A20" w:rsidRDefault="00DD2A20">
      <w:pPr>
        <w:pStyle w:val="EndnoteText"/>
        <w:rPr>
          <w:sz w:val="16"/>
          <w:szCs w:val="16"/>
        </w:rPr>
      </w:pPr>
      <w:r w:rsidRPr="00DD2A20">
        <w:rPr>
          <w:rStyle w:val="EndnoteReference"/>
          <w:sz w:val="16"/>
          <w:szCs w:val="16"/>
        </w:rPr>
        <w:endnoteRef/>
      </w:r>
      <w:r w:rsidRPr="00DD2A20">
        <w:rPr>
          <w:sz w:val="16"/>
          <w:szCs w:val="16"/>
        </w:rPr>
        <w:t xml:space="preserve"> Gabbay,M B, V Cowie, B Kerr, and B Purdy. “Too Ill to Learn: Double Jeopardy in Education for Sick Children.” Journal of the Royal Society of Medicine 93, 3 (2000): 114–17. https://doi.org/10.1177/014107680009300303.</w:t>
      </w:r>
    </w:p>
  </w:endnote>
  <w:endnote w:id="10">
    <w:p w14:paraId="7F2027E9" w14:textId="77777777" w:rsidR="00F75AF3" w:rsidRPr="00E82A8C" w:rsidRDefault="00F75AF3" w:rsidP="00F75AF3">
      <w:pPr>
        <w:pStyle w:val="NormalWeb"/>
        <w:spacing w:before="0" w:beforeAutospacing="0" w:after="0" w:afterAutospacing="0"/>
        <w:rPr>
          <w:rFonts w:ascii="Arial" w:hAnsi="Arial" w:cs="Arial"/>
          <w:sz w:val="16"/>
          <w:szCs w:val="16"/>
        </w:rPr>
      </w:pPr>
      <w:r w:rsidRPr="00E82A8C">
        <w:rPr>
          <w:rStyle w:val="EndnoteReference"/>
          <w:rFonts w:ascii="Arial" w:hAnsi="Arial" w:cs="Arial"/>
          <w:sz w:val="16"/>
          <w:szCs w:val="16"/>
        </w:rPr>
        <w:endnoteRef/>
      </w:r>
      <w:r w:rsidRPr="00E82A8C">
        <w:rPr>
          <w:rFonts w:ascii="Arial" w:hAnsi="Arial" w:cs="Arial"/>
          <w:sz w:val="16"/>
          <w:szCs w:val="16"/>
        </w:rPr>
        <w:t xml:space="preserve"> Lightfoot, Jane, Suzanne Mukherjee, and Patricia Sloper. “Supporting Pupils with Special Health Needs in Mainstream Schools: Policy and Practice.” </w:t>
      </w:r>
      <w:r w:rsidRPr="00E82A8C">
        <w:rPr>
          <w:rFonts w:ascii="Arial" w:hAnsi="Arial" w:cs="Arial"/>
          <w:i/>
          <w:iCs/>
          <w:sz w:val="16"/>
          <w:szCs w:val="16"/>
        </w:rPr>
        <w:t>Children &amp; Society</w:t>
      </w:r>
      <w:r w:rsidRPr="00E82A8C">
        <w:rPr>
          <w:rFonts w:ascii="Arial" w:hAnsi="Arial" w:cs="Arial"/>
          <w:sz w:val="16"/>
          <w:szCs w:val="16"/>
        </w:rPr>
        <w:t xml:space="preserve"> 15, no. 2 (2001): 57–69. https://doi.org/10.1002/chi.603. </w:t>
      </w:r>
    </w:p>
  </w:endnote>
  <w:endnote w:id="11">
    <w:p w14:paraId="4D437803" w14:textId="06DF4051" w:rsidR="00E84D8F" w:rsidRPr="00E84D8F" w:rsidRDefault="00E84D8F" w:rsidP="00370BD1">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 xml:space="preserve">Dockett, S, "Everyone was really happy to see me! – The importance of friendships in the return to school of children with chronic illness," </w:t>
      </w:r>
      <w:r w:rsidRPr="00E84D8F">
        <w:rPr>
          <w:i/>
          <w:color w:val="000000"/>
          <w:sz w:val="16"/>
          <w:szCs w:val="16"/>
        </w:rPr>
        <w:t>Early Childhood Australia</w:t>
      </w:r>
      <w:r w:rsidRPr="00E84D8F">
        <w:rPr>
          <w:color w:val="000000"/>
          <w:sz w:val="16"/>
          <w:szCs w:val="16"/>
        </w:rPr>
        <w:t xml:space="preserve">, 29, 1 (2004): </w:t>
      </w:r>
      <w:r w:rsidR="00736DA7" w:rsidRPr="00736DA7">
        <w:rPr>
          <w:color w:val="000000"/>
          <w:sz w:val="16"/>
          <w:szCs w:val="16"/>
        </w:rPr>
        <w:t>27-32</w:t>
      </w:r>
      <w:r w:rsidR="00736DA7">
        <w:rPr>
          <w:color w:val="000000"/>
          <w:sz w:val="16"/>
          <w:szCs w:val="16"/>
        </w:rPr>
        <w:t xml:space="preserve">. </w:t>
      </w:r>
      <w:r w:rsidR="00736DA7" w:rsidRPr="00736DA7">
        <w:rPr>
          <w:color w:val="000000"/>
          <w:sz w:val="16"/>
          <w:szCs w:val="16"/>
        </w:rPr>
        <w:t>https://doi.org/10.1177/183693910402900106</w:t>
      </w:r>
      <w:r w:rsidR="00707D5D">
        <w:rPr>
          <w:color w:val="000000"/>
          <w:sz w:val="16"/>
          <w:szCs w:val="16"/>
        </w:rPr>
        <w:t>.</w:t>
      </w:r>
    </w:p>
  </w:endnote>
  <w:endnote w:id="12">
    <w:p w14:paraId="35E6AD3C" w14:textId="58449609" w:rsidR="00E84D8F" w:rsidRPr="00E84D8F" w:rsidRDefault="00E84D8F" w:rsidP="00370BD1">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rPr>
        <w:t xml:space="preserve"> </w:t>
      </w:r>
      <w:r w:rsidRPr="00E84D8F">
        <w:rPr>
          <w:color w:val="000000"/>
          <w:sz w:val="16"/>
          <w:szCs w:val="16"/>
        </w:rPr>
        <w:t>Donnan, Barb, and Tracey Webster</w:t>
      </w:r>
      <w:r w:rsidR="004013E0">
        <w:rPr>
          <w:color w:val="000000"/>
          <w:sz w:val="16"/>
          <w:szCs w:val="16"/>
        </w:rPr>
        <w:t>,</w:t>
      </w:r>
      <w:r w:rsidRPr="00E84D8F">
        <w:rPr>
          <w:color w:val="000000"/>
          <w:sz w:val="16"/>
          <w:szCs w:val="16"/>
        </w:rPr>
        <w:t xml:space="preserve"> </w:t>
      </w:r>
      <w:r w:rsidRPr="00E84D8F">
        <w:rPr>
          <w:i/>
          <w:color w:val="000000"/>
          <w:sz w:val="16"/>
          <w:szCs w:val="16"/>
        </w:rPr>
        <w:t>Inquiry into the transition support for students with additional and/or complex needs and their families</w:t>
      </w:r>
      <w:r w:rsidR="004013E0">
        <w:rPr>
          <w:i/>
          <w:color w:val="000000"/>
          <w:sz w:val="16"/>
          <w:szCs w:val="16"/>
        </w:rPr>
        <w:t>,</w:t>
      </w:r>
      <w:r w:rsidRPr="00E84D8F">
        <w:rPr>
          <w:color w:val="000000"/>
          <w:sz w:val="16"/>
          <w:szCs w:val="16"/>
        </w:rPr>
        <w:t xml:space="preserve"> Submission to the NSW Parliament</w:t>
      </w:r>
      <w:r w:rsidR="004013E0">
        <w:rPr>
          <w:color w:val="000000"/>
          <w:sz w:val="16"/>
          <w:szCs w:val="16"/>
        </w:rPr>
        <w:t>,</w:t>
      </w:r>
      <w:r w:rsidRPr="00E84D8F">
        <w:rPr>
          <w:color w:val="000000"/>
          <w:sz w:val="16"/>
          <w:szCs w:val="16"/>
        </w:rPr>
        <w:t xml:space="preserve"> Ronald McDonald House Charities, 2011.</w:t>
      </w:r>
    </w:p>
  </w:endnote>
  <w:endnote w:id="13">
    <w:p w14:paraId="4E9EEB91" w14:textId="2B391F95" w:rsidR="00E84D8F" w:rsidRPr="00E84D8F" w:rsidRDefault="00E84D8F" w:rsidP="00370BD1">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bookmarkStart w:id="4" w:name="_Hlk51067256"/>
      <w:r w:rsidRPr="00E84D8F">
        <w:rPr>
          <w:color w:val="000000"/>
          <w:sz w:val="16"/>
          <w:szCs w:val="16"/>
        </w:rPr>
        <w:t>Shaw and McCabe, "Hospital-to-school transition</w:t>
      </w:r>
      <w:r w:rsidR="004013E0">
        <w:rPr>
          <w:color w:val="000000"/>
          <w:sz w:val="16"/>
          <w:szCs w:val="16"/>
        </w:rPr>
        <w:t xml:space="preserve">,” </w:t>
      </w:r>
      <w:r w:rsidRPr="00E84D8F">
        <w:rPr>
          <w:color w:val="000000"/>
          <w:sz w:val="16"/>
          <w:szCs w:val="16"/>
        </w:rPr>
        <w:t>200</w:t>
      </w:r>
      <w:r w:rsidR="004013E0">
        <w:rPr>
          <w:color w:val="000000"/>
          <w:sz w:val="16"/>
          <w:szCs w:val="16"/>
        </w:rPr>
        <w:t>7.</w:t>
      </w:r>
    </w:p>
    <w:bookmarkEnd w:id="4"/>
  </w:endnote>
  <w:endnote w:id="14">
    <w:p w14:paraId="26C9E144" w14:textId="19D7136F" w:rsidR="00E84D8F" w:rsidRPr="00E84D8F" w:rsidRDefault="00E84D8F" w:rsidP="000952B4">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 xml:space="preserve">Shiu, Shiona, "Issues in the education of students with chronic illness," </w:t>
      </w:r>
      <w:r w:rsidRPr="00E84D8F">
        <w:rPr>
          <w:i/>
          <w:color w:val="000000"/>
          <w:sz w:val="16"/>
          <w:szCs w:val="16"/>
        </w:rPr>
        <w:t>International Journal of Disability, Development and Education</w:t>
      </w:r>
      <w:r w:rsidRPr="00E84D8F">
        <w:rPr>
          <w:color w:val="000000"/>
          <w:sz w:val="16"/>
          <w:szCs w:val="16"/>
        </w:rPr>
        <w:t xml:space="preserve"> 48, no. 3 (2001): </w:t>
      </w:r>
      <w:hyperlink r:id="rId2">
        <w:r w:rsidRPr="00E84D8F">
          <w:rPr>
            <w:color w:val="000000"/>
            <w:sz w:val="16"/>
            <w:szCs w:val="16"/>
            <w:u w:val="single"/>
          </w:rPr>
          <w:t>http://dx.doi.org/10.1080/10349120120073412</w:t>
        </w:r>
      </w:hyperlink>
      <w:r w:rsidRPr="00E84D8F">
        <w:rPr>
          <w:color w:val="000000"/>
          <w:sz w:val="16"/>
          <w:szCs w:val="16"/>
        </w:rPr>
        <w:t>.</w:t>
      </w:r>
    </w:p>
  </w:endnote>
  <w:endnote w:id="15">
    <w:p w14:paraId="405F8D02" w14:textId="2D5CB9CC" w:rsidR="00E84D8F" w:rsidRPr="00E84D8F" w:rsidRDefault="00E84D8F" w:rsidP="000952B4">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Whiteford, Chrystal M., "Children with special health care needs: social and learning competence in the early years," (Masters by Research thesis, Queensland University of Technology, 2010).</w:t>
      </w:r>
    </w:p>
  </w:endnote>
  <w:endnote w:id="16">
    <w:p w14:paraId="00FB4134" w14:textId="40749590" w:rsidR="00A82004" w:rsidRPr="00A82004" w:rsidRDefault="00A82004">
      <w:pPr>
        <w:pStyle w:val="EndnoteText"/>
        <w:rPr>
          <w:sz w:val="16"/>
          <w:szCs w:val="16"/>
        </w:rPr>
      </w:pPr>
      <w:r w:rsidRPr="00A82004">
        <w:rPr>
          <w:rStyle w:val="EndnoteReference"/>
          <w:sz w:val="16"/>
          <w:szCs w:val="16"/>
        </w:rPr>
        <w:endnoteRef/>
      </w:r>
      <w:r w:rsidRPr="00A82004">
        <w:rPr>
          <w:sz w:val="16"/>
          <w:szCs w:val="16"/>
        </w:rPr>
        <w:t xml:space="preserve"> Runions, Kevin C</w:t>
      </w:r>
      <w:r w:rsidR="004013E0">
        <w:rPr>
          <w:sz w:val="16"/>
          <w:szCs w:val="16"/>
        </w:rPr>
        <w:t>.</w:t>
      </w:r>
      <w:r w:rsidRPr="00A82004">
        <w:rPr>
          <w:sz w:val="16"/>
          <w:szCs w:val="16"/>
        </w:rPr>
        <w:t>, Rena Vithiatharan, Kirsten Hancock, Ashleigh Lin, Christopher G</w:t>
      </w:r>
      <w:r w:rsidR="004013E0">
        <w:rPr>
          <w:sz w:val="16"/>
          <w:szCs w:val="16"/>
        </w:rPr>
        <w:t>.</w:t>
      </w:r>
      <w:r w:rsidRPr="00A82004">
        <w:rPr>
          <w:sz w:val="16"/>
          <w:szCs w:val="16"/>
        </w:rPr>
        <w:t xml:space="preserve"> Brennan-Jones, Caitlin Gray, and Donald Payne</w:t>
      </w:r>
      <w:r w:rsidR="004013E0">
        <w:rPr>
          <w:sz w:val="16"/>
          <w:szCs w:val="16"/>
        </w:rPr>
        <w:t>,</w:t>
      </w:r>
      <w:r w:rsidRPr="00A82004">
        <w:rPr>
          <w:sz w:val="16"/>
          <w:szCs w:val="16"/>
        </w:rPr>
        <w:t xml:space="preserve"> “Chronic Health Conditions, Mental Health and the School: A Narrative Review</w:t>
      </w:r>
      <w:r w:rsidR="004013E0">
        <w:rPr>
          <w:sz w:val="16"/>
          <w:szCs w:val="16"/>
        </w:rPr>
        <w:t>,</w:t>
      </w:r>
      <w:r w:rsidRPr="00A82004">
        <w:rPr>
          <w:sz w:val="16"/>
          <w:szCs w:val="16"/>
        </w:rPr>
        <w:t xml:space="preserve">” </w:t>
      </w:r>
      <w:r w:rsidRPr="00A82004">
        <w:rPr>
          <w:i/>
          <w:iCs/>
          <w:sz w:val="16"/>
          <w:szCs w:val="16"/>
        </w:rPr>
        <w:t>Health Education Journal</w:t>
      </w:r>
      <w:r w:rsidRPr="00A82004">
        <w:rPr>
          <w:sz w:val="16"/>
          <w:szCs w:val="16"/>
        </w:rPr>
        <w:t xml:space="preserve"> 79, 4 (2019): 471–83</w:t>
      </w:r>
      <w:r w:rsidR="004013E0">
        <w:rPr>
          <w:sz w:val="16"/>
          <w:szCs w:val="16"/>
        </w:rPr>
        <w:t>,</w:t>
      </w:r>
      <w:r w:rsidRPr="00A82004">
        <w:rPr>
          <w:sz w:val="16"/>
          <w:szCs w:val="16"/>
        </w:rPr>
        <w:t xml:space="preserve"> https://doi.org/10.1177/0017896919890898.</w:t>
      </w:r>
    </w:p>
  </w:endnote>
  <w:endnote w:id="17">
    <w:p w14:paraId="21684E4F" w14:textId="5AB6FBAB" w:rsidR="00E84D8F" w:rsidRPr="00E84D8F" w:rsidRDefault="00E84D8F">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00614024" w:rsidRPr="00E84D8F">
        <w:rPr>
          <w:sz w:val="16"/>
          <w:szCs w:val="16"/>
        </w:rPr>
        <w:t>Lamb</w:t>
      </w:r>
      <w:r w:rsidRPr="00E84D8F">
        <w:rPr>
          <w:sz w:val="16"/>
          <w:szCs w:val="16"/>
        </w:rPr>
        <w:t xml:space="preserve">, Stephen, and Shuyan Huo, </w:t>
      </w:r>
      <w:r w:rsidRPr="00E84D8F">
        <w:rPr>
          <w:i/>
          <w:iCs/>
          <w:sz w:val="16"/>
          <w:szCs w:val="16"/>
        </w:rPr>
        <w:t>Counting the costs of lost opportunity in Australian education</w:t>
      </w:r>
      <w:r w:rsidRPr="00E84D8F">
        <w:rPr>
          <w:sz w:val="16"/>
          <w:szCs w:val="16"/>
        </w:rPr>
        <w:t>. Mitchell Institute report No. 02/2017</w:t>
      </w:r>
      <w:r w:rsidR="004013E0">
        <w:rPr>
          <w:sz w:val="16"/>
          <w:szCs w:val="16"/>
        </w:rPr>
        <w:t>,</w:t>
      </w:r>
      <w:r w:rsidRPr="00E84D8F">
        <w:rPr>
          <w:sz w:val="16"/>
          <w:szCs w:val="16"/>
        </w:rPr>
        <w:t xml:space="preserve"> Melbourne: Mitchell Institute. 6, 41-42, accessed September 6, 2020, Available from https://www.vu.edu.au/mitchell-institute/educational-opportunity/counting-the-costs-of-lost-opportunity-in-australian-education</w:t>
      </w:r>
      <w:r w:rsidR="00707D5D">
        <w:rPr>
          <w:sz w:val="16"/>
          <w:szCs w:val="16"/>
        </w:rPr>
        <w:t>.</w:t>
      </w:r>
    </w:p>
  </w:endnote>
  <w:endnote w:id="18">
    <w:p w14:paraId="57C7F93D" w14:textId="7AB9FCAE" w:rsidR="00E84D8F" w:rsidRPr="00D20CAA" w:rsidRDefault="00E84D8F" w:rsidP="00D20CAA">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 xml:space="preserve">Wilkie, Karina J., "Absence makes the heart grow fonder: Students with chronic illness seeking academic continuity through </w:t>
      </w:r>
      <w:r w:rsidRPr="00E84D8F">
        <w:rPr>
          <w:color w:val="000000" w:themeColor="text1"/>
          <w:sz w:val="16"/>
          <w:szCs w:val="16"/>
        </w:rPr>
        <w:t xml:space="preserve">interaction with their teachers at school," </w:t>
      </w:r>
      <w:r w:rsidRPr="00E84D8F">
        <w:rPr>
          <w:i/>
          <w:color w:val="000000" w:themeColor="text1"/>
          <w:sz w:val="16"/>
          <w:szCs w:val="16"/>
        </w:rPr>
        <w:t>Australasian Journal of Special Education</w:t>
      </w:r>
      <w:r w:rsidRPr="00E84D8F">
        <w:rPr>
          <w:color w:val="000000" w:themeColor="text1"/>
          <w:sz w:val="16"/>
          <w:szCs w:val="16"/>
        </w:rPr>
        <w:t xml:space="preserve"> 36</w:t>
      </w:r>
      <w:r w:rsidR="005B45B1">
        <w:rPr>
          <w:color w:val="000000" w:themeColor="text1"/>
          <w:sz w:val="16"/>
          <w:szCs w:val="16"/>
        </w:rPr>
        <w:t xml:space="preserve">, 1 </w:t>
      </w:r>
      <w:r w:rsidRPr="00E84D8F">
        <w:rPr>
          <w:color w:val="000000" w:themeColor="text1"/>
          <w:sz w:val="16"/>
          <w:szCs w:val="16"/>
        </w:rPr>
        <w:t xml:space="preserve">(2012): </w:t>
      </w:r>
      <w:r w:rsidR="005B45B1">
        <w:rPr>
          <w:color w:val="000000" w:themeColor="text1"/>
          <w:sz w:val="16"/>
          <w:szCs w:val="16"/>
        </w:rPr>
        <w:t>1-20</w:t>
      </w:r>
      <w:r w:rsidRPr="00E84D8F">
        <w:rPr>
          <w:color w:val="000000" w:themeColor="text1"/>
          <w:sz w:val="16"/>
          <w:szCs w:val="16"/>
        </w:rPr>
        <w:t xml:space="preserve"> </w:t>
      </w:r>
      <w:r w:rsidR="005B45B1" w:rsidRPr="005B45B1">
        <w:rPr>
          <w:sz w:val="16"/>
          <w:szCs w:val="16"/>
        </w:rPr>
        <w:t>https://doi.org/10.1017/jse.2012.4</w:t>
      </w:r>
      <w:r w:rsidR="00707D5D">
        <w:rPr>
          <w:sz w:val="16"/>
          <w:szCs w:val="16"/>
        </w:rPr>
        <w:t>.</w:t>
      </w:r>
    </w:p>
  </w:endnote>
  <w:endnote w:id="19">
    <w:p w14:paraId="445DA6F6" w14:textId="6ECAFDD0" w:rsidR="00FF5797" w:rsidRDefault="00E84D8F" w:rsidP="00A6056D">
      <w:pPr>
        <w:widowControl w:val="0"/>
        <w:spacing w:before="0" w:after="0" w:line="240" w:lineRule="auto"/>
        <w:rPr>
          <w:color w:val="000000" w:themeColor="text1"/>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 xml:space="preserve">Australian Institute of Health and Welfare (AIHW), </w:t>
      </w:r>
      <w:r w:rsidRPr="00E84D8F">
        <w:rPr>
          <w:i/>
          <w:iCs/>
          <w:color w:val="000000"/>
          <w:sz w:val="16"/>
          <w:szCs w:val="16"/>
        </w:rPr>
        <w:t>Young Australians: their health and wellbeing 2007</w:t>
      </w:r>
      <w:r w:rsidR="004013E0">
        <w:rPr>
          <w:color w:val="000000"/>
          <w:sz w:val="16"/>
          <w:szCs w:val="16"/>
        </w:rPr>
        <w:t>,</w:t>
      </w:r>
      <w:r w:rsidRPr="00E84D8F">
        <w:rPr>
          <w:color w:val="000000"/>
          <w:sz w:val="16"/>
          <w:szCs w:val="16"/>
        </w:rPr>
        <w:t xml:space="preserve"> Cat. no. PHE 87, Canberra: AIHW, 200</w:t>
      </w:r>
      <w:r w:rsidR="00FF5797">
        <w:rPr>
          <w:color w:val="000000"/>
          <w:sz w:val="16"/>
          <w:szCs w:val="16"/>
        </w:rPr>
        <w:t>7. Accessed September 15, 2020.</w:t>
      </w:r>
    </w:p>
    <w:p w14:paraId="2AB5D856" w14:textId="44FD4C1C" w:rsidR="00E84D8F" w:rsidRPr="00E84D8F" w:rsidRDefault="00DD2F1E" w:rsidP="00A6056D">
      <w:pPr>
        <w:widowControl w:val="0"/>
        <w:spacing w:before="0" w:after="0" w:line="240" w:lineRule="auto"/>
        <w:rPr>
          <w:color w:val="000000"/>
          <w:sz w:val="16"/>
          <w:szCs w:val="16"/>
        </w:rPr>
      </w:pPr>
      <w:hyperlink r:id="rId3" w:history="1">
        <w:r w:rsidR="00E84D8F" w:rsidRPr="00E84D8F">
          <w:rPr>
            <w:rStyle w:val="Hyperlink"/>
            <w:color w:val="000000" w:themeColor="text1"/>
            <w:sz w:val="16"/>
            <w:szCs w:val="16"/>
            <w:u w:val="none"/>
          </w:rPr>
          <w:t>https://www.aihw.gov.au/reports/children-youth/young-australians-health-wellbeing-2007/contents/table-of-contents</w:t>
        </w:r>
      </w:hyperlink>
      <w:r w:rsidR="00E84D8F" w:rsidRPr="00E84D8F">
        <w:rPr>
          <w:color w:val="000000" w:themeColor="text1"/>
          <w:sz w:val="16"/>
          <w:szCs w:val="16"/>
        </w:rPr>
        <w:t>.</w:t>
      </w:r>
    </w:p>
  </w:endnote>
  <w:endnote w:id="20">
    <w:p w14:paraId="0FF855B9" w14:textId="1368B56B" w:rsidR="00FF5797" w:rsidRDefault="00E84D8F" w:rsidP="00480756">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rPr>
        <w:t xml:space="preserve"> </w:t>
      </w:r>
      <w:r w:rsidRPr="00E84D8F">
        <w:rPr>
          <w:color w:val="000000"/>
          <w:sz w:val="16"/>
          <w:szCs w:val="16"/>
        </w:rPr>
        <w:t>Australian Institute of Health and Welfare (AIHW)</w:t>
      </w:r>
      <w:r w:rsidR="00E87569">
        <w:rPr>
          <w:color w:val="000000"/>
          <w:sz w:val="16"/>
          <w:szCs w:val="16"/>
        </w:rPr>
        <w:t>,</w:t>
      </w:r>
      <w:r w:rsidRPr="00E84D8F">
        <w:rPr>
          <w:color w:val="000000"/>
          <w:sz w:val="16"/>
          <w:szCs w:val="16"/>
        </w:rPr>
        <w:t xml:space="preserve"> A Picture of Australia’s children 2009</w:t>
      </w:r>
      <w:r w:rsidR="00E87569">
        <w:rPr>
          <w:color w:val="000000"/>
          <w:sz w:val="16"/>
          <w:szCs w:val="16"/>
        </w:rPr>
        <w:t>,</w:t>
      </w:r>
      <w:r w:rsidRPr="00E84D8F">
        <w:rPr>
          <w:color w:val="000000"/>
          <w:sz w:val="16"/>
          <w:szCs w:val="16"/>
        </w:rPr>
        <w:t xml:space="preserve"> Cat. no. PHE 112, Canberra: AIHW, 2009</w:t>
      </w:r>
      <w:r w:rsidR="00E87569">
        <w:rPr>
          <w:color w:val="000000"/>
          <w:sz w:val="16"/>
          <w:szCs w:val="16"/>
        </w:rPr>
        <w:t>,</w:t>
      </w:r>
      <w:r w:rsidRPr="00E84D8F">
        <w:rPr>
          <w:color w:val="000000"/>
          <w:sz w:val="16"/>
          <w:szCs w:val="16"/>
        </w:rPr>
        <w:t xml:space="preserve"> </w:t>
      </w:r>
      <w:r w:rsidR="00FF5797">
        <w:rPr>
          <w:color w:val="000000"/>
          <w:sz w:val="16"/>
          <w:szCs w:val="16"/>
        </w:rPr>
        <w:t>Accessed September 15, 2020.</w:t>
      </w:r>
    </w:p>
    <w:p w14:paraId="1AFC2AE0" w14:textId="197A9D7C" w:rsidR="00E84D8F" w:rsidRPr="00E84D8F" w:rsidRDefault="00E84D8F" w:rsidP="00480756">
      <w:pPr>
        <w:widowControl w:val="0"/>
        <w:spacing w:before="0" w:after="0" w:line="240" w:lineRule="auto"/>
        <w:rPr>
          <w:color w:val="000000"/>
          <w:sz w:val="16"/>
          <w:szCs w:val="16"/>
        </w:rPr>
      </w:pPr>
      <w:r w:rsidRPr="00E84D8F">
        <w:rPr>
          <w:color w:val="000000"/>
          <w:sz w:val="16"/>
          <w:szCs w:val="16"/>
        </w:rPr>
        <w:t>https://www.aihw.gov.au/reports/children-youth/picture-australias-children-2009/contents/table-of-contents.</w:t>
      </w:r>
    </w:p>
  </w:endnote>
  <w:endnote w:id="21">
    <w:p w14:paraId="6105E54B" w14:textId="77777777" w:rsidR="000D3965" w:rsidRDefault="000D3965" w:rsidP="000D3965">
      <w:pPr>
        <w:pStyle w:val="NormalWeb"/>
        <w:spacing w:before="0" w:beforeAutospacing="0" w:after="0" w:afterAutospacing="0"/>
      </w:pPr>
      <w:r w:rsidRPr="0080081E">
        <w:rPr>
          <w:rStyle w:val="EndnoteReference"/>
          <w:rFonts w:ascii="Arial" w:hAnsi="Arial" w:cs="Arial"/>
          <w:sz w:val="16"/>
          <w:szCs w:val="16"/>
        </w:rPr>
        <w:endnoteRef/>
      </w:r>
      <w:r w:rsidRPr="0080081E">
        <w:rPr>
          <w:rFonts w:ascii="Arial" w:hAnsi="Arial" w:cs="Arial"/>
          <w:sz w:val="16"/>
          <w:szCs w:val="16"/>
        </w:rPr>
        <w:t xml:space="preserve"> Wijlaars, Linda P M M, Ruth Gilbert, and Pia Hardelid</w:t>
      </w:r>
      <w:r>
        <w:rPr>
          <w:rFonts w:ascii="Arial" w:hAnsi="Arial" w:cs="Arial"/>
          <w:sz w:val="16"/>
          <w:szCs w:val="16"/>
        </w:rPr>
        <w:t>,</w:t>
      </w:r>
      <w:r w:rsidRPr="0080081E">
        <w:rPr>
          <w:rFonts w:ascii="Arial" w:hAnsi="Arial" w:cs="Arial"/>
          <w:sz w:val="16"/>
          <w:szCs w:val="16"/>
        </w:rPr>
        <w:t xml:space="preserve"> “Chronic Conditions in Children and Young People: Learning from Administrative Data</w:t>
      </w:r>
      <w:r>
        <w:rPr>
          <w:rFonts w:ascii="Arial" w:hAnsi="Arial" w:cs="Arial"/>
          <w:sz w:val="16"/>
          <w:szCs w:val="16"/>
        </w:rPr>
        <w:t>,</w:t>
      </w:r>
      <w:r w:rsidRPr="0080081E">
        <w:rPr>
          <w:rFonts w:ascii="Arial" w:hAnsi="Arial" w:cs="Arial"/>
          <w:sz w:val="16"/>
          <w:szCs w:val="16"/>
        </w:rPr>
        <w:t xml:space="preserve">” </w:t>
      </w:r>
      <w:r w:rsidRPr="0080081E">
        <w:rPr>
          <w:rFonts w:ascii="Arial" w:hAnsi="Arial" w:cs="Arial"/>
          <w:i/>
          <w:iCs/>
          <w:sz w:val="16"/>
          <w:szCs w:val="16"/>
        </w:rPr>
        <w:t>Archives of Disease in Childhood</w:t>
      </w:r>
      <w:r w:rsidRPr="0080081E">
        <w:rPr>
          <w:rFonts w:ascii="Arial" w:hAnsi="Arial" w:cs="Arial"/>
          <w:sz w:val="16"/>
          <w:szCs w:val="16"/>
        </w:rPr>
        <w:t xml:space="preserve"> 101, no. 10 (2016): 881–85. https://doi.org/10.1136/archdischild-2016-310716. </w:t>
      </w:r>
    </w:p>
  </w:endnote>
  <w:endnote w:id="22">
    <w:p w14:paraId="7F0DBB53" w14:textId="6AF2DD3D" w:rsidR="00E84D8F" w:rsidRPr="00E84D8F" w:rsidRDefault="00E84D8F" w:rsidP="00551445">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004013E0" w:rsidRPr="00E84D8F">
        <w:rPr>
          <w:color w:val="000000"/>
          <w:sz w:val="16"/>
          <w:szCs w:val="16"/>
        </w:rPr>
        <w:t xml:space="preserve">Shaw and McCabe, </w:t>
      </w:r>
      <w:r w:rsidR="004013E0" w:rsidRPr="00A115F6">
        <w:rPr>
          <w:i/>
          <w:iCs/>
          <w:color w:val="000000"/>
          <w:sz w:val="16"/>
          <w:szCs w:val="16"/>
        </w:rPr>
        <w:t>Hospital-to-school transition</w:t>
      </w:r>
      <w:r w:rsidR="004013E0">
        <w:rPr>
          <w:color w:val="000000"/>
          <w:sz w:val="16"/>
          <w:szCs w:val="16"/>
        </w:rPr>
        <w:t xml:space="preserve">, </w:t>
      </w:r>
      <w:r w:rsidR="004013E0" w:rsidRPr="00E84D8F">
        <w:rPr>
          <w:color w:val="000000"/>
          <w:sz w:val="16"/>
          <w:szCs w:val="16"/>
        </w:rPr>
        <w:t>200</w:t>
      </w:r>
      <w:r w:rsidR="004013E0">
        <w:rPr>
          <w:color w:val="000000"/>
          <w:sz w:val="16"/>
          <w:szCs w:val="16"/>
        </w:rPr>
        <w:t>7.</w:t>
      </w:r>
    </w:p>
  </w:endnote>
  <w:endnote w:id="23">
    <w:p w14:paraId="35A396B4" w14:textId="1A7BE7BC" w:rsidR="00E84D8F" w:rsidRPr="00E84D8F" w:rsidRDefault="00E84D8F" w:rsidP="005C5D73">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bookmarkStart w:id="5" w:name="_Hlk50913548"/>
      <w:r w:rsidRPr="00E84D8F">
        <w:rPr>
          <w:color w:val="000000"/>
          <w:sz w:val="16"/>
          <w:szCs w:val="16"/>
        </w:rPr>
        <w:t xml:space="preserve">Barnett, Tony, Liza Hopkins, and S. Peters, </w:t>
      </w:r>
      <w:r w:rsidRPr="00E84D8F">
        <w:rPr>
          <w:i/>
          <w:color w:val="000000"/>
          <w:sz w:val="16"/>
          <w:szCs w:val="16"/>
        </w:rPr>
        <w:t>What happens when they go home? An investigation of education support for students following discharge from the RCH,</w:t>
      </w:r>
      <w:r w:rsidRPr="00E84D8F">
        <w:rPr>
          <w:color w:val="000000"/>
          <w:sz w:val="16"/>
          <w:szCs w:val="16"/>
        </w:rPr>
        <w:t xml:space="preserve"> Melbourne: The Royal Children's Hospital Education Institute, 2014</w:t>
      </w:r>
      <w:bookmarkEnd w:id="5"/>
      <w:r w:rsidRPr="00E84D8F">
        <w:rPr>
          <w:color w:val="000000"/>
          <w:sz w:val="16"/>
          <w:szCs w:val="16"/>
        </w:rPr>
        <w:t>.</w:t>
      </w:r>
    </w:p>
  </w:endnote>
  <w:endnote w:id="24">
    <w:p w14:paraId="4A47692B" w14:textId="30184DDB" w:rsidR="00F13957" w:rsidRPr="00F13957" w:rsidRDefault="00F13957" w:rsidP="00F13957">
      <w:pPr>
        <w:pStyle w:val="NormalWeb"/>
        <w:spacing w:before="0" w:beforeAutospacing="0" w:after="0" w:afterAutospacing="0"/>
        <w:rPr>
          <w:rFonts w:ascii="Arial" w:hAnsi="Arial" w:cs="Arial"/>
          <w:sz w:val="16"/>
          <w:szCs w:val="16"/>
        </w:rPr>
      </w:pPr>
      <w:r w:rsidRPr="00F13957">
        <w:rPr>
          <w:rStyle w:val="EndnoteReference"/>
          <w:rFonts w:ascii="Arial" w:hAnsi="Arial" w:cs="Arial"/>
          <w:sz w:val="16"/>
          <w:szCs w:val="16"/>
        </w:rPr>
        <w:endnoteRef/>
      </w:r>
      <w:r w:rsidRPr="00F13957">
        <w:rPr>
          <w:rFonts w:ascii="Arial" w:hAnsi="Arial" w:cs="Arial"/>
          <w:sz w:val="16"/>
          <w:szCs w:val="16"/>
        </w:rPr>
        <w:t xml:space="preserve"> Beeler, Dori, E. Juliana Paré-Blagoev, Lisa A. Jacobson, and Kathy Ruble. “Educating Childhood Cancer Survivors: a Qualitative Analysis of Parents Mobilizing Social and Cultural Capital.” </w:t>
      </w:r>
      <w:r w:rsidRPr="00F13957">
        <w:rPr>
          <w:rFonts w:ascii="Arial" w:hAnsi="Arial" w:cs="Arial"/>
          <w:i/>
          <w:iCs/>
          <w:sz w:val="16"/>
          <w:szCs w:val="16"/>
        </w:rPr>
        <w:t>Journal of Cancer Education</w:t>
      </w:r>
      <w:r w:rsidRPr="00F13957">
        <w:rPr>
          <w:rFonts w:ascii="Arial" w:hAnsi="Arial" w:cs="Arial"/>
          <w:sz w:val="16"/>
          <w:szCs w:val="16"/>
        </w:rPr>
        <w:t xml:space="preserve">, 2020. https://doi.org/10.1007/s13187-020-01709-1. </w:t>
      </w:r>
    </w:p>
  </w:endnote>
  <w:endnote w:id="25">
    <w:p w14:paraId="5A185FE1" w14:textId="14FA2B94" w:rsidR="00283CFC" w:rsidRPr="00400DFD" w:rsidRDefault="00283CFC">
      <w:pPr>
        <w:pStyle w:val="EndnoteText"/>
        <w:rPr>
          <w:sz w:val="16"/>
          <w:szCs w:val="16"/>
        </w:rPr>
      </w:pPr>
      <w:r w:rsidRPr="00400DFD">
        <w:rPr>
          <w:rStyle w:val="EndnoteReference"/>
          <w:sz w:val="16"/>
          <w:szCs w:val="16"/>
        </w:rPr>
        <w:endnoteRef/>
      </w:r>
      <w:r w:rsidRPr="00400DFD">
        <w:rPr>
          <w:sz w:val="16"/>
          <w:szCs w:val="16"/>
        </w:rPr>
        <w:t xml:space="preserve"> </w:t>
      </w:r>
      <w:r w:rsidR="00400DFD" w:rsidRPr="00400DFD">
        <w:rPr>
          <w:sz w:val="16"/>
          <w:szCs w:val="16"/>
        </w:rPr>
        <w:t>Yates, Lyn, Lyndal Bond, Mary Dixon, Sarah Drew, Peter Ferguson, Trevor Hay, Julianne Moss, Pamela St Lger, Hannah Walker, and Julie White</w:t>
      </w:r>
      <w:r w:rsidR="00E87569">
        <w:rPr>
          <w:sz w:val="16"/>
          <w:szCs w:val="16"/>
        </w:rPr>
        <w:t>,</w:t>
      </w:r>
      <w:r w:rsidR="00400DFD" w:rsidRPr="00400DFD">
        <w:rPr>
          <w:sz w:val="16"/>
          <w:szCs w:val="16"/>
        </w:rPr>
        <w:t xml:space="preserve"> "Keeping connected: Identity, social connection and Education for young people living with chronic illness</w:t>
      </w:r>
      <w:r w:rsidR="00E87569">
        <w:rPr>
          <w:sz w:val="16"/>
          <w:szCs w:val="16"/>
        </w:rPr>
        <w:t>,</w:t>
      </w:r>
      <w:r w:rsidR="00400DFD" w:rsidRPr="00400DFD">
        <w:rPr>
          <w:sz w:val="16"/>
          <w:szCs w:val="16"/>
        </w:rPr>
        <w:t xml:space="preserve">" </w:t>
      </w:r>
      <w:r w:rsidR="00400DFD" w:rsidRPr="00400DFD">
        <w:rPr>
          <w:i/>
          <w:iCs/>
          <w:sz w:val="16"/>
          <w:szCs w:val="16"/>
        </w:rPr>
        <w:t>Project report, Melbourne Graduate School of Education</w:t>
      </w:r>
      <w:r w:rsidR="00E87569">
        <w:rPr>
          <w:sz w:val="16"/>
          <w:szCs w:val="16"/>
        </w:rPr>
        <w:t>,</w:t>
      </w:r>
      <w:r w:rsidR="00400DFD" w:rsidRPr="00400DFD">
        <w:rPr>
          <w:sz w:val="16"/>
          <w:szCs w:val="16"/>
        </w:rPr>
        <w:t xml:space="preserve"> University of Melbourne, 2010</w:t>
      </w:r>
      <w:r w:rsidR="00707D5D">
        <w:rPr>
          <w:sz w:val="16"/>
          <w:szCs w:val="16"/>
        </w:rPr>
        <w:t>.</w:t>
      </w:r>
    </w:p>
  </w:endnote>
  <w:endnote w:id="26">
    <w:p w14:paraId="4F0E71E0" w14:textId="483DB8AD" w:rsidR="00A200E0" w:rsidRDefault="00A200E0">
      <w:pPr>
        <w:pStyle w:val="EndnoteText"/>
        <w:rPr>
          <w:sz w:val="16"/>
          <w:szCs w:val="16"/>
        </w:rPr>
      </w:pPr>
      <w:r w:rsidRPr="00A200E0">
        <w:rPr>
          <w:rStyle w:val="EndnoteReference"/>
          <w:sz w:val="16"/>
          <w:szCs w:val="16"/>
        </w:rPr>
        <w:endnoteRef/>
      </w:r>
      <w:r w:rsidRPr="00A200E0">
        <w:rPr>
          <w:sz w:val="16"/>
          <w:szCs w:val="16"/>
        </w:rPr>
        <w:t xml:space="preserve"> </w:t>
      </w:r>
      <w:r w:rsidR="00AC7CB1" w:rsidRPr="00AC7CB1">
        <w:rPr>
          <w:sz w:val="16"/>
          <w:szCs w:val="16"/>
        </w:rPr>
        <w:t xml:space="preserve">The Royal Commission into Violence, Abuse, Neglect and Exploitation of People with Disability (Education Issues Paper). </w:t>
      </w:r>
      <w:r w:rsidRPr="00AC7CB1">
        <w:rPr>
          <w:i/>
          <w:iCs/>
          <w:sz w:val="16"/>
          <w:szCs w:val="16"/>
        </w:rPr>
        <w:t xml:space="preserve">Overview of responses to the first Education and </w:t>
      </w:r>
      <w:r w:rsidR="00AC7CB1">
        <w:rPr>
          <w:i/>
          <w:iCs/>
          <w:sz w:val="16"/>
          <w:szCs w:val="16"/>
        </w:rPr>
        <w:t>L</w:t>
      </w:r>
      <w:r w:rsidRPr="00AC7CB1">
        <w:rPr>
          <w:i/>
          <w:iCs/>
          <w:sz w:val="16"/>
          <w:szCs w:val="16"/>
        </w:rPr>
        <w:t>earning Issues paper</w:t>
      </w:r>
      <w:r>
        <w:rPr>
          <w:sz w:val="16"/>
          <w:szCs w:val="16"/>
        </w:rPr>
        <w:t xml:space="preserve">. </w:t>
      </w:r>
      <w:r w:rsidR="00133257">
        <w:rPr>
          <w:sz w:val="16"/>
          <w:szCs w:val="16"/>
        </w:rPr>
        <w:t xml:space="preserve">28 July, 2020. </w:t>
      </w:r>
      <w:r>
        <w:rPr>
          <w:sz w:val="16"/>
          <w:szCs w:val="16"/>
        </w:rPr>
        <w:t>Brisbane: Australian Government, 2020. Accessed September 15, 2020.</w:t>
      </w:r>
    </w:p>
    <w:p w14:paraId="6574E180" w14:textId="7B4C7A3E" w:rsidR="00A200E0" w:rsidRPr="00A200E0" w:rsidRDefault="00A200E0">
      <w:pPr>
        <w:pStyle w:val="EndnoteText"/>
        <w:rPr>
          <w:sz w:val="16"/>
          <w:szCs w:val="16"/>
        </w:rPr>
      </w:pPr>
      <w:r w:rsidRPr="00A200E0">
        <w:rPr>
          <w:sz w:val="16"/>
          <w:szCs w:val="16"/>
        </w:rPr>
        <w:t>https://disability.royalcommission.gov.au/system/files/2020-08/Overview%20of%20responses%20to%20the%20first%20Education%20and%20learning%20Issues%20paper.pdf</w:t>
      </w:r>
    </w:p>
  </w:endnote>
  <w:endnote w:id="27">
    <w:p w14:paraId="183489E2" w14:textId="1E75CC0C" w:rsidR="00E84D8F" w:rsidRPr="00E84D8F" w:rsidRDefault="00E84D8F" w:rsidP="005C5D73">
      <w:pPr>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 xml:space="preserve">Jackson, Megan, </w:t>
      </w:r>
      <w:r w:rsidRPr="00E84D8F">
        <w:rPr>
          <w:i/>
          <w:color w:val="000000"/>
          <w:sz w:val="16"/>
          <w:szCs w:val="16"/>
        </w:rPr>
        <w:t xml:space="preserve">Taking Responsibility: Preventing educational disadvantage for seriously sick kids experiencing school absence: Review of Current Practice, </w:t>
      </w:r>
      <w:r w:rsidRPr="00E84D8F">
        <w:rPr>
          <w:color w:val="000000"/>
          <w:sz w:val="16"/>
          <w:szCs w:val="16"/>
        </w:rPr>
        <w:t>report prepared for the Australian Government Department of Education and Training. Canberra: ARACY, 2017.</w:t>
      </w:r>
    </w:p>
  </w:endnote>
  <w:endnote w:id="28">
    <w:p w14:paraId="4C648BBE" w14:textId="1C241341" w:rsidR="00E84D8F" w:rsidRPr="00E84D8F" w:rsidRDefault="00E84D8F">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Wilkie</w:t>
      </w:r>
      <w:r w:rsidR="00020677">
        <w:rPr>
          <w:color w:val="000000"/>
          <w:sz w:val="16"/>
          <w:szCs w:val="16"/>
        </w:rPr>
        <w:t>,</w:t>
      </w:r>
      <w:r w:rsidRPr="00E84D8F">
        <w:rPr>
          <w:color w:val="000000"/>
          <w:sz w:val="16"/>
          <w:szCs w:val="16"/>
        </w:rPr>
        <w:t xml:space="preserve"> "Absence makes the heart grow fonder,”</w:t>
      </w:r>
      <w:r w:rsidRPr="00E84D8F">
        <w:rPr>
          <w:color w:val="000000" w:themeColor="text1"/>
          <w:sz w:val="16"/>
          <w:szCs w:val="16"/>
        </w:rPr>
        <w:t xml:space="preserve"> </w:t>
      </w:r>
      <w:r w:rsidR="00411AC1">
        <w:rPr>
          <w:color w:val="000000" w:themeColor="text1"/>
          <w:sz w:val="16"/>
          <w:szCs w:val="16"/>
        </w:rPr>
        <w:t>2012</w:t>
      </w:r>
      <w:r w:rsidRPr="00E84D8F">
        <w:rPr>
          <w:color w:val="000000" w:themeColor="text1"/>
          <w:sz w:val="16"/>
          <w:szCs w:val="16"/>
        </w:rPr>
        <w:t>.</w:t>
      </w:r>
    </w:p>
  </w:endnote>
  <w:endnote w:id="29">
    <w:p w14:paraId="675248B9" w14:textId="7A7D515D" w:rsidR="007D0CDB" w:rsidRPr="007D0CDB" w:rsidRDefault="007D0CDB">
      <w:pPr>
        <w:pStyle w:val="EndnoteText"/>
        <w:rPr>
          <w:sz w:val="16"/>
          <w:szCs w:val="16"/>
        </w:rPr>
      </w:pPr>
      <w:r w:rsidRPr="007D0CDB">
        <w:rPr>
          <w:rStyle w:val="EndnoteReference"/>
          <w:sz w:val="16"/>
          <w:szCs w:val="16"/>
        </w:rPr>
        <w:endnoteRef/>
      </w:r>
      <w:r w:rsidRPr="007D0CDB">
        <w:rPr>
          <w:sz w:val="16"/>
          <w:szCs w:val="16"/>
        </w:rPr>
        <w:t xml:space="preserve"> Maria Elizabeth Loades et al., “Rapid Systematic Review: The Impact of Social Isolation and Loneliness on the Mental Health of Children and Adolescents in the Context of COVID-19,” </w:t>
      </w:r>
      <w:r w:rsidRPr="007D0CDB">
        <w:rPr>
          <w:i/>
          <w:iCs/>
          <w:sz w:val="16"/>
          <w:szCs w:val="16"/>
        </w:rPr>
        <w:t>Journal of the American Academy of Child &amp; Adolescent Psychiatry</w:t>
      </w:r>
      <w:r w:rsidRPr="007D0CDB">
        <w:rPr>
          <w:sz w:val="16"/>
          <w:szCs w:val="16"/>
        </w:rPr>
        <w:t>, 2020, https://doi.org/10.1016/j.jaac.2020.05.009.</w:t>
      </w:r>
    </w:p>
  </w:endnote>
  <w:endnote w:id="30">
    <w:p w14:paraId="724513A0" w14:textId="6549A590" w:rsidR="00E84D8F" w:rsidRPr="00E84D8F" w:rsidRDefault="00E84D8F">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 xml:space="preserve">Baker, Jordan, “How COVID-19 exposed the fault lines in Australian Education,” </w:t>
      </w:r>
      <w:r w:rsidRPr="00E84D8F">
        <w:rPr>
          <w:i/>
          <w:iCs/>
          <w:color w:val="000000"/>
          <w:sz w:val="16"/>
          <w:szCs w:val="16"/>
        </w:rPr>
        <w:t>The Sydney Morning Herald</w:t>
      </w:r>
      <w:r w:rsidRPr="00E84D8F">
        <w:rPr>
          <w:color w:val="000000"/>
          <w:sz w:val="16"/>
          <w:szCs w:val="16"/>
        </w:rPr>
        <w:t>, May 16, 2020</w:t>
      </w:r>
      <w:r w:rsidR="00E87569">
        <w:rPr>
          <w:color w:val="000000"/>
          <w:sz w:val="16"/>
          <w:szCs w:val="16"/>
        </w:rPr>
        <w:t>,</w:t>
      </w:r>
      <w:r w:rsidRPr="00E84D8F">
        <w:rPr>
          <w:color w:val="000000"/>
          <w:sz w:val="16"/>
          <w:szCs w:val="16"/>
        </w:rPr>
        <w:t xml:space="preserve"> Accessed September 7, 2020. https://www.smh.com.au/national/how-covid-19-exposed-the-fault-lines-in-australian-education-20200514-p54t5v.html.</w:t>
      </w:r>
    </w:p>
  </w:endnote>
  <w:endnote w:id="31">
    <w:p w14:paraId="210BA8D1" w14:textId="39B41DF6" w:rsidR="00E84D8F" w:rsidRPr="00E84D8F" w:rsidRDefault="00E84D8F">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E84D8F">
        <w:rPr>
          <w:sz w:val="16"/>
          <w:szCs w:val="16"/>
        </w:rPr>
        <w:t xml:space="preserve">Gilmour, Hopkins, Meyers, Nell, and Stafford, School connection for seriously sick kids, </w:t>
      </w:r>
      <w:r w:rsidR="000D41CA">
        <w:rPr>
          <w:sz w:val="16"/>
          <w:szCs w:val="16"/>
        </w:rPr>
        <w:t>2015</w:t>
      </w:r>
      <w:r w:rsidRPr="00E84D8F">
        <w:rPr>
          <w:sz w:val="16"/>
          <w:szCs w:val="16"/>
        </w:rPr>
        <w:t>.</w:t>
      </w:r>
    </w:p>
  </w:endnote>
  <w:endnote w:id="32">
    <w:p w14:paraId="17D93C32" w14:textId="1479F308" w:rsidR="00E84D8F" w:rsidRPr="00E84D8F" w:rsidRDefault="00E84D8F">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000D41CA" w:rsidRPr="000D41CA">
        <w:rPr>
          <w:sz w:val="16"/>
          <w:szCs w:val="16"/>
        </w:rPr>
        <w:t xml:space="preserve">Jackson, </w:t>
      </w:r>
      <w:r w:rsidR="000D41CA" w:rsidRPr="00A60C8C">
        <w:rPr>
          <w:i/>
          <w:iCs/>
          <w:sz w:val="16"/>
          <w:szCs w:val="16"/>
        </w:rPr>
        <w:t>“Taking Responsibility</w:t>
      </w:r>
      <w:r w:rsidR="00E87569" w:rsidRPr="00A60C8C">
        <w:rPr>
          <w:i/>
          <w:iCs/>
          <w:sz w:val="16"/>
          <w:szCs w:val="16"/>
        </w:rPr>
        <w:t>,</w:t>
      </w:r>
      <w:r w:rsidR="000D41CA" w:rsidRPr="00A60C8C">
        <w:rPr>
          <w:i/>
          <w:iCs/>
          <w:sz w:val="16"/>
          <w:szCs w:val="16"/>
        </w:rPr>
        <w:t>”</w:t>
      </w:r>
      <w:r w:rsidR="000D41CA" w:rsidRPr="000D41CA">
        <w:rPr>
          <w:sz w:val="16"/>
          <w:szCs w:val="16"/>
        </w:rPr>
        <w:t xml:space="preserve"> 2017</w:t>
      </w:r>
      <w:r w:rsidR="00707D5D">
        <w:rPr>
          <w:sz w:val="16"/>
          <w:szCs w:val="16"/>
        </w:rPr>
        <w:t>.</w:t>
      </w:r>
    </w:p>
  </w:endnote>
  <w:endnote w:id="33">
    <w:p w14:paraId="246C8806" w14:textId="0B0A1042" w:rsidR="00E84D8F" w:rsidRDefault="00E84D8F">
      <w:pPr>
        <w:pStyle w:val="EndnoteText"/>
        <w:rPr>
          <w:sz w:val="16"/>
          <w:szCs w:val="16"/>
        </w:rPr>
      </w:pPr>
      <w:r w:rsidRPr="001E3E42">
        <w:rPr>
          <w:rStyle w:val="EndnoteReference"/>
          <w:sz w:val="16"/>
          <w:szCs w:val="16"/>
        </w:rPr>
        <w:endnoteRef/>
      </w:r>
      <w:r w:rsidRPr="001E3E42">
        <w:rPr>
          <w:sz w:val="16"/>
          <w:szCs w:val="16"/>
        </w:rPr>
        <w:t xml:space="preserve"> In </w:t>
      </w:r>
      <w:r w:rsidR="001E3E42">
        <w:rPr>
          <w:sz w:val="16"/>
          <w:szCs w:val="16"/>
        </w:rPr>
        <w:t xml:space="preserve">May-June, </w:t>
      </w:r>
      <w:r w:rsidRPr="001E3E42">
        <w:rPr>
          <w:sz w:val="16"/>
          <w:szCs w:val="16"/>
        </w:rPr>
        <w:t xml:space="preserve">2020, MissingSchool </w:t>
      </w:r>
      <w:r w:rsidR="001E3E42">
        <w:rPr>
          <w:sz w:val="16"/>
          <w:szCs w:val="16"/>
        </w:rPr>
        <w:t>carried out a</w:t>
      </w:r>
      <w:r w:rsidRPr="001E3E42">
        <w:rPr>
          <w:sz w:val="16"/>
          <w:szCs w:val="16"/>
        </w:rPr>
        <w:t xml:space="preserve"> </w:t>
      </w:r>
      <w:r w:rsidR="001E3E42" w:rsidRPr="001E3E42">
        <w:rPr>
          <w:sz w:val="16"/>
          <w:szCs w:val="16"/>
        </w:rPr>
        <w:t>stocktake</w:t>
      </w:r>
      <w:r w:rsidRPr="001E3E42">
        <w:rPr>
          <w:sz w:val="16"/>
          <w:szCs w:val="16"/>
        </w:rPr>
        <w:t xml:space="preserve"> of state and territory education department websites </w:t>
      </w:r>
      <w:r w:rsidR="00800B68" w:rsidRPr="001E3E42">
        <w:rPr>
          <w:sz w:val="16"/>
          <w:szCs w:val="16"/>
        </w:rPr>
        <w:t xml:space="preserve">to document </w:t>
      </w:r>
      <w:r w:rsidR="00800B68">
        <w:rPr>
          <w:sz w:val="16"/>
          <w:szCs w:val="16"/>
        </w:rPr>
        <w:t xml:space="preserve">information </w:t>
      </w:r>
      <w:r w:rsidR="001E3E42">
        <w:rPr>
          <w:sz w:val="16"/>
          <w:szCs w:val="16"/>
        </w:rPr>
        <w:t xml:space="preserve">published </w:t>
      </w:r>
      <w:r w:rsidR="00800B68">
        <w:rPr>
          <w:sz w:val="16"/>
          <w:szCs w:val="16"/>
        </w:rPr>
        <w:t xml:space="preserve">on </w:t>
      </w:r>
      <w:r w:rsidR="001E3E42">
        <w:rPr>
          <w:sz w:val="16"/>
          <w:szCs w:val="16"/>
        </w:rPr>
        <w:t xml:space="preserve">public </w:t>
      </w:r>
      <w:r w:rsidR="00800B68">
        <w:rPr>
          <w:sz w:val="16"/>
          <w:szCs w:val="16"/>
        </w:rPr>
        <w:t xml:space="preserve">school policies, standards, and guidelines for continuity of education for students with serious illness, </w:t>
      </w:r>
      <w:r w:rsidR="007C5D9A">
        <w:rPr>
          <w:sz w:val="16"/>
          <w:szCs w:val="16"/>
        </w:rPr>
        <w:t>particularly</w:t>
      </w:r>
      <w:r w:rsidR="00800B68">
        <w:rPr>
          <w:sz w:val="16"/>
          <w:szCs w:val="16"/>
        </w:rPr>
        <w:t xml:space="preserve"> during </w:t>
      </w:r>
      <w:r w:rsidR="001E3E42">
        <w:rPr>
          <w:sz w:val="16"/>
          <w:szCs w:val="16"/>
        </w:rPr>
        <w:t xml:space="preserve">school </w:t>
      </w:r>
      <w:r w:rsidR="00800B68">
        <w:rPr>
          <w:sz w:val="16"/>
          <w:szCs w:val="16"/>
        </w:rPr>
        <w:t xml:space="preserve">absence. The </w:t>
      </w:r>
      <w:r w:rsidR="001E3E42">
        <w:rPr>
          <w:sz w:val="16"/>
          <w:szCs w:val="16"/>
        </w:rPr>
        <w:t>stocktake</w:t>
      </w:r>
      <w:r w:rsidR="00800B68">
        <w:rPr>
          <w:sz w:val="16"/>
          <w:szCs w:val="16"/>
        </w:rPr>
        <w:t xml:space="preserve"> identified </w:t>
      </w:r>
      <w:r w:rsidR="001E3E42">
        <w:rPr>
          <w:sz w:val="16"/>
          <w:szCs w:val="16"/>
        </w:rPr>
        <w:t xml:space="preserve">that generally there is </w:t>
      </w:r>
      <w:r w:rsidR="00800B68">
        <w:rPr>
          <w:sz w:val="16"/>
          <w:szCs w:val="16"/>
        </w:rPr>
        <w:t>a paucity of information</w:t>
      </w:r>
      <w:r w:rsidR="001E3E42">
        <w:rPr>
          <w:sz w:val="16"/>
          <w:szCs w:val="16"/>
        </w:rPr>
        <w:t xml:space="preserve"> published on state and territory public education system websites on this subject, noting some variability between states and territories</w:t>
      </w:r>
      <w:r w:rsidR="00800B68">
        <w:rPr>
          <w:sz w:val="16"/>
          <w:szCs w:val="16"/>
        </w:rPr>
        <w:t>.</w:t>
      </w:r>
      <w:r w:rsidR="001E3E42">
        <w:rPr>
          <w:sz w:val="16"/>
          <w:szCs w:val="16"/>
        </w:rPr>
        <w:t xml:space="preserve"> </w:t>
      </w:r>
      <w:r w:rsidR="003F0B27">
        <w:rPr>
          <w:sz w:val="16"/>
          <w:szCs w:val="16"/>
        </w:rPr>
        <w:t xml:space="preserve">The stocktake extended to websites for initiatives, organisations and institutions in the broader education </w:t>
      </w:r>
      <w:r w:rsidR="00D71093">
        <w:rPr>
          <w:sz w:val="16"/>
          <w:szCs w:val="16"/>
        </w:rPr>
        <w:t xml:space="preserve">sector </w:t>
      </w:r>
      <w:r w:rsidR="003F0B27">
        <w:rPr>
          <w:sz w:val="16"/>
          <w:szCs w:val="16"/>
        </w:rPr>
        <w:t>ecosystem</w:t>
      </w:r>
      <w:r w:rsidR="00D71093">
        <w:rPr>
          <w:sz w:val="16"/>
          <w:szCs w:val="16"/>
        </w:rPr>
        <w:t xml:space="preserve"> and were </w:t>
      </w:r>
      <w:r w:rsidR="009D4648">
        <w:rPr>
          <w:sz w:val="16"/>
          <w:szCs w:val="16"/>
        </w:rPr>
        <w:t xml:space="preserve">generally </w:t>
      </w:r>
      <w:r w:rsidR="00D71093">
        <w:rPr>
          <w:sz w:val="16"/>
          <w:szCs w:val="16"/>
        </w:rPr>
        <w:t xml:space="preserve">silent on the </w:t>
      </w:r>
      <w:r w:rsidR="00BD67A2">
        <w:rPr>
          <w:sz w:val="16"/>
          <w:szCs w:val="16"/>
        </w:rPr>
        <w:t>subject</w:t>
      </w:r>
      <w:r w:rsidR="00D71093">
        <w:rPr>
          <w:sz w:val="16"/>
          <w:szCs w:val="16"/>
        </w:rPr>
        <w:t>.</w:t>
      </w:r>
      <w:r w:rsidR="003F0B27">
        <w:rPr>
          <w:sz w:val="16"/>
          <w:szCs w:val="16"/>
        </w:rPr>
        <w:t xml:space="preserve"> </w:t>
      </w:r>
      <w:r w:rsidR="001E3E42">
        <w:rPr>
          <w:sz w:val="16"/>
          <w:szCs w:val="16"/>
        </w:rPr>
        <w:t>Accessed September, 15, 2020.</w:t>
      </w:r>
    </w:p>
    <w:p w14:paraId="2F0DDB6D" w14:textId="5A58CAD5" w:rsidR="001E3E42" w:rsidRPr="00E84D8F" w:rsidRDefault="001E3E42">
      <w:pPr>
        <w:pStyle w:val="EndnoteText"/>
        <w:rPr>
          <w:sz w:val="16"/>
          <w:szCs w:val="16"/>
        </w:rPr>
      </w:pPr>
      <w:r w:rsidRPr="001E3E42">
        <w:rPr>
          <w:sz w:val="16"/>
          <w:szCs w:val="16"/>
        </w:rPr>
        <w:t>https://airtable.com/shry24NafkIYGp9Jb</w:t>
      </w:r>
    </w:p>
  </w:endnote>
  <w:endnote w:id="34">
    <w:p w14:paraId="392898C4" w14:textId="6AFEC780" w:rsidR="00B04416" w:rsidRPr="00B04416" w:rsidRDefault="00B04416">
      <w:pPr>
        <w:pStyle w:val="EndnoteText"/>
        <w:rPr>
          <w:sz w:val="16"/>
          <w:szCs w:val="16"/>
        </w:rPr>
      </w:pPr>
      <w:r w:rsidRPr="00B04416">
        <w:rPr>
          <w:rStyle w:val="EndnoteReference"/>
          <w:sz w:val="16"/>
          <w:szCs w:val="16"/>
        </w:rPr>
        <w:endnoteRef/>
      </w:r>
      <w:r w:rsidRPr="00B04416">
        <w:rPr>
          <w:sz w:val="16"/>
          <w:szCs w:val="16"/>
        </w:rPr>
        <w:t xml:space="preserve"> </w:t>
      </w:r>
      <w:r w:rsidR="00E87569" w:rsidRPr="000D41CA">
        <w:rPr>
          <w:sz w:val="16"/>
          <w:szCs w:val="16"/>
        </w:rPr>
        <w:t>Jackson, “</w:t>
      </w:r>
      <w:r w:rsidR="00E87569" w:rsidRPr="00E87569">
        <w:rPr>
          <w:i/>
          <w:iCs/>
          <w:sz w:val="16"/>
          <w:szCs w:val="16"/>
        </w:rPr>
        <w:t>Taking Responsibility,”</w:t>
      </w:r>
      <w:r w:rsidR="00E87569" w:rsidRPr="000D41CA">
        <w:rPr>
          <w:sz w:val="16"/>
          <w:szCs w:val="16"/>
        </w:rPr>
        <w:t xml:space="preserve"> 2017</w:t>
      </w:r>
      <w:r w:rsidRPr="00B04416">
        <w:rPr>
          <w:sz w:val="16"/>
          <w:szCs w:val="16"/>
        </w:rPr>
        <w:t>.</w:t>
      </w:r>
    </w:p>
  </w:endnote>
  <w:endnote w:id="35">
    <w:p w14:paraId="7E7212FA" w14:textId="3429E6B1" w:rsidR="00E84D8F" w:rsidRPr="00E84D8F" w:rsidRDefault="00E84D8F" w:rsidP="00D867CB">
      <w:pPr>
        <w:spacing w:before="0" w:after="0" w:line="240" w:lineRule="auto"/>
        <w:rPr>
          <w:color w:val="000000"/>
          <w:sz w:val="16"/>
          <w:szCs w:val="16"/>
        </w:rPr>
      </w:pPr>
      <w:r w:rsidRPr="008F713B">
        <w:rPr>
          <w:rStyle w:val="EndnoteReference"/>
          <w:sz w:val="16"/>
          <w:szCs w:val="16"/>
        </w:rPr>
        <w:endnoteRef/>
      </w:r>
      <w:r w:rsidRPr="008F713B">
        <w:rPr>
          <w:sz w:val="16"/>
          <w:szCs w:val="16"/>
          <w:vertAlign w:val="superscript"/>
        </w:rPr>
        <w:t xml:space="preserve"> </w:t>
      </w:r>
      <w:r w:rsidRPr="008F713B">
        <w:rPr>
          <w:color w:val="000000"/>
          <w:sz w:val="16"/>
          <w:szCs w:val="16"/>
        </w:rPr>
        <w:t>Ashton, Jean and Jeffrey Bailey, “</w:t>
      </w:r>
      <w:r w:rsidRPr="008F713B">
        <w:rPr>
          <w:i/>
          <w:iCs/>
          <w:color w:val="000000"/>
          <w:sz w:val="16"/>
          <w:szCs w:val="16"/>
        </w:rPr>
        <w:t>Slipping through the policy cracks: children with chronic illness in early childhood</w:t>
      </w:r>
      <w:r w:rsidRPr="00E84D8F">
        <w:rPr>
          <w:i/>
          <w:iCs/>
          <w:color w:val="000000"/>
          <w:sz w:val="16"/>
          <w:szCs w:val="16"/>
        </w:rPr>
        <w:t xml:space="preserve"> settings,” Australian</w:t>
      </w:r>
      <w:r w:rsidRPr="00E84D8F">
        <w:rPr>
          <w:color w:val="000000"/>
          <w:sz w:val="16"/>
          <w:szCs w:val="16"/>
        </w:rPr>
        <w:t xml:space="preserve"> Journal of Early Childhood 29, 1 (2004): </w:t>
      </w:r>
      <w:r w:rsidR="00C64B85">
        <w:rPr>
          <w:sz w:val="16"/>
          <w:szCs w:val="16"/>
        </w:rPr>
        <w:t>Accessed</w:t>
      </w:r>
      <w:r w:rsidR="00C64B85" w:rsidRPr="00E84D8F">
        <w:rPr>
          <w:sz w:val="16"/>
          <w:szCs w:val="16"/>
        </w:rPr>
        <w:t xml:space="preserve"> September 6, 2020</w:t>
      </w:r>
      <w:r w:rsidR="00707D5D">
        <w:rPr>
          <w:sz w:val="16"/>
          <w:szCs w:val="16"/>
        </w:rPr>
        <w:t>.</w:t>
      </w:r>
      <w:r w:rsidR="00C64B85" w:rsidRPr="00E84D8F">
        <w:rPr>
          <w:sz w:val="16"/>
          <w:szCs w:val="16"/>
        </w:rPr>
        <w:t xml:space="preserve"> </w:t>
      </w:r>
      <w:r w:rsidRPr="00E84D8F">
        <w:rPr>
          <w:color w:val="000000"/>
          <w:sz w:val="16"/>
          <w:szCs w:val="16"/>
        </w:rPr>
        <w:t>from </w:t>
      </w:r>
      <w:hyperlink r:id="rId4" w:tgtFrame="_blank" w:history="1">
        <w:r w:rsidRPr="00E84D8F">
          <w:rPr>
            <w:color w:val="000000"/>
            <w:sz w:val="16"/>
            <w:szCs w:val="16"/>
          </w:rPr>
          <w:t>http://ezproxy.uws.edu.au/login?url=http://search.informit.com.au/fullText;dn=134077;res=AEIPT</w:t>
        </w:r>
      </w:hyperlink>
      <w:r w:rsidRPr="00E84D8F">
        <w:rPr>
          <w:color w:val="000000"/>
          <w:sz w:val="16"/>
          <w:szCs w:val="16"/>
        </w:rPr>
        <w:t>.</w:t>
      </w:r>
    </w:p>
  </w:endnote>
  <w:endnote w:id="36">
    <w:p w14:paraId="60AF97B4" w14:textId="4B801B50" w:rsidR="00A712FB" w:rsidRPr="00A712FB" w:rsidRDefault="00A712FB" w:rsidP="00A712FB">
      <w:pPr>
        <w:pStyle w:val="EndnoteText"/>
        <w:rPr>
          <w:sz w:val="16"/>
          <w:szCs w:val="16"/>
        </w:rPr>
      </w:pPr>
      <w:r w:rsidRPr="00020677">
        <w:rPr>
          <w:rStyle w:val="EndnoteReference"/>
          <w:sz w:val="16"/>
          <w:szCs w:val="16"/>
        </w:rPr>
        <w:endnoteRef/>
      </w:r>
      <w:r>
        <w:t xml:space="preserve"> </w:t>
      </w:r>
      <w:r w:rsidRPr="00A712FB">
        <w:rPr>
          <w:sz w:val="16"/>
          <w:szCs w:val="16"/>
        </w:rPr>
        <w:t>White</w:t>
      </w:r>
      <w:r>
        <w:rPr>
          <w:sz w:val="16"/>
          <w:szCs w:val="16"/>
        </w:rPr>
        <w:t>,</w:t>
      </w:r>
      <w:r w:rsidRPr="00A712FB">
        <w:rPr>
          <w:sz w:val="16"/>
          <w:szCs w:val="16"/>
        </w:rPr>
        <w:t xml:space="preserve"> Julie</w:t>
      </w:r>
      <w:r w:rsidR="00E87569">
        <w:rPr>
          <w:sz w:val="16"/>
          <w:szCs w:val="16"/>
        </w:rPr>
        <w:t>,</w:t>
      </w:r>
      <w:r w:rsidRPr="00A712FB">
        <w:rPr>
          <w:sz w:val="16"/>
          <w:szCs w:val="16"/>
        </w:rPr>
        <w:t xml:space="preserve"> </w:t>
      </w:r>
      <w:r>
        <w:rPr>
          <w:sz w:val="16"/>
          <w:szCs w:val="16"/>
        </w:rPr>
        <w:t>“</w:t>
      </w:r>
      <w:r w:rsidRPr="00A712FB">
        <w:rPr>
          <w:sz w:val="16"/>
          <w:szCs w:val="16"/>
        </w:rPr>
        <w:t>Overlooking entitlement</w:t>
      </w:r>
      <w:r>
        <w:rPr>
          <w:sz w:val="16"/>
          <w:szCs w:val="16"/>
        </w:rPr>
        <w:t>”</w:t>
      </w:r>
      <w:r w:rsidRPr="00A712FB">
        <w:rPr>
          <w:sz w:val="16"/>
          <w:szCs w:val="16"/>
        </w:rPr>
        <w:t xml:space="preserve">, </w:t>
      </w:r>
      <w:r w:rsidRPr="00A712FB">
        <w:rPr>
          <w:i/>
          <w:iCs/>
          <w:sz w:val="16"/>
          <w:szCs w:val="16"/>
        </w:rPr>
        <w:t>International Journal of Inclusive Edu</w:t>
      </w:r>
      <w:r w:rsidRPr="00A712FB">
        <w:rPr>
          <w:sz w:val="16"/>
          <w:szCs w:val="16"/>
        </w:rPr>
        <w:t>cation, 18</w:t>
      </w:r>
      <w:r>
        <w:rPr>
          <w:sz w:val="16"/>
          <w:szCs w:val="16"/>
        </w:rPr>
        <w:t xml:space="preserve">, </w:t>
      </w:r>
      <w:r w:rsidRPr="00A712FB">
        <w:rPr>
          <w:sz w:val="16"/>
          <w:szCs w:val="16"/>
        </w:rPr>
        <w:t>3, (2014)</w:t>
      </w:r>
      <w:r>
        <w:rPr>
          <w:sz w:val="16"/>
          <w:szCs w:val="16"/>
        </w:rPr>
        <w:t xml:space="preserve">: </w:t>
      </w:r>
      <w:r w:rsidRPr="00A712FB">
        <w:rPr>
          <w:sz w:val="16"/>
          <w:szCs w:val="16"/>
        </w:rPr>
        <w:t>241-252, DOI: 10.1080/13603116.2012.679319</w:t>
      </w:r>
      <w:r w:rsidR="00707D5D">
        <w:rPr>
          <w:sz w:val="16"/>
          <w:szCs w:val="16"/>
        </w:rPr>
        <w:t>.</w:t>
      </w:r>
    </w:p>
  </w:endnote>
  <w:endnote w:id="37">
    <w:p w14:paraId="64F45AAD" w14:textId="2609E33C" w:rsidR="000D41CA" w:rsidRPr="000D41CA" w:rsidRDefault="000D41CA">
      <w:pPr>
        <w:pStyle w:val="EndnoteText"/>
        <w:rPr>
          <w:sz w:val="16"/>
          <w:szCs w:val="16"/>
        </w:rPr>
      </w:pPr>
      <w:r w:rsidRPr="000D41CA">
        <w:rPr>
          <w:rStyle w:val="EndnoteReference"/>
          <w:sz w:val="16"/>
          <w:szCs w:val="16"/>
        </w:rPr>
        <w:endnoteRef/>
      </w:r>
      <w:r w:rsidRPr="000D41CA">
        <w:rPr>
          <w:sz w:val="16"/>
          <w:szCs w:val="16"/>
        </w:rPr>
        <w:t xml:space="preserve"> </w:t>
      </w:r>
      <w:r w:rsidR="00E87569" w:rsidRPr="000D41CA">
        <w:rPr>
          <w:sz w:val="16"/>
          <w:szCs w:val="16"/>
        </w:rPr>
        <w:t>Jackson, “</w:t>
      </w:r>
      <w:r w:rsidR="00E87569" w:rsidRPr="00E87569">
        <w:rPr>
          <w:i/>
          <w:iCs/>
          <w:sz w:val="16"/>
          <w:szCs w:val="16"/>
        </w:rPr>
        <w:t>Taking Responsibility,”</w:t>
      </w:r>
      <w:r w:rsidR="00E87569" w:rsidRPr="000D41CA">
        <w:rPr>
          <w:sz w:val="16"/>
          <w:szCs w:val="16"/>
        </w:rPr>
        <w:t xml:space="preserve"> 2017</w:t>
      </w:r>
      <w:r w:rsidR="00E87569">
        <w:rPr>
          <w:sz w:val="16"/>
          <w:szCs w:val="16"/>
        </w:rPr>
        <w:t>.</w:t>
      </w:r>
    </w:p>
  </w:endnote>
  <w:endnote w:id="38">
    <w:p w14:paraId="0F28F2F1" w14:textId="35110F24" w:rsidR="00E910D5" w:rsidRPr="00E910D5" w:rsidRDefault="00E910D5">
      <w:pPr>
        <w:pStyle w:val="EndnoteText"/>
        <w:rPr>
          <w:sz w:val="16"/>
          <w:szCs w:val="16"/>
        </w:rPr>
      </w:pPr>
      <w:r w:rsidRPr="00AD1668">
        <w:rPr>
          <w:rStyle w:val="EndnoteReference"/>
          <w:sz w:val="16"/>
          <w:szCs w:val="16"/>
        </w:rPr>
        <w:endnoteRef/>
      </w:r>
      <w:r w:rsidRPr="00AD1668">
        <w:rPr>
          <w:sz w:val="16"/>
          <w:szCs w:val="16"/>
        </w:rPr>
        <w:t xml:space="preserve"> </w:t>
      </w:r>
      <w:r w:rsidR="00E87569" w:rsidRPr="000D41CA">
        <w:rPr>
          <w:sz w:val="16"/>
          <w:szCs w:val="16"/>
        </w:rPr>
        <w:t>Jackson, “</w:t>
      </w:r>
      <w:r w:rsidR="00E87569" w:rsidRPr="00E87569">
        <w:rPr>
          <w:i/>
          <w:iCs/>
          <w:sz w:val="16"/>
          <w:szCs w:val="16"/>
        </w:rPr>
        <w:t>Taking Responsibility,”</w:t>
      </w:r>
      <w:r w:rsidR="00E87569" w:rsidRPr="000D41CA">
        <w:rPr>
          <w:sz w:val="16"/>
          <w:szCs w:val="16"/>
        </w:rPr>
        <w:t xml:space="preserve"> 2017</w:t>
      </w:r>
      <w:r w:rsidR="00E87569">
        <w:rPr>
          <w:sz w:val="16"/>
          <w:szCs w:val="16"/>
        </w:rPr>
        <w:t>.</w:t>
      </w:r>
    </w:p>
  </w:endnote>
  <w:endnote w:id="39">
    <w:p w14:paraId="1367194D" w14:textId="340A67E7" w:rsidR="00AD1668" w:rsidRDefault="00E84D8F">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4E6433">
        <w:rPr>
          <w:i/>
          <w:iCs/>
          <w:sz w:val="16"/>
          <w:szCs w:val="16"/>
        </w:rPr>
        <w:t>Australian Legislation Act 2013</w:t>
      </w:r>
      <w:r w:rsidR="004E6433">
        <w:rPr>
          <w:sz w:val="16"/>
          <w:szCs w:val="16"/>
        </w:rPr>
        <w:t xml:space="preserve"> (Cth)</w:t>
      </w:r>
      <w:r w:rsidR="00E87569">
        <w:rPr>
          <w:sz w:val="16"/>
          <w:szCs w:val="16"/>
        </w:rPr>
        <w:t>,</w:t>
      </w:r>
      <w:r w:rsidRPr="00E84D8F">
        <w:rPr>
          <w:sz w:val="16"/>
          <w:szCs w:val="16"/>
        </w:rPr>
        <w:t xml:space="preserve"> </w:t>
      </w:r>
      <w:r w:rsidR="00AD1668">
        <w:rPr>
          <w:sz w:val="16"/>
          <w:szCs w:val="16"/>
        </w:rPr>
        <w:t>Accessed</w:t>
      </w:r>
      <w:r w:rsidR="00AD1668" w:rsidRPr="00E84D8F">
        <w:rPr>
          <w:sz w:val="16"/>
          <w:szCs w:val="16"/>
        </w:rPr>
        <w:t xml:space="preserve"> September 6, 2020</w:t>
      </w:r>
      <w:r w:rsidR="00E87569">
        <w:rPr>
          <w:sz w:val="16"/>
          <w:szCs w:val="16"/>
        </w:rPr>
        <w:t>,</w:t>
      </w:r>
    </w:p>
    <w:p w14:paraId="4A2963D2" w14:textId="3F3C9D30" w:rsidR="00E84D8F" w:rsidRPr="00E84D8F" w:rsidRDefault="00E84D8F">
      <w:pPr>
        <w:pStyle w:val="EndnoteText"/>
        <w:rPr>
          <w:sz w:val="16"/>
          <w:szCs w:val="16"/>
        </w:rPr>
      </w:pPr>
      <w:r w:rsidRPr="00E84D8F">
        <w:rPr>
          <w:sz w:val="16"/>
          <w:szCs w:val="16"/>
        </w:rPr>
        <w:t>https://www.legislation.gov.au/Details/C2020C00142.</w:t>
      </w:r>
    </w:p>
  </w:endnote>
  <w:endnote w:id="40">
    <w:p w14:paraId="04B7A6CD" w14:textId="7E4E5DC1" w:rsidR="00AD1668" w:rsidRDefault="00E84D8F">
      <w:pPr>
        <w:pStyle w:val="EndnoteText"/>
        <w:rPr>
          <w:sz w:val="16"/>
          <w:szCs w:val="16"/>
        </w:rPr>
      </w:pPr>
      <w:r w:rsidRPr="00E84D8F">
        <w:rPr>
          <w:rStyle w:val="EndnoteReference"/>
          <w:sz w:val="16"/>
          <w:szCs w:val="16"/>
        </w:rPr>
        <w:endnoteRef/>
      </w:r>
      <w:r w:rsidRPr="00E84D8F">
        <w:rPr>
          <w:sz w:val="16"/>
          <w:szCs w:val="16"/>
        </w:rPr>
        <w:t xml:space="preserve"> </w:t>
      </w:r>
      <w:r w:rsidRPr="004E6433">
        <w:rPr>
          <w:i/>
          <w:iCs/>
          <w:sz w:val="16"/>
          <w:szCs w:val="16"/>
        </w:rPr>
        <w:t>Disability Standards for Education 2005</w:t>
      </w:r>
      <w:r w:rsidR="004E6433">
        <w:rPr>
          <w:i/>
          <w:iCs/>
          <w:sz w:val="16"/>
          <w:szCs w:val="16"/>
        </w:rPr>
        <w:t xml:space="preserve"> </w:t>
      </w:r>
      <w:r w:rsidR="004E6433">
        <w:rPr>
          <w:sz w:val="16"/>
          <w:szCs w:val="16"/>
        </w:rPr>
        <w:t>(Cth)</w:t>
      </w:r>
      <w:r w:rsidR="00E87569">
        <w:rPr>
          <w:sz w:val="16"/>
          <w:szCs w:val="16"/>
        </w:rPr>
        <w:t>,</w:t>
      </w:r>
      <w:r w:rsidR="00AD1668">
        <w:rPr>
          <w:sz w:val="16"/>
          <w:szCs w:val="16"/>
        </w:rPr>
        <w:t xml:space="preserve"> Accessed</w:t>
      </w:r>
      <w:r w:rsidR="00AD1668" w:rsidRPr="00E84D8F">
        <w:rPr>
          <w:sz w:val="16"/>
          <w:szCs w:val="16"/>
        </w:rPr>
        <w:t xml:space="preserve"> September 6, 2020</w:t>
      </w:r>
      <w:r w:rsidR="00E87569">
        <w:rPr>
          <w:sz w:val="16"/>
          <w:szCs w:val="16"/>
        </w:rPr>
        <w:t>,</w:t>
      </w:r>
    </w:p>
    <w:p w14:paraId="2672AED0" w14:textId="0F43588F" w:rsidR="00E84D8F" w:rsidRPr="00E84D8F" w:rsidRDefault="00AD1668">
      <w:pPr>
        <w:pStyle w:val="EndnoteText"/>
        <w:rPr>
          <w:sz w:val="16"/>
          <w:szCs w:val="16"/>
        </w:rPr>
      </w:pPr>
      <w:r w:rsidRPr="00AD1668">
        <w:rPr>
          <w:sz w:val="16"/>
          <w:szCs w:val="16"/>
        </w:rPr>
        <w:t>https://www.legislation.gov.au/Details/F2005L00767</w:t>
      </w:r>
      <w:r w:rsidR="00E84D8F" w:rsidRPr="00E84D8F">
        <w:rPr>
          <w:sz w:val="16"/>
          <w:szCs w:val="16"/>
        </w:rPr>
        <w:t>.</w:t>
      </w:r>
    </w:p>
  </w:endnote>
  <w:endnote w:id="41">
    <w:p w14:paraId="6E36BB1F" w14:textId="702589A5" w:rsidR="00AD1668" w:rsidRDefault="00E84D8F">
      <w:pPr>
        <w:pStyle w:val="EndnoteText"/>
        <w:rPr>
          <w:sz w:val="16"/>
          <w:szCs w:val="16"/>
        </w:rPr>
      </w:pPr>
      <w:r w:rsidRPr="00E84D8F">
        <w:rPr>
          <w:rStyle w:val="EndnoteReference"/>
          <w:sz w:val="16"/>
          <w:szCs w:val="16"/>
        </w:rPr>
        <w:endnoteRef/>
      </w:r>
      <w:r w:rsidRPr="00E84D8F">
        <w:rPr>
          <w:sz w:val="16"/>
          <w:szCs w:val="16"/>
        </w:rPr>
        <w:t xml:space="preserve"> Melbourne Declaration on Educational Goals for Young Australians, 2009</w:t>
      </w:r>
      <w:r w:rsidR="006E1A52">
        <w:rPr>
          <w:sz w:val="16"/>
          <w:szCs w:val="16"/>
        </w:rPr>
        <w:t>,</w:t>
      </w:r>
      <w:r w:rsidR="00AD1668">
        <w:rPr>
          <w:sz w:val="16"/>
          <w:szCs w:val="16"/>
        </w:rPr>
        <w:t xml:space="preserve"> Accessed</w:t>
      </w:r>
      <w:r w:rsidR="00AD1668" w:rsidRPr="00E84D8F">
        <w:rPr>
          <w:sz w:val="16"/>
          <w:szCs w:val="16"/>
        </w:rPr>
        <w:t xml:space="preserve"> September 6, 2020</w:t>
      </w:r>
      <w:r w:rsidR="00E87569">
        <w:rPr>
          <w:sz w:val="16"/>
          <w:szCs w:val="16"/>
        </w:rPr>
        <w:t>,</w:t>
      </w:r>
    </w:p>
    <w:p w14:paraId="113E410A" w14:textId="3420ED27" w:rsidR="00E84D8F" w:rsidRPr="00E84D8F" w:rsidRDefault="00E84D8F">
      <w:pPr>
        <w:pStyle w:val="EndnoteText"/>
        <w:rPr>
          <w:sz w:val="16"/>
          <w:szCs w:val="16"/>
        </w:rPr>
      </w:pPr>
      <w:r w:rsidRPr="00E84D8F">
        <w:rPr>
          <w:sz w:val="16"/>
          <w:szCs w:val="16"/>
        </w:rPr>
        <w:t>http://www.curriculum.edu.au/verve/_resources/National_Declaration_on_the_Educational_Goals_for_Young_Australians.pdf</w:t>
      </w:r>
      <w:r w:rsidR="00707D5D">
        <w:rPr>
          <w:sz w:val="16"/>
          <w:szCs w:val="16"/>
        </w:rPr>
        <w:t>.</w:t>
      </w:r>
    </w:p>
  </w:endnote>
  <w:endnote w:id="42">
    <w:p w14:paraId="60A0F599" w14:textId="7A46FECF" w:rsidR="00E84D8F" w:rsidRPr="00E84D8F" w:rsidRDefault="00E84D8F" w:rsidP="007C2410">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Porter, Louise</w:t>
      </w:r>
      <w:r w:rsidR="00E87569">
        <w:rPr>
          <w:color w:val="000000"/>
          <w:sz w:val="16"/>
          <w:szCs w:val="16"/>
        </w:rPr>
        <w:t>,</w:t>
      </w:r>
      <w:r w:rsidRPr="00E84D8F">
        <w:rPr>
          <w:color w:val="000000"/>
          <w:sz w:val="16"/>
          <w:szCs w:val="16"/>
        </w:rPr>
        <w:t xml:space="preserve"> </w:t>
      </w:r>
      <w:r w:rsidRPr="00E84D8F">
        <w:rPr>
          <w:i/>
          <w:color w:val="000000"/>
          <w:sz w:val="16"/>
          <w:szCs w:val="16"/>
        </w:rPr>
        <w:t>Teacher-parent collaboration</w:t>
      </w:r>
      <w:r w:rsidR="00E87569">
        <w:rPr>
          <w:color w:val="000000"/>
          <w:sz w:val="16"/>
          <w:szCs w:val="16"/>
        </w:rPr>
        <w:t>,</w:t>
      </w:r>
      <w:r w:rsidRPr="00E84D8F">
        <w:rPr>
          <w:color w:val="000000"/>
          <w:sz w:val="16"/>
          <w:szCs w:val="16"/>
        </w:rPr>
        <w:t xml:space="preserve"> Melbourne: ACER Press, 2008.</w:t>
      </w:r>
    </w:p>
  </w:endnote>
  <w:endnote w:id="43">
    <w:p w14:paraId="1A8A9E15" w14:textId="7490206A" w:rsidR="00E84D8F" w:rsidRPr="00E84D8F" w:rsidRDefault="00E84D8F">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E84D8F">
        <w:rPr>
          <w:sz w:val="16"/>
          <w:szCs w:val="16"/>
        </w:rPr>
        <w:t>Dockett, “</w:t>
      </w:r>
      <w:r w:rsidRPr="00E84D8F">
        <w:rPr>
          <w:color w:val="000000"/>
          <w:sz w:val="16"/>
          <w:szCs w:val="16"/>
        </w:rPr>
        <w:t xml:space="preserve">Everyone was really happy to see me”, </w:t>
      </w:r>
      <w:r w:rsidR="000D41CA">
        <w:rPr>
          <w:color w:val="000000"/>
          <w:sz w:val="16"/>
          <w:szCs w:val="16"/>
        </w:rPr>
        <w:t>2004</w:t>
      </w:r>
      <w:r w:rsidRPr="00E84D8F">
        <w:rPr>
          <w:color w:val="000000"/>
          <w:sz w:val="16"/>
          <w:szCs w:val="16"/>
        </w:rPr>
        <w:t>.</w:t>
      </w:r>
    </w:p>
  </w:endnote>
  <w:endnote w:id="44">
    <w:p w14:paraId="0A6FCCDD" w14:textId="53C8CD38" w:rsidR="00E84D8F" w:rsidRPr="00E84D8F" w:rsidRDefault="00E84D8F">
      <w:pPr>
        <w:pStyle w:val="EndnoteText"/>
        <w:rPr>
          <w:sz w:val="16"/>
          <w:szCs w:val="16"/>
        </w:rPr>
      </w:pPr>
      <w:r w:rsidRPr="00E84D8F">
        <w:rPr>
          <w:rStyle w:val="EndnoteReference"/>
          <w:sz w:val="16"/>
          <w:szCs w:val="16"/>
        </w:rPr>
        <w:endnoteRef/>
      </w:r>
      <w:r w:rsidRPr="00E84D8F">
        <w:rPr>
          <w:sz w:val="16"/>
          <w:szCs w:val="16"/>
        </w:rPr>
        <w:t xml:space="preserve"> Shiu,</w:t>
      </w:r>
      <w:r w:rsidRPr="00E84D8F">
        <w:rPr>
          <w:color w:val="000000"/>
          <w:sz w:val="16"/>
          <w:szCs w:val="16"/>
        </w:rPr>
        <w:t xml:space="preserve"> "Issues in the education of students,</w:t>
      </w:r>
      <w:r w:rsidR="004013E0">
        <w:rPr>
          <w:color w:val="000000"/>
          <w:sz w:val="16"/>
          <w:szCs w:val="16"/>
        </w:rPr>
        <w:t>”</w:t>
      </w:r>
      <w:r w:rsidRPr="00E84D8F">
        <w:rPr>
          <w:color w:val="000000"/>
          <w:sz w:val="16"/>
          <w:szCs w:val="16"/>
        </w:rPr>
        <w:t xml:space="preserve"> </w:t>
      </w:r>
      <w:r w:rsidR="000D41CA">
        <w:rPr>
          <w:color w:val="000000"/>
          <w:sz w:val="16"/>
          <w:szCs w:val="16"/>
        </w:rPr>
        <w:t>2001</w:t>
      </w:r>
      <w:r w:rsidR="00707D5D">
        <w:rPr>
          <w:color w:val="000000"/>
          <w:sz w:val="16"/>
          <w:szCs w:val="16"/>
        </w:rPr>
        <w:t>.</w:t>
      </w:r>
    </w:p>
  </w:endnote>
  <w:endnote w:id="45">
    <w:p w14:paraId="37D4E5CA" w14:textId="17CAB582" w:rsidR="00624012" w:rsidRPr="00624012" w:rsidRDefault="00624012">
      <w:pPr>
        <w:pStyle w:val="EndnoteText"/>
        <w:rPr>
          <w:color w:val="000000"/>
          <w:sz w:val="16"/>
          <w:szCs w:val="16"/>
        </w:rPr>
      </w:pPr>
      <w:r w:rsidRPr="00624012">
        <w:rPr>
          <w:rStyle w:val="EndnoteReference"/>
          <w:sz w:val="16"/>
          <w:szCs w:val="16"/>
        </w:rPr>
        <w:endnoteRef/>
      </w:r>
      <w:r>
        <w:t xml:space="preserve"> </w:t>
      </w:r>
      <w:r w:rsidRPr="00624012">
        <w:rPr>
          <w:color w:val="000000"/>
          <w:sz w:val="16"/>
          <w:szCs w:val="16"/>
        </w:rPr>
        <w:t>Kirkpatrick, K</w:t>
      </w:r>
      <w:r>
        <w:rPr>
          <w:color w:val="000000"/>
          <w:sz w:val="16"/>
          <w:szCs w:val="16"/>
        </w:rPr>
        <w:t>athryn</w:t>
      </w:r>
      <w:r w:rsidR="00E87569">
        <w:rPr>
          <w:color w:val="000000"/>
          <w:sz w:val="16"/>
          <w:szCs w:val="16"/>
        </w:rPr>
        <w:t>,</w:t>
      </w:r>
      <w:r w:rsidRPr="00624012">
        <w:rPr>
          <w:color w:val="000000"/>
          <w:sz w:val="16"/>
          <w:szCs w:val="16"/>
        </w:rPr>
        <w:t xml:space="preserve"> </w:t>
      </w:r>
      <w:r>
        <w:rPr>
          <w:color w:val="000000"/>
          <w:sz w:val="16"/>
          <w:szCs w:val="16"/>
        </w:rPr>
        <w:t>“</w:t>
      </w:r>
      <w:r w:rsidRPr="00624012">
        <w:rPr>
          <w:color w:val="000000"/>
          <w:sz w:val="16"/>
          <w:szCs w:val="16"/>
        </w:rPr>
        <w:t>Adolescents With Chronic Medical Conditions and High School Completion: The Importance of Perceived School Belonging</w:t>
      </w:r>
      <w:r w:rsidR="00E87569">
        <w:rPr>
          <w:color w:val="000000"/>
          <w:sz w:val="16"/>
          <w:szCs w:val="16"/>
        </w:rPr>
        <w:t>,</w:t>
      </w:r>
      <w:r>
        <w:rPr>
          <w:color w:val="000000"/>
          <w:sz w:val="16"/>
          <w:szCs w:val="16"/>
        </w:rPr>
        <w:t>”</w:t>
      </w:r>
      <w:r w:rsidRPr="00624012">
        <w:rPr>
          <w:color w:val="000000"/>
          <w:sz w:val="16"/>
          <w:szCs w:val="16"/>
        </w:rPr>
        <w:t xml:space="preserve"> </w:t>
      </w:r>
      <w:r w:rsidRPr="00624012">
        <w:rPr>
          <w:i/>
          <w:iCs/>
          <w:color w:val="000000"/>
          <w:sz w:val="16"/>
          <w:szCs w:val="16"/>
        </w:rPr>
        <w:t>Continuity in Educatio</w:t>
      </w:r>
      <w:r>
        <w:rPr>
          <w:i/>
          <w:iCs/>
          <w:color w:val="000000"/>
          <w:sz w:val="16"/>
          <w:szCs w:val="16"/>
        </w:rPr>
        <w:t>n</w:t>
      </w:r>
      <w:r w:rsidRPr="00624012">
        <w:rPr>
          <w:color w:val="000000"/>
          <w:sz w:val="16"/>
          <w:szCs w:val="16"/>
        </w:rPr>
        <w:t xml:space="preserve"> 1</w:t>
      </w:r>
      <w:r>
        <w:rPr>
          <w:color w:val="000000"/>
          <w:sz w:val="16"/>
          <w:szCs w:val="16"/>
        </w:rPr>
        <w:t xml:space="preserve">, </w:t>
      </w:r>
      <w:r w:rsidRPr="00624012">
        <w:rPr>
          <w:color w:val="000000"/>
          <w:sz w:val="16"/>
          <w:szCs w:val="16"/>
        </w:rPr>
        <w:t>1</w:t>
      </w:r>
      <w:r>
        <w:rPr>
          <w:color w:val="000000"/>
          <w:sz w:val="16"/>
          <w:szCs w:val="16"/>
        </w:rPr>
        <w:t xml:space="preserve"> (2020):</w:t>
      </w:r>
      <w:r w:rsidRPr="00624012">
        <w:rPr>
          <w:color w:val="000000"/>
          <w:sz w:val="16"/>
          <w:szCs w:val="16"/>
        </w:rPr>
        <w:t xml:space="preserve"> pp. 50–63</w:t>
      </w:r>
      <w:r w:rsidR="00E87569">
        <w:rPr>
          <w:color w:val="000000"/>
          <w:sz w:val="16"/>
          <w:szCs w:val="16"/>
        </w:rPr>
        <w:t>,</w:t>
      </w:r>
      <w:r w:rsidRPr="00624012">
        <w:rPr>
          <w:color w:val="000000"/>
          <w:sz w:val="16"/>
          <w:szCs w:val="16"/>
        </w:rPr>
        <w:t xml:space="preserve"> DOI: https://doi.org/10.5334/cie.5</w:t>
      </w:r>
      <w:r w:rsidR="00707D5D">
        <w:rPr>
          <w:color w:val="000000"/>
          <w:sz w:val="16"/>
          <w:szCs w:val="16"/>
        </w:rPr>
        <w:t>.</w:t>
      </w:r>
    </w:p>
  </w:endnote>
  <w:endnote w:id="46">
    <w:p w14:paraId="05CDD926" w14:textId="77AD6B46" w:rsidR="00D22A7D" w:rsidRPr="007F5E8B" w:rsidRDefault="00D22A7D">
      <w:pPr>
        <w:pStyle w:val="EndnoteText"/>
        <w:rPr>
          <w:sz w:val="16"/>
          <w:szCs w:val="16"/>
        </w:rPr>
      </w:pPr>
      <w:r w:rsidRPr="007F5E8B">
        <w:rPr>
          <w:rStyle w:val="EndnoteReference"/>
          <w:sz w:val="16"/>
          <w:szCs w:val="16"/>
        </w:rPr>
        <w:endnoteRef/>
      </w:r>
      <w:r w:rsidRPr="007F5E8B">
        <w:rPr>
          <w:sz w:val="16"/>
          <w:szCs w:val="16"/>
        </w:rPr>
        <w:t xml:space="preserve"> Gabbay,M B, V Cowie, B Kerr, and B Purdy, </w:t>
      </w:r>
      <w:r w:rsidRPr="007F5E8B">
        <w:rPr>
          <w:i/>
          <w:iCs/>
          <w:sz w:val="16"/>
          <w:szCs w:val="16"/>
        </w:rPr>
        <w:t>Too Ill to Learn</w:t>
      </w:r>
      <w:r w:rsidRPr="007F5E8B">
        <w:rPr>
          <w:sz w:val="16"/>
          <w:szCs w:val="16"/>
        </w:rPr>
        <w:t>, 2000</w:t>
      </w:r>
    </w:p>
  </w:endnote>
  <w:endnote w:id="47">
    <w:p w14:paraId="412249FF" w14:textId="722B6687" w:rsidR="00B82421" w:rsidRPr="00E84D8F" w:rsidRDefault="00B82421" w:rsidP="00B82421">
      <w:pPr>
        <w:pStyle w:val="EndnoteText"/>
        <w:rPr>
          <w:sz w:val="16"/>
          <w:szCs w:val="16"/>
        </w:rPr>
      </w:pPr>
      <w:r w:rsidRPr="00E84D8F">
        <w:rPr>
          <w:rStyle w:val="EndnoteReference"/>
          <w:sz w:val="16"/>
          <w:szCs w:val="16"/>
        </w:rPr>
        <w:endnoteRef/>
      </w:r>
      <w:r w:rsidRPr="00E84D8F">
        <w:rPr>
          <w:sz w:val="16"/>
          <w:szCs w:val="16"/>
          <w:vertAlign w:val="superscript"/>
        </w:rPr>
        <w:t xml:space="preserve"> </w:t>
      </w:r>
      <w:r w:rsidRPr="00E84D8F">
        <w:rPr>
          <w:color w:val="000000"/>
          <w:sz w:val="16"/>
          <w:szCs w:val="16"/>
        </w:rPr>
        <w:t xml:space="preserve">Gilmour, Megan, </w:t>
      </w:r>
      <w:r w:rsidRPr="00E84D8F">
        <w:rPr>
          <w:i/>
          <w:color w:val="000000"/>
          <w:sz w:val="16"/>
          <w:szCs w:val="16"/>
        </w:rPr>
        <w:t>A study on models to enable seriously sick kids to maintain their education connections, conducted in Finland, Sweden, Netherlands, Belgium, United Kingdom and Canada</w:t>
      </w:r>
      <w:r w:rsidRPr="00E84D8F">
        <w:rPr>
          <w:color w:val="000000"/>
          <w:sz w:val="16"/>
          <w:szCs w:val="16"/>
        </w:rPr>
        <w:t>, report to the Winston Churchill Memorial Trust of Australia, 201</w:t>
      </w:r>
      <w:r w:rsidR="00800B68">
        <w:rPr>
          <w:color w:val="000000"/>
          <w:sz w:val="16"/>
          <w:szCs w:val="16"/>
        </w:rPr>
        <w:t>8</w:t>
      </w:r>
      <w:r w:rsidRPr="00E84D8F">
        <w:rPr>
          <w:color w:val="000000"/>
          <w:sz w:val="16"/>
          <w:szCs w:val="16"/>
        </w:rPr>
        <w:t xml:space="preserve">. </w:t>
      </w:r>
      <w:r w:rsidR="001C65D3">
        <w:rPr>
          <w:color w:val="000000"/>
          <w:sz w:val="16"/>
          <w:szCs w:val="16"/>
        </w:rPr>
        <w:t>Accessed</w:t>
      </w:r>
      <w:r w:rsidRPr="00E84D8F">
        <w:rPr>
          <w:color w:val="000000"/>
          <w:sz w:val="16"/>
          <w:szCs w:val="16"/>
        </w:rPr>
        <w:t xml:space="preserve"> September </w:t>
      </w:r>
      <w:r w:rsidR="00800B68">
        <w:rPr>
          <w:color w:val="000000"/>
          <w:sz w:val="16"/>
          <w:szCs w:val="16"/>
        </w:rPr>
        <w:t xml:space="preserve">15, </w:t>
      </w:r>
      <w:r w:rsidRPr="00E84D8F">
        <w:rPr>
          <w:color w:val="000000"/>
          <w:sz w:val="16"/>
          <w:szCs w:val="16"/>
        </w:rPr>
        <w:t>20</w:t>
      </w:r>
      <w:r w:rsidR="00800B68">
        <w:rPr>
          <w:color w:val="000000"/>
          <w:sz w:val="16"/>
          <w:szCs w:val="16"/>
        </w:rPr>
        <w:t>20</w:t>
      </w:r>
      <w:r w:rsidRPr="00E84D8F">
        <w:rPr>
          <w:color w:val="000000"/>
          <w:sz w:val="16"/>
          <w:szCs w:val="16"/>
        </w:rPr>
        <w:t xml:space="preserve"> at </w:t>
      </w:r>
      <w:r w:rsidRPr="00E84D8F">
        <w:rPr>
          <w:sz w:val="16"/>
          <w:szCs w:val="16"/>
        </w:rPr>
        <w:t>https://www.churchilltrust.com.au/project/to-investigate-education-system-models-for-maintaining-school-connection-for-seriously-sick-children---uk-netherlands-finland-sweden-canada-belgium/.</w:t>
      </w:r>
    </w:p>
  </w:endnote>
  <w:endnote w:id="48">
    <w:p w14:paraId="43B8F71D" w14:textId="5456FFB8" w:rsidR="00641472" w:rsidRPr="00641472" w:rsidRDefault="00641472">
      <w:pPr>
        <w:pStyle w:val="EndnoteText"/>
        <w:rPr>
          <w:sz w:val="16"/>
          <w:szCs w:val="16"/>
        </w:rPr>
      </w:pPr>
      <w:r w:rsidRPr="00641472">
        <w:rPr>
          <w:rStyle w:val="EndnoteReference"/>
          <w:sz w:val="16"/>
          <w:szCs w:val="16"/>
        </w:rPr>
        <w:endnoteRef/>
      </w:r>
      <w:r w:rsidRPr="00641472">
        <w:rPr>
          <w:sz w:val="16"/>
          <w:szCs w:val="16"/>
        </w:rPr>
        <w:t xml:space="preserve"> Gilmour, Hopkins, Meyers, Nell, and Stafford, </w:t>
      </w:r>
      <w:r w:rsidRPr="00641472">
        <w:rPr>
          <w:i/>
          <w:iCs/>
          <w:sz w:val="16"/>
          <w:szCs w:val="16"/>
        </w:rPr>
        <w:t>School connection for seriously sick kids</w:t>
      </w:r>
      <w:r w:rsidRPr="00641472">
        <w:rPr>
          <w:sz w:val="16"/>
          <w:szCs w:val="16"/>
        </w:rPr>
        <w:t>, 2015</w:t>
      </w:r>
      <w:r w:rsidR="00707D5D">
        <w:rPr>
          <w:sz w:val="16"/>
          <w:szCs w:val="16"/>
        </w:rPr>
        <w:t>.</w:t>
      </w:r>
    </w:p>
  </w:endnote>
  <w:endnote w:id="49">
    <w:p w14:paraId="2922C3DF" w14:textId="1AD2E8B0" w:rsidR="00A156CB" w:rsidRPr="00E84D8F" w:rsidRDefault="00A156CB" w:rsidP="00A156CB">
      <w:pPr>
        <w:pStyle w:val="EndnoteText"/>
        <w:rPr>
          <w:sz w:val="16"/>
          <w:szCs w:val="16"/>
        </w:rPr>
      </w:pPr>
      <w:r w:rsidRPr="00E84D8F">
        <w:rPr>
          <w:rStyle w:val="EndnoteReference"/>
          <w:sz w:val="16"/>
          <w:szCs w:val="16"/>
        </w:rPr>
        <w:endnoteRef/>
      </w:r>
      <w:r w:rsidRPr="00E84D8F">
        <w:rPr>
          <w:sz w:val="16"/>
          <w:szCs w:val="16"/>
        </w:rPr>
        <w:t xml:space="preserve"> </w:t>
      </w:r>
      <w:r w:rsidRPr="003E4F81">
        <w:rPr>
          <w:i/>
          <w:iCs/>
          <w:sz w:val="16"/>
          <w:szCs w:val="16"/>
        </w:rPr>
        <w:t>Disability Discrimination Act 1992</w:t>
      </w:r>
      <w:r>
        <w:rPr>
          <w:i/>
          <w:iCs/>
          <w:sz w:val="16"/>
          <w:szCs w:val="16"/>
        </w:rPr>
        <w:t xml:space="preserve"> </w:t>
      </w:r>
      <w:r w:rsidRPr="003E4F81">
        <w:rPr>
          <w:sz w:val="16"/>
          <w:szCs w:val="16"/>
        </w:rPr>
        <w:t>(Cth)</w:t>
      </w:r>
      <w:r w:rsidR="00E87569">
        <w:rPr>
          <w:sz w:val="16"/>
          <w:szCs w:val="16"/>
        </w:rPr>
        <w:t>,</w:t>
      </w:r>
      <w:r>
        <w:rPr>
          <w:sz w:val="16"/>
          <w:szCs w:val="16"/>
        </w:rPr>
        <w:t xml:space="preserve"> Accessed</w:t>
      </w:r>
      <w:r w:rsidRPr="00E84D8F">
        <w:rPr>
          <w:sz w:val="16"/>
          <w:szCs w:val="16"/>
        </w:rPr>
        <w:t xml:space="preserve"> September 6, 2020</w:t>
      </w:r>
      <w:r w:rsidR="00E87569">
        <w:rPr>
          <w:sz w:val="16"/>
          <w:szCs w:val="16"/>
        </w:rPr>
        <w:t xml:space="preserve">, </w:t>
      </w:r>
      <w:r w:rsidRPr="00E84D8F">
        <w:rPr>
          <w:sz w:val="16"/>
          <w:szCs w:val="16"/>
        </w:rPr>
        <w:t>https://www.legislation.gov.au/Details/C2018C00125.</w:t>
      </w:r>
    </w:p>
  </w:endnote>
  <w:endnote w:id="50">
    <w:p w14:paraId="18F56793" w14:textId="77777777" w:rsidR="00A156CB" w:rsidRPr="00E84D8F" w:rsidRDefault="00A156CB" w:rsidP="00A156CB">
      <w:pPr>
        <w:pStyle w:val="EndnoteText"/>
        <w:rPr>
          <w:sz w:val="16"/>
          <w:szCs w:val="16"/>
        </w:rPr>
      </w:pPr>
      <w:r w:rsidRPr="00E84D8F">
        <w:rPr>
          <w:rStyle w:val="EndnoteReference"/>
          <w:sz w:val="16"/>
          <w:szCs w:val="16"/>
        </w:rPr>
        <w:endnoteRef/>
      </w:r>
      <w:r w:rsidRPr="00E84D8F">
        <w:rPr>
          <w:sz w:val="16"/>
          <w:szCs w:val="16"/>
        </w:rPr>
        <w:t xml:space="preserve"> </w:t>
      </w:r>
      <w:r w:rsidRPr="003E4F81">
        <w:rPr>
          <w:i/>
          <w:iCs/>
          <w:sz w:val="16"/>
          <w:szCs w:val="16"/>
        </w:rPr>
        <w:t>Disability Standards for Education 2005</w:t>
      </w:r>
      <w:r>
        <w:rPr>
          <w:sz w:val="16"/>
          <w:szCs w:val="16"/>
        </w:rPr>
        <w:t xml:space="preserve"> </w:t>
      </w:r>
      <w:r w:rsidRPr="003E4F81">
        <w:rPr>
          <w:sz w:val="16"/>
          <w:szCs w:val="16"/>
        </w:rPr>
        <w:t>(Cth)</w:t>
      </w:r>
      <w:r>
        <w:rPr>
          <w:sz w:val="16"/>
          <w:szCs w:val="16"/>
        </w:rPr>
        <w:t>.</w:t>
      </w:r>
    </w:p>
  </w:endnote>
  <w:endnote w:id="51">
    <w:p w14:paraId="767A575D" w14:textId="78D03BDC" w:rsidR="00E84D8F" w:rsidRPr="00E31F57" w:rsidRDefault="00E84D8F">
      <w:pPr>
        <w:pStyle w:val="EndnoteText"/>
        <w:rPr>
          <w:sz w:val="16"/>
          <w:szCs w:val="16"/>
        </w:rPr>
      </w:pPr>
      <w:r w:rsidRPr="00E31F57">
        <w:rPr>
          <w:rStyle w:val="EndnoteReference"/>
          <w:sz w:val="16"/>
          <w:szCs w:val="16"/>
        </w:rPr>
        <w:endnoteRef/>
      </w:r>
      <w:r w:rsidRPr="00E31F57">
        <w:rPr>
          <w:sz w:val="16"/>
          <w:szCs w:val="16"/>
        </w:rPr>
        <w:t xml:space="preserve"> </w:t>
      </w:r>
      <w:r w:rsidR="00E31F57" w:rsidRPr="00E31F57">
        <w:rPr>
          <w:sz w:val="16"/>
          <w:szCs w:val="16"/>
        </w:rPr>
        <w:t>The Royal Commission into Violence, Abuse, Neglect and Exploitation of People with Disability (Education Issues Paper), 2020.</w:t>
      </w:r>
    </w:p>
  </w:endnote>
  <w:endnote w:id="52">
    <w:p w14:paraId="3B29FBAD" w14:textId="38B45734" w:rsidR="00DD3357" w:rsidRPr="00DD3357" w:rsidRDefault="00DD3357">
      <w:pPr>
        <w:pStyle w:val="EndnoteText"/>
        <w:rPr>
          <w:sz w:val="16"/>
          <w:szCs w:val="16"/>
        </w:rPr>
      </w:pPr>
      <w:r w:rsidRPr="00DD3357">
        <w:rPr>
          <w:rStyle w:val="EndnoteReference"/>
          <w:sz w:val="16"/>
          <w:szCs w:val="16"/>
        </w:rPr>
        <w:endnoteRef/>
      </w:r>
      <w:r w:rsidRPr="00DD3357">
        <w:rPr>
          <w:sz w:val="16"/>
          <w:szCs w:val="16"/>
        </w:rPr>
        <w:t xml:space="preserve"> The Royal Commission into Violence, Abuse, Neglect and Exploitation of People with Disability (Education Issues Paper), 2020.</w:t>
      </w:r>
    </w:p>
  </w:endnote>
  <w:endnote w:id="53">
    <w:p w14:paraId="331AB01E" w14:textId="77777777" w:rsidR="00880967" w:rsidRDefault="00E84D8F">
      <w:pPr>
        <w:pStyle w:val="EndnoteText"/>
        <w:rPr>
          <w:sz w:val="16"/>
          <w:szCs w:val="16"/>
        </w:rPr>
      </w:pPr>
      <w:r w:rsidRPr="008337A1">
        <w:rPr>
          <w:rStyle w:val="EndnoteReference"/>
          <w:sz w:val="16"/>
          <w:szCs w:val="16"/>
        </w:rPr>
        <w:endnoteRef/>
      </w:r>
      <w:r w:rsidRPr="008337A1">
        <w:rPr>
          <w:sz w:val="16"/>
          <w:szCs w:val="16"/>
        </w:rPr>
        <w:t xml:space="preserve"> </w:t>
      </w:r>
      <w:r w:rsidR="008337A1" w:rsidRPr="008337A1">
        <w:rPr>
          <w:sz w:val="16"/>
          <w:szCs w:val="16"/>
        </w:rPr>
        <w:t xml:space="preserve">Fiona Mueller, “All Quiet on the Education Leadership Front,” </w:t>
      </w:r>
      <w:r w:rsidR="008337A1" w:rsidRPr="008337A1">
        <w:rPr>
          <w:i/>
          <w:iCs/>
          <w:sz w:val="16"/>
          <w:szCs w:val="16"/>
        </w:rPr>
        <w:t>The Canberra Times</w:t>
      </w:r>
      <w:r w:rsidR="008337A1" w:rsidRPr="008337A1">
        <w:rPr>
          <w:sz w:val="16"/>
          <w:szCs w:val="16"/>
        </w:rPr>
        <w:t>, March 29, 2020</w:t>
      </w:r>
      <w:r w:rsidR="00880967">
        <w:rPr>
          <w:sz w:val="16"/>
          <w:szCs w:val="16"/>
        </w:rPr>
        <w:t xml:space="preserve">. Accessed September 15, 2020. </w:t>
      </w:r>
    </w:p>
    <w:p w14:paraId="1DDB9160" w14:textId="67228A26" w:rsidR="00E84D8F" w:rsidRPr="008337A1" w:rsidRDefault="008337A1">
      <w:pPr>
        <w:pStyle w:val="EndnoteText"/>
        <w:rPr>
          <w:sz w:val="16"/>
          <w:szCs w:val="16"/>
        </w:rPr>
      </w:pPr>
      <w:r w:rsidRPr="008337A1">
        <w:rPr>
          <w:sz w:val="16"/>
          <w:szCs w:val="16"/>
        </w:rPr>
        <w:t>https://www.canberratimes.com.au/story/6700149/all-quiet-on-the-education-leadership-front/.</w:t>
      </w:r>
    </w:p>
  </w:endnote>
  <w:endnote w:id="54">
    <w:p w14:paraId="0AC8E0E5" w14:textId="07B8AA2F" w:rsidR="00FA32E4" w:rsidRDefault="00FA32E4" w:rsidP="00FA32E4">
      <w:pPr>
        <w:pStyle w:val="EndnoteText"/>
        <w:rPr>
          <w:sz w:val="16"/>
          <w:szCs w:val="16"/>
        </w:rPr>
      </w:pPr>
      <w:r w:rsidRPr="003A6BDD">
        <w:rPr>
          <w:rStyle w:val="EndnoteReference"/>
          <w:sz w:val="16"/>
          <w:szCs w:val="16"/>
        </w:rPr>
        <w:endnoteRef/>
      </w:r>
      <w:r w:rsidRPr="003A6BDD">
        <w:rPr>
          <w:sz w:val="16"/>
          <w:szCs w:val="16"/>
        </w:rPr>
        <w:t xml:space="preserve"> </w:t>
      </w:r>
      <w:r w:rsidR="003A6BDD" w:rsidRPr="003A6BDD">
        <w:rPr>
          <w:sz w:val="16"/>
          <w:szCs w:val="16"/>
        </w:rPr>
        <w:t>Australian Department of Health</w:t>
      </w:r>
      <w:r w:rsidR="00E87569">
        <w:rPr>
          <w:sz w:val="16"/>
          <w:szCs w:val="16"/>
        </w:rPr>
        <w:t>,</w:t>
      </w:r>
      <w:r w:rsidR="003A6BDD" w:rsidRPr="003A6BDD">
        <w:rPr>
          <w:sz w:val="16"/>
          <w:szCs w:val="16"/>
        </w:rPr>
        <w:t xml:space="preserve"> National Action Plan for the Health of Children and Young People</w:t>
      </w:r>
      <w:r w:rsidR="00E87569">
        <w:rPr>
          <w:sz w:val="16"/>
          <w:szCs w:val="16"/>
        </w:rPr>
        <w:t>,</w:t>
      </w:r>
      <w:r w:rsidR="003A6BDD" w:rsidRPr="003A6BDD">
        <w:rPr>
          <w:sz w:val="16"/>
          <w:szCs w:val="16"/>
        </w:rPr>
        <w:t xml:space="preserve"> </w:t>
      </w:r>
      <w:r w:rsidR="003A6BDD" w:rsidRPr="003A6BDD">
        <w:rPr>
          <w:i/>
          <w:iCs/>
          <w:sz w:val="16"/>
          <w:szCs w:val="16"/>
        </w:rPr>
        <w:t>Australian Department of Health</w:t>
      </w:r>
      <w:r w:rsidR="003A6BDD" w:rsidRPr="003A6BDD">
        <w:rPr>
          <w:sz w:val="16"/>
          <w:szCs w:val="16"/>
        </w:rPr>
        <w:t>, 2019: 2020-2030</w:t>
      </w:r>
      <w:r w:rsidR="00E87569">
        <w:rPr>
          <w:sz w:val="16"/>
          <w:szCs w:val="16"/>
        </w:rPr>
        <w:t>,</w:t>
      </w:r>
      <w:r w:rsidR="003A6BDD">
        <w:rPr>
          <w:sz w:val="16"/>
          <w:szCs w:val="16"/>
        </w:rPr>
        <w:t xml:space="preserve"> Accessed</w:t>
      </w:r>
      <w:r w:rsidR="003A6BDD" w:rsidRPr="00E84D8F">
        <w:rPr>
          <w:sz w:val="16"/>
          <w:szCs w:val="16"/>
        </w:rPr>
        <w:t xml:space="preserve"> September </w:t>
      </w:r>
      <w:r w:rsidR="003A6BDD">
        <w:rPr>
          <w:sz w:val="16"/>
          <w:szCs w:val="16"/>
        </w:rPr>
        <w:t>15</w:t>
      </w:r>
      <w:r w:rsidR="003A6BDD" w:rsidRPr="00E84D8F">
        <w:rPr>
          <w:sz w:val="16"/>
          <w:szCs w:val="16"/>
        </w:rPr>
        <w:t>, 2020</w:t>
      </w:r>
      <w:r w:rsidR="003A6BDD">
        <w:rPr>
          <w:sz w:val="16"/>
          <w:szCs w:val="16"/>
        </w:rPr>
        <w:t>.</w:t>
      </w:r>
    </w:p>
    <w:p w14:paraId="42D03E37" w14:textId="13B27081" w:rsidR="003A6BDD" w:rsidRPr="003A6BDD" w:rsidRDefault="003A6BDD" w:rsidP="00FA32E4">
      <w:pPr>
        <w:pStyle w:val="EndnoteText"/>
        <w:rPr>
          <w:sz w:val="16"/>
          <w:szCs w:val="16"/>
        </w:rPr>
      </w:pPr>
      <w:r w:rsidRPr="003A6BDD">
        <w:rPr>
          <w:sz w:val="16"/>
          <w:szCs w:val="16"/>
        </w:rPr>
        <w:t>https://www1.health.gov.au/internet/main/publishing.nsf/Content/4815673E283EC1B6CA2584000082EA7D/$File/FINAL%20National%20Action%20Plan%20for%20the%20Health%20of%20Children%20and%20Young%20People%202020-2030.pdf</w:t>
      </w:r>
      <w:r>
        <w:rPr>
          <w:sz w:val="16"/>
          <w:szCs w:val="16"/>
        </w:rPr>
        <w:t>.</w:t>
      </w:r>
    </w:p>
  </w:endnote>
  <w:endnote w:id="55">
    <w:p w14:paraId="762A81D6" w14:textId="19484273" w:rsidR="00EA0D2E" w:rsidRPr="00D25D17" w:rsidRDefault="00EA0D2E" w:rsidP="00DD2A20">
      <w:pPr>
        <w:pStyle w:val="NormalWeb"/>
        <w:spacing w:before="0" w:beforeAutospacing="0" w:after="0" w:afterAutospacing="0"/>
        <w:rPr>
          <w:rFonts w:ascii="Arial" w:hAnsi="Arial" w:cs="Arial"/>
          <w:sz w:val="16"/>
          <w:szCs w:val="16"/>
        </w:rPr>
      </w:pPr>
      <w:r w:rsidRPr="00D25D17">
        <w:rPr>
          <w:rStyle w:val="EndnoteReference"/>
          <w:rFonts w:ascii="Arial" w:hAnsi="Arial" w:cs="Arial"/>
          <w:sz w:val="16"/>
          <w:szCs w:val="16"/>
        </w:rPr>
        <w:endnoteRef/>
      </w:r>
      <w:r w:rsidRPr="00D25D17">
        <w:rPr>
          <w:rFonts w:ascii="Arial" w:hAnsi="Arial" w:cs="Arial"/>
          <w:sz w:val="16"/>
          <w:szCs w:val="16"/>
        </w:rPr>
        <w:t xml:space="preserve"> </w:t>
      </w:r>
      <w:r w:rsidR="00DD2A20" w:rsidRPr="00D25D17">
        <w:rPr>
          <w:rFonts w:ascii="Arial" w:hAnsi="Arial" w:cs="Arial"/>
          <w:sz w:val="16"/>
          <w:szCs w:val="16"/>
        </w:rPr>
        <w:t xml:space="preserve">Brenner, Maria, Miriam P O'shea, Philip Larkin, Daniela Luzi, Fabrizio Pecoraro, Oscar Tamburis, Jay Berry, Denise Alexander, Michael Rigby, and Mitch Blair. “Management and Integration of Care for Children Living with Complex Care Needs at the Acute–Community Interface in Europe.” </w:t>
      </w:r>
      <w:r w:rsidR="00DD2A20" w:rsidRPr="00D25D17">
        <w:rPr>
          <w:rFonts w:ascii="Arial" w:hAnsi="Arial" w:cs="Arial"/>
          <w:i/>
          <w:iCs/>
          <w:sz w:val="16"/>
          <w:szCs w:val="16"/>
        </w:rPr>
        <w:t>The Lancet Child &amp; Adolescent Health</w:t>
      </w:r>
      <w:r w:rsidR="00DD2A20" w:rsidRPr="00D25D17">
        <w:rPr>
          <w:rFonts w:ascii="Arial" w:hAnsi="Arial" w:cs="Arial"/>
          <w:sz w:val="16"/>
          <w:szCs w:val="16"/>
        </w:rPr>
        <w:t xml:space="preserve"> 2, no. 11 (2018): 822–31. https://doi.org/10.1016/s2352-4642(18)30272-4. </w:t>
      </w:r>
    </w:p>
  </w:endnote>
  <w:endnote w:id="56">
    <w:p w14:paraId="1BEE22D4" w14:textId="0D01994B" w:rsidR="00D25D17" w:rsidRPr="00D25D17" w:rsidRDefault="00D25D17">
      <w:pPr>
        <w:pStyle w:val="EndnoteText"/>
        <w:rPr>
          <w:sz w:val="16"/>
          <w:szCs w:val="16"/>
        </w:rPr>
      </w:pPr>
      <w:r w:rsidRPr="00D25D17">
        <w:rPr>
          <w:rStyle w:val="EndnoteReference"/>
          <w:sz w:val="16"/>
          <w:szCs w:val="16"/>
        </w:rPr>
        <w:endnoteRef/>
      </w:r>
      <w:r w:rsidR="00A905AA">
        <w:rPr>
          <w:sz w:val="16"/>
          <w:szCs w:val="16"/>
        </w:rPr>
        <w:t xml:space="preserve"> </w:t>
      </w:r>
      <w:r w:rsidRPr="00D25D17">
        <w:rPr>
          <w:sz w:val="16"/>
          <w:szCs w:val="16"/>
        </w:rPr>
        <w:t xml:space="preserve">Barnes, Claire, James John Ashton, Florina Borca, Mick Cullen, Dawn-Marie Walker, and Robert Mark Beattie, “Children and Young People with Inflammatory Bowel Disease Attend Less School than Their Healthy Peers,” </w:t>
      </w:r>
      <w:r w:rsidRPr="00D25D17">
        <w:rPr>
          <w:i/>
          <w:iCs/>
          <w:sz w:val="16"/>
          <w:szCs w:val="16"/>
        </w:rPr>
        <w:t>Archives of Disease in Childhood</w:t>
      </w:r>
      <w:r w:rsidRPr="00D25D17">
        <w:rPr>
          <w:sz w:val="16"/>
          <w:szCs w:val="16"/>
        </w:rPr>
        <w:t xml:space="preserve"> 105, 7 (2020): 671–76, https://doi.org/10.1136/archdischild-2019-317765. </w:t>
      </w:r>
    </w:p>
  </w:endnote>
  <w:endnote w:id="57">
    <w:p w14:paraId="4549B193" w14:textId="0D229315" w:rsidR="008F61F8" w:rsidRPr="008F61F8" w:rsidRDefault="008F61F8">
      <w:pPr>
        <w:pStyle w:val="EndnoteText"/>
        <w:rPr>
          <w:sz w:val="16"/>
          <w:szCs w:val="16"/>
        </w:rPr>
      </w:pPr>
      <w:r w:rsidRPr="008F61F8">
        <w:rPr>
          <w:rStyle w:val="EndnoteReference"/>
          <w:sz w:val="16"/>
          <w:szCs w:val="16"/>
        </w:rPr>
        <w:endnoteRef/>
      </w:r>
      <w:r w:rsidRPr="008F61F8">
        <w:rPr>
          <w:sz w:val="16"/>
          <w:szCs w:val="16"/>
        </w:rPr>
        <w:t xml:space="preserve"> Lum, Alistair, Claire E. Wakefield, Barb Donnan, Mary A. Burns, Joanna E. Fardell, Adam Jaffe, Nadine A. Kasparian, Sean E. Kennedy, Steven T. Leach, Daniel A. Lemberg, and Glenn M. Marshall</w:t>
      </w:r>
      <w:r w:rsidR="00E87569">
        <w:rPr>
          <w:sz w:val="16"/>
          <w:szCs w:val="16"/>
        </w:rPr>
        <w:t>,</w:t>
      </w:r>
      <w:r w:rsidRPr="008F61F8">
        <w:rPr>
          <w:sz w:val="16"/>
          <w:szCs w:val="16"/>
        </w:rPr>
        <w:t xml:space="preserve"> "School students with chronic illness have unmet academic, social, and emotional school needs</w:t>
      </w:r>
      <w:r w:rsidR="00E87569">
        <w:rPr>
          <w:sz w:val="16"/>
          <w:szCs w:val="16"/>
        </w:rPr>
        <w:t>,</w:t>
      </w:r>
      <w:r w:rsidRPr="008F61F8">
        <w:rPr>
          <w:sz w:val="16"/>
          <w:szCs w:val="16"/>
        </w:rPr>
        <w:t xml:space="preserve">" </w:t>
      </w:r>
      <w:r w:rsidRPr="008F61F8">
        <w:rPr>
          <w:i/>
          <w:iCs/>
          <w:sz w:val="16"/>
          <w:szCs w:val="16"/>
        </w:rPr>
        <w:t>School Psychology</w:t>
      </w:r>
      <w:r w:rsidRPr="008F61F8">
        <w:rPr>
          <w:sz w:val="16"/>
          <w:szCs w:val="16"/>
        </w:rPr>
        <w:t xml:space="preserve"> 34</w:t>
      </w:r>
      <w:r>
        <w:rPr>
          <w:sz w:val="16"/>
          <w:szCs w:val="16"/>
        </w:rPr>
        <w:t xml:space="preserve">, 6 </w:t>
      </w:r>
      <w:r w:rsidRPr="008F61F8">
        <w:rPr>
          <w:sz w:val="16"/>
          <w:szCs w:val="16"/>
        </w:rPr>
        <w:t>(2019):</w:t>
      </w:r>
      <w:r>
        <w:rPr>
          <w:sz w:val="16"/>
          <w:szCs w:val="16"/>
        </w:rPr>
        <w:t xml:space="preserve"> </w:t>
      </w:r>
      <w:r w:rsidRPr="008F61F8">
        <w:rPr>
          <w:sz w:val="16"/>
          <w:szCs w:val="16"/>
        </w:rPr>
        <w:t>627-636. http://dx.doi.org/10.1037/spq0000311.</w:t>
      </w:r>
    </w:p>
  </w:endnote>
  <w:endnote w:id="58">
    <w:p w14:paraId="20E334A6" w14:textId="5F6E49DB" w:rsidR="00733789" w:rsidRPr="00733789" w:rsidRDefault="00733789">
      <w:pPr>
        <w:pStyle w:val="EndnoteText"/>
        <w:rPr>
          <w:sz w:val="16"/>
          <w:szCs w:val="16"/>
        </w:rPr>
      </w:pPr>
      <w:r w:rsidRPr="00733789">
        <w:rPr>
          <w:rStyle w:val="EndnoteReference"/>
          <w:sz w:val="16"/>
          <w:szCs w:val="16"/>
        </w:rPr>
        <w:endnoteRef/>
      </w:r>
      <w:r w:rsidRPr="00733789">
        <w:rPr>
          <w:sz w:val="16"/>
          <w:szCs w:val="16"/>
        </w:rPr>
        <w:t xml:space="preserve"> Schilling, Ethan J., and Yvette Q. Getch</w:t>
      </w:r>
      <w:r w:rsidR="00E87569">
        <w:rPr>
          <w:sz w:val="16"/>
          <w:szCs w:val="16"/>
        </w:rPr>
        <w:t>,</w:t>
      </w:r>
      <w:r w:rsidRPr="00733789">
        <w:rPr>
          <w:sz w:val="16"/>
          <w:szCs w:val="16"/>
        </w:rPr>
        <w:t xml:space="preserve"> “School Reentry Services for Students with Chronic Health Conditions: An Examination of Regional Practices</w:t>
      </w:r>
      <w:r w:rsidR="00E87569">
        <w:rPr>
          <w:sz w:val="16"/>
          <w:szCs w:val="16"/>
        </w:rPr>
        <w:t>,</w:t>
      </w:r>
      <w:r w:rsidRPr="00733789">
        <w:rPr>
          <w:sz w:val="16"/>
          <w:szCs w:val="16"/>
        </w:rPr>
        <w:t xml:space="preserve">” </w:t>
      </w:r>
      <w:r w:rsidRPr="00733789">
        <w:rPr>
          <w:i/>
          <w:iCs/>
          <w:sz w:val="16"/>
          <w:szCs w:val="16"/>
        </w:rPr>
        <w:t>Psychology in the Schools</w:t>
      </w:r>
      <w:r w:rsidRPr="00733789">
        <w:rPr>
          <w:sz w:val="16"/>
          <w:szCs w:val="16"/>
        </w:rPr>
        <w:t xml:space="preserve"> 55, 9 (2018): 1027–40</w:t>
      </w:r>
      <w:r w:rsidR="00E87569">
        <w:rPr>
          <w:sz w:val="16"/>
          <w:szCs w:val="16"/>
        </w:rPr>
        <w:t>,</w:t>
      </w:r>
      <w:r w:rsidRPr="00733789">
        <w:rPr>
          <w:sz w:val="16"/>
          <w:szCs w:val="16"/>
        </w:rPr>
        <w:t xml:space="preserve"> https://doi.org/10.1002/pits.22154.</w:t>
      </w:r>
    </w:p>
  </w:endnote>
  <w:endnote w:id="59">
    <w:p w14:paraId="2A76745E" w14:textId="23A2AA65" w:rsidR="006268B7" w:rsidRPr="006268B7" w:rsidRDefault="006268B7">
      <w:pPr>
        <w:pStyle w:val="EndnoteText"/>
        <w:rPr>
          <w:sz w:val="16"/>
          <w:szCs w:val="16"/>
        </w:rPr>
      </w:pPr>
      <w:r w:rsidRPr="006268B7">
        <w:rPr>
          <w:rStyle w:val="EndnoteReference"/>
          <w:sz w:val="16"/>
          <w:szCs w:val="16"/>
        </w:rPr>
        <w:endnoteRef/>
      </w:r>
      <w:r w:rsidRPr="006268B7">
        <w:rPr>
          <w:sz w:val="16"/>
          <w:szCs w:val="16"/>
        </w:rPr>
        <w:t xml:space="preserve"> Lum, Alistair, Barb Donnan, Claire E</w:t>
      </w:r>
      <w:r w:rsidR="00E87569">
        <w:rPr>
          <w:sz w:val="16"/>
          <w:szCs w:val="16"/>
        </w:rPr>
        <w:t>.</w:t>
      </w:r>
      <w:r w:rsidRPr="006268B7">
        <w:rPr>
          <w:sz w:val="16"/>
          <w:szCs w:val="16"/>
        </w:rPr>
        <w:t xml:space="preserve"> Wakefield, Joanna E</w:t>
      </w:r>
      <w:r w:rsidR="00E87569">
        <w:rPr>
          <w:sz w:val="16"/>
          <w:szCs w:val="16"/>
        </w:rPr>
        <w:t>.</w:t>
      </w:r>
      <w:r w:rsidRPr="006268B7">
        <w:rPr>
          <w:sz w:val="16"/>
          <w:szCs w:val="16"/>
        </w:rPr>
        <w:t xml:space="preserve"> Fardell, and Glenn M</w:t>
      </w:r>
      <w:r w:rsidR="00E87569">
        <w:rPr>
          <w:sz w:val="16"/>
          <w:szCs w:val="16"/>
        </w:rPr>
        <w:t>.</w:t>
      </w:r>
      <w:r w:rsidRPr="006268B7">
        <w:rPr>
          <w:sz w:val="16"/>
          <w:szCs w:val="16"/>
        </w:rPr>
        <w:t xml:space="preserve"> Marshall</w:t>
      </w:r>
      <w:r w:rsidR="00E87569">
        <w:rPr>
          <w:sz w:val="16"/>
          <w:szCs w:val="16"/>
        </w:rPr>
        <w:t>,</w:t>
      </w:r>
      <w:r w:rsidRPr="006268B7">
        <w:rPr>
          <w:sz w:val="16"/>
          <w:szCs w:val="16"/>
        </w:rPr>
        <w:t xml:space="preserve"> “Establishing Australian School Re-Entry Service Guidelines for Children Diagnosed with Cancer</w:t>
      </w:r>
      <w:r w:rsidR="00E87569">
        <w:rPr>
          <w:sz w:val="16"/>
          <w:szCs w:val="16"/>
        </w:rPr>
        <w:t>,</w:t>
      </w:r>
      <w:r w:rsidRPr="006268B7">
        <w:rPr>
          <w:sz w:val="16"/>
          <w:szCs w:val="16"/>
        </w:rPr>
        <w:t xml:space="preserve">” </w:t>
      </w:r>
      <w:r w:rsidRPr="006268B7">
        <w:rPr>
          <w:i/>
          <w:iCs/>
          <w:sz w:val="16"/>
          <w:szCs w:val="16"/>
        </w:rPr>
        <w:t>Journal of Paediatrics and Child Health</w:t>
      </w:r>
      <w:r w:rsidRPr="006268B7">
        <w:rPr>
          <w:sz w:val="16"/>
          <w:szCs w:val="16"/>
        </w:rPr>
        <w:t xml:space="preserve"> 53, 6 (2017): 529–33</w:t>
      </w:r>
      <w:r w:rsidR="00E87569">
        <w:rPr>
          <w:sz w:val="16"/>
          <w:szCs w:val="16"/>
        </w:rPr>
        <w:t xml:space="preserve">, </w:t>
      </w:r>
      <w:r w:rsidRPr="006268B7">
        <w:rPr>
          <w:sz w:val="16"/>
          <w:szCs w:val="16"/>
        </w:rPr>
        <w:t>https://doi.org/10.1111/jpc.13563.</w:t>
      </w:r>
    </w:p>
  </w:endnote>
  <w:endnote w:id="60">
    <w:p w14:paraId="7B1DE43F" w14:textId="1C0EBB9A" w:rsidR="00461FAE" w:rsidRPr="004D7062" w:rsidRDefault="00461FAE">
      <w:pPr>
        <w:pStyle w:val="EndnoteText"/>
        <w:rPr>
          <w:sz w:val="16"/>
          <w:szCs w:val="16"/>
        </w:rPr>
      </w:pPr>
      <w:r w:rsidRPr="004D7062">
        <w:rPr>
          <w:rStyle w:val="EndnoteReference"/>
          <w:sz w:val="16"/>
          <w:szCs w:val="16"/>
        </w:rPr>
        <w:endnoteRef/>
      </w:r>
      <w:r w:rsidRPr="004D7062">
        <w:rPr>
          <w:sz w:val="16"/>
          <w:szCs w:val="16"/>
        </w:rPr>
        <w:t xml:space="preserve"> </w:t>
      </w:r>
      <w:r w:rsidR="004D7062" w:rsidRPr="004D7062">
        <w:rPr>
          <w:sz w:val="16"/>
          <w:szCs w:val="16"/>
        </w:rPr>
        <w:t>Missing School Inc, MissingSchool’s Telepresence Robot Pilot. (Unpublished data) Canberra: Missing School Inc., 2017-2020, Accessed September 15, 2020</w:t>
      </w:r>
      <w:r w:rsidR="00A23DCD">
        <w:rPr>
          <w:sz w:val="16"/>
          <w:szCs w:val="16"/>
        </w:rPr>
        <w:t>.</w:t>
      </w:r>
    </w:p>
  </w:endnote>
  <w:endnote w:id="61">
    <w:p w14:paraId="4F41BD69" w14:textId="2A974064" w:rsidR="006C77DF" w:rsidRDefault="006C77DF">
      <w:pPr>
        <w:pStyle w:val="EndnoteText"/>
      </w:pPr>
      <w:r>
        <w:rPr>
          <w:rStyle w:val="EndnoteReference"/>
        </w:rPr>
        <w:endnoteRef/>
      </w:r>
      <w:r>
        <w:t xml:space="preserve"> </w:t>
      </w:r>
      <w:r w:rsidRPr="001E3E42">
        <w:rPr>
          <w:sz w:val="16"/>
          <w:szCs w:val="16"/>
        </w:rPr>
        <w:t xml:space="preserve">In </w:t>
      </w:r>
      <w:r>
        <w:rPr>
          <w:sz w:val="16"/>
          <w:szCs w:val="16"/>
        </w:rPr>
        <w:t xml:space="preserve">June, </w:t>
      </w:r>
      <w:r w:rsidRPr="001E3E42">
        <w:rPr>
          <w:sz w:val="16"/>
          <w:szCs w:val="16"/>
        </w:rPr>
        <w:t xml:space="preserve">2020, MissingSchool </w:t>
      </w:r>
      <w:r>
        <w:rPr>
          <w:sz w:val="16"/>
          <w:szCs w:val="16"/>
        </w:rPr>
        <w:t>carried out a</w:t>
      </w:r>
      <w:r w:rsidRPr="001E3E42">
        <w:rPr>
          <w:sz w:val="16"/>
          <w:szCs w:val="16"/>
        </w:rPr>
        <w:t xml:space="preserve"> stocktake</w:t>
      </w:r>
      <w:r>
        <w:rPr>
          <w:sz w:val="16"/>
          <w:szCs w:val="16"/>
        </w:rPr>
        <w:t xml:space="preserve"> of pre-service teacher training offered by Australian universities. </w:t>
      </w:r>
      <w:r w:rsidR="007361EF">
        <w:rPr>
          <w:sz w:val="16"/>
          <w:szCs w:val="16"/>
        </w:rPr>
        <w:t>Despite the prevalence</w:t>
      </w:r>
      <w:r w:rsidR="00080B6B">
        <w:rPr>
          <w:sz w:val="16"/>
          <w:szCs w:val="16"/>
        </w:rPr>
        <w:t xml:space="preserve"> in student populations</w:t>
      </w:r>
      <w:r w:rsidR="007361EF">
        <w:rPr>
          <w:sz w:val="16"/>
          <w:szCs w:val="16"/>
        </w:rPr>
        <w:t>, t</w:t>
      </w:r>
      <w:r>
        <w:rPr>
          <w:sz w:val="16"/>
          <w:szCs w:val="16"/>
        </w:rPr>
        <w:t>here was no evidence of pre-service teacher training units, or specialisations, covering teaching and learning for students with a chronic</w:t>
      </w:r>
      <w:r w:rsidR="00080B6B">
        <w:rPr>
          <w:sz w:val="16"/>
          <w:szCs w:val="16"/>
        </w:rPr>
        <w:t>, critical</w:t>
      </w:r>
      <w:r>
        <w:rPr>
          <w:sz w:val="16"/>
          <w:szCs w:val="16"/>
        </w:rPr>
        <w:t xml:space="preserve"> or serious illness. </w:t>
      </w:r>
      <w:r w:rsidR="00FA4ED4">
        <w:rPr>
          <w:sz w:val="16"/>
          <w:szCs w:val="16"/>
        </w:rPr>
        <w:t>The absence of formal training in this area was observed in overseas countries during the Churchill Fellowship studies.</w:t>
      </w:r>
    </w:p>
  </w:endnote>
  <w:endnote w:id="62">
    <w:p w14:paraId="6E2DDE2D" w14:textId="433B2832" w:rsidR="00E84D8F" w:rsidRPr="00D20CAA" w:rsidRDefault="00E84D8F">
      <w:pPr>
        <w:pStyle w:val="EndnoteText"/>
        <w:rPr>
          <w:sz w:val="16"/>
          <w:szCs w:val="16"/>
          <w:highlight w:val="yellow"/>
        </w:rPr>
      </w:pPr>
      <w:r w:rsidRPr="00707D5D">
        <w:rPr>
          <w:rStyle w:val="EndnoteReference"/>
          <w:sz w:val="16"/>
          <w:szCs w:val="16"/>
        </w:rPr>
        <w:endnoteRef/>
      </w:r>
      <w:r w:rsidRPr="00707D5D">
        <w:rPr>
          <w:sz w:val="16"/>
          <w:szCs w:val="16"/>
        </w:rPr>
        <w:t xml:space="preserve"> </w:t>
      </w:r>
      <w:r w:rsidR="00324CEB" w:rsidRPr="00707D5D">
        <w:rPr>
          <w:sz w:val="16"/>
          <w:szCs w:val="16"/>
        </w:rPr>
        <w:t>Ellis, Sarah J., Joanna E. Fardell, Claire E. Wakefield, Clarissa E. Schilstra, Mary A. Burns, Barb Donnan, Thomas Walwyn, et</w:t>
      </w:r>
      <w:r w:rsidR="00324CEB" w:rsidRPr="00324CEB">
        <w:rPr>
          <w:sz w:val="16"/>
          <w:szCs w:val="16"/>
        </w:rPr>
        <w:t xml:space="preserve"> al.</w:t>
      </w:r>
      <w:r w:rsidR="00E87569">
        <w:rPr>
          <w:sz w:val="16"/>
          <w:szCs w:val="16"/>
        </w:rPr>
        <w:t>,</w:t>
      </w:r>
      <w:r w:rsidR="00324CEB" w:rsidRPr="00324CEB">
        <w:rPr>
          <w:sz w:val="16"/>
          <w:szCs w:val="16"/>
        </w:rPr>
        <w:t xml:space="preserve"> “Are We Meeting the Training Needs of Healthcare and Education Professionals Supporting Children with Cancer in Their Return to School?” </w:t>
      </w:r>
      <w:r w:rsidR="00324CEB" w:rsidRPr="00324CEB">
        <w:rPr>
          <w:i/>
          <w:iCs/>
          <w:sz w:val="16"/>
          <w:szCs w:val="16"/>
        </w:rPr>
        <w:t>Pediatric Blood &amp; Cancer</w:t>
      </w:r>
      <w:r w:rsidR="00324CEB" w:rsidRPr="00324CEB">
        <w:rPr>
          <w:sz w:val="16"/>
          <w:szCs w:val="16"/>
        </w:rPr>
        <w:t>, 2018</w:t>
      </w:r>
      <w:r w:rsidR="00E87569">
        <w:rPr>
          <w:sz w:val="16"/>
          <w:szCs w:val="16"/>
        </w:rPr>
        <w:t>,</w:t>
      </w:r>
      <w:r w:rsidR="00324CEB" w:rsidRPr="00324CEB">
        <w:rPr>
          <w:sz w:val="16"/>
          <w:szCs w:val="16"/>
        </w:rPr>
        <w:t xml:space="preserve"> https://doi.org/10.1002/pbc.27575.</w:t>
      </w:r>
    </w:p>
  </w:endnote>
  <w:endnote w:id="63">
    <w:p w14:paraId="0D7E83BC" w14:textId="77777777" w:rsidR="008A0BAC" w:rsidRDefault="00A23DCD" w:rsidP="008A0BAC">
      <w:pPr>
        <w:pStyle w:val="EndnoteText"/>
        <w:rPr>
          <w:sz w:val="16"/>
          <w:szCs w:val="16"/>
        </w:rPr>
      </w:pPr>
      <w:r w:rsidRPr="00A23DCD">
        <w:rPr>
          <w:rStyle w:val="EndnoteReference"/>
          <w:sz w:val="16"/>
          <w:szCs w:val="16"/>
        </w:rPr>
        <w:endnoteRef/>
      </w:r>
      <w:r w:rsidRPr="00A23DCD">
        <w:rPr>
          <w:sz w:val="16"/>
          <w:szCs w:val="16"/>
        </w:rPr>
        <w:t xml:space="preserve"> </w:t>
      </w:r>
      <w:r w:rsidR="008A0BAC" w:rsidRPr="008F0810">
        <w:rPr>
          <w:sz w:val="16"/>
          <w:szCs w:val="16"/>
        </w:rPr>
        <w:t>Gilmour, Megan, and Gina Meyers</w:t>
      </w:r>
      <w:r w:rsidR="008A0BAC">
        <w:rPr>
          <w:sz w:val="16"/>
          <w:szCs w:val="16"/>
        </w:rPr>
        <w:t>,</w:t>
      </w:r>
      <w:r w:rsidR="008A0BAC" w:rsidRPr="008F0810">
        <w:rPr>
          <w:sz w:val="16"/>
          <w:szCs w:val="16"/>
        </w:rPr>
        <w:t xml:space="preserve"> Telepresence Robots: Building Better Practice for Connecting Students with Serious Illness or Injury to their Classrooms</w:t>
      </w:r>
      <w:r w:rsidR="008A0BAC">
        <w:rPr>
          <w:sz w:val="16"/>
          <w:szCs w:val="16"/>
        </w:rPr>
        <w:t>,</w:t>
      </w:r>
      <w:r w:rsidR="008A0BAC" w:rsidRPr="008F0810">
        <w:rPr>
          <w:sz w:val="16"/>
          <w:szCs w:val="16"/>
        </w:rPr>
        <w:t xml:space="preserve"> Report</w:t>
      </w:r>
      <w:r w:rsidR="008A0BAC">
        <w:rPr>
          <w:sz w:val="16"/>
          <w:szCs w:val="16"/>
        </w:rPr>
        <w:t>,</w:t>
      </w:r>
      <w:r w:rsidR="008A0BAC" w:rsidRPr="008F0810">
        <w:rPr>
          <w:sz w:val="16"/>
          <w:szCs w:val="16"/>
        </w:rPr>
        <w:t xml:space="preserve"> </w:t>
      </w:r>
      <w:r w:rsidR="008A0BAC" w:rsidRPr="008F0810">
        <w:rPr>
          <w:i/>
          <w:iCs/>
          <w:sz w:val="16"/>
          <w:szCs w:val="16"/>
        </w:rPr>
        <w:t>Missing School National Telepresence Robot Pilot</w:t>
      </w:r>
      <w:r w:rsidR="008A0BAC">
        <w:rPr>
          <w:sz w:val="16"/>
          <w:szCs w:val="16"/>
        </w:rPr>
        <w:t>,</w:t>
      </w:r>
      <w:r w:rsidR="008A0BAC" w:rsidRPr="008F0810">
        <w:rPr>
          <w:sz w:val="16"/>
          <w:szCs w:val="16"/>
        </w:rPr>
        <w:t xml:space="preserve"> Canberra: Missing</w:t>
      </w:r>
      <w:r w:rsidR="008A0BAC">
        <w:rPr>
          <w:sz w:val="16"/>
          <w:szCs w:val="16"/>
        </w:rPr>
        <w:t xml:space="preserve"> </w:t>
      </w:r>
      <w:r w:rsidR="008A0BAC" w:rsidRPr="008F0810">
        <w:rPr>
          <w:sz w:val="16"/>
          <w:szCs w:val="16"/>
        </w:rPr>
        <w:t>School Inc., 2018</w:t>
      </w:r>
      <w:r w:rsidR="008A0BAC">
        <w:rPr>
          <w:sz w:val="16"/>
          <w:szCs w:val="16"/>
        </w:rPr>
        <w:t>, Accessed September 15, 2020,</w:t>
      </w:r>
    </w:p>
    <w:p w14:paraId="3448D345" w14:textId="26009B19" w:rsidR="00A23DCD" w:rsidRPr="00A23DCD" w:rsidRDefault="008A0BAC" w:rsidP="008A0BAC">
      <w:pPr>
        <w:pStyle w:val="EndnoteText"/>
        <w:rPr>
          <w:sz w:val="16"/>
          <w:szCs w:val="16"/>
        </w:rPr>
      </w:pPr>
      <w:r w:rsidRPr="00AD363F">
        <w:rPr>
          <w:sz w:val="16"/>
          <w:szCs w:val="16"/>
        </w:rPr>
        <w:t>https://msch-website.s3.amazonaws.com/MissingSchool_InfoPack_11pp_WEB.pdf</w:t>
      </w:r>
      <w:r>
        <w:rPr>
          <w:sz w:val="16"/>
          <w:szCs w:val="16"/>
        </w:rPr>
        <w:t xml:space="preserve">. </w:t>
      </w:r>
    </w:p>
  </w:endnote>
  <w:endnote w:id="64">
    <w:p w14:paraId="2E5E4929" w14:textId="625B4348" w:rsidR="00E84D8F" w:rsidRPr="004F4D37" w:rsidRDefault="00E84D8F">
      <w:pPr>
        <w:pStyle w:val="EndnoteText"/>
        <w:rPr>
          <w:color w:val="000000"/>
          <w:sz w:val="16"/>
          <w:szCs w:val="16"/>
        </w:rPr>
      </w:pPr>
      <w:r w:rsidRPr="00735379">
        <w:rPr>
          <w:rStyle w:val="EndnoteReference"/>
          <w:sz w:val="16"/>
          <w:szCs w:val="16"/>
        </w:rPr>
        <w:endnoteRef/>
      </w:r>
      <w:r w:rsidRPr="00735379">
        <w:rPr>
          <w:sz w:val="16"/>
          <w:szCs w:val="16"/>
        </w:rPr>
        <w:t xml:space="preserve"> </w:t>
      </w:r>
      <w:r w:rsidR="00735379" w:rsidRPr="00735379">
        <w:rPr>
          <w:color w:val="000000"/>
          <w:sz w:val="16"/>
          <w:szCs w:val="16"/>
        </w:rPr>
        <w:t>Gilmour, Megan</w:t>
      </w:r>
      <w:r w:rsidR="00E87569">
        <w:rPr>
          <w:color w:val="000000"/>
          <w:sz w:val="16"/>
          <w:szCs w:val="16"/>
        </w:rPr>
        <w:t xml:space="preserve">, </w:t>
      </w:r>
      <w:r w:rsidR="00735379" w:rsidRPr="00735379">
        <w:rPr>
          <w:i/>
          <w:color w:val="000000"/>
          <w:sz w:val="16"/>
          <w:szCs w:val="16"/>
        </w:rPr>
        <w:t>A study on models to enable seriously sick kids to maintain their education connections</w:t>
      </w:r>
      <w:r w:rsidR="004F4D37">
        <w:rPr>
          <w:color w:val="000000"/>
          <w:sz w:val="16"/>
          <w:szCs w:val="16"/>
        </w:rPr>
        <w:t xml:space="preserve">, </w:t>
      </w:r>
      <w:r w:rsidR="00735379" w:rsidRPr="00735379">
        <w:rPr>
          <w:color w:val="000000"/>
          <w:sz w:val="16"/>
          <w:szCs w:val="16"/>
        </w:rPr>
        <w:t>20</w:t>
      </w:r>
      <w:r w:rsidR="00735379">
        <w:rPr>
          <w:color w:val="000000"/>
          <w:sz w:val="16"/>
          <w:szCs w:val="16"/>
        </w:rPr>
        <w:t>20</w:t>
      </w:r>
      <w:r w:rsidR="00361FA2">
        <w:rPr>
          <w:color w:val="000000"/>
          <w:sz w:val="16"/>
          <w:szCs w:val="16"/>
        </w:rPr>
        <w:t>.</w:t>
      </w:r>
    </w:p>
  </w:endnote>
  <w:endnote w:id="65">
    <w:p w14:paraId="10F2D9F6" w14:textId="6230FE5E" w:rsidR="00E84D8F" w:rsidRPr="00D20CAA" w:rsidRDefault="00E84D8F">
      <w:pPr>
        <w:pStyle w:val="EndnoteText"/>
        <w:rPr>
          <w:sz w:val="16"/>
          <w:szCs w:val="16"/>
          <w:highlight w:val="yellow"/>
        </w:rPr>
      </w:pPr>
      <w:r w:rsidRPr="00D55739">
        <w:rPr>
          <w:rStyle w:val="EndnoteReference"/>
          <w:sz w:val="16"/>
          <w:szCs w:val="16"/>
        </w:rPr>
        <w:endnoteRef/>
      </w:r>
      <w:r w:rsidRPr="00D55739">
        <w:rPr>
          <w:rStyle w:val="EndnoteReference"/>
        </w:rPr>
        <w:t xml:space="preserve"> </w:t>
      </w:r>
      <w:r w:rsidR="00146CE6" w:rsidRPr="00E84D8F">
        <w:rPr>
          <w:sz w:val="16"/>
          <w:szCs w:val="16"/>
        </w:rPr>
        <w:t xml:space="preserve">Gilmour, Hopkins, Meyers, Nell, and Stafford, </w:t>
      </w:r>
      <w:r w:rsidR="00146CE6" w:rsidRPr="00146CE6">
        <w:rPr>
          <w:i/>
          <w:iCs/>
          <w:sz w:val="16"/>
          <w:szCs w:val="16"/>
        </w:rPr>
        <w:t>School connection for seriously sick kids</w:t>
      </w:r>
      <w:r w:rsidR="00146CE6" w:rsidRPr="00E84D8F">
        <w:rPr>
          <w:sz w:val="16"/>
          <w:szCs w:val="16"/>
        </w:rPr>
        <w:t xml:space="preserve">, </w:t>
      </w:r>
      <w:r w:rsidR="00641472">
        <w:rPr>
          <w:sz w:val="16"/>
          <w:szCs w:val="16"/>
        </w:rPr>
        <w:t>2015</w:t>
      </w:r>
      <w:r w:rsidR="00E87569">
        <w:rPr>
          <w:sz w:val="16"/>
          <w:szCs w:val="16"/>
        </w:rPr>
        <w:t>.</w:t>
      </w:r>
    </w:p>
  </w:endnote>
  <w:endnote w:id="66">
    <w:p w14:paraId="401ED126" w14:textId="0C9B347E" w:rsidR="00146CE6" w:rsidRDefault="00146CE6">
      <w:pPr>
        <w:pStyle w:val="EndnoteText"/>
      </w:pPr>
      <w:r w:rsidRPr="00146CE6">
        <w:rPr>
          <w:rStyle w:val="EndnoteReference"/>
          <w:sz w:val="16"/>
          <w:szCs w:val="16"/>
        </w:rPr>
        <w:endnoteRef/>
      </w:r>
      <w:r w:rsidRPr="00146CE6">
        <w:rPr>
          <w:rStyle w:val="EndnoteReference"/>
          <w:sz w:val="16"/>
          <w:szCs w:val="16"/>
        </w:rPr>
        <w:t xml:space="preserve"> </w:t>
      </w:r>
      <w:r w:rsidRPr="00E84D8F">
        <w:rPr>
          <w:color w:val="000000"/>
          <w:sz w:val="16"/>
          <w:szCs w:val="16"/>
        </w:rPr>
        <w:t xml:space="preserve">Barnett, Hopkins, and Peters, </w:t>
      </w:r>
      <w:r w:rsidRPr="00E84D8F">
        <w:rPr>
          <w:i/>
          <w:color w:val="000000"/>
          <w:sz w:val="16"/>
          <w:szCs w:val="16"/>
        </w:rPr>
        <w:t>What happens when they go home?</w:t>
      </w:r>
      <w:r w:rsidR="00237155">
        <w:rPr>
          <w:i/>
          <w:color w:val="000000"/>
          <w:sz w:val="16"/>
          <w:szCs w:val="16"/>
        </w:rPr>
        <w:t xml:space="preserve"> </w:t>
      </w:r>
      <w:r w:rsidR="00237155" w:rsidRPr="00237155">
        <w:rPr>
          <w:iCs/>
          <w:color w:val="000000"/>
          <w:sz w:val="16"/>
          <w:szCs w:val="16"/>
        </w:rPr>
        <w:t>2014</w:t>
      </w:r>
      <w:r w:rsidR="00E87569">
        <w:rPr>
          <w:iCs/>
          <w:color w:val="000000"/>
          <w:sz w:val="16"/>
          <w:szCs w:val="16"/>
        </w:rPr>
        <w:t>.</w:t>
      </w:r>
    </w:p>
  </w:endnote>
  <w:endnote w:id="67">
    <w:p w14:paraId="7B90F783" w14:textId="7E26E563" w:rsidR="00E84D8F" w:rsidRDefault="00E84D8F">
      <w:pPr>
        <w:pStyle w:val="EndnoteText"/>
        <w:rPr>
          <w:sz w:val="16"/>
          <w:szCs w:val="16"/>
        </w:rPr>
      </w:pPr>
      <w:r w:rsidRPr="00361FA2">
        <w:rPr>
          <w:rStyle w:val="EndnoteReference"/>
          <w:sz w:val="16"/>
          <w:szCs w:val="16"/>
        </w:rPr>
        <w:endnoteRef/>
      </w:r>
      <w:r w:rsidRPr="00361FA2">
        <w:rPr>
          <w:sz w:val="16"/>
          <w:szCs w:val="16"/>
        </w:rPr>
        <w:t xml:space="preserve"> </w:t>
      </w:r>
      <w:r w:rsidR="00361FA2" w:rsidRPr="00361FA2">
        <w:rPr>
          <w:sz w:val="16"/>
          <w:szCs w:val="16"/>
        </w:rPr>
        <w:t>Australian Institute of Health and Welfare</w:t>
      </w:r>
      <w:r w:rsidR="00E87569">
        <w:rPr>
          <w:sz w:val="16"/>
          <w:szCs w:val="16"/>
        </w:rPr>
        <w:t>,</w:t>
      </w:r>
      <w:r w:rsidR="00361FA2" w:rsidRPr="00361FA2">
        <w:rPr>
          <w:sz w:val="16"/>
          <w:szCs w:val="16"/>
        </w:rPr>
        <w:t xml:space="preserve"> Australia’s children</w:t>
      </w:r>
      <w:r w:rsidR="00E87569">
        <w:rPr>
          <w:sz w:val="16"/>
          <w:szCs w:val="16"/>
        </w:rPr>
        <w:t>,</w:t>
      </w:r>
      <w:r w:rsidR="00361FA2" w:rsidRPr="00361FA2">
        <w:rPr>
          <w:sz w:val="16"/>
          <w:szCs w:val="16"/>
        </w:rPr>
        <w:t xml:space="preserve"> Cat. no. CWS 69</w:t>
      </w:r>
      <w:r w:rsidR="00E87569">
        <w:rPr>
          <w:sz w:val="16"/>
          <w:szCs w:val="16"/>
        </w:rPr>
        <w:t>,</w:t>
      </w:r>
      <w:r w:rsidR="00361FA2" w:rsidRPr="00361FA2">
        <w:rPr>
          <w:sz w:val="16"/>
          <w:szCs w:val="16"/>
        </w:rPr>
        <w:t xml:space="preserve"> Canberra: AIHW, 2020</w:t>
      </w:r>
      <w:r w:rsidR="00E87569">
        <w:rPr>
          <w:sz w:val="16"/>
          <w:szCs w:val="16"/>
        </w:rPr>
        <w:t>,</w:t>
      </w:r>
      <w:r w:rsidR="00361FA2" w:rsidRPr="00361FA2">
        <w:t xml:space="preserve"> </w:t>
      </w:r>
      <w:r w:rsidR="00361FA2" w:rsidRPr="00361FA2">
        <w:rPr>
          <w:sz w:val="16"/>
          <w:szCs w:val="16"/>
        </w:rPr>
        <w:t>Accessed September 15, 2020</w:t>
      </w:r>
      <w:r w:rsidR="00361FA2">
        <w:rPr>
          <w:sz w:val="16"/>
          <w:szCs w:val="16"/>
        </w:rPr>
        <w:t>.</w:t>
      </w:r>
      <w:r w:rsidR="00361FA2" w:rsidRPr="00361FA2">
        <w:rPr>
          <w:sz w:val="16"/>
          <w:szCs w:val="16"/>
        </w:rPr>
        <w:t xml:space="preserve"> </w:t>
      </w:r>
      <w:r w:rsidR="00361FA2">
        <w:rPr>
          <w:sz w:val="16"/>
          <w:szCs w:val="16"/>
        </w:rPr>
        <w:t xml:space="preserve"> </w:t>
      </w:r>
    </w:p>
    <w:p w14:paraId="2482168B" w14:textId="38E08998" w:rsidR="00361FA2" w:rsidRPr="00D20CAA" w:rsidRDefault="00361FA2">
      <w:pPr>
        <w:pStyle w:val="EndnoteText"/>
        <w:rPr>
          <w:sz w:val="16"/>
          <w:szCs w:val="16"/>
          <w:highlight w:val="yellow"/>
        </w:rPr>
      </w:pPr>
      <w:r w:rsidRPr="00361FA2">
        <w:rPr>
          <w:sz w:val="16"/>
          <w:szCs w:val="16"/>
        </w:rPr>
        <w:t>https://www.aihw.gov.au/getmedia/6af928d6-692e-4449-b915-cf2ca946982f/aihw-cws-69-print-report.pdf.aspx?inline=true</w:t>
      </w:r>
      <w:r>
        <w:rPr>
          <w:sz w:val="16"/>
          <w:szCs w:val="16"/>
        </w:rPr>
        <w:t>.</w:t>
      </w:r>
    </w:p>
  </w:endnote>
  <w:endnote w:id="68">
    <w:p w14:paraId="4CA5A7CB" w14:textId="3915E7C8" w:rsidR="00E84D8F" w:rsidRPr="00E84D8F" w:rsidRDefault="00E84D8F">
      <w:pPr>
        <w:pStyle w:val="EndnoteText"/>
        <w:rPr>
          <w:sz w:val="16"/>
          <w:szCs w:val="16"/>
        </w:rPr>
      </w:pPr>
      <w:r w:rsidRPr="00E84D8F">
        <w:rPr>
          <w:rStyle w:val="EndnoteReference"/>
          <w:sz w:val="16"/>
          <w:szCs w:val="16"/>
        </w:rPr>
        <w:endnoteRef/>
      </w:r>
      <w:r w:rsidRPr="00E84D8F">
        <w:rPr>
          <w:sz w:val="16"/>
          <w:szCs w:val="16"/>
        </w:rPr>
        <w:t xml:space="preserve"> A keyword search of the Nationally Consistent Collection of Data website does not find “absence” in keyword search, and “illness” leads to a page listing</w:t>
      </w:r>
      <w:r w:rsidR="00E87569">
        <w:rPr>
          <w:sz w:val="16"/>
          <w:szCs w:val="16"/>
        </w:rPr>
        <w:t>.</w:t>
      </w:r>
    </w:p>
  </w:endnote>
  <w:endnote w:id="69">
    <w:p w14:paraId="7E1F8181" w14:textId="1869C584" w:rsidR="00E84D8F" w:rsidRPr="00E84D8F" w:rsidRDefault="00E84D8F">
      <w:pPr>
        <w:pStyle w:val="EndnoteText"/>
        <w:rPr>
          <w:sz w:val="16"/>
          <w:szCs w:val="16"/>
        </w:rPr>
      </w:pPr>
      <w:r w:rsidRPr="00E84D8F">
        <w:rPr>
          <w:rStyle w:val="EndnoteReference"/>
          <w:sz w:val="16"/>
          <w:szCs w:val="16"/>
        </w:rPr>
        <w:endnoteRef/>
      </w:r>
      <w:r w:rsidRPr="00E84D8F">
        <w:rPr>
          <w:sz w:val="16"/>
          <w:szCs w:val="16"/>
        </w:rPr>
        <w:t xml:space="preserve"> The ABS Profiles of Disability and the ABS Survey of Ageing, Disability and Carers</w:t>
      </w:r>
      <w:r w:rsidR="00E87569">
        <w:rPr>
          <w:sz w:val="16"/>
          <w:szCs w:val="16"/>
        </w:rPr>
        <w:t>.</w:t>
      </w:r>
    </w:p>
  </w:endnote>
  <w:endnote w:id="70">
    <w:p w14:paraId="01CCC071" w14:textId="1C1BB1B1" w:rsidR="00E84D8F" w:rsidRPr="00E84D8F" w:rsidRDefault="00E84D8F">
      <w:pPr>
        <w:pStyle w:val="EndnoteText"/>
        <w:rPr>
          <w:sz w:val="16"/>
          <w:szCs w:val="16"/>
        </w:rPr>
      </w:pPr>
      <w:r w:rsidRPr="00E84D8F">
        <w:rPr>
          <w:rStyle w:val="EndnoteReference"/>
          <w:sz w:val="16"/>
          <w:szCs w:val="16"/>
        </w:rPr>
        <w:endnoteRef/>
      </w:r>
      <w:r w:rsidRPr="00E84D8F">
        <w:rPr>
          <w:sz w:val="16"/>
          <w:szCs w:val="16"/>
        </w:rPr>
        <w:t xml:space="preserve"> Gilmour, Hopkins, Meyers, Nell, and Stafford, </w:t>
      </w:r>
      <w:r w:rsidRPr="00614024">
        <w:rPr>
          <w:i/>
          <w:iCs/>
          <w:sz w:val="16"/>
          <w:szCs w:val="16"/>
        </w:rPr>
        <w:t>School connection for seriously sick kids</w:t>
      </w:r>
      <w:r w:rsidRPr="00E84D8F">
        <w:rPr>
          <w:sz w:val="16"/>
          <w:szCs w:val="16"/>
        </w:rPr>
        <w:t xml:space="preserve">, </w:t>
      </w:r>
      <w:r w:rsidR="00707D5D">
        <w:rPr>
          <w:sz w:val="16"/>
          <w:szCs w:val="16"/>
        </w:rPr>
        <w:t>2015</w:t>
      </w:r>
      <w:r w:rsidRPr="00E84D8F">
        <w:rPr>
          <w:sz w:val="16"/>
          <w:szCs w:val="16"/>
        </w:rPr>
        <w:t>.</w:t>
      </w:r>
    </w:p>
  </w:endnote>
  <w:endnote w:id="71">
    <w:p w14:paraId="78F59202" w14:textId="0F445B73" w:rsidR="004E52D6" w:rsidRPr="004E52D6" w:rsidRDefault="004E52D6">
      <w:pPr>
        <w:pStyle w:val="EndnoteText"/>
        <w:rPr>
          <w:sz w:val="16"/>
          <w:szCs w:val="16"/>
        </w:rPr>
      </w:pPr>
      <w:r w:rsidRPr="004E52D6">
        <w:rPr>
          <w:rStyle w:val="EndnoteReference"/>
          <w:sz w:val="16"/>
          <w:szCs w:val="16"/>
        </w:rPr>
        <w:endnoteRef/>
      </w:r>
      <w:r w:rsidRPr="004E52D6">
        <w:rPr>
          <w:sz w:val="16"/>
          <w:szCs w:val="16"/>
        </w:rPr>
        <w:t xml:space="preserve"> Halfon, Houtrow, Larson, and Newacheck, </w:t>
      </w:r>
      <w:r w:rsidRPr="004E52D6">
        <w:rPr>
          <w:i/>
          <w:iCs/>
          <w:sz w:val="16"/>
          <w:szCs w:val="16"/>
        </w:rPr>
        <w:t>The changing landscape of disability in childhood</w:t>
      </w:r>
      <w:r>
        <w:rPr>
          <w:sz w:val="16"/>
          <w:szCs w:val="16"/>
        </w:rPr>
        <w:t>, 2012</w:t>
      </w:r>
    </w:p>
  </w:endnote>
  <w:endnote w:id="72">
    <w:p w14:paraId="4F4DC36D" w14:textId="10CAC9EB" w:rsidR="00E84D8F" w:rsidRPr="00E84D8F" w:rsidRDefault="00E84D8F" w:rsidP="0034681E">
      <w:pPr>
        <w:widowControl w:val="0"/>
        <w:spacing w:before="0" w:after="0" w:line="240" w:lineRule="auto"/>
        <w:rPr>
          <w:color w:val="000000"/>
          <w:sz w:val="16"/>
          <w:szCs w:val="16"/>
        </w:rPr>
      </w:pPr>
      <w:r w:rsidRPr="00E84D8F">
        <w:rPr>
          <w:rStyle w:val="EndnoteReference"/>
          <w:sz w:val="16"/>
          <w:szCs w:val="16"/>
        </w:rPr>
        <w:endnoteRef/>
      </w:r>
      <w:r w:rsidRPr="00E84D8F">
        <w:rPr>
          <w:sz w:val="16"/>
          <w:szCs w:val="16"/>
        </w:rPr>
        <w:t xml:space="preserve"> </w:t>
      </w:r>
      <w:r w:rsidR="008C0B51" w:rsidRPr="008C0B51">
        <w:rPr>
          <w:color w:val="000000"/>
          <w:sz w:val="16"/>
          <w:szCs w:val="16"/>
        </w:rPr>
        <w:t>Hancock, Kirsten J., Michael A. Gottfried, and Stephen R. Zubrick</w:t>
      </w:r>
      <w:r w:rsidR="00E87569">
        <w:rPr>
          <w:color w:val="000000"/>
          <w:sz w:val="16"/>
          <w:szCs w:val="16"/>
        </w:rPr>
        <w:t>,</w:t>
      </w:r>
      <w:r w:rsidR="008C0B51" w:rsidRPr="008C0B51">
        <w:rPr>
          <w:color w:val="000000"/>
          <w:sz w:val="16"/>
          <w:szCs w:val="16"/>
        </w:rPr>
        <w:t xml:space="preserve"> “Does the Reason Matter? How Student-Reported Reasons for School Absence Contribute to Differences in Achievement Outcomes among 14-15 Year Olds</w:t>
      </w:r>
      <w:r w:rsidR="00E87569">
        <w:rPr>
          <w:color w:val="000000"/>
          <w:sz w:val="16"/>
          <w:szCs w:val="16"/>
        </w:rPr>
        <w:t>,</w:t>
      </w:r>
      <w:r w:rsidR="008C0B51" w:rsidRPr="008C0B51">
        <w:rPr>
          <w:color w:val="000000"/>
          <w:sz w:val="16"/>
          <w:szCs w:val="16"/>
        </w:rPr>
        <w:t xml:space="preserve">” </w:t>
      </w:r>
      <w:r w:rsidR="008C0B51" w:rsidRPr="008C0B51">
        <w:rPr>
          <w:i/>
          <w:iCs/>
          <w:color w:val="000000"/>
          <w:sz w:val="16"/>
          <w:szCs w:val="16"/>
        </w:rPr>
        <w:t>British Educational Research Journal</w:t>
      </w:r>
      <w:r w:rsidR="008C0B51" w:rsidRPr="008C0B51">
        <w:rPr>
          <w:color w:val="000000"/>
          <w:sz w:val="16"/>
          <w:szCs w:val="16"/>
        </w:rPr>
        <w:t xml:space="preserve"> 44, </w:t>
      </w:r>
      <w:r w:rsidR="008C0B51">
        <w:rPr>
          <w:color w:val="000000"/>
          <w:sz w:val="16"/>
          <w:szCs w:val="16"/>
        </w:rPr>
        <w:t xml:space="preserve">1 </w:t>
      </w:r>
      <w:r w:rsidR="008C0B51" w:rsidRPr="008C0B51">
        <w:rPr>
          <w:color w:val="000000"/>
          <w:sz w:val="16"/>
          <w:szCs w:val="16"/>
        </w:rPr>
        <w:t>(2018): 141–74</w:t>
      </w:r>
      <w:r w:rsidR="00E87569">
        <w:rPr>
          <w:color w:val="000000"/>
          <w:sz w:val="16"/>
          <w:szCs w:val="16"/>
        </w:rPr>
        <w:t>,</w:t>
      </w:r>
      <w:r w:rsidR="008C0B51" w:rsidRPr="008C0B51">
        <w:rPr>
          <w:color w:val="000000"/>
          <w:sz w:val="16"/>
          <w:szCs w:val="16"/>
        </w:rPr>
        <w:t xml:space="preserve"> https://doi.org/10.1002/berj.3322.</w:t>
      </w:r>
    </w:p>
  </w:endnote>
  <w:endnote w:id="73">
    <w:p w14:paraId="04E07F03" w14:textId="0C8D6933" w:rsidR="007C0FBB" w:rsidRDefault="007C0FBB" w:rsidP="007C0FBB">
      <w:pPr>
        <w:widowControl w:val="0"/>
        <w:spacing w:before="0" w:after="0" w:line="240" w:lineRule="auto"/>
        <w:rPr>
          <w:sz w:val="16"/>
          <w:szCs w:val="16"/>
        </w:rPr>
      </w:pPr>
      <w:r w:rsidRPr="003C1EC9">
        <w:rPr>
          <w:rStyle w:val="EndnoteReference"/>
          <w:sz w:val="16"/>
          <w:szCs w:val="16"/>
        </w:rPr>
        <w:endnoteRef/>
      </w:r>
      <w:r w:rsidRPr="003C1EC9">
        <w:rPr>
          <w:sz w:val="16"/>
          <w:szCs w:val="16"/>
        </w:rPr>
        <w:t xml:space="preserve"> </w:t>
      </w:r>
      <w:r w:rsidRPr="003C1EC9">
        <w:rPr>
          <w:color w:val="000000"/>
          <w:sz w:val="16"/>
          <w:szCs w:val="16"/>
        </w:rPr>
        <w:t>Hancock, Kirsten J., C. C. Shepherd, D. Lawrence, and S. R. Zubrick, </w:t>
      </w:r>
      <w:r w:rsidRPr="003C1EC9">
        <w:rPr>
          <w:i/>
          <w:color w:val="000000"/>
          <w:sz w:val="16"/>
          <w:szCs w:val="16"/>
        </w:rPr>
        <w:t xml:space="preserve">Student attendance and educational outcomes: Every day counts, </w:t>
      </w:r>
      <w:r w:rsidRPr="003C1EC9">
        <w:rPr>
          <w:color w:val="000000"/>
          <w:sz w:val="16"/>
          <w:szCs w:val="16"/>
        </w:rPr>
        <w:t>report for the Department of Education, Employment and Workplace Relations, Canberra 2013</w:t>
      </w:r>
      <w:r w:rsidR="00E87569">
        <w:rPr>
          <w:color w:val="000000"/>
          <w:sz w:val="16"/>
          <w:szCs w:val="16"/>
        </w:rPr>
        <w:t>,</w:t>
      </w:r>
      <w:r w:rsidR="003C1EC9">
        <w:rPr>
          <w:color w:val="000000"/>
          <w:sz w:val="16"/>
          <w:szCs w:val="16"/>
        </w:rPr>
        <w:t xml:space="preserve"> </w:t>
      </w:r>
      <w:r w:rsidR="003C1EC9" w:rsidRPr="003C1EC9">
        <w:rPr>
          <w:sz w:val="16"/>
          <w:szCs w:val="16"/>
        </w:rPr>
        <w:t>Accessed September 15, 2020</w:t>
      </w:r>
      <w:r w:rsidR="006E1A52">
        <w:rPr>
          <w:sz w:val="16"/>
          <w:szCs w:val="16"/>
        </w:rPr>
        <w:t>,</w:t>
      </w:r>
    </w:p>
    <w:p w14:paraId="0EB6537B" w14:textId="78F87441" w:rsidR="003C1EC9" w:rsidRPr="003C1EC9" w:rsidRDefault="003C1EC9" w:rsidP="007C0FBB">
      <w:pPr>
        <w:widowControl w:val="0"/>
        <w:spacing w:before="0" w:after="0" w:line="240" w:lineRule="auto"/>
        <w:rPr>
          <w:color w:val="000000"/>
          <w:sz w:val="16"/>
          <w:szCs w:val="16"/>
        </w:rPr>
      </w:pPr>
      <w:r w:rsidRPr="003C1EC9">
        <w:rPr>
          <w:color w:val="000000"/>
          <w:sz w:val="16"/>
          <w:szCs w:val="16"/>
        </w:rPr>
        <w:t>https://www.telethonkids.org.au/globalassets/media/documents/research-topics/student-attendance-and-educational-outcomes-2015.pdf</w:t>
      </w:r>
      <w:r>
        <w:rPr>
          <w:color w:val="000000"/>
          <w:sz w:val="16"/>
          <w:szCs w:val="16"/>
        </w:rPr>
        <w:t>.</w:t>
      </w:r>
    </w:p>
  </w:endnote>
  <w:endnote w:id="74">
    <w:p w14:paraId="7AA8B9D1" w14:textId="304F988B" w:rsidR="003C1EC9" w:rsidRDefault="003C1EC9">
      <w:pPr>
        <w:pStyle w:val="EndnoteText"/>
        <w:rPr>
          <w:sz w:val="16"/>
          <w:szCs w:val="16"/>
        </w:rPr>
      </w:pPr>
      <w:r w:rsidRPr="00B246B2">
        <w:rPr>
          <w:rStyle w:val="EndnoteReference"/>
          <w:sz w:val="16"/>
          <w:szCs w:val="16"/>
        </w:rPr>
        <w:endnoteRef/>
      </w:r>
      <w:r w:rsidRPr="00B246B2">
        <w:rPr>
          <w:sz w:val="16"/>
          <w:szCs w:val="16"/>
        </w:rPr>
        <w:t xml:space="preserve"> </w:t>
      </w:r>
      <w:r w:rsidR="00B246B2" w:rsidRPr="00B246B2">
        <w:rPr>
          <w:sz w:val="16"/>
          <w:szCs w:val="16"/>
        </w:rPr>
        <w:t>Australian Institute for Teaching and School Leadership</w:t>
      </w:r>
      <w:r w:rsidR="00E87569">
        <w:rPr>
          <w:sz w:val="16"/>
          <w:szCs w:val="16"/>
        </w:rPr>
        <w:t>,</w:t>
      </w:r>
      <w:r w:rsidR="00B246B2" w:rsidRPr="00B246B2">
        <w:rPr>
          <w:sz w:val="16"/>
          <w:szCs w:val="16"/>
        </w:rPr>
        <w:t xml:space="preserve"> Attendance Matters Spotlight</w:t>
      </w:r>
      <w:r w:rsidR="00E87569">
        <w:rPr>
          <w:sz w:val="16"/>
          <w:szCs w:val="16"/>
        </w:rPr>
        <w:t>,</w:t>
      </w:r>
      <w:r w:rsidR="00B246B2" w:rsidRPr="00B246B2">
        <w:rPr>
          <w:sz w:val="16"/>
          <w:szCs w:val="16"/>
        </w:rPr>
        <w:t xml:space="preserve"> </w:t>
      </w:r>
      <w:r w:rsidR="00B246B2">
        <w:rPr>
          <w:sz w:val="16"/>
          <w:szCs w:val="16"/>
        </w:rPr>
        <w:t>Melbourne, 2019</w:t>
      </w:r>
      <w:r w:rsidR="00E87569">
        <w:rPr>
          <w:sz w:val="16"/>
          <w:szCs w:val="16"/>
        </w:rPr>
        <w:t>,</w:t>
      </w:r>
      <w:r w:rsidR="00B246B2">
        <w:rPr>
          <w:sz w:val="16"/>
          <w:szCs w:val="16"/>
        </w:rPr>
        <w:t xml:space="preserve"> Accessed September 13, 2020</w:t>
      </w:r>
      <w:r w:rsidR="006E1A52">
        <w:rPr>
          <w:sz w:val="16"/>
          <w:szCs w:val="16"/>
        </w:rPr>
        <w:t>,</w:t>
      </w:r>
    </w:p>
    <w:p w14:paraId="7246CE0C" w14:textId="7E8EEF63" w:rsidR="00B246B2" w:rsidRPr="00B246B2" w:rsidRDefault="00B246B2">
      <w:pPr>
        <w:pStyle w:val="EndnoteText"/>
        <w:rPr>
          <w:sz w:val="16"/>
          <w:szCs w:val="16"/>
        </w:rPr>
      </w:pPr>
      <w:r w:rsidRPr="00B246B2">
        <w:rPr>
          <w:sz w:val="16"/>
          <w:szCs w:val="16"/>
        </w:rPr>
        <w:t>https://www.aitsl.edu.au/docs/default-source/research-evidence/spotlight/11319-aitsl_spotlight_attendance_web-fa.pdf?sfvrsn=5bb0ff3c_6</w:t>
      </w:r>
      <w:r>
        <w:rPr>
          <w:sz w:val="16"/>
          <w:szCs w:val="16"/>
        </w:rPr>
        <w:t>.</w:t>
      </w:r>
    </w:p>
  </w:endnote>
  <w:endnote w:id="75">
    <w:p w14:paraId="726E1474" w14:textId="60733DB3" w:rsidR="003C1EC9" w:rsidRPr="003C1EC9" w:rsidRDefault="003C1EC9">
      <w:pPr>
        <w:pStyle w:val="EndnoteText"/>
        <w:rPr>
          <w:sz w:val="16"/>
          <w:szCs w:val="16"/>
        </w:rPr>
      </w:pPr>
      <w:r w:rsidRPr="003C1EC9">
        <w:rPr>
          <w:rStyle w:val="EndnoteReference"/>
          <w:sz w:val="16"/>
          <w:szCs w:val="16"/>
        </w:rPr>
        <w:endnoteRef/>
      </w:r>
      <w:r w:rsidRPr="003C1EC9">
        <w:rPr>
          <w:sz w:val="16"/>
          <w:szCs w:val="16"/>
        </w:rPr>
        <w:t xml:space="preserve"> Balfanz, Robert, and Vaughan Byrnes</w:t>
      </w:r>
      <w:r w:rsidR="006E1A52">
        <w:rPr>
          <w:sz w:val="16"/>
          <w:szCs w:val="16"/>
        </w:rPr>
        <w:t>,</w:t>
      </w:r>
      <w:r w:rsidRPr="003C1EC9">
        <w:rPr>
          <w:sz w:val="16"/>
          <w:szCs w:val="16"/>
        </w:rPr>
        <w:t xml:space="preserve"> </w:t>
      </w:r>
      <w:r w:rsidRPr="003C1EC9">
        <w:rPr>
          <w:i/>
          <w:iCs/>
          <w:sz w:val="16"/>
          <w:szCs w:val="16"/>
        </w:rPr>
        <w:t>Chronic Absenteeism: Summarizing What We Know From Nationally Available Data</w:t>
      </w:r>
      <w:r w:rsidR="00E87569">
        <w:rPr>
          <w:sz w:val="16"/>
          <w:szCs w:val="16"/>
        </w:rPr>
        <w:t xml:space="preserve">, </w:t>
      </w:r>
      <w:r w:rsidRPr="003C1EC9">
        <w:rPr>
          <w:sz w:val="16"/>
          <w:szCs w:val="16"/>
        </w:rPr>
        <w:t>Baltimore: Johns Hopkins University Center for Social Organization of Schools, 2012</w:t>
      </w:r>
      <w:r w:rsidR="00E87569">
        <w:rPr>
          <w:sz w:val="16"/>
          <w:szCs w:val="16"/>
        </w:rPr>
        <w:t>,</w:t>
      </w:r>
      <w:r w:rsidRPr="003C1EC9">
        <w:rPr>
          <w:sz w:val="16"/>
          <w:szCs w:val="16"/>
        </w:rPr>
        <w:t xml:space="preserve"> Accessed September 15, 2020</w:t>
      </w:r>
      <w:r w:rsidR="00E87569">
        <w:rPr>
          <w:sz w:val="16"/>
          <w:szCs w:val="16"/>
        </w:rPr>
        <w:t>,</w:t>
      </w:r>
    </w:p>
    <w:p w14:paraId="66948124" w14:textId="3707C4F4" w:rsidR="003C1EC9" w:rsidRPr="003C1EC9" w:rsidRDefault="003C1EC9">
      <w:pPr>
        <w:pStyle w:val="EndnoteText"/>
        <w:rPr>
          <w:sz w:val="16"/>
          <w:szCs w:val="16"/>
        </w:rPr>
      </w:pPr>
      <w:r w:rsidRPr="003C1EC9">
        <w:rPr>
          <w:sz w:val="16"/>
          <w:szCs w:val="16"/>
        </w:rPr>
        <w:t>https://new.every1graduates.org/wp-content/uploads/2012/05/FINALChronicAbsenteeismReport_May16.pdf</w:t>
      </w:r>
      <w:r>
        <w:rPr>
          <w:sz w:val="16"/>
          <w:szCs w:val="16"/>
        </w:rPr>
        <w:t>.</w:t>
      </w:r>
    </w:p>
  </w:endnote>
  <w:endnote w:id="76">
    <w:p w14:paraId="6FE74D54" w14:textId="685869E0" w:rsidR="005061CF" w:rsidRDefault="009E3D7D" w:rsidP="009E3D7D">
      <w:pPr>
        <w:pStyle w:val="EndnoteText"/>
        <w:rPr>
          <w:sz w:val="16"/>
          <w:szCs w:val="16"/>
        </w:rPr>
      </w:pPr>
      <w:r w:rsidRPr="00B82421">
        <w:rPr>
          <w:rStyle w:val="EndnoteReference"/>
          <w:sz w:val="16"/>
          <w:szCs w:val="16"/>
        </w:rPr>
        <w:endnoteRef/>
      </w:r>
      <w:r w:rsidRPr="00B82421">
        <w:rPr>
          <w:sz w:val="16"/>
          <w:szCs w:val="16"/>
        </w:rPr>
        <w:t xml:space="preserve"> Australian Curriculum, Assessment and Reporting Authority</w:t>
      </w:r>
      <w:r w:rsidR="00E87569">
        <w:rPr>
          <w:sz w:val="16"/>
          <w:szCs w:val="16"/>
        </w:rPr>
        <w:t>,</w:t>
      </w:r>
      <w:r w:rsidRPr="00B82421">
        <w:rPr>
          <w:sz w:val="16"/>
          <w:szCs w:val="16"/>
        </w:rPr>
        <w:t xml:space="preserve"> </w:t>
      </w:r>
      <w:r w:rsidR="0066257A">
        <w:rPr>
          <w:sz w:val="16"/>
          <w:szCs w:val="16"/>
        </w:rPr>
        <w:t>“</w:t>
      </w:r>
      <w:r w:rsidRPr="0066257A">
        <w:rPr>
          <w:i/>
          <w:iCs/>
          <w:sz w:val="16"/>
          <w:szCs w:val="16"/>
        </w:rPr>
        <w:t>National Standards for Student Attendance Data Reporting Third Edition</w:t>
      </w:r>
      <w:r w:rsidR="0066257A">
        <w:rPr>
          <w:i/>
          <w:iCs/>
          <w:sz w:val="16"/>
          <w:szCs w:val="16"/>
        </w:rPr>
        <w:t>”,</w:t>
      </w:r>
      <w:r w:rsidRPr="00B82421">
        <w:rPr>
          <w:sz w:val="16"/>
          <w:szCs w:val="16"/>
        </w:rPr>
        <w:t xml:space="preserve"> July 2020</w:t>
      </w:r>
      <w:r w:rsidR="00E87569">
        <w:rPr>
          <w:sz w:val="16"/>
          <w:szCs w:val="16"/>
        </w:rPr>
        <w:t>,</w:t>
      </w:r>
      <w:r w:rsidRPr="00B82421">
        <w:rPr>
          <w:sz w:val="16"/>
          <w:szCs w:val="16"/>
        </w:rPr>
        <w:t xml:space="preserve"> </w:t>
      </w:r>
      <w:r w:rsidR="0090730E">
        <w:rPr>
          <w:sz w:val="16"/>
          <w:szCs w:val="16"/>
        </w:rPr>
        <w:t>Accessed</w:t>
      </w:r>
      <w:r w:rsidRPr="00B82421">
        <w:rPr>
          <w:sz w:val="16"/>
          <w:szCs w:val="16"/>
        </w:rPr>
        <w:t xml:space="preserve"> September 12, 2020</w:t>
      </w:r>
      <w:r w:rsidR="006E1A52">
        <w:rPr>
          <w:sz w:val="16"/>
          <w:szCs w:val="16"/>
        </w:rPr>
        <w:t>,</w:t>
      </w:r>
    </w:p>
    <w:p w14:paraId="57DE17B6" w14:textId="0F1C8179" w:rsidR="009E3D7D" w:rsidRPr="00B82421" w:rsidRDefault="009E3D7D" w:rsidP="009E3D7D">
      <w:pPr>
        <w:pStyle w:val="EndnoteText"/>
        <w:rPr>
          <w:sz w:val="16"/>
          <w:szCs w:val="16"/>
        </w:rPr>
      </w:pPr>
      <w:r w:rsidRPr="00B82421">
        <w:rPr>
          <w:sz w:val="16"/>
          <w:szCs w:val="16"/>
        </w:rPr>
        <w:t>https://www.acara.edu.au/docs/default-source/default-document-library/national-standards-for-student-attendance-reporting---third-edition.pdf?sfvrsn=0</w:t>
      </w:r>
      <w:r w:rsidR="008C0B51">
        <w:rPr>
          <w:sz w:val="16"/>
          <w:szCs w:val="16"/>
        </w:rPr>
        <w:t>.</w:t>
      </w:r>
    </w:p>
  </w:endnote>
  <w:endnote w:id="77">
    <w:p w14:paraId="29E75E19" w14:textId="23827F48" w:rsidR="004317CC" w:rsidRPr="004317CC" w:rsidRDefault="004317CC">
      <w:pPr>
        <w:pStyle w:val="EndnoteText"/>
        <w:rPr>
          <w:sz w:val="16"/>
          <w:szCs w:val="16"/>
        </w:rPr>
      </w:pPr>
      <w:r w:rsidRPr="004317CC">
        <w:rPr>
          <w:rStyle w:val="EndnoteReference"/>
          <w:sz w:val="16"/>
          <w:szCs w:val="16"/>
        </w:rPr>
        <w:endnoteRef/>
      </w:r>
      <w:r w:rsidRPr="004317CC">
        <w:rPr>
          <w:sz w:val="16"/>
          <w:szCs w:val="16"/>
        </w:rPr>
        <w:t xml:space="preserve"> </w:t>
      </w:r>
      <w:r w:rsidRPr="004317CC">
        <w:rPr>
          <w:color w:val="000000"/>
          <w:sz w:val="16"/>
          <w:szCs w:val="16"/>
        </w:rPr>
        <w:t>Peters, Sanne, Liza Hopkins, and Tony Barnett</w:t>
      </w:r>
      <w:r w:rsidR="00E87569">
        <w:rPr>
          <w:color w:val="000000"/>
          <w:sz w:val="16"/>
          <w:szCs w:val="16"/>
        </w:rPr>
        <w:t>,</w:t>
      </w:r>
      <w:r w:rsidRPr="004317CC">
        <w:rPr>
          <w:color w:val="000000"/>
          <w:sz w:val="16"/>
          <w:szCs w:val="16"/>
        </w:rPr>
        <w:t xml:space="preserve"> "Education for children with a chronic health condition: an evidence-informed approach to policy and practice decision making: Education in a Hospital Setting</w:t>
      </w:r>
      <w:r w:rsidR="006E1A52">
        <w:rPr>
          <w:color w:val="000000"/>
          <w:sz w:val="16"/>
          <w:szCs w:val="16"/>
        </w:rPr>
        <w:t>,</w:t>
      </w:r>
      <w:r w:rsidRPr="004317CC">
        <w:rPr>
          <w:color w:val="000000"/>
          <w:sz w:val="16"/>
          <w:szCs w:val="16"/>
        </w:rPr>
        <w:t xml:space="preserve">" </w:t>
      </w:r>
      <w:r w:rsidRPr="004317CC">
        <w:rPr>
          <w:i/>
          <w:color w:val="000000"/>
          <w:sz w:val="16"/>
          <w:szCs w:val="16"/>
        </w:rPr>
        <w:t>British Journal of Special Education</w:t>
      </w:r>
      <w:r w:rsidRPr="004317CC">
        <w:rPr>
          <w:color w:val="000000"/>
          <w:sz w:val="16"/>
          <w:szCs w:val="16"/>
        </w:rPr>
        <w:t xml:space="preserve"> 43, 2 (2016)</w:t>
      </w:r>
      <w:r w:rsidR="006E1A52">
        <w:rPr>
          <w:color w:val="000000"/>
          <w:sz w:val="16"/>
          <w:szCs w:val="16"/>
        </w:rPr>
        <w:t>,</w:t>
      </w:r>
      <w:r w:rsidRPr="004317CC">
        <w:rPr>
          <w:color w:val="000000"/>
          <w:sz w:val="16"/>
          <w:szCs w:val="16"/>
        </w:rPr>
        <w:t xml:space="preserve"> </w:t>
      </w:r>
      <w:hyperlink r:id="rId5">
        <w:r w:rsidRPr="004317CC">
          <w:rPr>
            <w:color w:val="000000"/>
            <w:sz w:val="16"/>
            <w:szCs w:val="16"/>
          </w:rPr>
          <w:t>https://doi.org/10.1111/1467-8578.12130</w:t>
        </w:r>
      </w:hyperlink>
    </w:p>
  </w:endnote>
  <w:endnote w:id="78">
    <w:p w14:paraId="36E2054C" w14:textId="1557D5DE" w:rsidR="00FB682B" w:rsidRPr="00FB682B" w:rsidRDefault="00FB682B">
      <w:pPr>
        <w:pStyle w:val="EndnoteText"/>
        <w:rPr>
          <w:sz w:val="16"/>
          <w:szCs w:val="16"/>
        </w:rPr>
      </w:pPr>
      <w:r w:rsidRPr="00FB682B">
        <w:rPr>
          <w:rStyle w:val="EndnoteReference"/>
          <w:sz w:val="16"/>
          <w:szCs w:val="16"/>
        </w:rPr>
        <w:endnoteRef/>
      </w:r>
      <w:r w:rsidRPr="00FB682B">
        <w:rPr>
          <w:sz w:val="16"/>
          <w:szCs w:val="16"/>
        </w:rPr>
        <w:t xml:space="preserve"> Lum, Alistair, Claire E. Wakefield, Barb Donnan, Mary A. Burns, Joanna E. Fardell, Adam Jaffe, Nadine A. Kasparian, et al. “Facilitating Engagement with School in Students with Chronic Illness through Positive Education: A Mixed-Methods Comparison Study.” </w:t>
      </w:r>
      <w:r w:rsidRPr="00AA656C">
        <w:rPr>
          <w:i/>
          <w:iCs/>
          <w:sz w:val="16"/>
          <w:szCs w:val="16"/>
        </w:rPr>
        <w:t>School Psychology</w:t>
      </w:r>
      <w:r w:rsidRPr="00FB682B">
        <w:rPr>
          <w:sz w:val="16"/>
          <w:szCs w:val="16"/>
        </w:rPr>
        <w:t xml:space="preserve"> 34, no. 6 (2019): 677–86. https://doi.org/10.1037/spq0000315.</w:t>
      </w:r>
    </w:p>
  </w:endnote>
  <w:endnote w:id="79">
    <w:p w14:paraId="7E92FE6B" w14:textId="7B08B08B" w:rsidR="00400E86" w:rsidRDefault="00E84D8F" w:rsidP="00392FA7">
      <w:pPr>
        <w:pStyle w:val="NormalWeb"/>
        <w:spacing w:before="0" w:beforeAutospacing="0" w:after="0" w:afterAutospacing="0"/>
        <w:rPr>
          <w:rFonts w:ascii="Arial" w:hAnsi="Arial" w:cs="Arial"/>
          <w:sz w:val="16"/>
          <w:szCs w:val="16"/>
        </w:rPr>
      </w:pPr>
      <w:r w:rsidRPr="00392FA7">
        <w:rPr>
          <w:rStyle w:val="EndnoteReference"/>
          <w:rFonts w:ascii="Arial" w:hAnsi="Arial" w:cs="Arial"/>
          <w:sz w:val="16"/>
          <w:szCs w:val="16"/>
        </w:rPr>
        <w:endnoteRef/>
      </w:r>
      <w:r w:rsidRPr="00392FA7">
        <w:rPr>
          <w:rFonts w:ascii="Arial" w:hAnsi="Arial" w:cs="Arial"/>
          <w:sz w:val="16"/>
          <w:szCs w:val="16"/>
        </w:rPr>
        <w:t xml:space="preserve"> </w:t>
      </w:r>
      <w:r w:rsidR="00B82421" w:rsidRPr="00392FA7">
        <w:rPr>
          <w:rFonts w:ascii="Arial" w:hAnsi="Arial" w:cs="Arial"/>
          <w:sz w:val="16"/>
          <w:szCs w:val="16"/>
        </w:rPr>
        <w:t>Wilkie, Karina, and Anthony Jones</w:t>
      </w:r>
      <w:r w:rsidR="006E1A52">
        <w:rPr>
          <w:rFonts w:ascii="Arial" w:hAnsi="Arial" w:cs="Arial"/>
          <w:sz w:val="16"/>
          <w:szCs w:val="16"/>
        </w:rPr>
        <w:t>,</w:t>
      </w:r>
      <w:r w:rsidR="00B82421" w:rsidRPr="00392FA7">
        <w:rPr>
          <w:rFonts w:ascii="Arial" w:hAnsi="Arial" w:cs="Arial"/>
          <w:sz w:val="16"/>
          <w:szCs w:val="16"/>
        </w:rPr>
        <w:t xml:space="preserve"> “New Developments in ICT and Education</w:t>
      </w:r>
      <w:r w:rsidR="006E1A52">
        <w:rPr>
          <w:rFonts w:ascii="Arial" w:hAnsi="Arial" w:cs="Arial"/>
          <w:sz w:val="16"/>
          <w:szCs w:val="16"/>
        </w:rPr>
        <w:t>,</w:t>
      </w:r>
      <w:r w:rsidR="00B82421" w:rsidRPr="00392FA7">
        <w:rPr>
          <w:rFonts w:ascii="Arial" w:hAnsi="Arial" w:cs="Arial"/>
          <w:sz w:val="16"/>
          <w:szCs w:val="16"/>
        </w:rPr>
        <w:t xml:space="preserve">” In </w:t>
      </w:r>
      <w:r w:rsidR="00B82421" w:rsidRPr="00392FA7">
        <w:rPr>
          <w:rFonts w:ascii="Arial" w:hAnsi="Arial" w:cs="Arial"/>
          <w:i/>
          <w:iCs/>
          <w:sz w:val="16"/>
          <w:szCs w:val="16"/>
        </w:rPr>
        <w:t>School Ties: Keeping Students with Chronic Illness Connected to Their School Learning Communities</w:t>
      </w:r>
      <w:r w:rsidR="006E1A52">
        <w:rPr>
          <w:rFonts w:ascii="Arial" w:hAnsi="Arial" w:cs="Arial"/>
          <w:sz w:val="16"/>
          <w:szCs w:val="16"/>
        </w:rPr>
        <w:t>,</w:t>
      </w:r>
      <w:r w:rsidR="00B82421" w:rsidRPr="00392FA7">
        <w:rPr>
          <w:rFonts w:ascii="Arial" w:hAnsi="Arial" w:cs="Arial"/>
          <w:sz w:val="16"/>
          <w:szCs w:val="16"/>
        </w:rPr>
        <w:t xml:space="preserve"> Amiens, 2010</w:t>
      </w:r>
      <w:r w:rsidR="006E1A52">
        <w:rPr>
          <w:rFonts w:ascii="Arial" w:hAnsi="Arial" w:cs="Arial"/>
          <w:sz w:val="16"/>
          <w:szCs w:val="16"/>
        </w:rPr>
        <w:t>,</w:t>
      </w:r>
      <w:r w:rsidR="00B82421" w:rsidRPr="00392FA7">
        <w:rPr>
          <w:rFonts w:ascii="Arial" w:hAnsi="Arial" w:cs="Arial"/>
          <w:sz w:val="16"/>
          <w:szCs w:val="16"/>
        </w:rPr>
        <w:t xml:space="preserve"> </w:t>
      </w:r>
      <w:r w:rsidR="0090730E">
        <w:rPr>
          <w:rFonts w:ascii="Arial" w:hAnsi="Arial" w:cs="Arial"/>
          <w:sz w:val="16"/>
          <w:szCs w:val="16"/>
        </w:rPr>
        <w:t>Accessed</w:t>
      </w:r>
      <w:r w:rsidR="00400E86">
        <w:rPr>
          <w:rFonts w:ascii="Arial" w:hAnsi="Arial" w:cs="Arial"/>
          <w:sz w:val="16"/>
          <w:szCs w:val="16"/>
        </w:rPr>
        <w:t xml:space="preserve"> September 13, 2020</w:t>
      </w:r>
      <w:r w:rsidR="006E1A52">
        <w:rPr>
          <w:rFonts w:ascii="Arial" w:hAnsi="Arial" w:cs="Arial"/>
          <w:sz w:val="16"/>
          <w:szCs w:val="16"/>
        </w:rPr>
        <w:t>,</w:t>
      </w:r>
    </w:p>
    <w:p w14:paraId="03BA58FA" w14:textId="193E1AB3" w:rsidR="00E84D8F" w:rsidRPr="00B82421" w:rsidRDefault="00B82421" w:rsidP="00392FA7">
      <w:pPr>
        <w:pStyle w:val="NormalWeb"/>
        <w:spacing w:before="0" w:beforeAutospacing="0" w:after="0" w:afterAutospacing="0"/>
        <w:rPr>
          <w:rFonts w:ascii="Arial" w:hAnsi="Arial" w:cs="Arial"/>
          <w:sz w:val="16"/>
          <w:szCs w:val="16"/>
        </w:rPr>
      </w:pPr>
      <w:r w:rsidRPr="00392FA7">
        <w:rPr>
          <w:rFonts w:ascii="Arial" w:hAnsi="Arial" w:cs="Arial"/>
          <w:sz w:val="16"/>
          <w:szCs w:val="16"/>
        </w:rPr>
        <w:t>https://www.researchgate.net/publication/259272342_School_ties_Keeping_students_with_chronic_illness_connected_to_their_school_learning_communities.</w:t>
      </w:r>
      <w:r w:rsidRPr="00B82421">
        <w:rPr>
          <w:rFonts w:ascii="Arial" w:hAnsi="Arial" w:cs="Arial"/>
          <w:sz w:val="16"/>
          <w:szCs w:val="16"/>
        </w:rPr>
        <w:t xml:space="preserve"> </w:t>
      </w:r>
    </w:p>
  </w:endnote>
  <w:endnote w:id="80">
    <w:p w14:paraId="0C3A2265" w14:textId="53305892" w:rsidR="00E84D8F" w:rsidRPr="00D20CAA" w:rsidRDefault="00E84D8F" w:rsidP="005026D4">
      <w:pPr>
        <w:pStyle w:val="EndnoteText"/>
        <w:rPr>
          <w:sz w:val="16"/>
          <w:szCs w:val="16"/>
          <w:highlight w:val="yellow"/>
        </w:rPr>
      </w:pPr>
      <w:r w:rsidRPr="008053D0">
        <w:rPr>
          <w:rStyle w:val="EndnoteReference"/>
          <w:sz w:val="16"/>
          <w:szCs w:val="16"/>
        </w:rPr>
        <w:endnoteRef/>
      </w:r>
      <w:r w:rsidRPr="008053D0">
        <w:rPr>
          <w:sz w:val="16"/>
          <w:szCs w:val="16"/>
        </w:rPr>
        <w:t xml:space="preserve"> </w:t>
      </w:r>
      <w:r w:rsidR="008053D0" w:rsidRPr="008053D0">
        <w:rPr>
          <w:sz w:val="16"/>
          <w:szCs w:val="16"/>
        </w:rPr>
        <w:t xml:space="preserve">At least two </w:t>
      </w:r>
      <w:r w:rsidR="001F6FB7">
        <w:rPr>
          <w:sz w:val="16"/>
          <w:szCs w:val="16"/>
        </w:rPr>
        <w:t xml:space="preserve">leading </w:t>
      </w:r>
      <w:r w:rsidR="008053D0" w:rsidRPr="008053D0">
        <w:rPr>
          <w:sz w:val="16"/>
          <w:szCs w:val="16"/>
        </w:rPr>
        <w:t xml:space="preserve">hospital schools in Australia are </w:t>
      </w:r>
      <w:r w:rsidR="002E2BF0">
        <w:rPr>
          <w:sz w:val="16"/>
          <w:szCs w:val="16"/>
        </w:rPr>
        <w:t>running</w:t>
      </w:r>
      <w:r w:rsidR="008053D0" w:rsidRPr="008053D0">
        <w:rPr>
          <w:sz w:val="16"/>
          <w:szCs w:val="16"/>
        </w:rPr>
        <w:t xml:space="preserve"> videoconferencing classes </w:t>
      </w:r>
      <w:r w:rsidR="002E2BF0">
        <w:rPr>
          <w:sz w:val="16"/>
          <w:szCs w:val="16"/>
        </w:rPr>
        <w:t>for</w:t>
      </w:r>
      <w:r w:rsidR="008053D0" w:rsidRPr="008053D0">
        <w:rPr>
          <w:sz w:val="16"/>
          <w:szCs w:val="16"/>
        </w:rPr>
        <w:t xml:space="preserve"> students after </w:t>
      </w:r>
      <w:r w:rsidR="003365C3">
        <w:rPr>
          <w:sz w:val="16"/>
          <w:szCs w:val="16"/>
        </w:rPr>
        <w:t>the students</w:t>
      </w:r>
      <w:r w:rsidR="008053D0" w:rsidRPr="008053D0">
        <w:rPr>
          <w:sz w:val="16"/>
          <w:szCs w:val="16"/>
        </w:rPr>
        <w:t xml:space="preserve"> leave the hospital and </w:t>
      </w:r>
      <w:r w:rsidR="001D4910">
        <w:rPr>
          <w:sz w:val="16"/>
          <w:szCs w:val="16"/>
        </w:rPr>
        <w:t xml:space="preserve">while they </w:t>
      </w:r>
      <w:r w:rsidR="008053D0" w:rsidRPr="008053D0">
        <w:rPr>
          <w:sz w:val="16"/>
          <w:szCs w:val="16"/>
        </w:rPr>
        <w:t>are home</w:t>
      </w:r>
      <w:r w:rsidR="001F6FB7">
        <w:rPr>
          <w:sz w:val="16"/>
          <w:szCs w:val="16"/>
        </w:rPr>
        <w:t>bound</w:t>
      </w:r>
      <w:r w:rsidR="008053D0" w:rsidRPr="008053D0">
        <w:rPr>
          <w:sz w:val="16"/>
          <w:szCs w:val="16"/>
        </w:rPr>
        <w:t xml:space="preserve">. </w:t>
      </w:r>
      <w:r w:rsidR="00BF0771">
        <w:rPr>
          <w:sz w:val="16"/>
          <w:szCs w:val="16"/>
        </w:rPr>
        <w:t>R</w:t>
      </w:r>
      <w:r w:rsidR="002E2BF0">
        <w:rPr>
          <w:sz w:val="16"/>
          <w:szCs w:val="16"/>
        </w:rPr>
        <w:t xml:space="preserve">egular schools </w:t>
      </w:r>
      <w:r w:rsidR="00BF0771">
        <w:rPr>
          <w:sz w:val="16"/>
          <w:szCs w:val="16"/>
        </w:rPr>
        <w:t xml:space="preserve">can </w:t>
      </w:r>
      <w:r w:rsidR="00AA656C">
        <w:rPr>
          <w:sz w:val="16"/>
          <w:szCs w:val="16"/>
        </w:rPr>
        <w:t>adopt a</w:t>
      </w:r>
      <w:r w:rsidR="002E2BF0">
        <w:rPr>
          <w:sz w:val="16"/>
          <w:szCs w:val="16"/>
        </w:rPr>
        <w:t xml:space="preserve"> similar service </w:t>
      </w:r>
      <w:r w:rsidR="00AA656C">
        <w:rPr>
          <w:sz w:val="16"/>
          <w:szCs w:val="16"/>
        </w:rPr>
        <w:t>for</w:t>
      </w:r>
      <w:r w:rsidR="007B291F">
        <w:rPr>
          <w:sz w:val="16"/>
          <w:szCs w:val="16"/>
        </w:rPr>
        <w:t xml:space="preserve"> one-to-one teaching and learning with</w:t>
      </w:r>
      <w:r w:rsidR="002E2BF0">
        <w:rPr>
          <w:sz w:val="16"/>
          <w:szCs w:val="16"/>
        </w:rPr>
        <w:t xml:space="preserve"> their own students </w:t>
      </w:r>
      <w:r w:rsidR="00B32050">
        <w:rPr>
          <w:sz w:val="16"/>
          <w:szCs w:val="16"/>
        </w:rPr>
        <w:t xml:space="preserve">during absence for </w:t>
      </w:r>
      <w:r w:rsidR="00AA656C">
        <w:rPr>
          <w:sz w:val="16"/>
          <w:szCs w:val="16"/>
        </w:rPr>
        <w:t>serious illness</w:t>
      </w:r>
      <w:r w:rsidR="008053D0">
        <w:rPr>
          <w:sz w:val="16"/>
          <w:szCs w:val="16"/>
        </w:rPr>
        <w:t xml:space="preserve">. </w:t>
      </w:r>
      <w:r w:rsidR="003365C3">
        <w:rPr>
          <w:sz w:val="16"/>
          <w:szCs w:val="16"/>
        </w:rPr>
        <w:t xml:space="preserve">This would </w:t>
      </w:r>
      <w:r w:rsidR="00BF0771">
        <w:rPr>
          <w:sz w:val="16"/>
          <w:szCs w:val="16"/>
        </w:rPr>
        <w:t>match responses in other countries where there is a legal requirement for regular schools to provide home-based tutoring</w:t>
      </w:r>
      <w:r w:rsidR="00371C61">
        <w:rPr>
          <w:sz w:val="16"/>
          <w:szCs w:val="16"/>
        </w:rPr>
        <w:t xml:space="preserve"> when students with serious illness are absent</w:t>
      </w:r>
      <w:r w:rsidR="004F7289">
        <w:rPr>
          <w:sz w:val="16"/>
          <w:szCs w:val="16"/>
        </w:rPr>
        <w:t xml:space="preserve"> and at home</w:t>
      </w:r>
      <w:r w:rsidR="00371C61">
        <w:rPr>
          <w:sz w:val="16"/>
          <w:szCs w:val="16"/>
        </w:rPr>
        <w:t>.</w:t>
      </w:r>
    </w:p>
  </w:endnote>
  <w:endnote w:id="81">
    <w:p w14:paraId="6F8F2D87" w14:textId="5A51B152" w:rsidR="00E84D8F" w:rsidRPr="00204343" w:rsidRDefault="00E84D8F">
      <w:pPr>
        <w:pStyle w:val="EndnoteText"/>
        <w:rPr>
          <w:sz w:val="16"/>
          <w:szCs w:val="16"/>
        </w:rPr>
      </w:pPr>
      <w:r w:rsidRPr="00204343">
        <w:rPr>
          <w:rStyle w:val="EndnoteReference"/>
          <w:sz w:val="16"/>
          <w:szCs w:val="16"/>
        </w:rPr>
        <w:endnoteRef/>
      </w:r>
      <w:r w:rsidRPr="00204343">
        <w:rPr>
          <w:sz w:val="16"/>
          <w:szCs w:val="16"/>
        </w:rPr>
        <w:t xml:space="preserve"> </w:t>
      </w:r>
      <w:r w:rsidR="00204343" w:rsidRPr="00204343">
        <w:rPr>
          <w:sz w:val="16"/>
          <w:szCs w:val="16"/>
        </w:rPr>
        <w:t>Health Conditions in School Alliance United Kingdom, 2014-2020. Accessed September 15, 2020.</w:t>
      </w:r>
    </w:p>
    <w:p w14:paraId="0B0C8D67" w14:textId="487DAE4C" w:rsidR="00204343" w:rsidRPr="00204343" w:rsidRDefault="00204343">
      <w:pPr>
        <w:pStyle w:val="EndnoteText"/>
        <w:rPr>
          <w:sz w:val="16"/>
          <w:szCs w:val="16"/>
        </w:rPr>
      </w:pPr>
      <w:r w:rsidRPr="00204343">
        <w:rPr>
          <w:sz w:val="16"/>
          <w:szCs w:val="16"/>
        </w:rPr>
        <w:t>http://medicalconditionsatschool.org.uk/</w:t>
      </w:r>
    </w:p>
  </w:endnote>
  <w:endnote w:id="82">
    <w:p w14:paraId="35AB1180" w14:textId="69069D3D" w:rsidR="00CE6316" w:rsidRPr="00475734" w:rsidRDefault="00CE6316" w:rsidP="00CE6316">
      <w:pPr>
        <w:pStyle w:val="EndnoteText"/>
        <w:rPr>
          <w:rStyle w:val="EndnoteReference"/>
          <w:sz w:val="16"/>
          <w:szCs w:val="16"/>
        </w:rPr>
      </w:pPr>
      <w:r w:rsidRPr="00475734">
        <w:rPr>
          <w:rStyle w:val="EndnoteReference"/>
          <w:sz w:val="16"/>
          <w:szCs w:val="16"/>
        </w:rPr>
        <w:endnoteRef/>
      </w:r>
      <w:r w:rsidRPr="00475734">
        <w:rPr>
          <w:rStyle w:val="EndnoteReference"/>
          <w:sz w:val="16"/>
          <w:szCs w:val="16"/>
        </w:rPr>
        <w:t xml:space="preserve"> </w:t>
      </w:r>
      <w:r w:rsidRPr="00475734">
        <w:rPr>
          <w:sz w:val="16"/>
          <w:szCs w:val="16"/>
        </w:rPr>
        <w:t>Barnes, Ashton, Borca, Cullen, Walker and Beattie</w:t>
      </w:r>
      <w:r w:rsidR="006E1A52">
        <w:rPr>
          <w:sz w:val="16"/>
          <w:szCs w:val="16"/>
        </w:rPr>
        <w:t>,</w:t>
      </w:r>
      <w:r w:rsidRPr="00475734">
        <w:rPr>
          <w:sz w:val="16"/>
          <w:szCs w:val="16"/>
        </w:rPr>
        <w:t xml:space="preserve"> “Children and Young People with Inflammatory Bowel Disease</w:t>
      </w:r>
      <w:r w:rsidR="006E1A52">
        <w:rPr>
          <w:sz w:val="16"/>
          <w:szCs w:val="16"/>
        </w:rPr>
        <w:t>,</w:t>
      </w:r>
      <w:r w:rsidRPr="00475734">
        <w:rPr>
          <w:sz w:val="16"/>
          <w:szCs w:val="16"/>
        </w:rPr>
        <w:t>”</w:t>
      </w:r>
      <w:r w:rsidR="00A60C8C">
        <w:rPr>
          <w:sz w:val="16"/>
          <w:szCs w:val="16"/>
        </w:rPr>
        <w:t xml:space="preserve"> 2020.</w:t>
      </w:r>
    </w:p>
  </w:endnote>
  <w:endnote w:id="83">
    <w:p w14:paraId="7788954C" w14:textId="67A98D3E" w:rsidR="00E84D8F" w:rsidRPr="00BA03F7" w:rsidRDefault="00E84D8F">
      <w:pPr>
        <w:pStyle w:val="EndnoteText"/>
        <w:rPr>
          <w:color w:val="000000"/>
          <w:sz w:val="16"/>
          <w:szCs w:val="16"/>
        </w:rPr>
      </w:pPr>
      <w:r w:rsidRPr="00BA03F7">
        <w:rPr>
          <w:rStyle w:val="EndnoteReference"/>
          <w:sz w:val="16"/>
          <w:szCs w:val="16"/>
        </w:rPr>
        <w:endnoteRef/>
      </w:r>
      <w:r w:rsidRPr="00BA03F7">
        <w:rPr>
          <w:sz w:val="16"/>
          <w:szCs w:val="16"/>
        </w:rPr>
        <w:t xml:space="preserve"> </w:t>
      </w:r>
      <w:r w:rsidR="00BA03F7" w:rsidRPr="00BA03F7">
        <w:rPr>
          <w:color w:val="000000"/>
          <w:sz w:val="16"/>
          <w:szCs w:val="16"/>
        </w:rPr>
        <w:t>Gilmour, Megan</w:t>
      </w:r>
      <w:r w:rsidR="006E1A52">
        <w:rPr>
          <w:color w:val="000000"/>
          <w:sz w:val="16"/>
          <w:szCs w:val="16"/>
        </w:rPr>
        <w:t>,</w:t>
      </w:r>
      <w:r w:rsidR="00BA03F7" w:rsidRPr="00BA03F7">
        <w:rPr>
          <w:color w:val="000000"/>
          <w:sz w:val="16"/>
          <w:szCs w:val="16"/>
        </w:rPr>
        <w:t xml:space="preserve"> </w:t>
      </w:r>
      <w:r w:rsidR="00BA03F7" w:rsidRPr="00BA03F7">
        <w:rPr>
          <w:i/>
          <w:color w:val="000000"/>
          <w:sz w:val="16"/>
          <w:szCs w:val="16"/>
        </w:rPr>
        <w:t>A study on models to enable seriously sick kids to maintain their education connections</w:t>
      </w:r>
      <w:r w:rsidR="00BA03F7" w:rsidRPr="00BA03F7">
        <w:rPr>
          <w:color w:val="000000"/>
          <w:sz w:val="16"/>
          <w:szCs w:val="16"/>
        </w:rPr>
        <w:t>, 2020.</w:t>
      </w:r>
    </w:p>
  </w:endnote>
  <w:endnote w:id="84">
    <w:p w14:paraId="5A53539E" w14:textId="510144D3" w:rsidR="008F0810" w:rsidRPr="00D20CAA" w:rsidRDefault="00E84D8F">
      <w:pPr>
        <w:pStyle w:val="EndnoteText"/>
        <w:rPr>
          <w:sz w:val="16"/>
          <w:szCs w:val="16"/>
          <w:highlight w:val="yellow"/>
        </w:rPr>
      </w:pPr>
      <w:r w:rsidRPr="008F0810">
        <w:rPr>
          <w:rStyle w:val="EndnoteReference"/>
          <w:sz w:val="16"/>
          <w:szCs w:val="16"/>
        </w:rPr>
        <w:endnoteRef/>
      </w:r>
      <w:r w:rsidRPr="008F0810">
        <w:rPr>
          <w:sz w:val="16"/>
          <w:szCs w:val="16"/>
        </w:rPr>
        <w:t xml:space="preserve"> </w:t>
      </w:r>
      <w:r w:rsidR="008A0BAC" w:rsidRPr="00A23DCD">
        <w:rPr>
          <w:sz w:val="16"/>
          <w:szCs w:val="16"/>
        </w:rPr>
        <w:t>Gilmour and Meyers, “Telepresence Robots: Building Better Practice,” 2018.</w:t>
      </w:r>
    </w:p>
  </w:endnote>
  <w:endnote w:id="85">
    <w:p w14:paraId="6C56E079" w14:textId="31394EC4" w:rsidR="00D75FAF" w:rsidRPr="00D75FAF" w:rsidRDefault="00E84D8F" w:rsidP="00F41725">
      <w:pPr>
        <w:pStyle w:val="EndnoteText"/>
        <w:rPr>
          <w:sz w:val="16"/>
          <w:szCs w:val="16"/>
        </w:rPr>
      </w:pPr>
      <w:r w:rsidRPr="00F41725">
        <w:rPr>
          <w:rStyle w:val="EndnoteReference"/>
          <w:sz w:val="16"/>
          <w:szCs w:val="16"/>
        </w:rPr>
        <w:endnoteRef/>
      </w:r>
      <w:r w:rsidRPr="00F41725">
        <w:rPr>
          <w:sz w:val="16"/>
          <w:szCs w:val="16"/>
        </w:rPr>
        <w:t xml:space="preserve"> </w:t>
      </w:r>
      <w:r w:rsidR="00D75FAF" w:rsidRPr="00F41725">
        <w:rPr>
          <w:sz w:val="16"/>
          <w:szCs w:val="16"/>
        </w:rPr>
        <w:t>Missing School Inc</w:t>
      </w:r>
      <w:r w:rsidR="006E1A52" w:rsidRPr="00F41725">
        <w:rPr>
          <w:sz w:val="16"/>
          <w:szCs w:val="16"/>
        </w:rPr>
        <w:t>,</w:t>
      </w:r>
      <w:r w:rsidR="00D75FAF" w:rsidRPr="00F41725">
        <w:rPr>
          <w:sz w:val="16"/>
          <w:szCs w:val="16"/>
        </w:rPr>
        <w:t xml:space="preserve"> </w:t>
      </w:r>
      <w:r w:rsidR="00D75FAF" w:rsidRPr="00F41725">
        <w:rPr>
          <w:i/>
          <w:iCs/>
          <w:sz w:val="16"/>
          <w:szCs w:val="16"/>
        </w:rPr>
        <w:t>MissingSchool’s Telepresence Robot Pilot</w:t>
      </w:r>
      <w:r w:rsidR="00D75FAF" w:rsidRPr="00F41725">
        <w:rPr>
          <w:sz w:val="16"/>
          <w:szCs w:val="16"/>
        </w:rPr>
        <w:t>. Canberra: Missing School Inc., 2017</w:t>
      </w:r>
      <w:r w:rsidR="00F41725" w:rsidRPr="00F41725">
        <w:rPr>
          <w:sz w:val="16"/>
          <w:szCs w:val="16"/>
        </w:rPr>
        <w:t>-2020</w:t>
      </w:r>
      <w:r w:rsidR="006E1A52" w:rsidRPr="00F41725">
        <w:rPr>
          <w:sz w:val="16"/>
          <w:szCs w:val="16"/>
        </w:rPr>
        <w:t>,</w:t>
      </w:r>
      <w:r w:rsidR="00D75FAF" w:rsidRPr="00F41725">
        <w:rPr>
          <w:sz w:val="16"/>
          <w:szCs w:val="16"/>
        </w:rPr>
        <w:t xml:space="preserve"> Accessed September 15, 2020</w:t>
      </w:r>
      <w:r w:rsidR="00F33C64">
        <w:rPr>
          <w:sz w:val="16"/>
          <w:szCs w:val="16"/>
        </w:rPr>
        <w:t>.</w:t>
      </w:r>
    </w:p>
    <w:p w14:paraId="3C97B1EA" w14:textId="4CC930FE" w:rsidR="00E84D8F" w:rsidRPr="00D20CAA" w:rsidRDefault="00D75FAF" w:rsidP="00D75FAF">
      <w:pPr>
        <w:pStyle w:val="EndnoteText"/>
        <w:rPr>
          <w:sz w:val="16"/>
          <w:szCs w:val="16"/>
          <w:highlight w:val="yellow"/>
        </w:rPr>
      </w:pPr>
      <w:r w:rsidRPr="00D75FAF">
        <w:rPr>
          <w:sz w:val="16"/>
          <w:szCs w:val="16"/>
        </w:rPr>
        <w:t>https://www.missingschool.org.au/page/80/telepresence</w:t>
      </w:r>
      <w:r w:rsidR="006E1A52">
        <w:rPr>
          <w:sz w:val="16"/>
          <w:szCs w:val="16"/>
        </w:rPr>
        <w:t>.</w:t>
      </w:r>
    </w:p>
  </w:endnote>
  <w:endnote w:id="86">
    <w:p w14:paraId="4B47B6B2" w14:textId="3A990680" w:rsidR="00AA656C" w:rsidRPr="00AA656C" w:rsidRDefault="00AA656C">
      <w:pPr>
        <w:pStyle w:val="EndnoteText"/>
        <w:rPr>
          <w:sz w:val="16"/>
          <w:szCs w:val="16"/>
        </w:rPr>
      </w:pPr>
      <w:r w:rsidRPr="00AA656C">
        <w:rPr>
          <w:rStyle w:val="EndnoteReference"/>
          <w:sz w:val="16"/>
          <w:szCs w:val="16"/>
        </w:rPr>
        <w:endnoteRef/>
      </w:r>
      <w:r w:rsidRPr="00AA656C">
        <w:rPr>
          <w:sz w:val="16"/>
          <w:szCs w:val="16"/>
        </w:rPr>
        <w:t xml:space="preserve"> Soares N, </w:t>
      </w:r>
      <w:r>
        <w:rPr>
          <w:sz w:val="16"/>
          <w:szCs w:val="16"/>
        </w:rPr>
        <w:t>Jeffrey C. Kay</w:t>
      </w:r>
      <w:r w:rsidRPr="00AA656C">
        <w:rPr>
          <w:sz w:val="16"/>
          <w:szCs w:val="16"/>
        </w:rPr>
        <w:t xml:space="preserve">, </w:t>
      </w:r>
      <w:r>
        <w:rPr>
          <w:sz w:val="16"/>
          <w:szCs w:val="16"/>
        </w:rPr>
        <w:t xml:space="preserve">and Geoff </w:t>
      </w:r>
      <w:r w:rsidRPr="00AA656C">
        <w:rPr>
          <w:sz w:val="16"/>
          <w:szCs w:val="16"/>
        </w:rPr>
        <w:t xml:space="preserve">Craven. </w:t>
      </w:r>
      <w:r>
        <w:rPr>
          <w:sz w:val="16"/>
          <w:szCs w:val="16"/>
        </w:rPr>
        <w:t>“</w:t>
      </w:r>
      <w:r w:rsidRPr="00AA656C">
        <w:rPr>
          <w:sz w:val="16"/>
          <w:szCs w:val="16"/>
        </w:rPr>
        <w:t>Mobile Robotic Telepresence Solutions for the Education of Hospitalized Children</w:t>
      </w:r>
      <w:r>
        <w:rPr>
          <w:sz w:val="16"/>
          <w:szCs w:val="16"/>
        </w:rPr>
        <w:t>”</w:t>
      </w:r>
      <w:r w:rsidRPr="00AA656C">
        <w:rPr>
          <w:sz w:val="16"/>
          <w:szCs w:val="16"/>
        </w:rPr>
        <w:t xml:space="preserve">. </w:t>
      </w:r>
      <w:r w:rsidRPr="00AA656C">
        <w:rPr>
          <w:i/>
          <w:iCs/>
          <w:sz w:val="16"/>
          <w:szCs w:val="16"/>
        </w:rPr>
        <w:t>Perspectives Health Information Management</w:t>
      </w:r>
      <w:r w:rsidRPr="00AA656C">
        <w:rPr>
          <w:sz w:val="16"/>
          <w:szCs w:val="16"/>
        </w:rPr>
        <w:t xml:space="preserve"> Oct 1;14(Fall):1e </w:t>
      </w:r>
      <w:r>
        <w:rPr>
          <w:sz w:val="16"/>
          <w:szCs w:val="16"/>
        </w:rPr>
        <w:t>(</w:t>
      </w:r>
      <w:r w:rsidRPr="00AA656C">
        <w:rPr>
          <w:sz w:val="16"/>
          <w:szCs w:val="16"/>
        </w:rPr>
        <w:t>2017</w:t>
      </w:r>
      <w:r>
        <w:rPr>
          <w:sz w:val="16"/>
          <w:szCs w:val="16"/>
        </w:rPr>
        <w:t>)</w:t>
      </w:r>
      <w:r w:rsidRPr="00AA656C">
        <w:rPr>
          <w:sz w:val="16"/>
          <w:szCs w:val="16"/>
        </w:rPr>
        <w:t>. PMID: 29118682; PMCID: PMC5653953.</w:t>
      </w:r>
      <w:r>
        <w:rPr>
          <w:sz w:val="16"/>
          <w:szCs w:val="16"/>
        </w:rPr>
        <w:t xml:space="preserve"> </w:t>
      </w:r>
    </w:p>
  </w:endnote>
  <w:endnote w:id="87">
    <w:p w14:paraId="35966B7A" w14:textId="37FBAA83" w:rsidR="008F0810" w:rsidRPr="008F0810" w:rsidRDefault="008F0810">
      <w:pPr>
        <w:pStyle w:val="EndnoteText"/>
        <w:rPr>
          <w:sz w:val="16"/>
          <w:szCs w:val="16"/>
        </w:rPr>
      </w:pPr>
      <w:r w:rsidRPr="008F0810">
        <w:rPr>
          <w:rStyle w:val="EndnoteReference"/>
          <w:sz w:val="16"/>
          <w:szCs w:val="16"/>
        </w:rPr>
        <w:endnoteRef/>
      </w:r>
      <w:r w:rsidRPr="008F0810">
        <w:rPr>
          <w:sz w:val="16"/>
          <w:szCs w:val="16"/>
        </w:rPr>
        <w:t xml:space="preserve"> Gilmour and Meyers, “Telepresence Robots: Building Better Practice</w:t>
      </w:r>
      <w:r w:rsidR="006E1A52">
        <w:rPr>
          <w:sz w:val="16"/>
          <w:szCs w:val="16"/>
        </w:rPr>
        <w:t>,</w:t>
      </w:r>
      <w:r w:rsidRPr="008F0810">
        <w:rPr>
          <w:sz w:val="16"/>
          <w:szCs w:val="16"/>
        </w:rPr>
        <w:t>” 2018</w:t>
      </w:r>
      <w:r w:rsidR="006E1A52">
        <w:rPr>
          <w:sz w:val="16"/>
          <w:szCs w:val="16"/>
        </w:rPr>
        <w:t>.</w:t>
      </w:r>
    </w:p>
  </w:endnote>
  <w:endnote w:id="88">
    <w:p w14:paraId="46C2E13C" w14:textId="77777777" w:rsidR="007C7FFB" w:rsidRDefault="007C7FFB" w:rsidP="007C7FFB">
      <w:pPr>
        <w:pStyle w:val="EndnoteText"/>
        <w:rPr>
          <w:sz w:val="16"/>
          <w:szCs w:val="16"/>
        </w:rPr>
      </w:pPr>
      <w:r w:rsidRPr="007C7FFB">
        <w:rPr>
          <w:rStyle w:val="EndnoteReference"/>
          <w:sz w:val="16"/>
          <w:szCs w:val="16"/>
        </w:rPr>
        <w:endnoteRef/>
      </w:r>
      <w:r w:rsidRPr="007C7FFB">
        <w:rPr>
          <w:sz w:val="16"/>
          <w:szCs w:val="16"/>
        </w:rPr>
        <w:t xml:space="preserve"> Cha, E., </w:t>
      </w:r>
      <w:r>
        <w:rPr>
          <w:sz w:val="16"/>
          <w:szCs w:val="16"/>
        </w:rPr>
        <w:t xml:space="preserve">Samantha </w:t>
      </w:r>
      <w:r w:rsidRPr="007C7FFB">
        <w:rPr>
          <w:sz w:val="16"/>
          <w:szCs w:val="16"/>
        </w:rPr>
        <w:t xml:space="preserve">Chen, </w:t>
      </w:r>
      <w:r>
        <w:rPr>
          <w:sz w:val="16"/>
          <w:szCs w:val="16"/>
        </w:rPr>
        <w:t xml:space="preserve">Maja J. </w:t>
      </w:r>
      <w:r w:rsidRPr="007C7FFB">
        <w:rPr>
          <w:sz w:val="16"/>
          <w:szCs w:val="16"/>
        </w:rPr>
        <w:t xml:space="preserve">Matarić. </w:t>
      </w:r>
      <w:r>
        <w:rPr>
          <w:sz w:val="16"/>
          <w:szCs w:val="16"/>
        </w:rPr>
        <w:t>“</w:t>
      </w:r>
      <w:r w:rsidRPr="007C7FFB">
        <w:rPr>
          <w:sz w:val="16"/>
          <w:szCs w:val="16"/>
        </w:rPr>
        <w:t>Designing</w:t>
      </w:r>
      <w:r>
        <w:rPr>
          <w:sz w:val="16"/>
          <w:szCs w:val="16"/>
        </w:rPr>
        <w:t xml:space="preserve"> </w:t>
      </w:r>
      <w:r w:rsidRPr="007C7FFB">
        <w:rPr>
          <w:sz w:val="16"/>
          <w:szCs w:val="16"/>
        </w:rPr>
        <w:t>Telepresence for K-12 Education</w:t>
      </w:r>
      <w:r>
        <w:rPr>
          <w:sz w:val="16"/>
          <w:szCs w:val="16"/>
        </w:rPr>
        <w:t>”</w:t>
      </w:r>
      <w:r w:rsidRPr="007C7FFB">
        <w:rPr>
          <w:sz w:val="16"/>
          <w:szCs w:val="16"/>
        </w:rPr>
        <w:t xml:space="preserve">. </w:t>
      </w:r>
      <w:r w:rsidRPr="007C7FFB">
        <w:rPr>
          <w:i/>
          <w:iCs/>
          <w:sz w:val="16"/>
          <w:szCs w:val="16"/>
        </w:rPr>
        <w:t>In 2017 IEEE International Symposium on Robot and Human Interactive Communication (RO-MAN ‘17)</w:t>
      </w:r>
      <w:r w:rsidRPr="007C7FFB">
        <w:rPr>
          <w:sz w:val="16"/>
          <w:szCs w:val="16"/>
        </w:rPr>
        <w:t>, Lisbon, Portugal, Aug</w:t>
      </w:r>
      <w:r>
        <w:rPr>
          <w:sz w:val="16"/>
          <w:szCs w:val="16"/>
        </w:rPr>
        <w:t>ust</w:t>
      </w:r>
      <w:r w:rsidRPr="007C7FFB">
        <w:rPr>
          <w:sz w:val="16"/>
          <w:szCs w:val="16"/>
        </w:rPr>
        <w:t xml:space="preserve"> 2017.</w:t>
      </w:r>
      <w:r>
        <w:rPr>
          <w:sz w:val="16"/>
          <w:szCs w:val="16"/>
        </w:rPr>
        <w:t xml:space="preserve"> </w:t>
      </w:r>
      <w:r w:rsidRPr="007C7FFB">
        <w:rPr>
          <w:sz w:val="16"/>
          <w:szCs w:val="16"/>
        </w:rPr>
        <w:t xml:space="preserve">IEEE </w:t>
      </w:r>
      <w:r>
        <w:rPr>
          <w:sz w:val="16"/>
          <w:szCs w:val="16"/>
        </w:rPr>
        <w:t>Accessed September 15, 2020.</w:t>
      </w:r>
      <w:r w:rsidRPr="007C7FFB">
        <w:rPr>
          <w:sz w:val="16"/>
          <w:szCs w:val="16"/>
        </w:rPr>
        <w:t xml:space="preserve"> </w:t>
      </w:r>
    </w:p>
    <w:p w14:paraId="0C650451" w14:textId="5EAAF9EE" w:rsidR="007C7FFB" w:rsidRPr="007C7FFB" w:rsidRDefault="007C7FFB" w:rsidP="007C7FFB">
      <w:pPr>
        <w:pStyle w:val="EndnoteText"/>
        <w:rPr>
          <w:sz w:val="16"/>
          <w:szCs w:val="16"/>
        </w:rPr>
      </w:pPr>
      <w:r w:rsidRPr="007C7FFB">
        <w:rPr>
          <w:sz w:val="16"/>
          <w:szCs w:val="16"/>
        </w:rPr>
        <w:t>http://lizcha.com/publications/roman_2017_telepresence.pdf</w:t>
      </w:r>
      <w:r>
        <w:rPr>
          <w:sz w:val="16"/>
          <w:szCs w:val="16"/>
        </w:rPr>
        <w:t xml:space="preserve"> </w:t>
      </w:r>
    </w:p>
  </w:endnote>
  <w:endnote w:id="89">
    <w:p w14:paraId="33245BA2" w14:textId="73AF171A" w:rsidR="00E84D8F" w:rsidRPr="00D20CAA" w:rsidRDefault="00E84D8F">
      <w:pPr>
        <w:pStyle w:val="EndnoteText"/>
        <w:rPr>
          <w:sz w:val="16"/>
          <w:szCs w:val="16"/>
          <w:highlight w:val="yellow"/>
        </w:rPr>
      </w:pPr>
      <w:r w:rsidRPr="00BA03F7">
        <w:rPr>
          <w:rStyle w:val="EndnoteReference"/>
          <w:sz w:val="16"/>
          <w:szCs w:val="16"/>
        </w:rPr>
        <w:endnoteRef/>
      </w:r>
      <w:r w:rsidRPr="00BA03F7">
        <w:rPr>
          <w:sz w:val="16"/>
          <w:szCs w:val="16"/>
        </w:rPr>
        <w:t xml:space="preserve"> </w:t>
      </w:r>
      <w:r w:rsidR="00BA03F7" w:rsidRPr="00BA03F7">
        <w:rPr>
          <w:sz w:val="16"/>
          <w:szCs w:val="16"/>
        </w:rPr>
        <w:t>Newhart, Veronica A., Mark Warschauer, and Leonard Sender</w:t>
      </w:r>
      <w:r w:rsidR="006E1A52">
        <w:rPr>
          <w:sz w:val="16"/>
          <w:szCs w:val="16"/>
        </w:rPr>
        <w:t>,</w:t>
      </w:r>
      <w:r w:rsidR="00BA03F7" w:rsidRPr="00BA03F7">
        <w:rPr>
          <w:sz w:val="16"/>
          <w:szCs w:val="16"/>
        </w:rPr>
        <w:t xml:space="preserve"> "Virtual Inclusion via Telepresence Robots in the Classroom: An Exploratory Case Study</w:t>
      </w:r>
      <w:r w:rsidR="006E1A52">
        <w:rPr>
          <w:sz w:val="16"/>
          <w:szCs w:val="16"/>
        </w:rPr>
        <w:t>,</w:t>
      </w:r>
      <w:r w:rsidR="00BA03F7" w:rsidRPr="00BA03F7">
        <w:rPr>
          <w:sz w:val="16"/>
          <w:szCs w:val="16"/>
        </w:rPr>
        <w:t xml:space="preserve">" </w:t>
      </w:r>
      <w:r w:rsidR="00BA03F7" w:rsidRPr="00BA03F7">
        <w:rPr>
          <w:i/>
          <w:iCs/>
          <w:sz w:val="16"/>
          <w:szCs w:val="16"/>
        </w:rPr>
        <w:t>The International Journal of Technologies in Learning</w:t>
      </w:r>
      <w:r w:rsidR="00BA03F7" w:rsidRPr="00BA03F7">
        <w:rPr>
          <w:sz w:val="16"/>
          <w:szCs w:val="16"/>
        </w:rPr>
        <w:t xml:space="preserve"> 23, 4 (2016): 9-25</w:t>
      </w:r>
      <w:r w:rsidR="006E1A52">
        <w:rPr>
          <w:sz w:val="16"/>
          <w:szCs w:val="16"/>
        </w:rPr>
        <w:t>,</w:t>
      </w:r>
      <w:r w:rsidR="00BA03F7" w:rsidRPr="00BA03F7">
        <w:rPr>
          <w:sz w:val="16"/>
          <w:szCs w:val="16"/>
        </w:rPr>
        <w:t xml:space="preserve"> </w:t>
      </w:r>
      <w:r w:rsidR="00BA03F7">
        <w:rPr>
          <w:sz w:val="16"/>
          <w:szCs w:val="16"/>
        </w:rPr>
        <w:t>Accessed</w:t>
      </w:r>
      <w:r w:rsidR="00BA03F7" w:rsidRPr="00BA03F7">
        <w:rPr>
          <w:sz w:val="16"/>
          <w:szCs w:val="16"/>
        </w:rPr>
        <w:t xml:space="preserve"> September </w:t>
      </w:r>
      <w:r w:rsidR="00BA03F7">
        <w:rPr>
          <w:sz w:val="16"/>
          <w:szCs w:val="16"/>
        </w:rPr>
        <w:t xml:space="preserve">15, </w:t>
      </w:r>
      <w:r w:rsidR="00BA03F7" w:rsidRPr="00BA03F7">
        <w:rPr>
          <w:sz w:val="16"/>
          <w:szCs w:val="16"/>
        </w:rPr>
        <w:t>20</w:t>
      </w:r>
      <w:r w:rsidR="00BA03F7">
        <w:rPr>
          <w:sz w:val="16"/>
          <w:szCs w:val="16"/>
        </w:rPr>
        <w:t>20</w:t>
      </w:r>
      <w:r w:rsidR="006E1A52">
        <w:rPr>
          <w:sz w:val="16"/>
          <w:szCs w:val="16"/>
        </w:rPr>
        <w:t xml:space="preserve">, </w:t>
      </w:r>
      <w:r w:rsidR="00BA03F7">
        <w:rPr>
          <w:sz w:val="16"/>
          <w:szCs w:val="16"/>
        </w:rPr>
        <w:t>h</w:t>
      </w:r>
      <w:r w:rsidR="00BA03F7" w:rsidRPr="00BA03F7">
        <w:rPr>
          <w:sz w:val="16"/>
          <w:szCs w:val="16"/>
        </w:rPr>
        <w:t>ttps://escholarship.org/uc/item/9zm4h7nf</w:t>
      </w:r>
      <w:r w:rsidR="00BA03F7">
        <w:rPr>
          <w:sz w:val="16"/>
          <w:szCs w:val="16"/>
        </w:rPr>
        <w:t>.</w:t>
      </w:r>
    </w:p>
  </w:endnote>
  <w:endnote w:id="90">
    <w:p w14:paraId="4D9438A8" w14:textId="45A3160E" w:rsidR="00E470EF" w:rsidRPr="00E470EF" w:rsidRDefault="00E470EF">
      <w:pPr>
        <w:pStyle w:val="EndnoteText"/>
        <w:rPr>
          <w:sz w:val="16"/>
          <w:szCs w:val="16"/>
        </w:rPr>
      </w:pPr>
      <w:r w:rsidRPr="00E470EF">
        <w:rPr>
          <w:rStyle w:val="EndnoteReference"/>
          <w:sz w:val="16"/>
          <w:szCs w:val="16"/>
        </w:rPr>
        <w:endnoteRef/>
      </w:r>
      <w:r w:rsidRPr="00E470EF">
        <w:rPr>
          <w:sz w:val="16"/>
          <w:szCs w:val="16"/>
        </w:rPr>
        <w:t xml:space="preserve"> Missing School Inc, </w:t>
      </w:r>
      <w:r w:rsidRPr="00E470EF">
        <w:rPr>
          <w:i/>
          <w:iCs/>
          <w:sz w:val="16"/>
          <w:szCs w:val="16"/>
        </w:rPr>
        <w:t>MissingSchool’s Telepresence Robot Pilot</w:t>
      </w:r>
      <w:r w:rsidRPr="00E470EF">
        <w:rPr>
          <w:sz w:val="16"/>
          <w:szCs w:val="16"/>
        </w:rPr>
        <w:t>. (unpublished data). 2017-2020.</w:t>
      </w:r>
    </w:p>
  </w:endnote>
  <w:endnote w:id="91">
    <w:p w14:paraId="39E9EBBC" w14:textId="38426392" w:rsidR="00EA47FB" w:rsidRPr="009E2AA6" w:rsidRDefault="00B43098" w:rsidP="00EA47FB">
      <w:pPr>
        <w:pStyle w:val="EndnoteText"/>
        <w:rPr>
          <w:sz w:val="16"/>
          <w:szCs w:val="16"/>
        </w:rPr>
      </w:pPr>
      <w:r w:rsidRPr="00D75FAF">
        <w:rPr>
          <w:rStyle w:val="EndnoteReference"/>
          <w:sz w:val="16"/>
          <w:szCs w:val="16"/>
        </w:rPr>
        <w:endnoteRef/>
      </w:r>
      <w:r w:rsidRPr="00D75FAF">
        <w:rPr>
          <w:sz w:val="16"/>
          <w:szCs w:val="16"/>
        </w:rPr>
        <w:t xml:space="preserve"> </w:t>
      </w:r>
      <w:r w:rsidR="00EA47FB" w:rsidRPr="00D75FAF">
        <w:rPr>
          <w:sz w:val="16"/>
          <w:szCs w:val="16"/>
        </w:rPr>
        <w:t>Missing School Inc</w:t>
      </w:r>
      <w:r w:rsidR="006E1A52">
        <w:rPr>
          <w:sz w:val="16"/>
          <w:szCs w:val="16"/>
        </w:rPr>
        <w:t>,</w:t>
      </w:r>
      <w:r w:rsidR="00EA47FB" w:rsidRPr="00D75FAF">
        <w:rPr>
          <w:sz w:val="16"/>
          <w:szCs w:val="16"/>
        </w:rPr>
        <w:t xml:space="preserve"> </w:t>
      </w:r>
      <w:r w:rsidR="00EA47FB" w:rsidRPr="00D75FAF">
        <w:rPr>
          <w:i/>
          <w:iCs/>
          <w:color w:val="222222"/>
          <w:sz w:val="16"/>
          <w:szCs w:val="16"/>
          <w:shd w:val="clear" w:color="auto" w:fill="FFFFFF"/>
        </w:rPr>
        <w:t>MissingSchool’s Theory of Change Problem Map</w:t>
      </w:r>
      <w:r w:rsidR="006E1A52">
        <w:rPr>
          <w:color w:val="222222"/>
          <w:sz w:val="16"/>
          <w:szCs w:val="16"/>
          <w:shd w:val="clear" w:color="auto" w:fill="FFFFFF"/>
        </w:rPr>
        <w:t>,</w:t>
      </w:r>
      <w:r w:rsidR="00EA47FB" w:rsidRPr="00D75FAF">
        <w:rPr>
          <w:color w:val="222222"/>
          <w:sz w:val="16"/>
          <w:szCs w:val="16"/>
          <w:shd w:val="clear" w:color="auto" w:fill="FFFFFF"/>
        </w:rPr>
        <w:t xml:space="preserve"> Version 12</w:t>
      </w:r>
      <w:r w:rsidR="006E1A52">
        <w:rPr>
          <w:color w:val="222222"/>
          <w:sz w:val="16"/>
          <w:szCs w:val="16"/>
          <w:shd w:val="clear" w:color="auto" w:fill="FFFFFF"/>
        </w:rPr>
        <w:t>,</w:t>
      </w:r>
      <w:r w:rsidR="00EA47FB" w:rsidRPr="00D75FAF">
        <w:rPr>
          <w:color w:val="222222"/>
          <w:sz w:val="16"/>
          <w:szCs w:val="16"/>
          <w:shd w:val="clear" w:color="auto" w:fill="FFFFFF"/>
        </w:rPr>
        <w:t xml:space="preserve"> Canberra: Missing School Inc., 2017</w:t>
      </w:r>
      <w:r w:rsidR="006E1A52">
        <w:rPr>
          <w:color w:val="222222"/>
          <w:sz w:val="16"/>
          <w:szCs w:val="16"/>
          <w:shd w:val="clear" w:color="auto" w:fill="FFFFFF"/>
        </w:rPr>
        <w:t>,</w:t>
      </w:r>
      <w:r w:rsidR="00EA47FB" w:rsidRPr="009E2AA6">
        <w:rPr>
          <w:color w:val="222222"/>
          <w:sz w:val="16"/>
          <w:szCs w:val="16"/>
          <w:shd w:val="clear" w:color="auto" w:fill="FFFFFF"/>
        </w:rPr>
        <w:t xml:space="preserve"> </w:t>
      </w:r>
      <w:r w:rsidR="00EA47FB" w:rsidRPr="009E2AA6">
        <w:rPr>
          <w:sz w:val="16"/>
          <w:szCs w:val="16"/>
        </w:rPr>
        <w:t>Accessed September 15, 2020</w:t>
      </w:r>
    </w:p>
    <w:p w14:paraId="70F7DFA9" w14:textId="65F2A669" w:rsidR="00B43098" w:rsidRPr="00D20CAA" w:rsidRDefault="00EA47FB" w:rsidP="00B43098">
      <w:pPr>
        <w:pStyle w:val="EndnoteText"/>
        <w:rPr>
          <w:sz w:val="16"/>
          <w:szCs w:val="16"/>
          <w:highlight w:val="yellow"/>
        </w:rPr>
      </w:pPr>
      <w:r w:rsidRPr="00EA47FB">
        <w:rPr>
          <w:sz w:val="16"/>
          <w:szCs w:val="16"/>
        </w:rPr>
        <w:t>https://www.missingschool.org.au/page/72/our-principles</w:t>
      </w:r>
      <w:r w:rsidR="006E1A52">
        <w:rPr>
          <w:sz w:val="16"/>
          <w:szCs w:val="16"/>
        </w:rPr>
        <w:t>.</w:t>
      </w:r>
    </w:p>
  </w:endnote>
  <w:endnote w:id="92">
    <w:p w14:paraId="3AD6EE34" w14:textId="427F0A43" w:rsidR="009E2AA6" w:rsidRPr="00BA03F7" w:rsidRDefault="009E2AA6">
      <w:pPr>
        <w:pStyle w:val="EndnoteText"/>
        <w:rPr>
          <w:color w:val="222222"/>
          <w:sz w:val="16"/>
          <w:szCs w:val="16"/>
          <w:shd w:val="clear" w:color="auto" w:fill="FFFFFF"/>
        </w:rPr>
      </w:pPr>
      <w:r w:rsidRPr="009E2AA6">
        <w:rPr>
          <w:rStyle w:val="EndnoteReference"/>
          <w:sz w:val="16"/>
          <w:szCs w:val="16"/>
        </w:rPr>
        <w:endnoteRef/>
      </w:r>
      <w:r w:rsidRPr="009E2AA6">
        <w:rPr>
          <w:sz w:val="16"/>
          <w:szCs w:val="16"/>
        </w:rPr>
        <w:t xml:space="preserve"> Missing School Inc</w:t>
      </w:r>
      <w:r w:rsidR="006E1A52">
        <w:rPr>
          <w:sz w:val="16"/>
          <w:szCs w:val="16"/>
        </w:rPr>
        <w:t>,</w:t>
      </w:r>
      <w:r w:rsidRPr="009E2AA6">
        <w:rPr>
          <w:sz w:val="16"/>
          <w:szCs w:val="16"/>
        </w:rPr>
        <w:t xml:space="preserve"> </w:t>
      </w:r>
      <w:r w:rsidRPr="009E2AA6">
        <w:rPr>
          <w:i/>
          <w:iCs/>
          <w:color w:val="222222"/>
          <w:sz w:val="16"/>
          <w:szCs w:val="16"/>
          <w:shd w:val="clear" w:color="auto" w:fill="FFFFFF"/>
        </w:rPr>
        <w:t>Telepresence Robots are Creating Space in their Classrooms for Sick Kids</w:t>
      </w:r>
      <w:r w:rsidR="006E1A52">
        <w:rPr>
          <w:color w:val="222222"/>
          <w:sz w:val="16"/>
          <w:szCs w:val="16"/>
          <w:shd w:val="clear" w:color="auto" w:fill="FFFFFF"/>
        </w:rPr>
        <w:t>,</w:t>
      </w:r>
      <w:r w:rsidRPr="009E2AA6">
        <w:rPr>
          <w:color w:val="222222"/>
          <w:sz w:val="16"/>
          <w:szCs w:val="16"/>
          <w:shd w:val="clear" w:color="auto" w:fill="FFFFFF"/>
        </w:rPr>
        <w:t xml:space="preserve"> Canberra: Missing School</w:t>
      </w:r>
      <w:r>
        <w:rPr>
          <w:color w:val="222222"/>
          <w:sz w:val="16"/>
          <w:szCs w:val="16"/>
          <w:shd w:val="clear" w:color="auto" w:fill="FFFFFF"/>
        </w:rPr>
        <w:t xml:space="preserve"> Inc., 2020</w:t>
      </w:r>
      <w:r w:rsidRPr="009E2AA6">
        <w:rPr>
          <w:color w:val="222222"/>
          <w:sz w:val="16"/>
          <w:szCs w:val="16"/>
          <w:shd w:val="clear" w:color="auto" w:fill="FFFFFF"/>
        </w:rPr>
        <w:t xml:space="preserve">. </w:t>
      </w:r>
      <w:r w:rsidRPr="009E2AA6">
        <w:rPr>
          <w:sz w:val="16"/>
          <w:szCs w:val="16"/>
        </w:rPr>
        <w:t>Accessed September 15, 2020</w:t>
      </w:r>
      <w:r w:rsidR="006E1A52">
        <w:rPr>
          <w:sz w:val="16"/>
          <w:szCs w:val="16"/>
        </w:rPr>
        <w:t xml:space="preserve">, </w:t>
      </w:r>
      <w:r w:rsidRPr="009E2AA6">
        <w:rPr>
          <w:color w:val="222222"/>
          <w:sz w:val="16"/>
          <w:szCs w:val="16"/>
          <w:shd w:val="clear" w:color="auto" w:fill="FFFFFF"/>
        </w:rPr>
        <w:t>https://msch-website.s3.amazonaws.com/MissingSchool_1pp_v6.pdf</w:t>
      </w:r>
      <w:r w:rsidR="006E1A52">
        <w:rPr>
          <w:color w:val="222222"/>
          <w:sz w:val="16"/>
          <w:szCs w:val="16"/>
          <w:shd w:val="clear" w:color="auto" w:fill="FFFFFF"/>
        </w:rPr>
        <w:t>.</w:t>
      </w:r>
    </w:p>
  </w:endnote>
  <w:endnote w:id="93">
    <w:p w14:paraId="48A8DA7B" w14:textId="77777777" w:rsidR="00510E89" w:rsidRPr="00E84D8F" w:rsidRDefault="00510E89" w:rsidP="00510E89">
      <w:pPr>
        <w:pStyle w:val="EndnoteText"/>
        <w:rPr>
          <w:sz w:val="16"/>
          <w:szCs w:val="16"/>
        </w:rPr>
      </w:pPr>
      <w:r w:rsidRPr="00CD67E1">
        <w:rPr>
          <w:rStyle w:val="EndnoteReference"/>
          <w:sz w:val="16"/>
          <w:szCs w:val="16"/>
        </w:rPr>
        <w:endnoteRef/>
      </w:r>
      <w:r w:rsidRPr="00CD67E1">
        <w:rPr>
          <w:sz w:val="16"/>
          <w:szCs w:val="16"/>
        </w:rPr>
        <w:t xml:space="preserve"> NSW Department of Education, </w:t>
      </w:r>
      <w:r w:rsidRPr="00CD67E1">
        <w:rPr>
          <w:i/>
          <w:iCs/>
          <w:sz w:val="16"/>
          <w:szCs w:val="16"/>
        </w:rPr>
        <w:t>School Systems Incubator: Scaling Support for Sick Students During Absence</w:t>
      </w:r>
      <w:r w:rsidRPr="00CD67E1">
        <w:rPr>
          <w:sz w:val="16"/>
          <w:szCs w:val="16"/>
        </w:rPr>
        <w:t>, Sydney: NSW Department of Education, 2020.</w:t>
      </w:r>
    </w:p>
  </w:endnote>
  <w:endnote w:id="94">
    <w:p w14:paraId="74FE6D28" w14:textId="79EED741" w:rsidR="00463D7E" w:rsidRPr="00463D7E" w:rsidRDefault="00463D7E">
      <w:pPr>
        <w:pStyle w:val="EndnoteText"/>
        <w:rPr>
          <w:sz w:val="16"/>
          <w:szCs w:val="16"/>
        </w:rPr>
      </w:pPr>
      <w:r w:rsidRPr="00463D7E">
        <w:rPr>
          <w:rStyle w:val="EndnoteReference"/>
          <w:sz w:val="16"/>
          <w:szCs w:val="16"/>
        </w:rPr>
        <w:endnoteRef/>
      </w:r>
      <w:r w:rsidRPr="00463D7E">
        <w:rPr>
          <w:sz w:val="16"/>
          <w:szCs w:val="16"/>
        </w:rPr>
        <w:t xml:space="preserve"> Missing School Inc, </w:t>
      </w:r>
      <w:r w:rsidRPr="00243F1B">
        <w:rPr>
          <w:i/>
          <w:iCs/>
          <w:sz w:val="16"/>
          <w:szCs w:val="16"/>
        </w:rPr>
        <w:t>MissingSchool’s Telepresence Robot Pilot</w:t>
      </w:r>
      <w:r w:rsidRPr="00463D7E">
        <w:rPr>
          <w:sz w:val="16"/>
          <w:szCs w:val="16"/>
        </w:rPr>
        <w:t xml:space="preserve">. </w:t>
      </w:r>
      <w:r w:rsidR="004D7062">
        <w:rPr>
          <w:sz w:val="16"/>
          <w:szCs w:val="16"/>
        </w:rPr>
        <w:t xml:space="preserve">(unpublished data). </w:t>
      </w:r>
      <w:r w:rsidRPr="00463D7E">
        <w:rPr>
          <w:sz w:val="16"/>
          <w:szCs w:val="16"/>
        </w:rPr>
        <w:t>2017-2020.</w:t>
      </w:r>
    </w:p>
  </w:endnote>
  <w:endnote w:id="95">
    <w:p w14:paraId="605AC702" w14:textId="1927D7CA" w:rsidR="008A0BAC" w:rsidRDefault="008A0BAC">
      <w:pPr>
        <w:pStyle w:val="EndnoteText"/>
        <w:rPr>
          <w:sz w:val="16"/>
          <w:szCs w:val="16"/>
        </w:rPr>
      </w:pPr>
      <w:r w:rsidRPr="008A0BAC">
        <w:rPr>
          <w:rStyle w:val="EndnoteReference"/>
          <w:sz w:val="16"/>
          <w:szCs w:val="16"/>
        </w:rPr>
        <w:endnoteRef/>
      </w:r>
      <w:r w:rsidRPr="008A0BAC">
        <w:rPr>
          <w:sz w:val="16"/>
          <w:szCs w:val="16"/>
        </w:rPr>
        <w:t xml:space="preserve"> </w:t>
      </w:r>
      <w:r>
        <w:rPr>
          <w:sz w:val="16"/>
          <w:szCs w:val="16"/>
        </w:rPr>
        <w:t xml:space="preserve">Prime Minister Scott Morrison </w:t>
      </w:r>
      <w:r w:rsidR="0043501B">
        <w:rPr>
          <w:sz w:val="16"/>
          <w:szCs w:val="16"/>
        </w:rPr>
        <w:t>speaks</w:t>
      </w:r>
      <w:r>
        <w:rPr>
          <w:sz w:val="16"/>
          <w:szCs w:val="16"/>
        </w:rPr>
        <w:t xml:space="preserve"> to Joshua</w:t>
      </w:r>
      <w:r w:rsidR="008A6217">
        <w:rPr>
          <w:sz w:val="16"/>
          <w:szCs w:val="16"/>
        </w:rPr>
        <w:t>, 23 July, 2020</w:t>
      </w:r>
      <w:r>
        <w:rPr>
          <w:sz w:val="16"/>
          <w:szCs w:val="16"/>
        </w:rPr>
        <w:t>. Parliament House. Canberra: Australia</w:t>
      </w:r>
      <w:r w:rsidR="008A6217">
        <w:rPr>
          <w:sz w:val="16"/>
          <w:szCs w:val="16"/>
        </w:rPr>
        <w:t>, 2020. Accessed September 15, 2020.</w:t>
      </w:r>
    </w:p>
    <w:p w14:paraId="63D5628F" w14:textId="45B232FC" w:rsidR="008A0BAC" w:rsidRPr="008A0BAC" w:rsidRDefault="008A0BAC">
      <w:pPr>
        <w:pStyle w:val="EndnoteText"/>
        <w:rPr>
          <w:sz w:val="16"/>
          <w:szCs w:val="16"/>
        </w:rPr>
      </w:pPr>
      <w:r w:rsidRPr="008A0BAC">
        <w:rPr>
          <w:sz w:val="16"/>
          <w:szCs w:val="16"/>
        </w:rPr>
        <w:t>https://www.facebook.com/scottmorrison4cook/videos/327741438255549</w:t>
      </w:r>
    </w:p>
  </w:endnote>
  <w:endnote w:id="96">
    <w:p w14:paraId="10AF12EC" w14:textId="2FE32AE7" w:rsidR="008A6217" w:rsidRPr="00E35FC5" w:rsidRDefault="008A6217">
      <w:pPr>
        <w:pStyle w:val="EndnoteText"/>
        <w:rPr>
          <w:sz w:val="16"/>
          <w:szCs w:val="16"/>
        </w:rPr>
      </w:pPr>
      <w:r w:rsidRPr="00E35FC5">
        <w:rPr>
          <w:rStyle w:val="EndnoteReference"/>
          <w:sz w:val="16"/>
          <w:szCs w:val="16"/>
        </w:rPr>
        <w:endnoteRef/>
      </w:r>
      <w:r w:rsidRPr="00E35FC5">
        <w:rPr>
          <w:sz w:val="16"/>
          <w:szCs w:val="16"/>
        </w:rPr>
        <w:t xml:space="preserve"> Prime Minister Scott Morrison </w:t>
      </w:r>
      <w:r w:rsidR="002D5307">
        <w:rPr>
          <w:sz w:val="16"/>
          <w:szCs w:val="16"/>
        </w:rPr>
        <w:t>speaks</w:t>
      </w:r>
      <w:r w:rsidRPr="00E35FC5">
        <w:rPr>
          <w:sz w:val="16"/>
          <w:szCs w:val="16"/>
        </w:rPr>
        <w:t xml:space="preserve"> to Joshua, 23 July, 2020.</w:t>
      </w:r>
    </w:p>
  </w:endnote>
  <w:endnote w:id="97">
    <w:p w14:paraId="0DCC5FBE" w14:textId="2509674C" w:rsidR="009B0E77" w:rsidRPr="009B0E77" w:rsidRDefault="009B0E77">
      <w:pPr>
        <w:pStyle w:val="EndnoteText"/>
        <w:rPr>
          <w:sz w:val="16"/>
          <w:szCs w:val="16"/>
        </w:rPr>
      </w:pPr>
      <w:r w:rsidRPr="009B0E77">
        <w:rPr>
          <w:rStyle w:val="EndnoteReference"/>
          <w:sz w:val="16"/>
          <w:szCs w:val="16"/>
        </w:rPr>
        <w:endnoteRef/>
      </w:r>
      <w:r w:rsidRPr="009B0E77">
        <w:rPr>
          <w:sz w:val="16"/>
          <w:szCs w:val="16"/>
        </w:rPr>
        <w:t xml:space="preserve"> Note that the National Disability Insurance Scheme</w:t>
      </w:r>
      <w:r w:rsidR="00263F19">
        <w:rPr>
          <w:sz w:val="16"/>
          <w:szCs w:val="16"/>
        </w:rPr>
        <w:t xml:space="preserve"> (NDIS)</w:t>
      </w:r>
      <w:r w:rsidRPr="009B0E77">
        <w:rPr>
          <w:sz w:val="16"/>
          <w:szCs w:val="16"/>
        </w:rPr>
        <w:t xml:space="preserve"> </w:t>
      </w:r>
      <w:r w:rsidR="00263F19">
        <w:rPr>
          <w:sz w:val="16"/>
          <w:szCs w:val="16"/>
        </w:rPr>
        <w:t xml:space="preserve">specifies a requirement for </w:t>
      </w:r>
      <w:r w:rsidRPr="009B0E77">
        <w:rPr>
          <w:sz w:val="16"/>
          <w:szCs w:val="16"/>
        </w:rPr>
        <w:t xml:space="preserve">permanent disability </w:t>
      </w:r>
      <w:r w:rsidR="00263F19">
        <w:rPr>
          <w:sz w:val="16"/>
          <w:szCs w:val="16"/>
        </w:rPr>
        <w:t>in order to cover costs. Illness often does not meet this test. The NDIS will not fund services deemed to be the responsibility of education systems.</w:t>
      </w:r>
    </w:p>
  </w:endnote>
  <w:endnote w:id="98">
    <w:p w14:paraId="2F1A7F03" w14:textId="56E49FF2" w:rsidR="009E2AA6" w:rsidRPr="009E2AA6" w:rsidRDefault="000D3E3C">
      <w:pPr>
        <w:pStyle w:val="EndnoteText"/>
        <w:rPr>
          <w:sz w:val="16"/>
          <w:szCs w:val="16"/>
        </w:rPr>
      </w:pPr>
      <w:r w:rsidRPr="009E2AA6">
        <w:rPr>
          <w:rStyle w:val="EndnoteReference"/>
          <w:sz w:val="16"/>
          <w:szCs w:val="16"/>
        </w:rPr>
        <w:endnoteRef/>
      </w:r>
      <w:r w:rsidRPr="009E2AA6">
        <w:rPr>
          <w:sz w:val="16"/>
          <w:szCs w:val="16"/>
        </w:rPr>
        <w:t xml:space="preserve"> Australian Government Department of Education</w:t>
      </w:r>
      <w:r w:rsidR="006E1A52">
        <w:rPr>
          <w:sz w:val="16"/>
          <w:szCs w:val="16"/>
        </w:rPr>
        <w:t>,</w:t>
      </w:r>
      <w:r w:rsidRPr="009E2AA6">
        <w:rPr>
          <w:sz w:val="16"/>
          <w:szCs w:val="16"/>
        </w:rPr>
        <w:t xml:space="preserve"> </w:t>
      </w:r>
      <w:r w:rsidRPr="009E2AA6">
        <w:rPr>
          <w:i/>
          <w:iCs/>
          <w:sz w:val="16"/>
          <w:szCs w:val="16"/>
        </w:rPr>
        <w:t>National School Reform Agreement, 2018</w:t>
      </w:r>
      <w:r w:rsidR="006E1A52">
        <w:rPr>
          <w:sz w:val="16"/>
          <w:szCs w:val="16"/>
        </w:rPr>
        <w:t>,</w:t>
      </w:r>
      <w:r w:rsidR="009E2AA6">
        <w:rPr>
          <w:sz w:val="16"/>
          <w:szCs w:val="16"/>
        </w:rPr>
        <w:t xml:space="preserve"> Canberra: </w:t>
      </w:r>
      <w:r w:rsidR="009E2AA6" w:rsidRPr="009E2AA6">
        <w:rPr>
          <w:sz w:val="16"/>
          <w:szCs w:val="16"/>
        </w:rPr>
        <w:t>Australian Government Department of Education</w:t>
      </w:r>
      <w:r w:rsidR="009E2AA6">
        <w:rPr>
          <w:sz w:val="16"/>
          <w:szCs w:val="16"/>
        </w:rPr>
        <w:t>, 2018</w:t>
      </w:r>
      <w:r w:rsidR="006E1A52">
        <w:rPr>
          <w:sz w:val="16"/>
          <w:szCs w:val="16"/>
        </w:rPr>
        <w:t>,</w:t>
      </w:r>
      <w:r w:rsidR="009E2AA6">
        <w:rPr>
          <w:sz w:val="16"/>
          <w:szCs w:val="16"/>
        </w:rPr>
        <w:t xml:space="preserve"> </w:t>
      </w:r>
      <w:r w:rsidR="009E2AA6" w:rsidRPr="009E2AA6">
        <w:rPr>
          <w:sz w:val="16"/>
          <w:szCs w:val="16"/>
        </w:rPr>
        <w:t>Accessed September 15, 2020</w:t>
      </w:r>
      <w:r w:rsidR="006E1A52">
        <w:rPr>
          <w:sz w:val="16"/>
          <w:szCs w:val="16"/>
        </w:rPr>
        <w:t xml:space="preserve">, </w:t>
      </w:r>
      <w:r w:rsidR="009E2AA6" w:rsidRPr="009E2AA6">
        <w:rPr>
          <w:sz w:val="16"/>
          <w:szCs w:val="16"/>
        </w:rPr>
        <w:t>https://docs.education.gov.au/system/files/doc/other/national_school_reform_agreement_8.pdf</w:t>
      </w:r>
      <w:r w:rsidR="006E1A52">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3240" w14:textId="495A940A" w:rsidR="00462830" w:rsidRPr="00661766" w:rsidRDefault="00FB50A4" w:rsidP="00462830">
    <w:pPr>
      <w:pStyle w:val="Footer"/>
      <w:jc w:val="right"/>
      <w:rPr>
        <w:sz w:val="16"/>
        <w:szCs w:val="16"/>
      </w:rPr>
    </w:pPr>
    <w:r>
      <w:rPr>
        <w:sz w:val="16"/>
        <w:szCs w:val="16"/>
      </w:rPr>
      <w:t xml:space="preserve">* </w:t>
    </w:r>
    <w:r w:rsidR="00462830" w:rsidRPr="00661766">
      <w:rPr>
        <w:sz w:val="16"/>
        <w:szCs w:val="16"/>
      </w:rPr>
      <w:t>© 2020 Megan Gilmour</w:t>
    </w:r>
    <w:r w:rsidR="00661766" w:rsidRPr="00661766">
      <w:rPr>
        <w:sz w:val="16"/>
        <w:szCs w:val="16"/>
      </w:rPr>
      <w:t xml:space="preserve">: This Article is republished with modifications from </w:t>
    </w:r>
    <w:r w:rsidR="00661766" w:rsidRPr="00661766">
      <w:rPr>
        <w:i/>
        <w:iCs/>
        <w:sz w:val="16"/>
        <w:szCs w:val="16"/>
      </w:rPr>
      <w:t>Policy Futures: A Reform Agenda</w:t>
    </w:r>
    <w:r w:rsidR="00661766" w:rsidRPr="00661766">
      <w:rPr>
        <w:sz w:val="16"/>
        <w:szCs w:val="16"/>
      </w:rPr>
      <w:t xml:space="preserve">, a collaboration between The Winston Churchill Memorial Trust and The University of Queensland. </w:t>
    </w:r>
    <w:r w:rsidR="00661766">
      <w:rPr>
        <w:sz w:val="16"/>
        <w:szCs w:val="16"/>
      </w:rPr>
      <w:t>The final published</w:t>
    </w:r>
    <w:r w:rsidR="00661766" w:rsidRPr="00661766">
      <w:rPr>
        <w:sz w:val="16"/>
        <w:szCs w:val="16"/>
      </w:rPr>
      <w:t xml:space="preserve"> </w:t>
    </w:r>
    <w:r w:rsidR="00661766">
      <w:rPr>
        <w:sz w:val="16"/>
        <w:szCs w:val="16"/>
      </w:rPr>
      <w:t xml:space="preserve">article can be obtained by contacting </w:t>
    </w:r>
    <w:proofErr w:type="spellStart"/>
    <w:r w:rsidR="00661766">
      <w:rPr>
        <w:sz w:val="16"/>
        <w:szCs w:val="16"/>
      </w:rPr>
      <w:t>megan.gilmour@missingschool.org.au</w:t>
    </w:r>
    <w:proofErr w:type="spellEnd"/>
    <w:r w:rsidR="00661766" w:rsidRPr="00661766">
      <w:rPr>
        <w:sz w:val="16"/>
        <w:szCs w:val="16"/>
      </w:rPr>
      <w:t>. The views and opinions expressed in this article are those of the author and do not necessarily reflect the official views or position of The University of Queensland or the Winston Churchill Memorial Trust</w:t>
    </w:r>
    <w:r w:rsidR="0066176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8D1C" w14:textId="77777777" w:rsidR="00272D60" w:rsidRDefault="00272D60" w:rsidP="00F31ADA">
      <w:pPr>
        <w:spacing w:before="0" w:after="0" w:line="240" w:lineRule="auto"/>
      </w:pPr>
      <w:r>
        <w:separator/>
      </w:r>
    </w:p>
  </w:footnote>
  <w:footnote w:type="continuationSeparator" w:id="0">
    <w:p w14:paraId="63FA9D26" w14:textId="77777777" w:rsidR="00272D60" w:rsidRDefault="00272D60" w:rsidP="00F31A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7A89"/>
    <w:multiLevelType w:val="multilevel"/>
    <w:tmpl w:val="54747346"/>
    <w:lvl w:ilvl="0">
      <w:start w:val="1"/>
      <w:numFmt w:val="decimal"/>
      <w:lvlText w:val="%1."/>
      <w:lvlJc w:val="left"/>
      <w:pPr>
        <w:ind w:left="-708" w:hanging="360"/>
      </w:pPr>
    </w:lvl>
    <w:lvl w:ilvl="1">
      <w:start w:val="1"/>
      <w:numFmt w:val="lowerLetter"/>
      <w:lvlText w:val="%2."/>
      <w:lvlJc w:val="left"/>
      <w:pPr>
        <w:ind w:left="12" w:hanging="360"/>
      </w:pPr>
    </w:lvl>
    <w:lvl w:ilvl="2">
      <w:start w:val="1"/>
      <w:numFmt w:val="lowerRoman"/>
      <w:lvlText w:val="%3."/>
      <w:lvlJc w:val="right"/>
      <w:pPr>
        <w:ind w:left="732" w:hanging="180"/>
      </w:pPr>
    </w:lvl>
    <w:lvl w:ilvl="3">
      <w:start w:val="1"/>
      <w:numFmt w:val="decimal"/>
      <w:lvlText w:val="%4."/>
      <w:lvlJc w:val="left"/>
      <w:pPr>
        <w:ind w:left="1452" w:hanging="360"/>
      </w:pPr>
    </w:lvl>
    <w:lvl w:ilvl="4">
      <w:start w:val="1"/>
      <w:numFmt w:val="lowerLetter"/>
      <w:lvlText w:val="%5."/>
      <w:lvlJc w:val="left"/>
      <w:pPr>
        <w:ind w:left="2172" w:hanging="360"/>
      </w:pPr>
    </w:lvl>
    <w:lvl w:ilvl="5">
      <w:start w:val="1"/>
      <w:numFmt w:val="lowerRoman"/>
      <w:lvlText w:val="%6."/>
      <w:lvlJc w:val="right"/>
      <w:pPr>
        <w:ind w:left="2892" w:hanging="180"/>
      </w:pPr>
    </w:lvl>
    <w:lvl w:ilvl="6">
      <w:start w:val="1"/>
      <w:numFmt w:val="decimal"/>
      <w:lvlText w:val="%7."/>
      <w:lvlJc w:val="left"/>
      <w:pPr>
        <w:ind w:left="3612" w:hanging="360"/>
      </w:pPr>
    </w:lvl>
    <w:lvl w:ilvl="7">
      <w:start w:val="1"/>
      <w:numFmt w:val="lowerLetter"/>
      <w:lvlText w:val="%8."/>
      <w:lvlJc w:val="left"/>
      <w:pPr>
        <w:ind w:left="4332" w:hanging="360"/>
      </w:pPr>
    </w:lvl>
    <w:lvl w:ilvl="8">
      <w:start w:val="1"/>
      <w:numFmt w:val="lowerRoman"/>
      <w:lvlText w:val="%9."/>
      <w:lvlJc w:val="right"/>
      <w:pPr>
        <w:ind w:left="5052" w:hanging="180"/>
      </w:pPr>
    </w:lvl>
  </w:abstractNum>
  <w:abstractNum w:abstractNumId="1" w15:restartNumberingAfterBreak="0">
    <w:nsid w:val="58F60E4C"/>
    <w:multiLevelType w:val="multilevel"/>
    <w:tmpl w:val="5654679C"/>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rUwNDA3MTAxNDBV0lEKTi0uzszPAykwqgUAN6i55SwAAAA="/>
  </w:docVars>
  <w:rsids>
    <w:rsidRoot w:val="00A52215"/>
    <w:rsid w:val="00004D7B"/>
    <w:rsid w:val="00006851"/>
    <w:rsid w:val="00011C99"/>
    <w:rsid w:val="0001545B"/>
    <w:rsid w:val="00015EBF"/>
    <w:rsid w:val="000170E0"/>
    <w:rsid w:val="00020677"/>
    <w:rsid w:val="00020B6E"/>
    <w:rsid w:val="00020BFF"/>
    <w:rsid w:val="00021221"/>
    <w:rsid w:val="00022791"/>
    <w:rsid w:val="00022F31"/>
    <w:rsid w:val="00025279"/>
    <w:rsid w:val="0003561E"/>
    <w:rsid w:val="000417BB"/>
    <w:rsid w:val="000426CA"/>
    <w:rsid w:val="00042AD9"/>
    <w:rsid w:val="00042D93"/>
    <w:rsid w:val="000435FE"/>
    <w:rsid w:val="00043BE4"/>
    <w:rsid w:val="00043F04"/>
    <w:rsid w:val="000474A0"/>
    <w:rsid w:val="00050BD9"/>
    <w:rsid w:val="000512E1"/>
    <w:rsid w:val="00051CB9"/>
    <w:rsid w:val="000547B0"/>
    <w:rsid w:val="0005519B"/>
    <w:rsid w:val="00060AD6"/>
    <w:rsid w:val="0006169F"/>
    <w:rsid w:val="0006640C"/>
    <w:rsid w:val="0006667A"/>
    <w:rsid w:val="000676B5"/>
    <w:rsid w:val="00073E28"/>
    <w:rsid w:val="0007422C"/>
    <w:rsid w:val="00076432"/>
    <w:rsid w:val="00077576"/>
    <w:rsid w:val="00080B6B"/>
    <w:rsid w:val="00081B88"/>
    <w:rsid w:val="00082F69"/>
    <w:rsid w:val="0008398A"/>
    <w:rsid w:val="000862C1"/>
    <w:rsid w:val="00087783"/>
    <w:rsid w:val="00091083"/>
    <w:rsid w:val="000922D4"/>
    <w:rsid w:val="000923FC"/>
    <w:rsid w:val="00092A8C"/>
    <w:rsid w:val="000952B4"/>
    <w:rsid w:val="000A1222"/>
    <w:rsid w:val="000A15B8"/>
    <w:rsid w:val="000A1BAF"/>
    <w:rsid w:val="000A2FC3"/>
    <w:rsid w:val="000A30C8"/>
    <w:rsid w:val="000A4634"/>
    <w:rsid w:val="000A56D3"/>
    <w:rsid w:val="000A6EB9"/>
    <w:rsid w:val="000A723A"/>
    <w:rsid w:val="000B05F4"/>
    <w:rsid w:val="000B3BD8"/>
    <w:rsid w:val="000B3E93"/>
    <w:rsid w:val="000C0D28"/>
    <w:rsid w:val="000C1674"/>
    <w:rsid w:val="000C16E1"/>
    <w:rsid w:val="000C2A50"/>
    <w:rsid w:val="000C31B4"/>
    <w:rsid w:val="000C3662"/>
    <w:rsid w:val="000C3CB8"/>
    <w:rsid w:val="000C4A86"/>
    <w:rsid w:val="000C5898"/>
    <w:rsid w:val="000C6FEC"/>
    <w:rsid w:val="000C7AAC"/>
    <w:rsid w:val="000D0BF3"/>
    <w:rsid w:val="000D0E69"/>
    <w:rsid w:val="000D133B"/>
    <w:rsid w:val="000D2392"/>
    <w:rsid w:val="000D3965"/>
    <w:rsid w:val="000D3E3C"/>
    <w:rsid w:val="000D4089"/>
    <w:rsid w:val="000D41CA"/>
    <w:rsid w:val="000D4233"/>
    <w:rsid w:val="000D4508"/>
    <w:rsid w:val="000D509D"/>
    <w:rsid w:val="000D5366"/>
    <w:rsid w:val="000D5B76"/>
    <w:rsid w:val="000D5D2E"/>
    <w:rsid w:val="000D6CD4"/>
    <w:rsid w:val="000D7A76"/>
    <w:rsid w:val="000D7CCF"/>
    <w:rsid w:val="000E0439"/>
    <w:rsid w:val="000E2A23"/>
    <w:rsid w:val="000E2E5C"/>
    <w:rsid w:val="000E364B"/>
    <w:rsid w:val="000E36C8"/>
    <w:rsid w:val="000E4986"/>
    <w:rsid w:val="000E7F03"/>
    <w:rsid w:val="000F072D"/>
    <w:rsid w:val="000F25D7"/>
    <w:rsid w:val="000F334D"/>
    <w:rsid w:val="000F35E6"/>
    <w:rsid w:val="000F3888"/>
    <w:rsid w:val="000F5439"/>
    <w:rsid w:val="000F78AA"/>
    <w:rsid w:val="00100332"/>
    <w:rsid w:val="00100334"/>
    <w:rsid w:val="00100B07"/>
    <w:rsid w:val="00103CF5"/>
    <w:rsid w:val="001045A5"/>
    <w:rsid w:val="001052F7"/>
    <w:rsid w:val="00110556"/>
    <w:rsid w:val="0011550C"/>
    <w:rsid w:val="00116BF5"/>
    <w:rsid w:val="0011790A"/>
    <w:rsid w:val="0012110D"/>
    <w:rsid w:val="00121801"/>
    <w:rsid w:val="00122DAE"/>
    <w:rsid w:val="00126B33"/>
    <w:rsid w:val="0012739D"/>
    <w:rsid w:val="0013067A"/>
    <w:rsid w:val="001306C0"/>
    <w:rsid w:val="0013074E"/>
    <w:rsid w:val="00131DC3"/>
    <w:rsid w:val="00132412"/>
    <w:rsid w:val="00133257"/>
    <w:rsid w:val="00134BEA"/>
    <w:rsid w:val="00135BC0"/>
    <w:rsid w:val="00137214"/>
    <w:rsid w:val="00137A3C"/>
    <w:rsid w:val="00140993"/>
    <w:rsid w:val="00140F0D"/>
    <w:rsid w:val="00141E93"/>
    <w:rsid w:val="00143365"/>
    <w:rsid w:val="00143B06"/>
    <w:rsid w:val="0014530C"/>
    <w:rsid w:val="00146B20"/>
    <w:rsid w:val="00146CE6"/>
    <w:rsid w:val="00146E00"/>
    <w:rsid w:val="001526EF"/>
    <w:rsid w:val="00153D5C"/>
    <w:rsid w:val="00156126"/>
    <w:rsid w:val="001568DE"/>
    <w:rsid w:val="00156EF3"/>
    <w:rsid w:val="001607E6"/>
    <w:rsid w:val="0016109F"/>
    <w:rsid w:val="00161BD8"/>
    <w:rsid w:val="001636B6"/>
    <w:rsid w:val="001671C7"/>
    <w:rsid w:val="0017077A"/>
    <w:rsid w:val="00171D2C"/>
    <w:rsid w:val="001743D8"/>
    <w:rsid w:val="00175486"/>
    <w:rsid w:val="00177861"/>
    <w:rsid w:val="0018142A"/>
    <w:rsid w:val="00183DAF"/>
    <w:rsid w:val="00184E4C"/>
    <w:rsid w:val="00186F0E"/>
    <w:rsid w:val="00187321"/>
    <w:rsid w:val="00187D64"/>
    <w:rsid w:val="001923D4"/>
    <w:rsid w:val="00196915"/>
    <w:rsid w:val="001A0DA4"/>
    <w:rsid w:val="001A1D1C"/>
    <w:rsid w:val="001A1FE9"/>
    <w:rsid w:val="001A4D70"/>
    <w:rsid w:val="001A5B61"/>
    <w:rsid w:val="001A5B9A"/>
    <w:rsid w:val="001A5D48"/>
    <w:rsid w:val="001B2D5E"/>
    <w:rsid w:val="001B2DF4"/>
    <w:rsid w:val="001B436F"/>
    <w:rsid w:val="001C0D39"/>
    <w:rsid w:val="001C1EBA"/>
    <w:rsid w:val="001C3FBF"/>
    <w:rsid w:val="001C51E9"/>
    <w:rsid w:val="001C65D3"/>
    <w:rsid w:val="001D06AE"/>
    <w:rsid w:val="001D3A1D"/>
    <w:rsid w:val="001D4910"/>
    <w:rsid w:val="001D5AC9"/>
    <w:rsid w:val="001D636B"/>
    <w:rsid w:val="001D75DB"/>
    <w:rsid w:val="001E3E42"/>
    <w:rsid w:val="001E3FEE"/>
    <w:rsid w:val="001E4590"/>
    <w:rsid w:val="001E4A6D"/>
    <w:rsid w:val="001E4C55"/>
    <w:rsid w:val="001E7522"/>
    <w:rsid w:val="001E7530"/>
    <w:rsid w:val="001E78C5"/>
    <w:rsid w:val="001F1388"/>
    <w:rsid w:val="001F4012"/>
    <w:rsid w:val="001F5728"/>
    <w:rsid w:val="001F645B"/>
    <w:rsid w:val="001F6F19"/>
    <w:rsid w:val="001F6FB7"/>
    <w:rsid w:val="00201901"/>
    <w:rsid w:val="0020240E"/>
    <w:rsid w:val="00204151"/>
    <w:rsid w:val="00204343"/>
    <w:rsid w:val="00205749"/>
    <w:rsid w:val="00205BA2"/>
    <w:rsid w:val="0020671B"/>
    <w:rsid w:val="00207041"/>
    <w:rsid w:val="002078AF"/>
    <w:rsid w:val="00211F62"/>
    <w:rsid w:val="0021792E"/>
    <w:rsid w:val="00220360"/>
    <w:rsid w:val="00220399"/>
    <w:rsid w:val="00223D00"/>
    <w:rsid w:val="00223F5B"/>
    <w:rsid w:val="002259D2"/>
    <w:rsid w:val="00225F9A"/>
    <w:rsid w:val="00227034"/>
    <w:rsid w:val="00227BD2"/>
    <w:rsid w:val="00232659"/>
    <w:rsid w:val="002329D2"/>
    <w:rsid w:val="0023538F"/>
    <w:rsid w:val="00237155"/>
    <w:rsid w:val="00237196"/>
    <w:rsid w:val="002401EF"/>
    <w:rsid w:val="00241914"/>
    <w:rsid w:val="0024218A"/>
    <w:rsid w:val="002422B5"/>
    <w:rsid w:val="002430E8"/>
    <w:rsid w:val="00243F1B"/>
    <w:rsid w:val="002461CE"/>
    <w:rsid w:val="00247572"/>
    <w:rsid w:val="00250AC7"/>
    <w:rsid w:val="0025250B"/>
    <w:rsid w:val="00252CF2"/>
    <w:rsid w:val="00254B04"/>
    <w:rsid w:val="00255834"/>
    <w:rsid w:val="00256749"/>
    <w:rsid w:val="00257BC0"/>
    <w:rsid w:val="00263F19"/>
    <w:rsid w:val="00264B1A"/>
    <w:rsid w:val="002700C2"/>
    <w:rsid w:val="00271EF6"/>
    <w:rsid w:val="00272D60"/>
    <w:rsid w:val="00273ED4"/>
    <w:rsid w:val="002754D6"/>
    <w:rsid w:val="00275676"/>
    <w:rsid w:val="00276DF3"/>
    <w:rsid w:val="00280246"/>
    <w:rsid w:val="00282683"/>
    <w:rsid w:val="00283CFC"/>
    <w:rsid w:val="002846B7"/>
    <w:rsid w:val="002909C1"/>
    <w:rsid w:val="00293DD2"/>
    <w:rsid w:val="00294043"/>
    <w:rsid w:val="00294221"/>
    <w:rsid w:val="002A0F8A"/>
    <w:rsid w:val="002A272F"/>
    <w:rsid w:val="002A737E"/>
    <w:rsid w:val="002B03DE"/>
    <w:rsid w:val="002B0788"/>
    <w:rsid w:val="002B1D77"/>
    <w:rsid w:val="002B1FC8"/>
    <w:rsid w:val="002B2EF7"/>
    <w:rsid w:val="002B4C82"/>
    <w:rsid w:val="002B6502"/>
    <w:rsid w:val="002C0197"/>
    <w:rsid w:val="002C106F"/>
    <w:rsid w:val="002C2AF3"/>
    <w:rsid w:val="002C3574"/>
    <w:rsid w:val="002C3BD1"/>
    <w:rsid w:val="002D2C72"/>
    <w:rsid w:val="002D45F3"/>
    <w:rsid w:val="002D4A69"/>
    <w:rsid w:val="002D51EE"/>
    <w:rsid w:val="002D5307"/>
    <w:rsid w:val="002D65F9"/>
    <w:rsid w:val="002E1662"/>
    <w:rsid w:val="002E2617"/>
    <w:rsid w:val="002E2BF0"/>
    <w:rsid w:val="002E66D0"/>
    <w:rsid w:val="002E7BA2"/>
    <w:rsid w:val="002F068B"/>
    <w:rsid w:val="002F0E00"/>
    <w:rsid w:val="002F14D2"/>
    <w:rsid w:val="002F1508"/>
    <w:rsid w:val="002F16C0"/>
    <w:rsid w:val="002F37F6"/>
    <w:rsid w:val="003027BC"/>
    <w:rsid w:val="003029BC"/>
    <w:rsid w:val="0030542C"/>
    <w:rsid w:val="00307397"/>
    <w:rsid w:val="00315186"/>
    <w:rsid w:val="003152DE"/>
    <w:rsid w:val="00316B2A"/>
    <w:rsid w:val="003200C4"/>
    <w:rsid w:val="00322713"/>
    <w:rsid w:val="003240F6"/>
    <w:rsid w:val="00324CEB"/>
    <w:rsid w:val="00325203"/>
    <w:rsid w:val="003259A6"/>
    <w:rsid w:val="00326384"/>
    <w:rsid w:val="0032638D"/>
    <w:rsid w:val="00326881"/>
    <w:rsid w:val="003312CE"/>
    <w:rsid w:val="00331D52"/>
    <w:rsid w:val="003321EE"/>
    <w:rsid w:val="00333494"/>
    <w:rsid w:val="00334789"/>
    <w:rsid w:val="00335068"/>
    <w:rsid w:val="00335A2B"/>
    <w:rsid w:val="003365C3"/>
    <w:rsid w:val="00336E0E"/>
    <w:rsid w:val="00337E32"/>
    <w:rsid w:val="00340173"/>
    <w:rsid w:val="00342E05"/>
    <w:rsid w:val="0034681E"/>
    <w:rsid w:val="00361FA2"/>
    <w:rsid w:val="003634E9"/>
    <w:rsid w:val="003639EB"/>
    <w:rsid w:val="0036439E"/>
    <w:rsid w:val="003679DD"/>
    <w:rsid w:val="00370A50"/>
    <w:rsid w:val="00370BD1"/>
    <w:rsid w:val="00371C61"/>
    <w:rsid w:val="00371FC3"/>
    <w:rsid w:val="00371FEF"/>
    <w:rsid w:val="003762C0"/>
    <w:rsid w:val="00376CF7"/>
    <w:rsid w:val="00377947"/>
    <w:rsid w:val="00383243"/>
    <w:rsid w:val="00383E79"/>
    <w:rsid w:val="0038624C"/>
    <w:rsid w:val="00386E54"/>
    <w:rsid w:val="00386EC3"/>
    <w:rsid w:val="00387A48"/>
    <w:rsid w:val="00387E06"/>
    <w:rsid w:val="003911E0"/>
    <w:rsid w:val="003920CF"/>
    <w:rsid w:val="00392FA7"/>
    <w:rsid w:val="00397E6E"/>
    <w:rsid w:val="00397ED8"/>
    <w:rsid w:val="003A0CF8"/>
    <w:rsid w:val="003A0EAD"/>
    <w:rsid w:val="003A1253"/>
    <w:rsid w:val="003A1C2E"/>
    <w:rsid w:val="003A489C"/>
    <w:rsid w:val="003A5F7F"/>
    <w:rsid w:val="003A6BDD"/>
    <w:rsid w:val="003B0B44"/>
    <w:rsid w:val="003B26D5"/>
    <w:rsid w:val="003B2CE6"/>
    <w:rsid w:val="003B4412"/>
    <w:rsid w:val="003B4E88"/>
    <w:rsid w:val="003C0768"/>
    <w:rsid w:val="003C0DA2"/>
    <w:rsid w:val="003C1753"/>
    <w:rsid w:val="003C1EC9"/>
    <w:rsid w:val="003C2CE4"/>
    <w:rsid w:val="003C37FC"/>
    <w:rsid w:val="003D09A0"/>
    <w:rsid w:val="003D1807"/>
    <w:rsid w:val="003D2E60"/>
    <w:rsid w:val="003D2E98"/>
    <w:rsid w:val="003D32B8"/>
    <w:rsid w:val="003D5C7F"/>
    <w:rsid w:val="003D5D96"/>
    <w:rsid w:val="003D6A87"/>
    <w:rsid w:val="003E3934"/>
    <w:rsid w:val="003E4F81"/>
    <w:rsid w:val="003E550B"/>
    <w:rsid w:val="003F0B27"/>
    <w:rsid w:val="003F23F6"/>
    <w:rsid w:val="003F3151"/>
    <w:rsid w:val="003F3424"/>
    <w:rsid w:val="003F7293"/>
    <w:rsid w:val="003F72F0"/>
    <w:rsid w:val="003F7E8F"/>
    <w:rsid w:val="00400DFD"/>
    <w:rsid w:val="00400E86"/>
    <w:rsid w:val="004013E0"/>
    <w:rsid w:val="004014C3"/>
    <w:rsid w:val="004021D2"/>
    <w:rsid w:val="00402878"/>
    <w:rsid w:val="00405066"/>
    <w:rsid w:val="00405F6B"/>
    <w:rsid w:val="00407703"/>
    <w:rsid w:val="0041089F"/>
    <w:rsid w:val="00411675"/>
    <w:rsid w:val="00411AC1"/>
    <w:rsid w:val="0041374C"/>
    <w:rsid w:val="00414E44"/>
    <w:rsid w:val="00417E36"/>
    <w:rsid w:val="004217BE"/>
    <w:rsid w:val="00425EAC"/>
    <w:rsid w:val="004266A2"/>
    <w:rsid w:val="004314CC"/>
    <w:rsid w:val="004317CC"/>
    <w:rsid w:val="004323F7"/>
    <w:rsid w:val="00434048"/>
    <w:rsid w:val="004341E8"/>
    <w:rsid w:val="0043501B"/>
    <w:rsid w:val="004357E7"/>
    <w:rsid w:val="00436D92"/>
    <w:rsid w:val="00440A57"/>
    <w:rsid w:val="00443EC7"/>
    <w:rsid w:val="004447BC"/>
    <w:rsid w:val="00445B89"/>
    <w:rsid w:val="00445FBA"/>
    <w:rsid w:val="004465A2"/>
    <w:rsid w:val="004501D1"/>
    <w:rsid w:val="00454669"/>
    <w:rsid w:val="004551F0"/>
    <w:rsid w:val="00455D60"/>
    <w:rsid w:val="00457E3D"/>
    <w:rsid w:val="004603E6"/>
    <w:rsid w:val="00461638"/>
    <w:rsid w:val="00461FAE"/>
    <w:rsid w:val="00462830"/>
    <w:rsid w:val="00463056"/>
    <w:rsid w:val="00463BCE"/>
    <w:rsid w:val="00463D7E"/>
    <w:rsid w:val="00463E4A"/>
    <w:rsid w:val="0046485C"/>
    <w:rsid w:val="00466B1A"/>
    <w:rsid w:val="00472F0E"/>
    <w:rsid w:val="00473DCE"/>
    <w:rsid w:val="00475734"/>
    <w:rsid w:val="004770A4"/>
    <w:rsid w:val="00477468"/>
    <w:rsid w:val="00480756"/>
    <w:rsid w:val="00481708"/>
    <w:rsid w:val="00483BF5"/>
    <w:rsid w:val="004843F3"/>
    <w:rsid w:val="004904B8"/>
    <w:rsid w:val="00491BE5"/>
    <w:rsid w:val="00492478"/>
    <w:rsid w:val="00493B10"/>
    <w:rsid w:val="00493F19"/>
    <w:rsid w:val="00493F63"/>
    <w:rsid w:val="00494C63"/>
    <w:rsid w:val="004950D0"/>
    <w:rsid w:val="00496EC6"/>
    <w:rsid w:val="00497047"/>
    <w:rsid w:val="004A2495"/>
    <w:rsid w:val="004A25DC"/>
    <w:rsid w:val="004A2C9B"/>
    <w:rsid w:val="004A406A"/>
    <w:rsid w:val="004A4E06"/>
    <w:rsid w:val="004A57C5"/>
    <w:rsid w:val="004A61A0"/>
    <w:rsid w:val="004A7324"/>
    <w:rsid w:val="004A7CF9"/>
    <w:rsid w:val="004B1D52"/>
    <w:rsid w:val="004B5624"/>
    <w:rsid w:val="004B7D6F"/>
    <w:rsid w:val="004C1D64"/>
    <w:rsid w:val="004C3574"/>
    <w:rsid w:val="004C3977"/>
    <w:rsid w:val="004C483B"/>
    <w:rsid w:val="004C517E"/>
    <w:rsid w:val="004C5E78"/>
    <w:rsid w:val="004C79A0"/>
    <w:rsid w:val="004D558C"/>
    <w:rsid w:val="004D5CF0"/>
    <w:rsid w:val="004D69FF"/>
    <w:rsid w:val="004D7062"/>
    <w:rsid w:val="004D7A70"/>
    <w:rsid w:val="004E1891"/>
    <w:rsid w:val="004E1909"/>
    <w:rsid w:val="004E42A6"/>
    <w:rsid w:val="004E52D6"/>
    <w:rsid w:val="004E61C9"/>
    <w:rsid w:val="004E6433"/>
    <w:rsid w:val="004F1663"/>
    <w:rsid w:val="004F22BD"/>
    <w:rsid w:val="004F2308"/>
    <w:rsid w:val="004F4D37"/>
    <w:rsid w:val="004F5547"/>
    <w:rsid w:val="004F7289"/>
    <w:rsid w:val="004F7EF1"/>
    <w:rsid w:val="005017D2"/>
    <w:rsid w:val="0050229E"/>
    <w:rsid w:val="005026D4"/>
    <w:rsid w:val="00503575"/>
    <w:rsid w:val="00504CC9"/>
    <w:rsid w:val="005061CF"/>
    <w:rsid w:val="005070CC"/>
    <w:rsid w:val="00510E89"/>
    <w:rsid w:val="0052026E"/>
    <w:rsid w:val="005225D7"/>
    <w:rsid w:val="00527162"/>
    <w:rsid w:val="0052779C"/>
    <w:rsid w:val="005304C7"/>
    <w:rsid w:val="00530D7B"/>
    <w:rsid w:val="00532FFF"/>
    <w:rsid w:val="00534AF9"/>
    <w:rsid w:val="00535BF5"/>
    <w:rsid w:val="00540545"/>
    <w:rsid w:val="0054667C"/>
    <w:rsid w:val="00550E14"/>
    <w:rsid w:val="00551445"/>
    <w:rsid w:val="00553954"/>
    <w:rsid w:val="00553BBF"/>
    <w:rsid w:val="00553DB9"/>
    <w:rsid w:val="005562F1"/>
    <w:rsid w:val="00556CCB"/>
    <w:rsid w:val="00556D97"/>
    <w:rsid w:val="00562B40"/>
    <w:rsid w:val="00562CAB"/>
    <w:rsid w:val="00564FEA"/>
    <w:rsid w:val="0056548B"/>
    <w:rsid w:val="0056620B"/>
    <w:rsid w:val="0056691A"/>
    <w:rsid w:val="00566AF5"/>
    <w:rsid w:val="00567130"/>
    <w:rsid w:val="0057010F"/>
    <w:rsid w:val="00571C7F"/>
    <w:rsid w:val="00572D26"/>
    <w:rsid w:val="00583417"/>
    <w:rsid w:val="00584ED0"/>
    <w:rsid w:val="00586C58"/>
    <w:rsid w:val="0058793D"/>
    <w:rsid w:val="005903A1"/>
    <w:rsid w:val="00592219"/>
    <w:rsid w:val="00593462"/>
    <w:rsid w:val="00593683"/>
    <w:rsid w:val="00594A9A"/>
    <w:rsid w:val="00595DBF"/>
    <w:rsid w:val="005960C6"/>
    <w:rsid w:val="00596F5F"/>
    <w:rsid w:val="005A0666"/>
    <w:rsid w:val="005A2AB6"/>
    <w:rsid w:val="005A33B8"/>
    <w:rsid w:val="005A4FC7"/>
    <w:rsid w:val="005B2054"/>
    <w:rsid w:val="005B45B1"/>
    <w:rsid w:val="005C06F9"/>
    <w:rsid w:val="005C17EE"/>
    <w:rsid w:val="005C26BA"/>
    <w:rsid w:val="005C3B15"/>
    <w:rsid w:val="005C472B"/>
    <w:rsid w:val="005C4746"/>
    <w:rsid w:val="005C5D73"/>
    <w:rsid w:val="005C61BE"/>
    <w:rsid w:val="005D124A"/>
    <w:rsid w:val="005D3997"/>
    <w:rsid w:val="005E0BB7"/>
    <w:rsid w:val="005E0CCA"/>
    <w:rsid w:val="005E1051"/>
    <w:rsid w:val="005E1311"/>
    <w:rsid w:val="005E2EFE"/>
    <w:rsid w:val="005E4974"/>
    <w:rsid w:val="005E4D30"/>
    <w:rsid w:val="005E5AFE"/>
    <w:rsid w:val="005E7F04"/>
    <w:rsid w:val="005F0882"/>
    <w:rsid w:val="005F4A0E"/>
    <w:rsid w:val="005F50E5"/>
    <w:rsid w:val="005F51DB"/>
    <w:rsid w:val="005F6DA3"/>
    <w:rsid w:val="005F73C3"/>
    <w:rsid w:val="005F7D7C"/>
    <w:rsid w:val="00600DD2"/>
    <w:rsid w:val="006012FD"/>
    <w:rsid w:val="00605C18"/>
    <w:rsid w:val="00606827"/>
    <w:rsid w:val="00607CE7"/>
    <w:rsid w:val="00610914"/>
    <w:rsid w:val="00610937"/>
    <w:rsid w:val="00610CA4"/>
    <w:rsid w:val="00610F88"/>
    <w:rsid w:val="006119EA"/>
    <w:rsid w:val="0061338E"/>
    <w:rsid w:val="00613597"/>
    <w:rsid w:val="00614024"/>
    <w:rsid w:val="00624012"/>
    <w:rsid w:val="00625AD5"/>
    <w:rsid w:val="00625F3D"/>
    <w:rsid w:val="006268B7"/>
    <w:rsid w:val="00627B2D"/>
    <w:rsid w:val="006303CE"/>
    <w:rsid w:val="00633B9E"/>
    <w:rsid w:val="0063476F"/>
    <w:rsid w:val="006368B0"/>
    <w:rsid w:val="00641472"/>
    <w:rsid w:val="00642DE0"/>
    <w:rsid w:val="00646270"/>
    <w:rsid w:val="00652FC9"/>
    <w:rsid w:val="00653271"/>
    <w:rsid w:val="00654274"/>
    <w:rsid w:val="0065605A"/>
    <w:rsid w:val="00661766"/>
    <w:rsid w:val="0066257A"/>
    <w:rsid w:val="00663940"/>
    <w:rsid w:val="0066600E"/>
    <w:rsid w:val="0066705C"/>
    <w:rsid w:val="00670864"/>
    <w:rsid w:val="006708E7"/>
    <w:rsid w:val="006711CE"/>
    <w:rsid w:val="0068252E"/>
    <w:rsid w:val="00684F27"/>
    <w:rsid w:val="00685001"/>
    <w:rsid w:val="00690071"/>
    <w:rsid w:val="00691271"/>
    <w:rsid w:val="00692EEC"/>
    <w:rsid w:val="00695BF6"/>
    <w:rsid w:val="006A03E4"/>
    <w:rsid w:val="006A0B15"/>
    <w:rsid w:val="006A2B4C"/>
    <w:rsid w:val="006A2EB1"/>
    <w:rsid w:val="006A4717"/>
    <w:rsid w:val="006A4C15"/>
    <w:rsid w:val="006A7FE4"/>
    <w:rsid w:val="006B2385"/>
    <w:rsid w:val="006B483E"/>
    <w:rsid w:val="006B48EE"/>
    <w:rsid w:val="006B6707"/>
    <w:rsid w:val="006B7411"/>
    <w:rsid w:val="006B7C50"/>
    <w:rsid w:val="006C060B"/>
    <w:rsid w:val="006C0D6D"/>
    <w:rsid w:val="006C35FD"/>
    <w:rsid w:val="006C3916"/>
    <w:rsid w:val="006C5E42"/>
    <w:rsid w:val="006C6E40"/>
    <w:rsid w:val="006C77DF"/>
    <w:rsid w:val="006C7E44"/>
    <w:rsid w:val="006D3778"/>
    <w:rsid w:val="006D6623"/>
    <w:rsid w:val="006D6DAA"/>
    <w:rsid w:val="006E1358"/>
    <w:rsid w:val="006E1A52"/>
    <w:rsid w:val="006E39A1"/>
    <w:rsid w:val="006E5166"/>
    <w:rsid w:val="006E51C4"/>
    <w:rsid w:val="006E63E2"/>
    <w:rsid w:val="006F4E9D"/>
    <w:rsid w:val="006F62DD"/>
    <w:rsid w:val="00701826"/>
    <w:rsid w:val="00705D4A"/>
    <w:rsid w:val="00707D5D"/>
    <w:rsid w:val="00712F1B"/>
    <w:rsid w:val="00713A62"/>
    <w:rsid w:val="007140D1"/>
    <w:rsid w:val="00714161"/>
    <w:rsid w:val="00722C38"/>
    <w:rsid w:val="00723E2D"/>
    <w:rsid w:val="00724831"/>
    <w:rsid w:val="007261B9"/>
    <w:rsid w:val="00727D1A"/>
    <w:rsid w:val="00730CA1"/>
    <w:rsid w:val="00732A8D"/>
    <w:rsid w:val="00733585"/>
    <w:rsid w:val="00733789"/>
    <w:rsid w:val="00733902"/>
    <w:rsid w:val="00734CAC"/>
    <w:rsid w:val="00735096"/>
    <w:rsid w:val="00735379"/>
    <w:rsid w:val="00735F0F"/>
    <w:rsid w:val="007361EF"/>
    <w:rsid w:val="00736AC0"/>
    <w:rsid w:val="00736DA7"/>
    <w:rsid w:val="00737598"/>
    <w:rsid w:val="007430BD"/>
    <w:rsid w:val="007431A3"/>
    <w:rsid w:val="007446A9"/>
    <w:rsid w:val="00745C13"/>
    <w:rsid w:val="00747554"/>
    <w:rsid w:val="007500B1"/>
    <w:rsid w:val="00750C97"/>
    <w:rsid w:val="00752252"/>
    <w:rsid w:val="00755E06"/>
    <w:rsid w:val="00757AF8"/>
    <w:rsid w:val="00760F86"/>
    <w:rsid w:val="00762B4E"/>
    <w:rsid w:val="0076461F"/>
    <w:rsid w:val="00765377"/>
    <w:rsid w:val="00766079"/>
    <w:rsid w:val="0076735F"/>
    <w:rsid w:val="007678B3"/>
    <w:rsid w:val="00770D99"/>
    <w:rsid w:val="00773137"/>
    <w:rsid w:val="0077400A"/>
    <w:rsid w:val="007748EF"/>
    <w:rsid w:val="00774CCD"/>
    <w:rsid w:val="0077685F"/>
    <w:rsid w:val="00777A36"/>
    <w:rsid w:val="0078263D"/>
    <w:rsid w:val="00785070"/>
    <w:rsid w:val="00785EF9"/>
    <w:rsid w:val="00791B1A"/>
    <w:rsid w:val="00792924"/>
    <w:rsid w:val="0079320D"/>
    <w:rsid w:val="007A0932"/>
    <w:rsid w:val="007A1FFD"/>
    <w:rsid w:val="007A29E7"/>
    <w:rsid w:val="007A3AFC"/>
    <w:rsid w:val="007A6B5E"/>
    <w:rsid w:val="007A6CE0"/>
    <w:rsid w:val="007B0DB6"/>
    <w:rsid w:val="007B291F"/>
    <w:rsid w:val="007B297E"/>
    <w:rsid w:val="007B5687"/>
    <w:rsid w:val="007B7865"/>
    <w:rsid w:val="007C0D48"/>
    <w:rsid w:val="007C0FBB"/>
    <w:rsid w:val="007C13B1"/>
    <w:rsid w:val="007C1907"/>
    <w:rsid w:val="007C2410"/>
    <w:rsid w:val="007C2FFD"/>
    <w:rsid w:val="007C3A79"/>
    <w:rsid w:val="007C3CB3"/>
    <w:rsid w:val="007C5A70"/>
    <w:rsid w:val="007C5D9A"/>
    <w:rsid w:val="007C5E6C"/>
    <w:rsid w:val="007C7FFB"/>
    <w:rsid w:val="007D0CDB"/>
    <w:rsid w:val="007D0DAF"/>
    <w:rsid w:val="007D2B40"/>
    <w:rsid w:val="007D35A0"/>
    <w:rsid w:val="007D52BE"/>
    <w:rsid w:val="007D6AD1"/>
    <w:rsid w:val="007D7CE2"/>
    <w:rsid w:val="007E0AE5"/>
    <w:rsid w:val="007E2BAB"/>
    <w:rsid w:val="007E37B5"/>
    <w:rsid w:val="007E4DC5"/>
    <w:rsid w:val="007E5BF5"/>
    <w:rsid w:val="007E5C9D"/>
    <w:rsid w:val="007F0FA1"/>
    <w:rsid w:val="007F4039"/>
    <w:rsid w:val="007F4580"/>
    <w:rsid w:val="007F5E8B"/>
    <w:rsid w:val="007F7C98"/>
    <w:rsid w:val="0080081E"/>
    <w:rsid w:val="00800B68"/>
    <w:rsid w:val="008040B9"/>
    <w:rsid w:val="008045A0"/>
    <w:rsid w:val="008048AF"/>
    <w:rsid w:val="008053D0"/>
    <w:rsid w:val="00806737"/>
    <w:rsid w:val="00807DD7"/>
    <w:rsid w:val="0081118C"/>
    <w:rsid w:val="00812536"/>
    <w:rsid w:val="00813584"/>
    <w:rsid w:val="00820FAC"/>
    <w:rsid w:val="008219D0"/>
    <w:rsid w:val="00821D00"/>
    <w:rsid w:val="008226D9"/>
    <w:rsid w:val="00825160"/>
    <w:rsid w:val="008337A1"/>
    <w:rsid w:val="0084039B"/>
    <w:rsid w:val="00847589"/>
    <w:rsid w:val="00850376"/>
    <w:rsid w:val="0085269A"/>
    <w:rsid w:val="00852B95"/>
    <w:rsid w:val="00853A56"/>
    <w:rsid w:val="00856E04"/>
    <w:rsid w:val="00862D45"/>
    <w:rsid w:val="00865160"/>
    <w:rsid w:val="00865FDB"/>
    <w:rsid w:val="00867881"/>
    <w:rsid w:val="00870FF2"/>
    <w:rsid w:val="0087416C"/>
    <w:rsid w:val="00874AA5"/>
    <w:rsid w:val="00875139"/>
    <w:rsid w:val="00875BB3"/>
    <w:rsid w:val="00876098"/>
    <w:rsid w:val="00876537"/>
    <w:rsid w:val="00877253"/>
    <w:rsid w:val="00880967"/>
    <w:rsid w:val="008833B0"/>
    <w:rsid w:val="008839FD"/>
    <w:rsid w:val="008847A4"/>
    <w:rsid w:val="00885DEA"/>
    <w:rsid w:val="00886371"/>
    <w:rsid w:val="00886F61"/>
    <w:rsid w:val="0089048B"/>
    <w:rsid w:val="00891785"/>
    <w:rsid w:val="008919F6"/>
    <w:rsid w:val="008954D7"/>
    <w:rsid w:val="008A08D1"/>
    <w:rsid w:val="008A0BAC"/>
    <w:rsid w:val="008A29BC"/>
    <w:rsid w:val="008A3300"/>
    <w:rsid w:val="008A4CFD"/>
    <w:rsid w:val="008A6217"/>
    <w:rsid w:val="008B134D"/>
    <w:rsid w:val="008B1716"/>
    <w:rsid w:val="008B22F6"/>
    <w:rsid w:val="008B34A4"/>
    <w:rsid w:val="008C0B51"/>
    <w:rsid w:val="008C1522"/>
    <w:rsid w:val="008C3A5C"/>
    <w:rsid w:val="008C7967"/>
    <w:rsid w:val="008D1A32"/>
    <w:rsid w:val="008D222B"/>
    <w:rsid w:val="008D3A24"/>
    <w:rsid w:val="008D4ABA"/>
    <w:rsid w:val="008D4DA9"/>
    <w:rsid w:val="008E021A"/>
    <w:rsid w:val="008E09A1"/>
    <w:rsid w:val="008E269E"/>
    <w:rsid w:val="008E2F99"/>
    <w:rsid w:val="008E3125"/>
    <w:rsid w:val="008E361A"/>
    <w:rsid w:val="008E568F"/>
    <w:rsid w:val="008E62B2"/>
    <w:rsid w:val="008F0810"/>
    <w:rsid w:val="008F17CD"/>
    <w:rsid w:val="008F1E75"/>
    <w:rsid w:val="008F30D4"/>
    <w:rsid w:val="008F412B"/>
    <w:rsid w:val="008F42A9"/>
    <w:rsid w:val="008F4CBD"/>
    <w:rsid w:val="008F592C"/>
    <w:rsid w:val="008F60A6"/>
    <w:rsid w:val="008F6153"/>
    <w:rsid w:val="008F61F8"/>
    <w:rsid w:val="008F713B"/>
    <w:rsid w:val="008F7E4C"/>
    <w:rsid w:val="009001E3"/>
    <w:rsid w:val="00904A22"/>
    <w:rsid w:val="00904A54"/>
    <w:rsid w:val="00904AEF"/>
    <w:rsid w:val="00906DE7"/>
    <w:rsid w:val="0090730E"/>
    <w:rsid w:val="00910527"/>
    <w:rsid w:val="00910DA0"/>
    <w:rsid w:val="0091515B"/>
    <w:rsid w:val="00916328"/>
    <w:rsid w:val="00924227"/>
    <w:rsid w:val="00924BAF"/>
    <w:rsid w:val="009322F2"/>
    <w:rsid w:val="009407E8"/>
    <w:rsid w:val="00940D0A"/>
    <w:rsid w:val="00941337"/>
    <w:rsid w:val="00944D83"/>
    <w:rsid w:val="00944F08"/>
    <w:rsid w:val="00953C21"/>
    <w:rsid w:val="00956B8E"/>
    <w:rsid w:val="00961826"/>
    <w:rsid w:val="00961EA6"/>
    <w:rsid w:val="00964C06"/>
    <w:rsid w:val="00964C2C"/>
    <w:rsid w:val="00966770"/>
    <w:rsid w:val="00967E4A"/>
    <w:rsid w:val="009717D7"/>
    <w:rsid w:val="00971AB5"/>
    <w:rsid w:val="00972EC4"/>
    <w:rsid w:val="009738E3"/>
    <w:rsid w:val="0097564A"/>
    <w:rsid w:val="0098023C"/>
    <w:rsid w:val="00980323"/>
    <w:rsid w:val="00982760"/>
    <w:rsid w:val="009843D6"/>
    <w:rsid w:val="00985EC7"/>
    <w:rsid w:val="009874A9"/>
    <w:rsid w:val="009875E4"/>
    <w:rsid w:val="00987F9C"/>
    <w:rsid w:val="00994E15"/>
    <w:rsid w:val="00995D21"/>
    <w:rsid w:val="009A0C59"/>
    <w:rsid w:val="009A2861"/>
    <w:rsid w:val="009A3144"/>
    <w:rsid w:val="009A3D36"/>
    <w:rsid w:val="009A7D7B"/>
    <w:rsid w:val="009B04D6"/>
    <w:rsid w:val="009B0A22"/>
    <w:rsid w:val="009B0E12"/>
    <w:rsid w:val="009B0E77"/>
    <w:rsid w:val="009B22CC"/>
    <w:rsid w:val="009B3310"/>
    <w:rsid w:val="009B440E"/>
    <w:rsid w:val="009B4A8B"/>
    <w:rsid w:val="009B4D66"/>
    <w:rsid w:val="009B7B8A"/>
    <w:rsid w:val="009B7F71"/>
    <w:rsid w:val="009C154B"/>
    <w:rsid w:val="009C2F9A"/>
    <w:rsid w:val="009C688C"/>
    <w:rsid w:val="009D074D"/>
    <w:rsid w:val="009D0E6F"/>
    <w:rsid w:val="009D17B7"/>
    <w:rsid w:val="009D22EA"/>
    <w:rsid w:val="009D2845"/>
    <w:rsid w:val="009D38E2"/>
    <w:rsid w:val="009D4648"/>
    <w:rsid w:val="009D6C67"/>
    <w:rsid w:val="009D6E79"/>
    <w:rsid w:val="009E2AA6"/>
    <w:rsid w:val="009E3D7D"/>
    <w:rsid w:val="009E5107"/>
    <w:rsid w:val="009E5F78"/>
    <w:rsid w:val="009E6032"/>
    <w:rsid w:val="009E6741"/>
    <w:rsid w:val="009E6A44"/>
    <w:rsid w:val="009F10D0"/>
    <w:rsid w:val="009F3ECF"/>
    <w:rsid w:val="009F44BA"/>
    <w:rsid w:val="00A000C6"/>
    <w:rsid w:val="00A001C9"/>
    <w:rsid w:val="00A00FBB"/>
    <w:rsid w:val="00A01043"/>
    <w:rsid w:val="00A02D68"/>
    <w:rsid w:val="00A050F8"/>
    <w:rsid w:val="00A111F3"/>
    <w:rsid w:val="00A115F6"/>
    <w:rsid w:val="00A12EB7"/>
    <w:rsid w:val="00A156CB"/>
    <w:rsid w:val="00A157AE"/>
    <w:rsid w:val="00A162DA"/>
    <w:rsid w:val="00A16B03"/>
    <w:rsid w:val="00A176E3"/>
    <w:rsid w:val="00A200E0"/>
    <w:rsid w:val="00A202E6"/>
    <w:rsid w:val="00A23DCD"/>
    <w:rsid w:val="00A24B9A"/>
    <w:rsid w:val="00A255E7"/>
    <w:rsid w:val="00A269DD"/>
    <w:rsid w:val="00A26ED7"/>
    <w:rsid w:val="00A275E2"/>
    <w:rsid w:val="00A27FE9"/>
    <w:rsid w:val="00A333DD"/>
    <w:rsid w:val="00A33B6F"/>
    <w:rsid w:val="00A34C32"/>
    <w:rsid w:val="00A35778"/>
    <w:rsid w:val="00A4324E"/>
    <w:rsid w:val="00A44AEE"/>
    <w:rsid w:val="00A47A5B"/>
    <w:rsid w:val="00A50E0E"/>
    <w:rsid w:val="00A51576"/>
    <w:rsid w:val="00A52215"/>
    <w:rsid w:val="00A54B0E"/>
    <w:rsid w:val="00A6056D"/>
    <w:rsid w:val="00A60866"/>
    <w:rsid w:val="00A60C63"/>
    <w:rsid w:val="00A60C8C"/>
    <w:rsid w:val="00A63BFA"/>
    <w:rsid w:val="00A7125F"/>
    <w:rsid w:val="00A712FB"/>
    <w:rsid w:val="00A73BFE"/>
    <w:rsid w:val="00A73C73"/>
    <w:rsid w:val="00A7623E"/>
    <w:rsid w:val="00A76DD0"/>
    <w:rsid w:val="00A77343"/>
    <w:rsid w:val="00A81EF6"/>
    <w:rsid w:val="00A82004"/>
    <w:rsid w:val="00A831E5"/>
    <w:rsid w:val="00A831F8"/>
    <w:rsid w:val="00A8513B"/>
    <w:rsid w:val="00A864E8"/>
    <w:rsid w:val="00A879C2"/>
    <w:rsid w:val="00A905AA"/>
    <w:rsid w:val="00A90BF9"/>
    <w:rsid w:val="00A9331B"/>
    <w:rsid w:val="00A95F78"/>
    <w:rsid w:val="00A97EE0"/>
    <w:rsid w:val="00AA3B3B"/>
    <w:rsid w:val="00AA452A"/>
    <w:rsid w:val="00AA49E8"/>
    <w:rsid w:val="00AA5E7D"/>
    <w:rsid w:val="00AA656C"/>
    <w:rsid w:val="00AA7A3E"/>
    <w:rsid w:val="00AB07F2"/>
    <w:rsid w:val="00AB0E62"/>
    <w:rsid w:val="00AB63C7"/>
    <w:rsid w:val="00AB6849"/>
    <w:rsid w:val="00AC27DF"/>
    <w:rsid w:val="00AC67A1"/>
    <w:rsid w:val="00AC7CB1"/>
    <w:rsid w:val="00AC7E70"/>
    <w:rsid w:val="00AD032B"/>
    <w:rsid w:val="00AD1668"/>
    <w:rsid w:val="00AD1FB6"/>
    <w:rsid w:val="00AD20C6"/>
    <w:rsid w:val="00AD2CCB"/>
    <w:rsid w:val="00AD357F"/>
    <w:rsid w:val="00AD363F"/>
    <w:rsid w:val="00AE0E43"/>
    <w:rsid w:val="00AE3629"/>
    <w:rsid w:val="00AE599F"/>
    <w:rsid w:val="00AE5B0A"/>
    <w:rsid w:val="00AE6051"/>
    <w:rsid w:val="00AE6394"/>
    <w:rsid w:val="00AE6ECD"/>
    <w:rsid w:val="00AE78A3"/>
    <w:rsid w:val="00AF1A30"/>
    <w:rsid w:val="00AF60F7"/>
    <w:rsid w:val="00B0052A"/>
    <w:rsid w:val="00B04416"/>
    <w:rsid w:val="00B05917"/>
    <w:rsid w:val="00B05EBA"/>
    <w:rsid w:val="00B05EDA"/>
    <w:rsid w:val="00B13E07"/>
    <w:rsid w:val="00B16EEF"/>
    <w:rsid w:val="00B17A40"/>
    <w:rsid w:val="00B21A1D"/>
    <w:rsid w:val="00B23B37"/>
    <w:rsid w:val="00B246B2"/>
    <w:rsid w:val="00B26CB8"/>
    <w:rsid w:val="00B3044B"/>
    <w:rsid w:val="00B316EE"/>
    <w:rsid w:val="00B32050"/>
    <w:rsid w:val="00B375AD"/>
    <w:rsid w:val="00B37ECF"/>
    <w:rsid w:val="00B40726"/>
    <w:rsid w:val="00B41B23"/>
    <w:rsid w:val="00B41BD4"/>
    <w:rsid w:val="00B42034"/>
    <w:rsid w:val="00B43098"/>
    <w:rsid w:val="00B441A3"/>
    <w:rsid w:val="00B45432"/>
    <w:rsid w:val="00B45CC3"/>
    <w:rsid w:val="00B45D42"/>
    <w:rsid w:val="00B519B9"/>
    <w:rsid w:val="00B54745"/>
    <w:rsid w:val="00B64DA7"/>
    <w:rsid w:val="00B651C3"/>
    <w:rsid w:val="00B66487"/>
    <w:rsid w:val="00B70D54"/>
    <w:rsid w:val="00B71DFF"/>
    <w:rsid w:val="00B75727"/>
    <w:rsid w:val="00B75D5F"/>
    <w:rsid w:val="00B77963"/>
    <w:rsid w:val="00B80C02"/>
    <w:rsid w:val="00B82421"/>
    <w:rsid w:val="00B82814"/>
    <w:rsid w:val="00B9027B"/>
    <w:rsid w:val="00B91240"/>
    <w:rsid w:val="00B97220"/>
    <w:rsid w:val="00BA03F7"/>
    <w:rsid w:val="00BA0477"/>
    <w:rsid w:val="00BA0B62"/>
    <w:rsid w:val="00BA10FA"/>
    <w:rsid w:val="00BA23E0"/>
    <w:rsid w:val="00BA3186"/>
    <w:rsid w:val="00BA45A0"/>
    <w:rsid w:val="00BA537E"/>
    <w:rsid w:val="00BA6822"/>
    <w:rsid w:val="00BB1982"/>
    <w:rsid w:val="00BC4CB4"/>
    <w:rsid w:val="00BC6BA4"/>
    <w:rsid w:val="00BD28D0"/>
    <w:rsid w:val="00BD5B11"/>
    <w:rsid w:val="00BD67A2"/>
    <w:rsid w:val="00BD771E"/>
    <w:rsid w:val="00BE2A85"/>
    <w:rsid w:val="00BE6056"/>
    <w:rsid w:val="00BF0771"/>
    <w:rsid w:val="00BF6F0F"/>
    <w:rsid w:val="00BF6FD0"/>
    <w:rsid w:val="00BF71B3"/>
    <w:rsid w:val="00BF7F64"/>
    <w:rsid w:val="00C00CCC"/>
    <w:rsid w:val="00C04854"/>
    <w:rsid w:val="00C07E37"/>
    <w:rsid w:val="00C11285"/>
    <w:rsid w:val="00C12BD8"/>
    <w:rsid w:val="00C133C2"/>
    <w:rsid w:val="00C166E0"/>
    <w:rsid w:val="00C20CA0"/>
    <w:rsid w:val="00C2203C"/>
    <w:rsid w:val="00C233E7"/>
    <w:rsid w:val="00C239D5"/>
    <w:rsid w:val="00C2668B"/>
    <w:rsid w:val="00C309D0"/>
    <w:rsid w:val="00C32338"/>
    <w:rsid w:val="00C33300"/>
    <w:rsid w:val="00C3566F"/>
    <w:rsid w:val="00C36B5E"/>
    <w:rsid w:val="00C42F22"/>
    <w:rsid w:val="00C437CF"/>
    <w:rsid w:val="00C474CF"/>
    <w:rsid w:val="00C47F87"/>
    <w:rsid w:val="00C51772"/>
    <w:rsid w:val="00C51BE0"/>
    <w:rsid w:val="00C53BDD"/>
    <w:rsid w:val="00C55218"/>
    <w:rsid w:val="00C556C6"/>
    <w:rsid w:val="00C5577B"/>
    <w:rsid w:val="00C60467"/>
    <w:rsid w:val="00C613F2"/>
    <w:rsid w:val="00C6325D"/>
    <w:rsid w:val="00C63F46"/>
    <w:rsid w:val="00C64B85"/>
    <w:rsid w:val="00C65021"/>
    <w:rsid w:val="00C6588E"/>
    <w:rsid w:val="00C666FA"/>
    <w:rsid w:val="00C71950"/>
    <w:rsid w:val="00C75FC3"/>
    <w:rsid w:val="00C813A9"/>
    <w:rsid w:val="00C83F7F"/>
    <w:rsid w:val="00C86349"/>
    <w:rsid w:val="00C87C63"/>
    <w:rsid w:val="00C96A27"/>
    <w:rsid w:val="00CA60FF"/>
    <w:rsid w:val="00CB4A72"/>
    <w:rsid w:val="00CB5C56"/>
    <w:rsid w:val="00CC2C8B"/>
    <w:rsid w:val="00CC32E9"/>
    <w:rsid w:val="00CC63B3"/>
    <w:rsid w:val="00CC67D2"/>
    <w:rsid w:val="00CD5641"/>
    <w:rsid w:val="00CD61EE"/>
    <w:rsid w:val="00CD67E1"/>
    <w:rsid w:val="00CD693E"/>
    <w:rsid w:val="00CE136C"/>
    <w:rsid w:val="00CE2F56"/>
    <w:rsid w:val="00CE36F3"/>
    <w:rsid w:val="00CE3D9C"/>
    <w:rsid w:val="00CE483B"/>
    <w:rsid w:val="00CE488D"/>
    <w:rsid w:val="00CE5C3A"/>
    <w:rsid w:val="00CE6316"/>
    <w:rsid w:val="00CF017E"/>
    <w:rsid w:val="00CF0CA5"/>
    <w:rsid w:val="00CF0EC4"/>
    <w:rsid w:val="00CF32EA"/>
    <w:rsid w:val="00CF3699"/>
    <w:rsid w:val="00CF78F9"/>
    <w:rsid w:val="00D007E9"/>
    <w:rsid w:val="00D02602"/>
    <w:rsid w:val="00D02FEE"/>
    <w:rsid w:val="00D0438D"/>
    <w:rsid w:val="00D065E3"/>
    <w:rsid w:val="00D06E45"/>
    <w:rsid w:val="00D07A07"/>
    <w:rsid w:val="00D100F0"/>
    <w:rsid w:val="00D106A6"/>
    <w:rsid w:val="00D1291A"/>
    <w:rsid w:val="00D13C71"/>
    <w:rsid w:val="00D17443"/>
    <w:rsid w:val="00D17848"/>
    <w:rsid w:val="00D17E5C"/>
    <w:rsid w:val="00D20CAA"/>
    <w:rsid w:val="00D213E3"/>
    <w:rsid w:val="00D22489"/>
    <w:rsid w:val="00D22A7D"/>
    <w:rsid w:val="00D22ACD"/>
    <w:rsid w:val="00D25D17"/>
    <w:rsid w:val="00D3072D"/>
    <w:rsid w:val="00D30A10"/>
    <w:rsid w:val="00D30F8B"/>
    <w:rsid w:val="00D31777"/>
    <w:rsid w:val="00D318B9"/>
    <w:rsid w:val="00D32460"/>
    <w:rsid w:val="00D374CB"/>
    <w:rsid w:val="00D4257D"/>
    <w:rsid w:val="00D45AD9"/>
    <w:rsid w:val="00D5187A"/>
    <w:rsid w:val="00D52DC4"/>
    <w:rsid w:val="00D54214"/>
    <w:rsid w:val="00D55739"/>
    <w:rsid w:val="00D5660D"/>
    <w:rsid w:val="00D56932"/>
    <w:rsid w:val="00D56C52"/>
    <w:rsid w:val="00D57244"/>
    <w:rsid w:val="00D57F58"/>
    <w:rsid w:val="00D61861"/>
    <w:rsid w:val="00D64D28"/>
    <w:rsid w:val="00D64DD9"/>
    <w:rsid w:val="00D65786"/>
    <w:rsid w:val="00D66F7E"/>
    <w:rsid w:val="00D67590"/>
    <w:rsid w:val="00D70BC1"/>
    <w:rsid w:val="00D71093"/>
    <w:rsid w:val="00D7133F"/>
    <w:rsid w:val="00D734A7"/>
    <w:rsid w:val="00D75FAF"/>
    <w:rsid w:val="00D76094"/>
    <w:rsid w:val="00D83922"/>
    <w:rsid w:val="00D85A72"/>
    <w:rsid w:val="00D86420"/>
    <w:rsid w:val="00D867CB"/>
    <w:rsid w:val="00D875AF"/>
    <w:rsid w:val="00D9096A"/>
    <w:rsid w:val="00D919A0"/>
    <w:rsid w:val="00D926BD"/>
    <w:rsid w:val="00D9374C"/>
    <w:rsid w:val="00D947AD"/>
    <w:rsid w:val="00DA1B6B"/>
    <w:rsid w:val="00DA2FD1"/>
    <w:rsid w:val="00DA3B5E"/>
    <w:rsid w:val="00DA6B7D"/>
    <w:rsid w:val="00DA7411"/>
    <w:rsid w:val="00DB18CC"/>
    <w:rsid w:val="00DB2269"/>
    <w:rsid w:val="00DB42D3"/>
    <w:rsid w:val="00DB4384"/>
    <w:rsid w:val="00DB43C7"/>
    <w:rsid w:val="00DC075E"/>
    <w:rsid w:val="00DC2F7A"/>
    <w:rsid w:val="00DD0A8C"/>
    <w:rsid w:val="00DD1134"/>
    <w:rsid w:val="00DD1DDE"/>
    <w:rsid w:val="00DD207E"/>
    <w:rsid w:val="00DD2A20"/>
    <w:rsid w:val="00DD2F1E"/>
    <w:rsid w:val="00DD3357"/>
    <w:rsid w:val="00DE09AB"/>
    <w:rsid w:val="00DE2E24"/>
    <w:rsid w:val="00DE38C6"/>
    <w:rsid w:val="00DE6E61"/>
    <w:rsid w:val="00DE727C"/>
    <w:rsid w:val="00DE7C0C"/>
    <w:rsid w:val="00DF6BDB"/>
    <w:rsid w:val="00DF760C"/>
    <w:rsid w:val="00DF78E6"/>
    <w:rsid w:val="00DF7FCA"/>
    <w:rsid w:val="00E10337"/>
    <w:rsid w:val="00E12F31"/>
    <w:rsid w:val="00E13467"/>
    <w:rsid w:val="00E14F52"/>
    <w:rsid w:val="00E15D0A"/>
    <w:rsid w:val="00E16844"/>
    <w:rsid w:val="00E17D8C"/>
    <w:rsid w:val="00E21FDD"/>
    <w:rsid w:val="00E222D8"/>
    <w:rsid w:val="00E2378E"/>
    <w:rsid w:val="00E26BBC"/>
    <w:rsid w:val="00E31F57"/>
    <w:rsid w:val="00E32B02"/>
    <w:rsid w:val="00E3550B"/>
    <w:rsid w:val="00E35FC5"/>
    <w:rsid w:val="00E3689E"/>
    <w:rsid w:val="00E3731D"/>
    <w:rsid w:val="00E3795A"/>
    <w:rsid w:val="00E412A8"/>
    <w:rsid w:val="00E42451"/>
    <w:rsid w:val="00E45F43"/>
    <w:rsid w:val="00E46FF4"/>
    <w:rsid w:val="00E470EF"/>
    <w:rsid w:val="00E522A9"/>
    <w:rsid w:val="00E5318D"/>
    <w:rsid w:val="00E53463"/>
    <w:rsid w:val="00E55436"/>
    <w:rsid w:val="00E57710"/>
    <w:rsid w:val="00E57D6E"/>
    <w:rsid w:val="00E63DB3"/>
    <w:rsid w:val="00E6756B"/>
    <w:rsid w:val="00E74433"/>
    <w:rsid w:val="00E750FA"/>
    <w:rsid w:val="00E75598"/>
    <w:rsid w:val="00E76D5B"/>
    <w:rsid w:val="00E7762C"/>
    <w:rsid w:val="00E7784C"/>
    <w:rsid w:val="00E813DF"/>
    <w:rsid w:val="00E82A8C"/>
    <w:rsid w:val="00E83E50"/>
    <w:rsid w:val="00E84D8F"/>
    <w:rsid w:val="00E86314"/>
    <w:rsid w:val="00E866C7"/>
    <w:rsid w:val="00E8748E"/>
    <w:rsid w:val="00E87569"/>
    <w:rsid w:val="00E87822"/>
    <w:rsid w:val="00E90407"/>
    <w:rsid w:val="00E910D5"/>
    <w:rsid w:val="00E9165E"/>
    <w:rsid w:val="00E92721"/>
    <w:rsid w:val="00E92832"/>
    <w:rsid w:val="00EA0D2E"/>
    <w:rsid w:val="00EA2E38"/>
    <w:rsid w:val="00EA47FB"/>
    <w:rsid w:val="00EA5434"/>
    <w:rsid w:val="00EA76AD"/>
    <w:rsid w:val="00EA7C5C"/>
    <w:rsid w:val="00EB08E6"/>
    <w:rsid w:val="00EB1144"/>
    <w:rsid w:val="00EB12B7"/>
    <w:rsid w:val="00EB5FC9"/>
    <w:rsid w:val="00EC16C8"/>
    <w:rsid w:val="00EC1EA7"/>
    <w:rsid w:val="00EC1F90"/>
    <w:rsid w:val="00EC54C8"/>
    <w:rsid w:val="00EC7643"/>
    <w:rsid w:val="00ED037D"/>
    <w:rsid w:val="00ED2708"/>
    <w:rsid w:val="00ED38D5"/>
    <w:rsid w:val="00ED4924"/>
    <w:rsid w:val="00ED537C"/>
    <w:rsid w:val="00ED65DE"/>
    <w:rsid w:val="00ED7B8F"/>
    <w:rsid w:val="00EE2A23"/>
    <w:rsid w:val="00EE5417"/>
    <w:rsid w:val="00EE62FE"/>
    <w:rsid w:val="00EE7F14"/>
    <w:rsid w:val="00EF275A"/>
    <w:rsid w:val="00EF280F"/>
    <w:rsid w:val="00EF350F"/>
    <w:rsid w:val="00EF422B"/>
    <w:rsid w:val="00EF5F43"/>
    <w:rsid w:val="00F031D4"/>
    <w:rsid w:val="00F03712"/>
    <w:rsid w:val="00F05549"/>
    <w:rsid w:val="00F06D68"/>
    <w:rsid w:val="00F07383"/>
    <w:rsid w:val="00F07BED"/>
    <w:rsid w:val="00F07C19"/>
    <w:rsid w:val="00F10393"/>
    <w:rsid w:val="00F112F4"/>
    <w:rsid w:val="00F11C61"/>
    <w:rsid w:val="00F12C5E"/>
    <w:rsid w:val="00F13957"/>
    <w:rsid w:val="00F171B3"/>
    <w:rsid w:val="00F21851"/>
    <w:rsid w:val="00F220B3"/>
    <w:rsid w:val="00F31103"/>
    <w:rsid w:val="00F31ADA"/>
    <w:rsid w:val="00F3390F"/>
    <w:rsid w:val="00F33C64"/>
    <w:rsid w:val="00F3666C"/>
    <w:rsid w:val="00F36D4A"/>
    <w:rsid w:val="00F402FC"/>
    <w:rsid w:val="00F40CE5"/>
    <w:rsid w:val="00F41725"/>
    <w:rsid w:val="00F41E39"/>
    <w:rsid w:val="00F42304"/>
    <w:rsid w:val="00F44A08"/>
    <w:rsid w:val="00F44B3D"/>
    <w:rsid w:val="00F46C31"/>
    <w:rsid w:val="00F477E1"/>
    <w:rsid w:val="00F50680"/>
    <w:rsid w:val="00F5249F"/>
    <w:rsid w:val="00F5316C"/>
    <w:rsid w:val="00F541B4"/>
    <w:rsid w:val="00F543CB"/>
    <w:rsid w:val="00F546B2"/>
    <w:rsid w:val="00F57384"/>
    <w:rsid w:val="00F60934"/>
    <w:rsid w:val="00F60AC8"/>
    <w:rsid w:val="00F61ED1"/>
    <w:rsid w:val="00F645B8"/>
    <w:rsid w:val="00F6483C"/>
    <w:rsid w:val="00F64C9E"/>
    <w:rsid w:val="00F652F4"/>
    <w:rsid w:val="00F67246"/>
    <w:rsid w:val="00F67DFF"/>
    <w:rsid w:val="00F706BF"/>
    <w:rsid w:val="00F71AA3"/>
    <w:rsid w:val="00F72936"/>
    <w:rsid w:val="00F73B20"/>
    <w:rsid w:val="00F74E2B"/>
    <w:rsid w:val="00F75AF3"/>
    <w:rsid w:val="00F771C1"/>
    <w:rsid w:val="00F80D33"/>
    <w:rsid w:val="00F818E6"/>
    <w:rsid w:val="00F82EA5"/>
    <w:rsid w:val="00F831B2"/>
    <w:rsid w:val="00F845DA"/>
    <w:rsid w:val="00F8722A"/>
    <w:rsid w:val="00F91B34"/>
    <w:rsid w:val="00F92013"/>
    <w:rsid w:val="00F93F14"/>
    <w:rsid w:val="00F94C3B"/>
    <w:rsid w:val="00FA01A2"/>
    <w:rsid w:val="00FA0C3C"/>
    <w:rsid w:val="00FA0DB4"/>
    <w:rsid w:val="00FA1C24"/>
    <w:rsid w:val="00FA1E34"/>
    <w:rsid w:val="00FA2283"/>
    <w:rsid w:val="00FA32E4"/>
    <w:rsid w:val="00FA4ED4"/>
    <w:rsid w:val="00FB08F4"/>
    <w:rsid w:val="00FB23A7"/>
    <w:rsid w:val="00FB3B97"/>
    <w:rsid w:val="00FB3E97"/>
    <w:rsid w:val="00FB50A4"/>
    <w:rsid w:val="00FB588E"/>
    <w:rsid w:val="00FB6095"/>
    <w:rsid w:val="00FB67FF"/>
    <w:rsid w:val="00FB682B"/>
    <w:rsid w:val="00FC15DD"/>
    <w:rsid w:val="00FC46E1"/>
    <w:rsid w:val="00FC53CA"/>
    <w:rsid w:val="00FC5DF6"/>
    <w:rsid w:val="00FC6D99"/>
    <w:rsid w:val="00FC74AD"/>
    <w:rsid w:val="00FD2B4F"/>
    <w:rsid w:val="00FD41F3"/>
    <w:rsid w:val="00FD5026"/>
    <w:rsid w:val="00FD5AA1"/>
    <w:rsid w:val="00FD7A8B"/>
    <w:rsid w:val="00FE08AC"/>
    <w:rsid w:val="00FE5A41"/>
    <w:rsid w:val="00FE750B"/>
    <w:rsid w:val="00FF087F"/>
    <w:rsid w:val="00FF24E1"/>
    <w:rsid w:val="00FF5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220E0"/>
  <w15:docId w15:val="{2BE7823F-1737-B94C-AA37-930E70C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AU" w:eastAsia="en-AU" w:bidi="ar-SA"/>
      </w:rPr>
    </w:rPrDefault>
    <w:pPrDefault>
      <w:pPr>
        <w:spacing w:before="120" w:after="12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4317CC"/>
  </w:style>
  <w:style w:type="paragraph" w:styleId="Heading1">
    <w:name w:val="heading 1"/>
    <w:basedOn w:val="Normal"/>
    <w:next w:val="Normal"/>
    <w:uiPriority w:val="9"/>
    <w:qFormat/>
    <w:pPr>
      <w:keepNext/>
      <w:keepLines/>
      <w:spacing w:before="360" w:after="360"/>
      <w:outlineLvl w:val="0"/>
    </w:pPr>
    <w:rPr>
      <w:b/>
      <w:color w:val="404040"/>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40404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40"/>
      <w:szCs w:val="40"/>
    </w:rPr>
  </w:style>
  <w:style w:type="paragraph" w:styleId="Subtitle">
    <w:name w:val="Subtitle"/>
    <w:basedOn w:val="Normal"/>
    <w:next w:val="Normal"/>
    <w:uiPriority w:val="11"/>
    <w:qFormat/>
    <w:rPr>
      <w:color w:val="5A5A5A"/>
      <w:sz w:val="22"/>
      <w:szCs w:val="22"/>
    </w:rPr>
  </w:style>
  <w:style w:type="paragraph" w:styleId="BalloonText">
    <w:name w:val="Balloon Text"/>
    <w:basedOn w:val="Normal"/>
    <w:link w:val="BalloonTextChar"/>
    <w:uiPriority w:val="99"/>
    <w:semiHidden/>
    <w:unhideWhenUsed/>
    <w:rsid w:val="008919F6"/>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19F6"/>
    <w:rPr>
      <w:rFonts w:ascii="Times New Roman" w:hAnsi="Times New Roman" w:cs="Times New Roman"/>
      <w:sz w:val="18"/>
      <w:szCs w:val="18"/>
    </w:rPr>
  </w:style>
  <w:style w:type="paragraph" w:styleId="ListParagraph">
    <w:name w:val="List Paragraph"/>
    <w:basedOn w:val="Normal"/>
    <w:uiPriority w:val="34"/>
    <w:qFormat/>
    <w:rsid w:val="006E51C4"/>
    <w:pPr>
      <w:ind w:left="720"/>
      <w:contextualSpacing/>
    </w:pPr>
  </w:style>
  <w:style w:type="paragraph" w:styleId="FootnoteText">
    <w:name w:val="footnote text"/>
    <w:basedOn w:val="Normal"/>
    <w:link w:val="FootnoteTextChar"/>
    <w:uiPriority w:val="99"/>
    <w:unhideWhenUsed/>
    <w:rsid w:val="00CC2C8B"/>
    <w:pPr>
      <w:spacing w:before="0" w:after="0" w:line="240" w:lineRule="auto"/>
    </w:pPr>
    <w:rPr>
      <w:sz w:val="16"/>
    </w:rPr>
  </w:style>
  <w:style w:type="character" w:customStyle="1" w:styleId="FootnoteTextChar">
    <w:name w:val="Footnote Text Char"/>
    <w:basedOn w:val="DefaultParagraphFont"/>
    <w:link w:val="FootnoteText"/>
    <w:uiPriority w:val="99"/>
    <w:rsid w:val="00CC2C8B"/>
    <w:rPr>
      <w:sz w:val="16"/>
    </w:rPr>
  </w:style>
  <w:style w:type="character" w:styleId="FootnoteReference">
    <w:name w:val="footnote reference"/>
    <w:basedOn w:val="DefaultParagraphFont"/>
    <w:uiPriority w:val="99"/>
    <w:semiHidden/>
    <w:unhideWhenUsed/>
    <w:rsid w:val="00F31ADA"/>
    <w:rPr>
      <w:vertAlign w:val="superscript"/>
    </w:rPr>
  </w:style>
  <w:style w:type="character" w:styleId="Hyperlink">
    <w:name w:val="Hyperlink"/>
    <w:basedOn w:val="DefaultParagraphFont"/>
    <w:uiPriority w:val="99"/>
    <w:unhideWhenUsed/>
    <w:rsid w:val="00AD2CCB"/>
    <w:rPr>
      <w:color w:val="0000FF" w:themeColor="hyperlink"/>
      <w:u w:val="single"/>
    </w:rPr>
  </w:style>
  <w:style w:type="character" w:styleId="UnresolvedMention">
    <w:name w:val="Unresolved Mention"/>
    <w:basedOn w:val="DefaultParagraphFont"/>
    <w:uiPriority w:val="99"/>
    <w:rsid w:val="00AD2CCB"/>
    <w:rPr>
      <w:color w:val="605E5C"/>
      <w:shd w:val="clear" w:color="auto" w:fill="E1DFDD"/>
    </w:rPr>
  </w:style>
  <w:style w:type="character" w:styleId="FollowedHyperlink">
    <w:name w:val="FollowedHyperlink"/>
    <w:basedOn w:val="DefaultParagraphFont"/>
    <w:uiPriority w:val="99"/>
    <w:semiHidden/>
    <w:unhideWhenUsed/>
    <w:rsid w:val="007261B9"/>
    <w:rPr>
      <w:color w:val="800080" w:themeColor="followedHyperlink"/>
      <w:u w:val="single"/>
    </w:rPr>
  </w:style>
  <w:style w:type="paragraph" w:styleId="EndnoteText">
    <w:name w:val="endnote text"/>
    <w:basedOn w:val="Normal"/>
    <w:link w:val="EndnoteTextChar"/>
    <w:uiPriority w:val="99"/>
    <w:unhideWhenUsed/>
    <w:rsid w:val="00E84D8F"/>
    <w:pPr>
      <w:spacing w:before="0" w:after="0" w:line="240" w:lineRule="auto"/>
    </w:pPr>
  </w:style>
  <w:style w:type="character" w:customStyle="1" w:styleId="EndnoteTextChar">
    <w:name w:val="Endnote Text Char"/>
    <w:basedOn w:val="DefaultParagraphFont"/>
    <w:link w:val="EndnoteText"/>
    <w:uiPriority w:val="99"/>
    <w:rsid w:val="00E84D8F"/>
  </w:style>
  <w:style w:type="character" w:styleId="EndnoteReference">
    <w:name w:val="endnote reference"/>
    <w:basedOn w:val="DefaultParagraphFont"/>
    <w:uiPriority w:val="99"/>
    <w:semiHidden/>
    <w:unhideWhenUsed/>
    <w:rsid w:val="00E84D8F"/>
    <w:rPr>
      <w:vertAlign w:val="superscript"/>
    </w:rPr>
  </w:style>
  <w:style w:type="paragraph" w:styleId="Header">
    <w:name w:val="header"/>
    <w:basedOn w:val="Normal"/>
    <w:link w:val="HeaderChar"/>
    <w:uiPriority w:val="99"/>
    <w:unhideWhenUsed/>
    <w:rsid w:val="0065605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5605A"/>
  </w:style>
  <w:style w:type="paragraph" w:styleId="Footer">
    <w:name w:val="footer"/>
    <w:basedOn w:val="Normal"/>
    <w:link w:val="FooterChar"/>
    <w:uiPriority w:val="99"/>
    <w:unhideWhenUsed/>
    <w:rsid w:val="0065605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5605A"/>
  </w:style>
  <w:style w:type="paragraph" w:styleId="NormalWeb">
    <w:name w:val="Normal (Web)"/>
    <w:basedOn w:val="Normal"/>
    <w:uiPriority w:val="99"/>
    <w:unhideWhenUsed/>
    <w:rsid w:val="008008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7514">
      <w:bodyDiv w:val="1"/>
      <w:marLeft w:val="0"/>
      <w:marRight w:val="0"/>
      <w:marTop w:val="0"/>
      <w:marBottom w:val="0"/>
      <w:divBdr>
        <w:top w:val="none" w:sz="0" w:space="0" w:color="auto"/>
        <w:left w:val="none" w:sz="0" w:space="0" w:color="auto"/>
        <w:bottom w:val="none" w:sz="0" w:space="0" w:color="auto"/>
        <w:right w:val="none" w:sz="0" w:space="0" w:color="auto"/>
      </w:divBdr>
    </w:div>
    <w:div w:id="201406099">
      <w:bodyDiv w:val="1"/>
      <w:marLeft w:val="0"/>
      <w:marRight w:val="0"/>
      <w:marTop w:val="0"/>
      <w:marBottom w:val="0"/>
      <w:divBdr>
        <w:top w:val="none" w:sz="0" w:space="0" w:color="auto"/>
        <w:left w:val="none" w:sz="0" w:space="0" w:color="auto"/>
        <w:bottom w:val="none" w:sz="0" w:space="0" w:color="auto"/>
        <w:right w:val="none" w:sz="0" w:space="0" w:color="auto"/>
      </w:divBdr>
    </w:div>
    <w:div w:id="621303461">
      <w:bodyDiv w:val="1"/>
      <w:marLeft w:val="0"/>
      <w:marRight w:val="0"/>
      <w:marTop w:val="0"/>
      <w:marBottom w:val="0"/>
      <w:divBdr>
        <w:top w:val="none" w:sz="0" w:space="0" w:color="auto"/>
        <w:left w:val="none" w:sz="0" w:space="0" w:color="auto"/>
        <w:bottom w:val="none" w:sz="0" w:space="0" w:color="auto"/>
        <w:right w:val="none" w:sz="0" w:space="0" w:color="auto"/>
      </w:divBdr>
    </w:div>
    <w:div w:id="866211731">
      <w:bodyDiv w:val="1"/>
      <w:marLeft w:val="0"/>
      <w:marRight w:val="0"/>
      <w:marTop w:val="0"/>
      <w:marBottom w:val="0"/>
      <w:divBdr>
        <w:top w:val="none" w:sz="0" w:space="0" w:color="auto"/>
        <w:left w:val="none" w:sz="0" w:space="0" w:color="auto"/>
        <w:bottom w:val="none" w:sz="0" w:space="0" w:color="auto"/>
        <w:right w:val="none" w:sz="0" w:space="0" w:color="auto"/>
      </w:divBdr>
    </w:div>
    <w:div w:id="1182432787">
      <w:bodyDiv w:val="1"/>
      <w:marLeft w:val="0"/>
      <w:marRight w:val="0"/>
      <w:marTop w:val="0"/>
      <w:marBottom w:val="0"/>
      <w:divBdr>
        <w:top w:val="none" w:sz="0" w:space="0" w:color="auto"/>
        <w:left w:val="none" w:sz="0" w:space="0" w:color="auto"/>
        <w:bottom w:val="none" w:sz="0" w:space="0" w:color="auto"/>
        <w:right w:val="none" w:sz="0" w:space="0" w:color="auto"/>
      </w:divBdr>
    </w:div>
    <w:div w:id="1454205431">
      <w:bodyDiv w:val="1"/>
      <w:marLeft w:val="0"/>
      <w:marRight w:val="0"/>
      <w:marTop w:val="0"/>
      <w:marBottom w:val="0"/>
      <w:divBdr>
        <w:top w:val="none" w:sz="0" w:space="0" w:color="auto"/>
        <w:left w:val="none" w:sz="0" w:space="0" w:color="auto"/>
        <w:bottom w:val="none" w:sz="0" w:space="0" w:color="auto"/>
        <w:right w:val="none" w:sz="0" w:space="0" w:color="auto"/>
      </w:divBdr>
    </w:div>
    <w:div w:id="1601523824">
      <w:bodyDiv w:val="1"/>
      <w:marLeft w:val="0"/>
      <w:marRight w:val="0"/>
      <w:marTop w:val="0"/>
      <w:marBottom w:val="0"/>
      <w:divBdr>
        <w:top w:val="none" w:sz="0" w:space="0" w:color="auto"/>
        <w:left w:val="none" w:sz="0" w:space="0" w:color="auto"/>
        <w:bottom w:val="none" w:sz="0" w:space="0" w:color="auto"/>
        <w:right w:val="none" w:sz="0" w:space="0" w:color="auto"/>
      </w:divBdr>
    </w:div>
    <w:div w:id="1691369893">
      <w:bodyDiv w:val="1"/>
      <w:marLeft w:val="0"/>
      <w:marRight w:val="0"/>
      <w:marTop w:val="0"/>
      <w:marBottom w:val="0"/>
      <w:divBdr>
        <w:top w:val="none" w:sz="0" w:space="0" w:color="auto"/>
        <w:left w:val="none" w:sz="0" w:space="0" w:color="auto"/>
        <w:bottom w:val="none" w:sz="0" w:space="0" w:color="auto"/>
        <w:right w:val="none" w:sz="0" w:space="0" w:color="auto"/>
      </w:divBdr>
    </w:div>
    <w:div w:id="1981960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ihw.gov.au/reports/children-youth/young-australians-health-wellbeing-2007/contents/table-of-contents" TargetMode="External"/><Relationship Id="rId2" Type="http://schemas.openxmlformats.org/officeDocument/2006/relationships/hyperlink" Target="http://dx.doi.org/10.1080/10349120120073412" TargetMode="External"/><Relationship Id="rId1" Type="http://schemas.openxmlformats.org/officeDocument/2006/relationships/hyperlink" Target="https://doi.org/10.1002/pits.20280" TargetMode="External"/><Relationship Id="rId5" Type="http://schemas.openxmlformats.org/officeDocument/2006/relationships/hyperlink" Target="https://doi.org/10.1111/1467-8578.12130" TargetMode="External"/><Relationship Id="rId4" Type="http://schemas.openxmlformats.org/officeDocument/2006/relationships/hyperlink" Target="https://slack-redir.net/link?url=http%3A%2F%2Fezproxy.uws.edu.au%2Flogin%3Furl%3Dhttp%3A%2F%2Fsearch.informit.com.au%2FfullText%3Bdn%3D134077%3Bres%3DAE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E3C0-7B18-44F9-A1C4-5812CD7E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2776</Words>
  <Characters>15825</Characters>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2020-09-21T08:11:00Z</cp:lastPrinted>
  <dcterms:created xsi:type="dcterms:W3CDTF">2020-12-20T23:32:00Z</dcterms:created>
  <dcterms:modified xsi:type="dcterms:W3CDTF">2020-12-20T23:32:00Z</dcterms:modified>
</cp:coreProperties>
</file>