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48F" w:rsidRDefault="005A348F" w:rsidP="005A348F">
      <w:pPr>
        <w:pStyle w:val="Heading1"/>
      </w:pPr>
      <w:r>
        <w:t xml:space="preserve">Public submission made to the Review to Achieve Educational Excellence in Australian Schools </w:t>
      </w:r>
    </w:p>
    <w:p w:rsidR="005A348F" w:rsidRPr="00940345" w:rsidRDefault="005A348F" w:rsidP="005A348F">
      <w:pPr>
        <w:rPr>
          <w:sz w:val="24"/>
          <w:szCs w:val="24"/>
        </w:rPr>
      </w:pPr>
    </w:p>
    <w:p w:rsidR="005A348F" w:rsidRPr="00940345" w:rsidRDefault="005A348F" w:rsidP="005A348F">
      <w:pPr>
        <w:contextualSpacing/>
        <w:rPr>
          <w:sz w:val="24"/>
          <w:szCs w:val="24"/>
        </w:rPr>
      </w:pPr>
      <w:r w:rsidRPr="00940345">
        <w:rPr>
          <w:sz w:val="24"/>
          <w:szCs w:val="24"/>
        </w:rPr>
        <w:t>Submitter:</w:t>
      </w:r>
      <w:r w:rsidRPr="00940345">
        <w:rPr>
          <w:sz w:val="24"/>
          <w:szCs w:val="24"/>
        </w:rPr>
        <w:tab/>
      </w:r>
      <w:r w:rsidRPr="00940345">
        <w:rPr>
          <w:sz w:val="24"/>
          <w:szCs w:val="24"/>
        </w:rPr>
        <w:tab/>
      </w:r>
      <w:r w:rsidRPr="00940345">
        <w:rPr>
          <w:noProof/>
          <w:sz w:val="24"/>
          <w:szCs w:val="24"/>
        </w:rPr>
        <w:t>The Australian Academy of Science</w:t>
      </w:r>
    </w:p>
    <w:p w:rsidR="005A348F" w:rsidRPr="00940345" w:rsidRDefault="005A348F" w:rsidP="005A348F">
      <w:pPr>
        <w:contextualSpacing/>
        <w:rPr>
          <w:sz w:val="24"/>
          <w:szCs w:val="24"/>
        </w:rPr>
      </w:pPr>
      <w:r w:rsidRPr="00940345">
        <w:rPr>
          <w:sz w:val="24"/>
          <w:szCs w:val="24"/>
        </w:rPr>
        <w:t xml:space="preserve">Submitting as a: </w:t>
      </w:r>
      <w:r w:rsidRPr="00940345">
        <w:rPr>
          <w:sz w:val="24"/>
          <w:szCs w:val="24"/>
        </w:rPr>
        <w:tab/>
      </w:r>
      <w:r w:rsidRPr="00940345">
        <w:rPr>
          <w:noProof/>
          <w:sz w:val="24"/>
          <w:szCs w:val="24"/>
        </w:rPr>
        <w:t>Academic person or institution</w:t>
      </w:r>
    </w:p>
    <w:p w:rsidR="005A348F" w:rsidRPr="00940345" w:rsidRDefault="005A348F" w:rsidP="005A348F">
      <w:pPr>
        <w:contextualSpacing/>
        <w:rPr>
          <w:sz w:val="24"/>
          <w:szCs w:val="24"/>
        </w:rPr>
      </w:pPr>
      <w:r w:rsidRPr="00940345">
        <w:rPr>
          <w:sz w:val="24"/>
          <w:szCs w:val="24"/>
        </w:rPr>
        <w:t xml:space="preserve">State: </w:t>
      </w:r>
      <w:r w:rsidRPr="00940345">
        <w:rPr>
          <w:sz w:val="24"/>
          <w:szCs w:val="24"/>
        </w:rPr>
        <w:tab/>
      </w:r>
      <w:r w:rsidRPr="00940345">
        <w:rPr>
          <w:sz w:val="24"/>
          <w:szCs w:val="24"/>
        </w:rPr>
        <w:tab/>
      </w:r>
      <w:r w:rsidRPr="00940345">
        <w:rPr>
          <w:sz w:val="24"/>
          <w:szCs w:val="24"/>
        </w:rPr>
        <w:tab/>
      </w:r>
      <w:r w:rsidRPr="00940345">
        <w:rPr>
          <w:noProof/>
          <w:sz w:val="24"/>
          <w:szCs w:val="24"/>
        </w:rPr>
        <w:t>ACT</w:t>
      </w:r>
    </w:p>
    <w:p w:rsidR="005A348F" w:rsidRPr="00940345" w:rsidRDefault="005A348F" w:rsidP="005A348F">
      <w:pPr>
        <w:rPr>
          <w:sz w:val="24"/>
          <w:szCs w:val="24"/>
        </w:rPr>
      </w:pPr>
    </w:p>
    <w:p w:rsidR="005A348F" w:rsidRDefault="005A348F" w:rsidP="005A348F">
      <w:pPr>
        <w:pStyle w:val="Heading2"/>
      </w:pPr>
      <w:r>
        <w:t>Summary</w:t>
      </w:r>
    </w:p>
    <w:p w:rsidR="00940345" w:rsidRPr="00940345" w:rsidRDefault="00940345" w:rsidP="00940345">
      <w:pPr>
        <w:spacing w:after="120"/>
        <w:rPr>
          <w:rFonts w:ascii="Calibri" w:eastAsia="Calibri" w:hAnsi="Calibri" w:cs="Times New Roman"/>
          <w:sz w:val="24"/>
          <w:szCs w:val="24"/>
          <w:lang w:eastAsia="en-AU"/>
        </w:rPr>
      </w:pPr>
      <w:r w:rsidRPr="00940345">
        <w:rPr>
          <w:rFonts w:ascii="Calibri" w:eastAsia="Calibri" w:hAnsi="Calibri" w:cs="Times New Roman"/>
          <w:sz w:val="24"/>
          <w:szCs w:val="24"/>
          <w:lang w:eastAsia="en-AU"/>
        </w:rPr>
        <w:t>Key Priorities and Recommendations</w:t>
      </w:r>
    </w:p>
    <w:p w:rsidR="00940345" w:rsidRPr="00940345" w:rsidRDefault="00940345" w:rsidP="00940345">
      <w:pPr>
        <w:spacing w:after="120"/>
        <w:rPr>
          <w:rFonts w:ascii="Calibri" w:eastAsia="Calibri" w:hAnsi="Calibri" w:cs="Times New Roman"/>
          <w:sz w:val="24"/>
          <w:szCs w:val="24"/>
          <w:lang w:eastAsia="en-AU"/>
        </w:rPr>
      </w:pPr>
      <w:r w:rsidRPr="00940345">
        <w:rPr>
          <w:rFonts w:ascii="Calibri" w:eastAsia="Calibri" w:hAnsi="Calibri" w:cs="Times New Roman"/>
          <w:sz w:val="24"/>
          <w:szCs w:val="24"/>
          <w:lang w:eastAsia="en-AU"/>
        </w:rPr>
        <w:t xml:space="preserve">The Australian Academy of Science: </w:t>
      </w:r>
    </w:p>
    <w:p w:rsidR="00940345" w:rsidRPr="00940345" w:rsidRDefault="00940345" w:rsidP="00940345">
      <w:pPr>
        <w:numPr>
          <w:ilvl w:val="0"/>
          <w:numId w:val="1"/>
        </w:numPr>
        <w:spacing w:after="160" w:line="256" w:lineRule="auto"/>
        <w:contextualSpacing/>
        <w:rPr>
          <w:rFonts w:ascii="Calibri" w:eastAsia="Times New Roman" w:hAnsi="Calibri" w:cs="Times New Roman"/>
          <w:sz w:val="24"/>
          <w:szCs w:val="24"/>
          <w:lang w:eastAsia="en-AU"/>
        </w:rPr>
      </w:pPr>
      <w:r w:rsidRPr="00940345">
        <w:rPr>
          <w:rFonts w:ascii="Calibri" w:eastAsia="Times New Roman" w:hAnsi="Calibri" w:cs="Times New Roman"/>
          <w:sz w:val="24"/>
          <w:szCs w:val="24"/>
          <w:lang w:eastAsia="en-AU"/>
        </w:rPr>
        <w:t>believes all students should possess a level of basic scientific and mathematical literacy</w:t>
      </w:r>
    </w:p>
    <w:p w:rsidR="00940345" w:rsidRPr="00940345" w:rsidRDefault="00940345" w:rsidP="00940345">
      <w:pPr>
        <w:numPr>
          <w:ilvl w:val="0"/>
          <w:numId w:val="1"/>
        </w:numPr>
        <w:spacing w:after="160" w:line="256" w:lineRule="auto"/>
        <w:contextualSpacing/>
        <w:rPr>
          <w:rFonts w:ascii="Calibri" w:eastAsia="Times New Roman" w:hAnsi="Calibri" w:cs="Times New Roman"/>
          <w:sz w:val="24"/>
          <w:szCs w:val="24"/>
          <w:lang w:eastAsia="en-AU"/>
        </w:rPr>
      </w:pPr>
      <w:r w:rsidRPr="00940345">
        <w:rPr>
          <w:rFonts w:ascii="Calibri" w:eastAsia="Times New Roman" w:hAnsi="Calibri" w:cs="Times New Roman"/>
          <w:sz w:val="24"/>
          <w:szCs w:val="24"/>
          <w:lang w:eastAsia="en-AU"/>
        </w:rPr>
        <w:t>supports increasing student STEM ability and participation</w:t>
      </w:r>
    </w:p>
    <w:p w:rsidR="00940345" w:rsidRPr="00940345" w:rsidRDefault="00940345" w:rsidP="00940345">
      <w:pPr>
        <w:numPr>
          <w:ilvl w:val="0"/>
          <w:numId w:val="1"/>
        </w:numPr>
        <w:spacing w:after="160" w:line="256" w:lineRule="auto"/>
        <w:contextualSpacing/>
        <w:rPr>
          <w:rFonts w:ascii="Calibri" w:eastAsia="Times New Roman" w:hAnsi="Calibri" w:cs="Times New Roman"/>
          <w:sz w:val="24"/>
          <w:szCs w:val="24"/>
          <w:lang w:eastAsia="en-AU"/>
        </w:rPr>
      </w:pPr>
      <w:r w:rsidRPr="00940345">
        <w:rPr>
          <w:rFonts w:ascii="Calibri" w:eastAsia="Times New Roman" w:hAnsi="Calibri" w:cs="Times New Roman"/>
          <w:sz w:val="24"/>
          <w:szCs w:val="24"/>
          <w:lang w:eastAsia="en-AU"/>
        </w:rPr>
        <w:t>supports increasing STEM teaching capacity and quality</w:t>
      </w:r>
    </w:p>
    <w:p w:rsidR="00940345" w:rsidRPr="00940345" w:rsidRDefault="00940345" w:rsidP="00940345">
      <w:pPr>
        <w:numPr>
          <w:ilvl w:val="0"/>
          <w:numId w:val="1"/>
        </w:numPr>
        <w:spacing w:after="160" w:line="256" w:lineRule="auto"/>
        <w:contextualSpacing/>
        <w:rPr>
          <w:rFonts w:ascii="Calibri" w:eastAsia="Times New Roman" w:hAnsi="Calibri" w:cs="Times New Roman"/>
          <w:sz w:val="24"/>
          <w:szCs w:val="24"/>
          <w:lang w:eastAsia="en-AU"/>
        </w:rPr>
      </w:pPr>
      <w:proofErr w:type="gramStart"/>
      <w:r w:rsidRPr="00940345">
        <w:rPr>
          <w:rFonts w:ascii="Calibri" w:eastAsia="Times New Roman" w:hAnsi="Calibri" w:cs="Times New Roman"/>
          <w:sz w:val="24"/>
          <w:szCs w:val="24"/>
          <w:lang w:eastAsia="en-AU"/>
        </w:rPr>
        <w:t>regards</w:t>
      </w:r>
      <w:proofErr w:type="gramEnd"/>
      <w:r w:rsidRPr="00940345">
        <w:rPr>
          <w:rFonts w:ascii="Calibri" w:eastAsia="Times New Roman" w:hAnsi="Calibri" w:cs="Times New Roman"/>
          <w:sz w:val="24"/>
          <w:szCs w:val="24"/>
          <w:lang w:eastAsia="en-AU"/>
        </w:rPr>
        <w:t xml:space="preserve"> headline metrics such as international comparison tests or national metrics as being useful for comparison purposes. They can point to areas of strength and weakness, and can identify areas where a policy response is required.</w:t>
      </w:r>
    </w:p>
    <w:p w:rsidR="00940345" w:rsidRPr="00940345" w:rsidRDefault="00940345" w:rsidP="00940345">
      <w:pPr>
        <w:numPr>
          <w:ilvl w:val="0"/>
          <w:numId w:val="1"/>
        </w:numPr>
        <w:spacing w:after="160" w:line="256" w:lineRule="auto"/>
        <w:contextualSpacing/>
        <w:rPr>
          <w:rFonts w:ascii="Calibri" w:eastAsia="Times New Roman" w:hAnsi="Calibri" w:cs="Times New Roman"/>
          <w:sz w:val="24"/>
          <w:szCs w:val="24"/>
          <w:lang w:eastAsia="en-AU"/>
        </w:rPr>
      </w:pPr>
      <w:r w:rsidRPr="00940345">
        <w:rPr>
          <w:rFonts w:ascii="Calibri" w:eastAsia="Times New Roman" w:hAnsi="Calibri" w:cs="Times New Roman"/>
          <w:sz w:val="24"/>
          <w:szCs w:val="24"/>
          <w:lang w:eastAsia="en-AU"/>
        </w:rPr>
        <w:t>underscores the immediate necessity to provide mechanisms to evaluate educational practices and outcomes, and to communicate the results of these evaluations to key stakeholders</w:t>
      </w:r>
    </w:p>
    <w:p w:rsidR="00940345" w:rsidRPr="00940345" w:rsidRDefault="00940345" w:rsidP="00940345">
      <w:pPr>
        <w:numPr>
          <w:ilvl w:val="0"/>
          <w:numId w:val="1"/>
        </w:numPr>
        <w:spacing w:after="160" w:line="256" w:lineRule="auto"/>
        <w:contextualSpacing/>
        <w:rPr>
          <w:rFonts w:ascii="Calibri" w:eastAsia="Times New Roman" w:hAnsi="Calibri" w:cs="Times New Roman"/>
          <w:sz w:val="24"/>
          <w:szCs w:val="24"/>
          <w:lang w:eastAsia="en-AU"/>
        </w:rPr>
      </w:pPr>
      <w:r w:rsidRPr="00940345">
        <w:rPr>
          <w:rFonts w:ascii="Calibri" w:eastAsia="Times New Roman" w:hAnsi="Calibri" w:cs="Times New Roman"/>
          <w:sz w:val="24"/>
          <w:szCs w:val="24"/>
          <w:lang w:eastAsia="en-AU"/>
        </w:rPr>
        <w:t>supports a culture of evaluation, where new education programs are measured and reported against national program standards as a matter of course</w:t>
      </w:r>
    </w:p>
    <w:p w:rsidR="00940345" w:rsidRPr="00940345" w:rsidRDefault="00940345" w:rsidP="00940345">
      <w:pPr>
        <w:numPr>
          <w:ilvl w:val="0"/>
          <w:numId w:val="1"/>
        </w:numPr>
        <w:spacing w:after="160" w:line="256" w:lineRule="auto"/>
        <w:contextualSpacing/>
        <w:rPr>
          <w:rFonts w:ascii="Calibri" w:eastAsia="Times New Roman" w:hAnsi="Calibri" w:cs="Times New Roman"/>
          <w:sz w:val="24"/>
          <w:szCs w:val="24"/>
          <w:lang w:eastAsia="en-AU"/>
        </w:rPr>
      </w:pPr>
      <w:r w:rsidRPr="00940345">
        <w:rPr>
          <w:rFonts w:ascii="Calibri" w:eastAsia="Times New Roman" w:hAnsi="Calibri" w:cs="Times New Roman"/>
          <w:sz w:val="24"/>
          <w:szCs w:val="24"/>
          <w:lang w:eastAsia="en-AU"/>
        </w:rPr>
        <w:t>supports a culture of continuous professional development for teachers, where teachers are trained in the use of programs that have been shown to be effective</w:t>
      </w:r>
    </w:p>
    <w:p w:rsidR="00940345" w:rsidRPr="00940345" w:rsidRDefault="00940345" w:rsidP="00940345">
      <w:pPr>
        <w:numPr>
          <w:ilvl w:val="0"/>
          <w:numId w:val="1"/>
        </w:numPr>
        <w:spacing w:after="160" w:line="256" w:lineRule="auto"/>
        <w:contextualSpacing/>
        <w:rPr>
          <w:rFonts w:ascii="Calibri" w:eastAsia="Times New Roman" w:hAnsi="Calibri" w:cs="Times New Roman"/>
          <w:sz w:val="24"/>
          <w:szCs w:val="24"/>
          <w:lang w:eastAsia="en-AU"/>
        </w:rPr>
      </w:pPr>
      <w:r w:rsidRPr="00940345">
        <w:rPr>
          <w:rFonts w:ascii="Calibri" w:eastAsia="Times New Roman" w:hAnsi="Calibri" w:cs="Times New Roman"/>
          <w:sz w:val="24"/>
          <w:szCs w:val="24"/>
          <w:lang w:eastAsia="en-AU"/>
        </w:rPr>
        <w:t>supports providing incentives for science graduates to gain teaching qualifications</w:t>
      </w:r>
    </w:p>
    <w:p w:rsidR="00940345" w:rsidRPr="00940345" w:rsidRDefault="00940345" w:rsidP="00940345">
      <w:pPr>
        <w:numPr>
          <w:ilvl w:val="0"/>
          <w:numId w:val="1"/>
        </w:numPr>
        <w:spacing w:after="160" w:line="256" w:lineRule="auto"/>
        <w:contextualSpacing/>
        <w:rPr>
          <w:rFonts w:ascii="Calibri" w:eastAsia="Times New Roman" w:hAnsi="Calibri" w:cs="Times New Roman"/>
          <w:sz w:val="24"/>
          <w:szCs w:val="24"/>
          <w:lang w:eastAsia="en-AU"/>
        </w:rPr>
      </w:pPr>
      <w:r w:rsidRPr="00940345">
        <w:rPr>
          <w:rFonts w:ascii="Calibri" w:eastAsia="Times New Roman" w:hAnsi="Calibri" w:cs="Times New Roman"/>
          <w:sz w:val="24"/>
          <w:szCs w:val="24"/>
          <w:lang w:eastAsia="en-AU"/>
        </w:rPr>
        <w:t>supports introducing minimum science qualifications for secondary school science teachers</w:t>
      </w:r>
    </w:p>
    <w:p w:rsidR="00940345" w:rsidRPr="00940345" w:rsidRDefault="00940345" w:rsidP="00940345">
      <w:pPr>
        <w:numPr>
          <w:ilvl w:val="0"/>
          <w:numId w:val="1"/>
        </w:numPr>
        <w:spacing w:after="160" w:line="256" w:lineRule="auto"/>
        <w:contextualSpacing/>
        <w:rPr>
          <w:rFonts w:ascii="Calibri" w:eastAsia="Times New Roman" w:hAnsi="Calibri" w:cs="Times New Roman"/>
          <w:sz w:val="24"/>
          <w:szCs w:val="24"/>
        </w:rPr>
      </w:pPr>
      <w:proofErr w:type="gramStart"/>
      <w:r w:rsidRPr="00940345">
        <w:rPr>
          <w:rFonts w:ascii="Calibri" w:eastAsia="Times New Roman" w:hAnsi="Calibri" w:cs="Times New Roman"/>
          <w:sz w:val="24"/>
          <w:szCs w:val="24"/>
          <w:lang w:eastAsia="en-AU"/>
        </w:rPr>
        <w:t>proposes</w:t>
      </w:r>
      <w:proofErr w:type="gramEnd"/>
      <w:r w:rsidRPr="00940345">
        <w:rPr>
          <w:rFonts w:ascii="Calibri" w:eastAsia="Times New Roman" w:hAnsi="Calibri" w:cs="Times New Roman"/>
          <w:sz w:val="24"/>
          <w:szCs w:val="24"/>
          <w:lang w:eastAsia="en-AU"/>
        </w:rPr>
        <w:t xml:space="preserve"> system enablers be consistent, visible and transparent, with broad support from stakeholders. There must be a rigorous approach to data gathering, analysis, reporting and application.</w:t>
      </w:r>
    </w:p>
    <w:p w:rsidR="005A348F" w:rsidRDefault="005A348F" w:rsidP="005A348F">
      <w:pPr>
        <w:pStyle w:val="Heading2"/>
      </w:pPr>
      <w:r>
        <w:t>Main submission</w:t>
      </w:r>
    </w:p>
    <w:p w:rsidR="00940345" w:rsidRPr="00940345" w:rsidRDefault="00940345" w:rsidP="00940345">
      <w:pPr>
        <w:spacing w:after="120"/>
        <w:rPr>
          <w:rFonts w:ascii="Calibri" w:eastAsia="Calibri" w:hAnsi="Calibri" w:cs="Times New Roman"/>
          <w:sz w:val="24"/>
          <w:szCs w:val="24"/>
          <w:lang w:eastAsia="en-AU"/>
        </w:rPr>
      </w:pPr>
      <w:r w:rsidRPr="00940345">
        <w:rPr>
          <w:rFonts w:ascii="Calibri" w:eastAsia="Calibri" w:hAnsi="Calibri" w:cs="Times New Roman"/>
          <w:sz w:val="24"/>
          <w:szCs w:val="24"/>
          <w:lang w:eastAsia="en-AU"/>
        </w:rPr>
        <w:t>Australian Academy of Science</w:t>
      </w:r>
    </w:p>
    <w:p w:rsidR="00940345" w:rsidRPr="00940345" w:rsidRDefault="00940345" w:rsidP="00940345">
      <w:pPr>
        <w:spacing w:after="120"/>
        <w:rPr>
          <w:rFonts w:ascii="Calibri" w:eastAsia="Calibri" w:hAnsi="Calibri" w:cs="Times New Roman"/>
          <w:lang w:eastAsia="en-AU"/>
        </w:rPr>
      </w:pPr>
      <w:r w:rsidRPr="00940345">
        <w:rPr>
          <w:rFonts w:ascii="Calibri" w:eastAsia="Calibri" w:hAnsi="Calibri" w:cs="Times New Roman"/>
          <w:sz w:val="24"/>
          <w:szCs w:val="24"/>
          <w:lang w:eastAsia="en-AU"/>
        </w:rPr>
        <w:t>The Australian Academy of Science was established by Royal Charter in 1954 to champion, celebrate and support excellence in Australian science, to promote international scientific engagement, to build public awareness and understanding of science, and to provide independent, authoritative and influential advice.</w:t>
      </w:r>
    </w:p>
    <w:p w:rsidR="00940345" w:rsidRPr="00940345" w:rsidRDefault="00940345" w:rsidP="00940345">
      <w:pPr>
        <w:spacing w:after="120"/>
        <w:rPr>
          <w:rFonts w:ascii="Calibri" w:eastAsia="Calibri" w:hAnsi="Calibri" w:cs="Times New Roman"/>
          <w:sz w:val="24"/>
          <w:szCs w:val="24"/>
          <w:lang w:eastAsia="en-AU"/>
        </w:rPr>
      </w:pPr>
      <w:r w:rsidRPr="00940345">
        <w:rPr>
          <w:rFonts w:ascii="Calibri" w:eastAsia="Calibri" w:hAnsi="Calibri" w:cs="Times New Roman"/>
          <w:sz w:val="24"/>
          <w:szCs w:val="24"/>
          <w:lang w:eastAsia="en-AU"/>
        </w:rPr>
        <w:t>The Academy comprises more than 500 of Australia’s leading scientists, each of whom is elected for her or his outstanding contribution to science.</w:t>
      </w:r>
    </w:p>
    <w:p w:rsidR="00940345" w:rsidRPr="00940345" w:rsidRDefault="00940345" w:rsidP="00940345">
      <w:pPr>
        <w:spacing w:after="120"/>
        <w:rPr>
          <w:rFonts w:ascii="Calibri" w:eastAsia="Calibri" w:hAnsi="Calibri" w:cs="Times New Roman"/>
          <w:sz w:val="24"/>
          <w:szCs w:val="24"/>
          <w:lang w:eastAsia="en-AU"/>
        </w:rPr>
      </w:pPr>
      <w:r w:rsidRPr="00940345">
        <w:rPr>
          <w:rFonts w:ascii="Calibri" w:eastAsia="Calibri" w:hAnsi="Calibri" w:cs="Times New Roman"/>
          <w:sz w:val="24"/>
          <w:szCs w:val="24"/>
          <w:lang w:eastAsia="en-AU"/>
        </w:rPr>
        <w:t>Executive Summary</w:t>
      </w:r>
    </w:p>
    <w:p w:rsidR="00940345" w:rsidRPr="00940345" w:rsidRDefault="00940345" w:rsidP="00940345">
      <w:pPr>
        <w:spacing w:after="120"/>
        <w:rPr>
          <w:rFonts w:ascii="Calibri" w:eastAsia="Times New Roman" w:hAnsi="Calibri" w:cs="Times New Roman"/>
          <w:lang w:eastAsia="en-AU"/>
        </w:rPr>
      </w:pPr>
      <w:r w:rsidRPr="00940345">
        <w:rPr>
          <w:rFonts w:ascii="Calibri" w:eastAsia="Times New Roman" w:hAnsi="Calibri" w:cs="Times New Roman"/>
          <w:sz w:val="24"/>
          <w:szCs w:val="24"/>
          <w:lang w:eastAsia="en-AU"/>
        </w:rPr>
        <w:t xml:space="preserve">A solid grounding in science, maths, engineering and technology (STEM) subjects in primary and secondary education provides the skills required for many current and future jobs, and underpins life skills such as health decision making, personal finance, and technology use and application. All students benefit from a strong grounding in the skills and knowledge that underpin our increasingly technological society, and a significant proportion of students should possess science and mathematics knowledge necessary to enter tertiary education to meet the national demand for STEM-trained professionals. </w:t>
      </w:r>
    </w:p>
    <w:p w:rsidR="00940345" w:rsidRPr="00940345" w:rsidRDefault="00940345" w:rsidP="00940345">
      <w:pPr>
        <w:spacing w:after="120"/>
        <w:rPr>
          <w:rFonts w:ascii="Calibri" w:eastAsia="Times New Roman" w:hAnsi="Calibri" w:cs="Times New Roman"/>
          <w:sz w:val="24"/>
          <w:szCs w:val="24"/>
          <w:lang w:eastAsia="en-AU"/>
        </w:rPr>
      </w:pPr>
      <w:r w:rsidRPr="00940345">
        <w:rPr>
          <w:rFonts w:ascii="Calibri" w:eastAsia="Times New Roman" w:hAnsi="Calibri" w:cs="Times New Roman"/>
          <w:sz w:val="24"/>
          <w:szCs w:val="24"/>
          <w:lang w:eastAsia="en-AU"/>
        </w:rPr>
        <w:t xml:space="preserve">However, there is evidence that the average performance of Australian students in science and mathematics subjects is falling behind that of students in other developed and developing nations, despite the fact that Australian public investment in education is relatively high. </w:t>
      </w:r>
    </w:p>
    <w:p w:rsidR="00940345" w:rsidRPr="00940345" w:rsidRDefault="00940345" w:rsidP="00940345">
      <w:pPr>
        <w:spacing w:after="120"/>
        <w:rPr>
          <w:rFonts w:ascii="Calibri" w:eastAsia="Times New Roman" w:hAnsi="Calibri" w:cs="Times New Roman"/>
          <w:sz w:val="24"/>
          <w:szCs w:val="24"/>
          <w:lang w:eastAsia="en-AU"/>
        </w:rPr>
      </w:pPr>
      <w:r w:rsidRPr="00940345">
        <w:rPr>
          <w:rFonts w:ascii="Calibri" w:eastAsia="Times New Roman" w:hAnsi="Calibri" w:cs="Times New Roman"/>
          <w:sz w:val="24"/>
          <w:szCs w:val="24"/>
          <w:lang w:eastAsia="en-AU"/>
        </w:rPr>
        <w:t xml:space="preserve">Improving Australian students’ performance in STEM subjects requires sustained and significant efforts from Australian and state and territory governments, as well as from schools, universities and sector-based organisations. </w:t>
      </w:r>
    </w:p>
    <w:p w:rsidR="00940345" w:rsidRPr="00940345" w:rsidRDefault="00940345" w:rsidP="00940345">
      <w:pPr>
        <w:spacing w:after="120"/>
        <w:rPr>
          <w:rFonts w:ascii="Calibri" w:eastAsia="Times New Roman" w:hAnsi="Calibri" w:cs="Times New Roman"/>
          <w:sz w:val="24"/>
          <w:szCs w:val="24"/>
          <w:lang w:eastAsia="en-AU"/>
        </w:rPr>
      </w:pPr>
      <w:r w:rsidRPr="00940345">
        <w:rPr>
          <w:rFonts w:ascii="Calibri" w:eastAsia="Times New Roman" w:hAnsi="Calibri" w:cs="Times New Roman"/>
          <w:sz w:val="24"/>
          <w:szCs w:val="24"/>
          <w:lang w:eastAsia="en-AU"/>
        </w:rPr>
        <w:t xml:space="preserve">It will require detailed consideration of the way national and international performance metrics are used, an increased culture of evaluation of programs intended to improve student performance, and a focus on supporting new and existing teachers through best-practice, evidence-based programs and training. </w:t>
      </w:r>
    </w:p>
    <w:p w:rsidR="00940345" w:rsidRPr="00940345" w:rsidRDefault="00940345" w:rsidP="00940345">
      <w:pPr>
        <w:spacing w:after="120"/>
        <w:rPr>
          <w:rFonts w:ascii="Calibri" w:eastAsia="Times New Roman" w:hAnsi="Calibri" w:cs="Times New Roman"/>
          <w:sz w:val="24"/>
          <w:szCs w:val="24"/>
          <w:lang w:eastAsia="en-AU"/>
        </w:rPr>
      </w:pPr>
      <w:r w:rsidRPr="00940345">
        <w:rPr>
          <w:rFonts w:ascii="Calibri" w:eastAsia="Times New Roman" w:hAnsi="Calibri" w:cs="Times New Roman"/>
          <w:sz w:val="24"/>
          <w:szCs w:val="24"/>
          <w:lang w:eastAsia="en-AU"/>
        </w:rPr>
        <w:t xml:space="preserve">With support of the Australian and State government, the Australian Academy of Science has been developing and delivering rigorous teacher professional learning programs and inquiry-based curriculum resources in science and maths for many years. Its flagship </w:t>
      </w:r>
      <w:proofErr w:type="spellStart"/>
      <w:r w:rsidRPr="00940345">
        <w:rPr>
          <w:rFonts w:ascii="Calibri" w:eastAsia="Times New Roman" w:hAnsi="Calibri" w:cs="Times New Roman"/>
          <w:sz w:val="24"/>
          <w:szCs w:val="24"/>
          <w:lang w:eastAsia="en-AU"/>
        </w:rPr>
        <w:t>PrimaryConnections</w:t>
      </w:r>
      <w:proofErr w:type="spellEnd"/>
      <w:r w:rsidRPr="00940345">
        <w:rPr>
          <w:rFonts w:ascii="Calibri" w:eastAsia="Times New Roman" w:hAnsi="Calibri" w:cs="Times New Roman"/>
          <w:sz w:val="24"/>
          <w:szCs w:val="24"/>
          <w:lang w:eastAsia="en-AU"/>
        </w:rPr>
        <w:t xml:space="preserve"> and Science by </w:t>
      </w:r>
      <w:proofErr w:type="gramStart"/>
      <w:r w:rsidRPr="00940345">
        <w:rPr>
          <w:rFonts w:ascii="Calibri" w:eastAsia="Times New Roman" w:hAnsi="Calibri" w:cs="Times New Roman"/>
          <w:sz w:val="24"/>
          <w:szCs w:val="24"/>
          <w:lang w:eastAsia="en-AU"/>
        </w:rPr>
        <w:t>Doing</w:t>
      </w:r>
      <w:proofErr w:type="gramEnd"/>
      <w:r w:rsidRPr="00940345">
        <w:rPr>
          <w:rFonts w:ascii="Calibri" w:eastAsia="Times New Roman" w:hAnsi="Calibri" w:cs="Times New Roman"/>
          <w:sz w:val="24"/>
          <w:szCs w:val="24"/>
          <w:lang w:eastAsia="en-AU"/>
        </w:rPr>
        <w:t xml:space="preserve"> programs are used by over three quarters of Australian schools and school science teachers, and they have been shown to be highly effective in improving student engagement and teacher abilities. </w:t>
      </w:r>
    </w:p>
    <w:p w:rsidR="00940345" w:rsidRPr="00940345" w:rsidRDefault="00940345" w:rsidP="00940345">
      <w:pPr>
        <w:spacing w:after="120"/>
        <w:rPr>
          <w:rFonts w:ascii="Calibri" w:eastAsia="Times New Roman" w:hAnsi="Calibri" w:cs="Times New Roman"/>
          <w:sz w:val="24"/>
          <w:szCs w:val="24"/>
          <w:lang w:eastAsia="en-AU"/>
        </w:rPr>
      </w:pPr>
      <w:r w:rsidRPr="00940345">
        <w:rPr>
          <w:rFonts w:ascii="Calibri" w:eastAsia="Times New Roman" w:hAnsi="Calibri" w:cs="Times New Roman"/>
          <w:sz w:val="24"/>
          <w:szCs w:val="24"/>
          <w:lang w:eastAsia="en-AU"/>
        </w:rPr>
        <w:t>On the basis of this experience and expertise, the Academy is pleased to provide this submission to the Department of Education and Training, and would welcome the opportunity to discuss its views in greater detail.</w:t>
      </w:r>
    </w:p>
    <w:p w:rsidR="00940345" w:rsidRPr="00940345" w:rsidRDefault="00940345" w:rsidP="00940345">
      <w:pPr>
        <w:spacing w:after="120"/>
        <w:rPr>
          <w:rFonts w:ascii="Calibri" w:eastAsia="Times New Roman" w:hAnsi="Calibri" w:cs="Times New Roman"/>
          <w:sz w:val="24"/>
          <w:szCs w:val="24"/>
          <w:lang w:eastAsia="en-AU"/>
        </w:rPr>
      </w:pPr>
      <w:r w:rsidRPr="00940345">
        <w:rPr>
          <w:rFonts w:ascii="Calibri" w:eastAsia="Times New Roman" w:hAnsi="Calibri" w:cs="Times New Roman"/>
          <w:sz w:val="24"/>
          <w:szCs w:val="24"/>
          <w:lang w:eastAsia="en-AU"/>
        </w:rPr>
        <w:t>Background and Context</w:t>
      </w:r>
    </w:p>
    <w:p w:rsidR="00940345" w:rsidRPr="00940345" w:rsidRDefault="00940345" w:rsidP="00940345">
      <w:pPr>
        <w:spacing w:after="120"/>
        <w:rPr>
          <w:rFonts w:ascii="Calibri" w:eastAsia="Times New Roman" w:hAnsi="Calibri" w:cs="Times New Roman"/>
          <w:sz w:val="24"/>
          <w:szCs w:val="24"/>
          <w:lang w:eastAsia="en-AU"/>
        </w:rPr>
      </w:pPr>
      <w:r w:rsidRPr="00940345">
        <w:rPr>
          <w:rFonts w:ascii="Calibri" w:eastAsia="Times New Roman" w:hAnsi="Calibri" w:cs="Times New Roman"/>
          <w:sz w:val="24"/>
          <w:szCs w:val="24"/>
          <w:lang w:eastAsia="en-AU"/>
        </w:rPr>
        <w:t xml:space="preserve">The Federal Government in July 2017 established a Review to Achieve Educational Excellence in Australian Schools. The review was commissioned to advise the Federal Government on how additional Federal funding should be used by Australian schools and school systems to improve school performance and student achievement.    </w:t>
      </w:r>
    </w:p>
    <w:p w:rsidR="00940345" w:rsidRPr="00940345" w:rsidRDefault="00940345" w:rsidP="00940345">
      <w:pPr>
        <w:spacing w:after="120"/>
        <w:rPr>
          <w:rFonts w:ascii="Calibri" w:eastAsia="Times New Roman" w:hAnsi="Calibri" w:cs="Times New Roman"/>
          <w:sz w:val="24"/>
          <w:szCs w:val="24"/>
          <w:lang w:eastAsia="en-AU"/>
        </w:rPr>
      </w:pPr>
      <w:r w:rsidRPr="00940345">
        <w:rPr>
          <w:rFonts w:ascii="Calibri" w:eastAsia="Times New Roman" w:hAnsi="Calibri" w:cs="Times New Roman"/>
          <w:sz w:val="24"/>
          <w:szCs w:val="24"/>
          <w:lang w:eastAsia="en-AU"/>
        </w:rPr>
        <w:t xml:space="preserve">The review reflects increasing evidence that providing more funding for schools, of itself, does not necessarily improve student outcomes; rather it is a matter of focusing on how the money is spent, not just how much is spent.  It will not reconsider the issue of the levels of funding for schools, which has been studied and reported on elsewhere.  </w:t>
      </w:r>
    </w:p>
    <w:p w:rsidR="00940345" w:rsidRPr="00940345" w:rsidRDefault="00940345" w:rsidP="00940345">
      <w:pPr>
        <w:spacing w:after="120"/>
        <w:rPr>
          <w:rFonts w:ascii="Calibri" w:eastAsia="Times New Roman" w:hAnsi="Calibri" w:cs="Times New Roman"/>
          <w:sz w:val="24"/>
          <w:szCs w:val="24"/>
          <w:lang w:eastAsia="en-AU"/>
        </w:rPr>
      </w:pPr>
      <w:r w:rsidRPr="00940345">
        <w:rPr>
          <w:rFonts w:ascii="Calibri" w:eastAsia="Times New Roman" w:hAnsi="Calibri" w:cs="Times New Roman"/>
          <w:sz w:val="24"/>
          <w:szCs w:val="24"/>
          <w:lang w:eastAsia="en-AU"/>
        </w:rPr>
        <w:t>In essence, the current review is about the efficiency of (or quality of outcomes from) school spending, rather than the quantum of inputs (expenditure) thereto.</w:t>
      </w:r>
    </w:p>
    <w:p w:rsidR="00940345" w:rsidRPr="00940345" w:rsidRDefault="00940345" w:rsidP="00940345">
      <w:pPr>
        <w:spacing w:after="120"/>
        <w:rPr>
          <w:rFonts w:ascii="Calibri" w:eastAsia="Times New Roman" w:hAnsi="Calibri" w:cs="Times New Roman"/>
          <w:sz w:val="24"/>
          <w:szCs w:val="24"/>
          <w:lang w:eastAsia="en-AU"/>
        </w:rPr>
      </w:pPr>
      <w:r w:rsidRPr="00940345">
        <w:rPr>
          <w:rFonts w:ascii="Calibri" w:eastAsia="Times New Roman" w:hAnsi="Calibri" w:cs="Times New Roman"/>
          <w:sz w:val="24"/>
          <w:szCs w:val="24"/>
          <w:lang w:eastAsia="en-AU"/>
        </w:rPr>
        <w:t>The review is to provide its final report to the Federal Government by March 2018.</w:t>
      </w:r>
    </w:p>
    <w:p w:rsidR="00940345" w:rsidRPr="00940345" w:rsidRDefault="00940345" w:rsidP="00940345">
      <w:pPr>
        <w:spacing w:after="120"/>
        <w:rPr>
          <w:rFonts w:ascii="Calibri" w:eastAsia="Times New Roman" w:hAnsi="Calibri" w:cs="Times New Roman"/>
          <w:sz w:val="24"/>
          <w:szCs w:val="24"/>
          <w:lang w:eastAsia="en-AU"/>
        </w:rPr>
      </w:pPr>
      <w:r w:rsidRPr="00940345">
        <w:rPr>
          <w:rFonts w:ascii="Calibri" w:eastAsia="Times New Roman" w:hAnsi="Calibri" w:cs="Times New Roman"/>
          <w:sz w:val="24"/>
          <w:szCs w:val="24"/>
          <w:lang w:eastAsia="en-AU"/>
        </w:rPr>
        <w:t>Responses to Specific Issues</w:t>
      </w:r>
    </w:p>
    <w:p w:rsidR="00940345" w:rsidRPr="00940345" w:rsidRDefault="00940345" w:rsidP="00940345">
      <w:pPr>
        <w:spacing w:after="120"/>
        <w:rPr>
          <w:rFonts w:ascii="Calibri" w:eastAsia="Times New Roman" w:hAnsi="Calibri" w:cs="Times New Roman"/>
          <w:sz w:val="24"/>
          <w:szCs w:val="24"/>
          <w:lang w:eastAsia="en-AU"/>
        </w:rPr>
      </w:pPr>
      <w:r w:rsidRPr="00940345">
        <w:rPr>
          <w:rFonts w:ascii="Calibri" w:eastAsia="Times New Roman" w:hAnsi="Calibri" w:cs="Times New Roman"/>
          <w:sz w:val="24"/>
          <w:szCs w:val="24"/>
          <w:lang w:eastAsia="en-AU"/>
        </w:rPr>
        <w:t>What should educational success for Australian students and schools look like?</w:t>
      </w:r>
    </w:p>
    <w:p w:rsidR="00940345" w:rsidRPr="00940345" w:rsidRDefault="00940345" w:rsidP="00940345">
      <w:pPr>
        <w:numPr>
          <w:ilvl w:val="0"/>
          <w:numId w:val="2"/>
        </w:numPr>
        <w:spacing w:before="40" w:after="40"/>
        <w:ind w:left="567"/>
        <w:rPr>
          <w:rFonts w:eastAsia="Times New Roman" w:cs="Times New Roman"/>
          <w:sz w:val="24"/>
          <w:szCs w:val="24"/>
          <w:lang w:eastAsia="en-AU"/>
        </w:rPr>
      </w:pPr>
      <w:r w:rsidRPr="00940345">
        <w:rPr>
          <w:rFonts w:ascii="Calibri" w:eastAsia="Times New Roman" w:hAnsi="Calibri" w:cs="Times New Roman"/>
          <w:sz w:val="24"/>
          <w:szCs w:val="24"/>
          <w:lang w:eastAsia="en-AU"/>
        </w:rPr>
        <w:t>What capabilities, skills and knowledge should students learn at school to prepare them for the future?</w:t>
      </w:r>
    </w:p>
    <w:p w:rsidR="00940345" w:rsidRPr="00940345" w:rsidRDefault="00940345" w:rsidP="00940345">
      <w:pPr>
        <w:spacing w:after="120"/>
        <w:rPr>
          <w:rFonts w:ascii="Calibri" w:eastAsia="Times New Roman" w:hAnsi="Calibri" w:cs="Times New Roman"/>
          <w:sz w:val="24"/>
          <w:szCs w:val="24"/>
          <w:lang w:eastAsia="en-AU"/>
        </w:rPr>
      </w:pPr>
      <w:r w:rsidRPr="00940345">
        <w:rPr>
          <w:rFonts w:ascii="Calibri" w:eastAsia="Times New Roman" w:hAnsi="Calibri" w:cs="Times New Roman"/>
          <w:sz w:val="24"/>
          <w:szCs w:val="24"/>
          <w:lang w:eastAsia="en-AU"/>
        </w:rPr>
        <w:t xml:space="preserve">The Academy considers that students require a solid grounding in science, maths and technology subjects. All students should possess a level of basic scientific and mathematical literacy. Beyond that, a significant proportion of students should possess sufficient science and mathematics knowledge in order to enter tertiary education in order to meet the national demand for STEM-trained professionals. </w:t>
      </w:r>
    </w:p>
    <w:p w:rsidR="00940345" w:rsidRPr="00940345" w:rsidRDefault="00940345" w:rsidP="00940345">
      <w:pPr>
        <w:spacing w:after="120"/>
        <w:rPr>
          <w:rFonts w:ascii="Calibri" w:eastAsia="Times New Roman" w:hAnsi="Calibri" w:cs="Times New Roman"/>
          <w:sz w:val="24"/>
          <w:szCs w:val="24"/>
          <w:lang w:eastAsia="en-AU"/>
        </w:rPr>
      </w:pPr>
      <w:r w:rsidRPr="00940345">
        <w:rPr>
          <w:rFonts w:ascii="Calibri" w:eastAsia="Times New Roman" w:hAnsi="Calibri" w:cs="Times New Roman"/>
          <w:sz w:val="24"/>
          <w:szCs w:val="24"/>
          <w:lang w:eastAsia="en-AU"/>
        </w:rPr>
        <w:t xml:space="preserve">All STEM-related skills are underpinned by good numeracy and scientific literacy. Primary and secondary education should retain their current focus on science and mathematics. </w:t>
      </w:r>
    </w:p>
    <w:p w:rsidR="00940345" w:rsidRPr="00940345" w:rsidRDefault="00940345" w:rsidP="00940345">
      <w:pPr>
        <w:spacing w:after="120"/>
        <w:rPr>
          <w:rFonts w:ascii="Calibri" w:eastAsia="Times New Roman" w:hAnsi="Calibri" w:cs="Times New Roman"/>
          <w:sz w:val="24"/>
          <w:szCs w:val="24"/>
          <w:lang w:eastAsia="en-AU"/>
        </w:rPr>
      </w:pPr>
      <w:r w:rsidRPr="00940345">
        <w:rPr>
          <w:rFonts w:ascii="Calibri" w:eastAsia="Times New Roman" w:hAnsi="Calibri" w:cs="Times New Roman"/>
          <w:sz w:val="24"/>
          <w:szCs w:val="24"/>
          <w:lang w:eastAsia="en-AU"/>
        </w:rPr>
        <w:t xml:space="preserve">Fundamental science knowledge should continue to include a coherent understanding of scientific concepts, an experience and trust in the process of scientific inquiry, an appreciation of the history and philosophy of science, and an understanding of how society shapes science and similarly, how science shapes society. </w:t>
      </w:r>
    </w:p>
    <w:p w:rsidR="00940345" w:rsidRPr="00940345" w:rsidRDefault="00940345" w:rsidP="00940345">
      <w:pPr>
        <w:spacing w:after="120"/>
        <w:rPr>
          <w:rFonts w:ascii="Calibri" w:eastAsia="Times New Roman" w:hAnsi="Calibri" w:cs="Times New Roman"/>
          <w:sz w:val="24"/>
          <w:szCs w:val="24"/>
          <w:lang w:eastAsia="en-AU"/>
        </w:rPr>
      </w:pPr>
      <w:r w:rsidRPr="00940345">
        <w:rPr>
          <w:rFonts w:ascii="Calibri" w:eastAsia="Times New Roman" w:hAnsi="Calibri" w:cs="Times New Roman"/>
          <w:sz w:val="24"/>
          <w:szCs w:val="24"/>
          <w:lang w:eastAsia="en-AU"/>
        </w:rPr>
        <w:t>The strong requirement for STEM-related skills is noted in a number of government policy instruments. The</w:t>
      </w:r>
      <w:r w:rsidRPr="00940345">
        <w:rPr>
          <w:rFonts w:ascii="Calibri" w:eastAsia="Times New Roman" w:hAnsi="Calibri" w:cs="Times New Roman"/>
          <w:i/>
          <w:sz w:val="24"/>
          <w:szCs w:val="24"/>
          <w:lang w:eastAsia="en-AU"/>
        </w:rPr>
        <w:t xml:space="preserve"> National Science Statement </w:t>
      </w:r>
      <w:r w:rsidRPr="00940345">
        <w:rPr>
          <w:rFonts w:ascii="Calibri" w:eastAsia="Times New Roman" w:hAnsi="Calibri" w:cs="Times New Roman"/>
          <w:sz w:val="24"/>
          <w:szCs w:val="24"/>
          <w:lang w:eastAsia="en-AU"/>
        </w:rPr>
        <w:t xml:space="preserve">states “Education in science, technology, engineering and mathematics at all levels ensures that Australians are able to participate in our increasingly science-driven society, whether through employment or in their everyday lives.” The Department of Employment predicts a 12.5% growth in professional, scientific and technical services over the next five years and a 25.1% growth in health care services over the same period; these are the fastest growing employment sectors in the Australian economy. These sectors require employees to have a strong grounding in science and mathematics. </w:t>
      </w:r>
    </w:p>
    <w:p w:rsidR="00940345" w:rsidRPr="00940345" w:rsidRDefault="00940345" w:rsidP="00940345">
      <w:pPr>
        <w:spacing w:after="120"/>
        <w:rPr>
          <w:rFonts w:ascii="Calibri" w:eastAsia="Times New Roman" w:hAnsi="Calibri" w:cs="Times New Roman"/>
          <w:sz w:val="24"/>
          <w:szCs w:val="24"/>
          <w:lang w:eastAsia="en-AU"/>
        </w:rPr>
      </w:pPr>
      <w:r w:rsidRPr="00940345">
        <w:rPr>
          <w:rFonts w:ascii="Calibri" w:eastAsia="Times New Roman" w:hAnsi="Calibri" w:cs="Times New Roman"/>
          <w:sz w:val="24"/>
          <w:szCs w:val="24"/>
          <w:lang w:eastAsia="en-AU"/>
        </w:rPr>
        <w:t xml:space="preserve">The Academy endorses and supports the Education Council’s National STEM school education strategy, with its focus on increasing student STEM ability and participation, on increasing STEM teaching capacity and quality, and on building a strong evidence base.  </w:t>
      </w:r>
    </w:p>
    <w:p w:rsidR="00940345" w:rsidRPr="00940345" w:rsidRDefault="00940345" w:rsidP="00940345">
      <w:pPr>
        <w:numPr>
          <w:ilvl w:val="0"/>
          <w:numId w:val="2"/>
        </w:numPr>
        <w:spacing w:before="40" w:after="40"/>
        <w:ind w:left="567"/>
        <w:rPr>
          <w:rFonts w:ascii="Calibri" w:eastAsia="Times New Roman" w:hAnsi="Calibri" w:cs="Times New Roman"/>
          <w:sz w:val="24"/>
          <w:szCs w:val="24"/>
          <w:lang w:eastAsia="en-AU"/>
        </w:rPr>
      </w:pPr>
      <w:r w:rsidRPr="00940345">
        <w:rPr>
          <w:rFonts w:ascii="Calibri" w:eastAsia="Times New Roman" w:hAnsi="Calibri" w:cs="Times New Roman"/>
          <w:sz w:val="24"/>
          <w:szCs w:val="24"/>
          <w:lang w:eastAsia="en-AU"/>
        </w:rPr>
        <w:t>How should school quality and educational success be measured?</w:t>
      </w:r>
    </w:p>
    <w:p w:rsidR="00940345" w:rsidRPr="00940345" w:rsidRDefault="00940345" w:rsidP="00940345">
      <w:pPr>
        <w:spacing w:after="120"/>
        <w:rPr>
          <w:rFonts w:ascii="Calibri" w:eastAsia="Times New Roman" w:hAnsi="Calibri" w:cs="Times New Roman"/>
          <w:sz w:val="24"/>
          <w:szCs w:val="24"/>
          <w:lang w:eastAsia="en-AU"/>
        </w:rPr>
      </w:pPr>
      <w:r w:rsidRPr="00940345">
        <w:rPr>
          <w:rFonts w:ascii="Calibri" w:eastAsia="Times New Roman" w:hAnsi="Calibri" w:cs="Times New Roman"/>
          <w:sz w:val="24"/>
          <w:szCs w:val="24"/>
          <w:lang w:eastAsia="en-AU"/>
        </w:rPr>
        <w:t xml:space="preserve">Headline metrics such as international comparison tests (for example, PISA or </w:t>
      </w:r>
      <w:proofErr w:type="spellStart"/>
      <w:r w:rsidRPr="00940345">
        <w:rPr>
          <w:rFonts w:ascii="Calibri" w:eastAsia="Times New Roman" w:hAnsi="Calibri" w:cs="Times New Roman"/>
          <w:sz w:val="24"/>
          <w:szCs w:val="24"/>
          <w:lang w:eastAsia="en-AU"/>
        </w:rPr>
        <w:t>TIMSS</w:t>
      </w:r>
      <w:proofErr w:type="spellEnd"/>
      <w:r w:rsidRPr="00940345">
        <w:rPr>
          <w:rFonts w:ascii="Calibri" w:eastAsia="Times New Roman" w:hAnsi="Calibri" w:cs="Times New Roman"/>
          <w:sz w:val="24"/>
          <w:szCs w:val="24"/>
          <w:lang w:eastAsia="en-AU"/>
        </w:rPr>
        <w:t xml:space="preserve"> scores) or national metrics (for example, NAPLAN or Tertiary entrance scores) are useful for comparison purposes. Schools or school systems can be analysed according to these metrics and some conclusions may be drawn. These metrics can point to areas of strength and weakness, and can identify areas where a policy response is required. </w:t>
      </w:r>
    </w:p>
    <w:p w:rsidR="00940345" w:rsidRPr="00940345" w:rsidRDefault="00940345" w:rsidP="00940345">
      <w:pPr>
        <w:spacing w:after="120"/>
        <w:rPr>
          <w:rFonts w:ascii="Calibri" w:eastAsia="Times New Roman" w:hAnsi="Calibri" w:cs="Times New Roman"/>
          <w:sz w:val="24"/>
          <w:szCs w:val="24"/>
          <w:lang w:eastAsia="en-AU"/>
        </w:rPr>
      </w:pPr>
      <w:r w:rsidRPr="00940345">
        <w:rPr>
          <w:rFonts w:ascii="Calibri" w:eastAsia="Times New Roman" w:hAnsi="Calibri" w:cs="Times New Roman"/>
          <w:sz w:val="24"/>
          <w:szCs w:val="24"/>
          <w:lang w:eastAsia="en-AU"/>
        </w:rPr>
        <w:t xml:space="preserve">However, such metrics cannot provide much information about the effectiveness of education interventions. To gain this information there needs to be a rigorous and systematic approach to the evaluation of school programs. </w:t>
      </w:r>
    </w:p>
    <w:p w:rsidR="00940345" w:rsidRPr="00940345" w:rsidRDefault="00940345" w:rsidP="00940345">
      <w:pPr>
        <w:spacing w:after="120"/>
        <w:rPr>
          <w:rFonts w:ascii="Calibri" w:eastAsia="Times New Roman" w:hAnsi="Calibri" w:cs="Times New Roman"/>
          <w:sz w:val="24"/>
          <w:szCs w:val="24"/>
          <w:lang w:eastAsia="en-AU"/>
        </w:rPr>
      </w:pPr>
      <w:r w:rsidRPr="00940345">
        <w:rPr>
          <w:rFonts w:ascii="Calibri" w:eastAsia="Times New Roman" w:hAnsi="Calibri" w:cs="Times New Roman"/>
          <w:sz w:val="24"/>
          <w:szCs w:val="24"/>
          <w:lang w:eastAsia="en-AU"/>
        </w:rPr>
        <w:t xml:space="preserve">The Productivity Commission inquiry report into the National Education Evidence Base recommended a strategically guided evaluative research program established by a national body. Such a program could provide guidance on the domains that education interventions might address: a framework of metrics from which researchers and practitioners could draw to inform their individual studies. By providing a standardised framework for the assessment of programs by domains, the education research body would provide an evidence base amenable to further interrogation through, for example, meta-analyses and systematic reviews. </w:t>
      </w:r>
    </w:p>
    <w:p w:rsidR="00940345" w:rsidRPr="00940345" w:rsidRDefault="00940345" w:rsidP="00940345">
      <w:pPr>
        <w:spacing w:after="120"/>
        <w:rPr>
          <w:rFonts w:ascii="Calibri" w:eastAsia="Times New Roman" w:hAnsi="Calibri" w:cs="Times New Roman"/>
          <w:sz w:val="24"/>
          <w:szCs w:val="24"/>
          <w:lang w:eastAsia="en-AU"/>
        </w:rPr>
      </w:pPr>
      <w:r w:rsidRPr="00940345">
        <w:rPr>
          <w:rFonts w:ascii="Calibri" w:eastAsia="Times New Roman" w:hAnsi="Calibri" w:cs="Times New Roman"/>
          <w:sz w:val="24"/>
          <w:szCs w:val="24"/>
          <w:lang w:eastAsia="en-AU"/>
        </w:rPr>
        <w:t xml:space="preserve">Metrics should follow international best practice. They should be simple, sensitive and robust. They should be consistent and reliable.  They should have credibility with the practice community and the general community. They should be amenable to independent verification. Importantly, data collected against the metrics should be collated and maintained in a curated data repository, which is publically accessible. Coupled with the approach described above – a standard and versatile set of metrics that can be applied selectively against any given intervention according to its aims – this would provide a broad, coherent and useful evidence base to inform further research and future practice. </w:t>
      </w:r>
    </w:p>
    <w:p w:rsidR="00940345" w:rsidRPr="00940345" w:rsidRDefault="00940345" w:rsidP="00940345">
      <w:pPr>
        <w:spacing w:after="120"/>
        <w:rPr>
          <w:rFonts w:ascii="Calibri" w:eastAsia="Times New Roman" w:hAnsi="Calibri" w:cs="Times New Roman"/>
          <w:sz w:val="24"/>
          <w:szCs w:val="24"/>
          <w:lang w:eastAsia="en-AU"/>
        </w:rPr>
      </w:pPr>
      <w:r w:rsidRPr="00940345">
        <w:rPr>
          <w:rFonts w:ascii="Calibri" w:eastAsia="Times New Roman" w:hAnsi="Calibri" w:cs="Times New Roman"/>
          <w:sz w:val="24"/>
          <w:szCs w:val="24"/>
          <w:lang w:eastAsia="en-AU"/>
        </w:rPr>
        <w:t xml:space="preserve">The purpose of these metrics is to assess individual programs. They would not be used to assess schools, teachers or students directly; such mechanisms are already in place. </w:t>
      </w:r>
    </w:p>
    <w:p w:rsidR="00940345" w:rsidRPr="00940345" w:rsidRDefault="00940345" w:rsidP="00940345">
      <w:pPr>
        <w:spacing w:after="120"/>
        <w:rPr>
          <w:rFonts w:ascii="Calibri" w:eastAsia="Times New Roman" w:hAnsi="Calibri" w:cs="Times New Roman"/>
          <w:b/>
          <w:bCs/>
          <w:i/>
          <w:sz w:val="24"/>
          <w:szCs w:val="24"/>
          <w:lang w:eastAsia="en-AU"/>
        </w:rPr>
      </w:pPr>
      <w:r w:rsidRPr="00940345">
        <w:rPr>
          <w:rFonts w:ascii="Calibri" w:eastAsia="Times New Roman" w:hAnsi="Calibri" w:cs="Times New Roman"/>
          <w:sz w:val="24"/>
          <w:szCs w:val="24"/>
          <w:lang w:eastAsia="en-AU"/>
        </w:rPr>
        <w:t xml:space="preserve">The Academy runs three science and mathematics education programs: </w:t>
      </w:r>
      <w:proofErr w:type="spellStart"/>
      <w:r w:rsidRPr="00940345">
        <w:rPr>
          <w:rFonts w:ascii="Calibri" w:eastAsia="Times New Roman" w:hAnsi="Calibri" w:cs="Times New Roman"/>
          <w:sz w:val="24"/>
          <w:szCs w:val="24"/>
          <w:lang w:eastAsia="en-AU"/>
        </w:rPr>
        <w:t>reSolve</w:t>
      </w:r>
      <w:proofErr w:type="spellEnd"/>
      <w:r w:rsidRPr="00940345">
        <w:rPr>
          <w:rFonts w:ascii="Calibri" w:eastAsia="Times New Roman" w:hAnsi="Calibri" w:cs="Times New Roman"/>
          <w:sz w:val="24"/>
          <w:szCs w:val="24"/>
          <w:lang w:eastAsia="en-AU"/>
        </w:rPr>
        <w:t xml:space="preserve"> - Maths by Inquiry, </w:t>
      </w:r>
      <w:proofErr w:type="spellStart"/>
      <w:r w:rsidRPr="00940345">
        <w:rPr>
          <w:rFonts w:ascii="Calibri" w:eastAsia="Times New Roman" w:hAnsi="Calibri" w:cs="Times New Roman"/>
          <w:sz w:val="24"/>
          <w:szCs w:val="24"/>
          <w:lang w:eastAsia="en-AU"/>
        </w:rPr>
        <w:t>PrimaryConnections</w:t>
      </w:r>
      <w:proofErr w:type="spellEnd"/>
      <w:r w:rsidRPr="00940345">
        <w:rPr>
          <w:rFonts w:ascii="Calibri" w:eastAsia="Times New Roman" w:hAnsi="Calibri" w:cs="Times New Roman"/>
          <w:sz w:val="24"/>
          <w:szCs w:val="24"/>
          <w:lang w:eastAsia="en-AU"/>
        </w:rPr>
        <w:t xml:space="preserve">, and Science by Doing. The Academy has conducted research and evaluation to analyse the impacts of its programs across the domains of student engagement, student awareness, student motivation and participation, teacher confidence and competence, and links and partnerships across the school and the wider community. This evaluation process allows the Academy to state with confidence that these programs are meeting their educational requirements, as well as providing additional positive impacts. Information about the Academy’s evaluation processes </w:t>
      </w:r>
      <w:proofErr w:type="gramStart"/>
      <w:r w:rsidRPr="00940345">
        <w:rPr>
          <w:rFonts w:ascii="Calibri" w:eastAsia="Times New Roman" w:hAnsi="Calibri" w:cs="Times New Roman"/>
          <w:sz w:val="24"/>
          <w:szCs w:val="24"/>
          <w:lang w:eastAsia="en-AU"/>
        </w:rPr>
        <w:t>are</w:t>
      </w:r>
      <w:proofErr w:type="gramEnd"/>
      <w:r w:rsidRPr="00940345">
        <w:rPr>
          <w:rFonts w:ascii="Calibri" w:eastAsia="Times New Roman" w:hAnsi="Calibri" w:cs="Times New Roman"/>
          <w:sz w:val="24"/>
          <w:szCs w:val="24"/>
          <w:lang w:eastAsia="en-AU"/>
        </w:rPr>
        <w:t xml:space="preserve"> available at the program websites. </w:t>
      </w:r>
    </w:p>
    <w:p w:rsidR="00940345" w:rsidRPr="00940345" w:rsidRDefault="00940345" w:rsidP="00940345">
      <w:pPr>
        <w:spacing w:after="120"/>
        <w:rPr>
          <w:rFonts w:ascii="Calibri" w:eastAsia="Times New Roman" w:hAnsi="Calibri" w:cs="Times New Roman"/>
          <w:sz w:val="24"/>
          <w:szCs w:val="24"/>
          <w:lang w:eastAsia="en-AU"/>
        </w:rPr>
      </w:pPr>
      <w:r w:rsidRPr="00940345">
        <w:rPr>
          <w:rFonts w:ascii="Calibri" w:eastAsia="Times New Roman" w:hAnsi="Calibri" w:cs="Times New Roman"/>
          <w:sz w:val="24"/>
          <w:szCs w:val="24"/>
          <w:lang w:eastAsia="en-AU"/>
        </w:rPr>
        <w:t>What can we do to improve and how can we support ongoing improvement over time?</w:t>
      </w:r>
    </w:p>
    <w:p w:rsidR="00940345" w:rsidRPr="00940345" w:rsidRDefault="00940345" w:rsidP="00940345">
      <w:pPr>
        <w:numPr>
          <w:ilvl w:val="0"/>
          <w:numId w:val="2"/>
        </w:numPr>
        <w:spacing w:before="40" w:after="40"/>
        <w:ind w:left="567"/>
        <w:rPr>
          <w:rFonts w:ascii="Calibri" w:eastAsia="Times New Roman" w:hAnsi="Calibri" w:cs="Times New Roman"/>
          <w:sz w:val="24"/>
          <w:szCs w:val="24"/>
          <w:lang w:eastAsia="en-AU"/>
        </w:rPr>
      </w:pPr>
      <w:r w:rsidRPr="00940345">
        <w:rPr>
          <w:rFonts w:ascii="Calibri" w:eastAsia="Times New Roman" w:hAnsi="Calibri" w:cs="Times New Roman"/>
          <w:sz w:val="24"/>
          <w:szCs w:val="24"/>
          <w:lang w:eastAsia="en-AU"/>
        </w:rPr>
        <w:t>How could schools funding be used more effectively and efficiently (at the classroom, school or system level) to have a significant impact on learning outcomes for all students including disadvantaged and vulnerable students and academically advanced students?</w:t>
      </w:r>
    </w:p>
    <w:p w:rsidR="00940345" w:rsidRPr="00940345" w:rsidRDefault="00940345" w:rsidP="00940345">
      <w:pPr>
        <w:numPr>
          <w:ilvl w:val="0"/>
          <w:numId w:val="3"/>
        </w:numPr>
        <w:spacing w:before="40" w:after="40"/>
        <w:rPr>
          <w:rFonts w:ascii="Calibri" w:eastAsia="Times New Roman" w:hAnsi="Calibri" w:cs="Times New Roman"/>
          <w:sz w:val="24"/>
          <w:szCs w:val="24"/>
          <w:lang w:eastAsia="en-AU"/>
        </w:rPr>
      </w:pPr>
      <w:r w:rsidRPr="00940345">
        <w:rPr>
          <w:rFonts w:ascii="Calibri" w:eastAsia="Times New Roman" w:hAnsi="Calibri" w:cs="Times New Roman"/>
          <w:sz w:val="24"/>
          <w:szCs w:val="24"/>
          <w:lang w:eastAsia="en-AU"/>
        </w:rPr>
        <w:t>What actions can be taken to improve practice and outcomes? What evidence is there to support taking these actions?</w:t>
      </w:r>
    </w:p>
    <w:p w:rsidR="00940345" w:rsidRPr="00940345" w:rsidRDefault="00940345" w:rsidP="00940345">
      <w:pPr>
        <w:spacing w:after="120"/>
        <w:rPr>
          <w:rFonts w:ascii="Calibri" w:eastAsia="Times New Roman" w:hAnsi="Calibri" w:cs="Times New Roman"/>
          <w:sz w:val="24"/>
          <w:szCs w:val="24"/>
          <w:lang w:eastAsia="en-AU"/>
        </w:rPr>
      </w:pPr>
      <w:r w:rsidRPr="00940345">
        <w:rPr>
          <w:rFonts w:ascii="Calibri" w:eastAsia="Times New Roman" w:hAnsi="Calibri" w:cs="Times New Roman"/>
          <w:sz w:val="24"/>
          <w:szCs w:val="24"/>
          <w:lang w:eastAsia="en-AU"/>
        </w:rPr>
        <w:t xml:space="preserve">The immediate necessary action is to provide mechanisms to evaluate educational practices and outcomes, and to communicate the results of these evaluations to key stakeholders. Evidence-based practice has been used to great effect in a number of areas, particularly clinical and public health, and overseas in education and social welfare. Models developed by organisations such as the Campbell Collaboration provide for the gathering and assessment of evidence for public good interventions, with mechanisms to clearly demonstrate positive outcomes. </w:t>
      </w:r>
    </w:p>
    <w:p w:rsidR="00940345" w:rsidRPr="00940345" w:rsidRDefault="00940345" w:rsidP="00940345">
      <w:pPr>
        <w:spacing w:after="120"/>
        <w:rPr>
          <w:rFonts w:ascii="Calibri" w:eastAsia="Times New Roman" w:hAnsi="Calibri" w:cs="Times New Roman"/>
          <w:sz w:val="24"/>
          <w:szCs w:val="24"/>
          <w:lang w:eastAsia="en-AU"/>
        </w:rPr>
      </w:pPr>
      <w:r w:rsidRPr="00940345">
        <w:rPr>
          <w:rFonts w:ascii="Calibri" w:eastAsia="Times New Roman" w:hAnsi="Calibri" w:cs="Times New Roman"/>
          <w:sz w:val="24"/>
          <w:szCs w:val="24"/>
          <w:lang w:eastAsia="en-AU"/>
        </w:rPr>
        <w:t xml:space="preserve">Ideally, there should be a culture of evaluation, where new education programs are measured and reported against national program standards as a matter of course. This culture should be fostered and supported by a National Education Evaluation Agreement and a national education evaluation institution, as recommended by the Productivity Commission inquiry report into the National Education Evidence Base. </w:t>
      </w:r>
    </w:p>
    <w:p w:rsidR="00940345" w:rsidRPr="00940345" w:rsidRDefault="00940345" w:rsidP="00940345">
      <w:pPr>
        <w:spacing w:after="120"/>
        <w:rPr>
          <w:rFonts w:ascii="Calibri" w:eastAsia="Times New Roman" w:hAnsi="Calibri" w:cs="Times New Roman"/>
          <w:sz w:val="24"/>
          <w:szCs w:val="24"/>
          <w:lang w:eastAsia="en-AU"/>
        </w:rPr>
      </w:pPr>
      <w:r w:rsidRPr="00940345">
        <w:rPr>
          <w:rFonts w:ascii="Calibri" w:eastAsia="Times New Roman" w:hAnsi="Calibri" w:cs="Times New Roman"/>
          <w:sz w:val="24"/>
          <w:szCs w:val="24"/>
          <w:lang w:eastAsia="en-AU"/>
        </w:rPr>
        <w:t xml:space="preserve">Identification of effective teaching programs should be linked directly to teacher professional development. The recent Productivity Commission 5 year productivity report </w:t>
      </w:r>
      <w:proofErr w:type="gramStart"/>
      <w:r w:rsidRPr="00940345">
        <w:rPr>
          <w:rFonts w:ascii="Calibri" w:eastAsia="Times New Roman" w:hAnsi="Calibri" w:cs="Times New Roman"/>
          <w:sz w:val="24"/>
          <w:szCs w:val="24"/>
          <w:lang w:eastAsia="en-AU"/>
        </w:rPr>
        <w:t>Shifting</w:t>
      </w:r>
      <w:proofErr w:type="gramEnd"/>
      <w:r w:rsidRPr="00940345">
        <w:rPr>
          <w:rFonts w:ascii="Calibri" w:eastAsia="Times New Roman" w:hAnsi="Calibri" w:cs="Times New Roman"/>
          <w:sz w:val="24"/>
          <w:szCs w:val="24"/>
          <w:lang w:eastAsia="en-AU"/>
        </w:rPr>
        <w:t xml:space="preserve"> the Dial places a high priority on professional development of teachers, to address the number of teachers who are teaching out of field and to improve the skills and effectiveness of the existing teaching workforce. The report highlights the role a “more rigorous micro evidence base” might play in providing improved educational outcomes by improving teacher effectiveness. </w:t>
      </w:r>
    </w:p>
    <w:p w:rsidR="00940345" w:rsidRPr="00940345" w:rsidRDefault="00940345" w:rsidP="00940345">
      <w:pPr>
        <w:spacing w:after="120"/>
        <w:rPr>
          <w:rFonts w:ascii="Calibri" w:eastAsia="Times New Roman" w:hAnsi="Calibri" w:cs="Times New Roman"/>
          <w:sz w:val="24"/>
          <w:szCs w:val="24"/>
          <w:lang w:eastAsia="en-AU"/>
        </w:rPr>
      </w:pPr>
      <w:r w:rsidRPr="00940345">
        <w:rPr>
          <w:rFonts w:ascii="Calibri" w:eastAsia="Times New Roman" w:hAnsi="Calibri" w:cs="Times New Roman"/>
          <w:sz w:val="24"/>
          <w:szCs w:val="24"/>
          <w:lang w:eastAsia="en-AU"/>
        </w:rPr>
        <w:t xml:space="preserve">Additionally, a 2013 report on staff in Australian schools found that around 20 per cent of secondary maths and science teachers are teaching ‘out of field’ – i.e. they are not qualified to teach the subject.  The proportion of schools that have difficulty filling Year 8 maths and science teaching positions is about double the international average. In addition to providing mechanisms for improving the professional development of existing teachers, there should be incentive mechanisms for new science and mathematics graduates to gain teaching qualifications and enter the workforce as teachers. The Academy recommends establishing minimum qualification standards for science and mathematics teachers, including a tertiary degree in a relevant discipline and postgraduate teacher training.  </w:t>
      </w:r>
    </w:p>
    <w:p w:rsidR="00940345" w:rsidRPr="00940345" w:rsidRDefault="00940345" w:rsidP="00940345">
      <w:pPr>
        <w:numPr>
          <w:ilvl w:val="0"/>
          <w:numId w:val="3"/>
        </w:numPr>
        <w:spacing w:before="40" w:after="40"/>
        <w:rPr>
          <w:rFonts w:ascii="Calibri" w:eastAsia="Times New Roman" w:hAnsi="Calibri" w:cs="Times New Roman"/>
          <w:sz w:val="24"/>
          <w:szCs w:val="24"/>
          <w:lang w:eastAsia="en-AU"/>
        </w:rPr>
      </w:pPr>
      <w:r w:rsidRPr="00940345">
        <w:rPr>
          <w:rFonts w:ascii="Calibri" w:eastAsia="Times New Roman" w:hAnsi="Calibri" w:cs="Times New Roman"/>
          <w:sz w:val="24"/>
          <w:szCs w:val="24"/>
          <w:lang w:eastAsia="en-AU"/>
        </w:rPr>
        <w:t xml:space="preserve">What works best for whom and in what circumstances? </w:t>
      </w:r>
    </w:p>
    <w:p w:rsidR="00940345" w:rsidRPr="00940345" w:rsidRDefault="00940345" w:rsidP="00940345">
      <w:pPr>
        <w:spacing w:after="120"/>
        <w:rPr>
          <w:rFonts w:ascii="Calibri" w:eastAsia="Times New Roman" w:hAnsi="Calibri" w:cs="Times New Roman"/>
          <w:sz w:val="24"/>
          <w:szCs w:val="24"/>
          <w:lang w:eastAsia="en-AU"/>
        </w:rPr>
      </w:pPr>
      <w:r w:rsidRPr="00940345">
        <w:rPr>
          <w:rFonts w:ascii="Calibri" w:eastAsia="Times New Roman" w:hAnsi="Calibri" w:cs="Times New Roman"/>
          <w:sz w:val="24"/>
          <w:szCs w:val="24"/>
          <w:lang w:eastAsia="en-AU"/>
        </w:rPr>
        <w:t xml:space="preserve">Inquiry-based learning programs have been demonstrated to achieve greater engagement and better learning outcomes against standard programs. Such programs allow students to make determinations about the problems, challenges and issues they investigate. The greater autonomy provided through inquiry-based learning programs allows students to develop problem solving abilities and self-confidence while improving their subject knowledge and process skills. However, these programs are only effective if teachers are sufficiently trained to teach and guide the inquiry process: students must be supported by their teachers. </w:t>
      </w:r>
    </w:p>
    <w:p w:rsidR="00940345" w:rsidRPr="00940345" w:rsidRDefault="00940345" w:rsidP="00940345">
      <w:pPr>
        <w:spacing w:after="120"/>
        <w:rPr>
          <w:rFonts w:ascii="Calibri" w:eastAsia="Times New Roman" w:hAnsi="Calibri" w:cs="Times New Roman"/>
          <w:sz w:val="24"/>
          <w:szCs w:val="24"/>
          <w:lang w:eastAsia="en-AU"/>
        </w:rPr>
      </w:pPr>
      <w:r w:rsidRPr="00940345">
        <w:rPr>
          <w:rFonts w:ascii="Calibri" w:eastAsia="Times New Roman" w:hAnsi="Calibri" w:cs="Times New Roman"/>
          <w:sz w:val="24"/>
          <w:szCs w:val="24"/>
          <w:lang w:eastAsia="en-AU"/>
        </w:rPr>
        <w:t xml:space="preserve">The Academy’s three education programs are built around an inquiry-based learning model.  The results of our evaluations confirm the effectiveness of these programs. </w:t>
      </w:r>
    </w:p>
    <w:p w:rsidR="00940345" w:rsidRPr="00940345" w:rsidRDefault="00940345" w:rsidP="00940345">
      <w:pPr>
        <w:numPr>
          <w:ilvl w:val="0"/>
          <w:numId w:val="2"/>
        </w:numPr>
        <w:spacing w:before="40" w:after="40"/>
        <w:ind w:left="567"/>
        <w:rPr>
          <w:rFonts w:ascii="Calibri" w:eastAsia="Times New Roman" w:hAnsi="Calibri" w:cs="Times New Roman"/>
          <w:sz w:val="24"/>
          <w:szCs w:val="24"/>
          <w:lang w:eastAsia="en-AU"/>
        </w:rPr>
      </w:pPr>
      <w:r w:rsidRPr="00940345">
        <w:rPr>
          <w:rFonts w:ascii="Calibri" w:eastAsia="Times New Roman" w:hAnsi="Calibri" w:cs="Times New Roman"/>
          <w:sz w:val="24"/>
          <w:szCs w:val="24"/>
          <w:lang w:eastAsia="en-AU"/>
        </w:rPr>
        <w:t xml:space="preserve">What institutional or governance arrangements could be put in place to ensure ongoing identification, sharing and implementation of evidence-based good practice to grow and sustain improved student outcomes over time? </w:t>
      </w:r>
    </w:p>
    <w:p w:rsidR="00940345" w:rsidRPr="00940345" w:rsidRDefault="00940345" w:rsidP="00940345">
      <w:pPr>
        <w:spacing w:after="120"/>
        <w:rPr>
          <w:rFonts w:ascii="Calibri" w:eastAsia="Times New Roman" w:hAnsi="Calibri" w:cs="Times New Roman"/>
          <w:sz w:val="24"/>
          <w:szCs w:val="24"/>
          <w:lang w:eastAsia="en-AU"/>
        </w:rPr>
      </w:pPr>
      <w:r w:rsidRPr="00940345">
        <w:rPr>
          <w:rFonts w:ascii="Calibri" w:eastAsia="Times New Roman" w:hAnsi="Calibri" w:cs="Times New Roman"/>
          <w:sz w:val="24"/>
          <w:szCs w:val="24"/>
          <w:lang w:eastAsia="en-AU"/>
        </w:rPr>
        <w:t xml:space="preserve">The Academy supports the recommendations of the Productivity Commission inquiry report into the National Education Evidence Base where they relate to the establishment of a formal education evidence base. Guided by that report, the Academy recommends: </w:t>
      </w:r>
    </w:p>
    <w:p w:rsidR="00940345" w:rsidRPr="00940345" w:rsidRDefault="00940345" w:rsidP="00940345">
      <w:pPr>
        <w:numPr>
          <w:ilvl w:val="0"/>
          <w:numId w:val="2"/>
        </w:numPr>
        <w:spacing w:before="40" w:after="40"/>
        <w:ind w:left="567"/>
        <w:rPr>
          <w:rFonts w:ascii="Calibri" w:eastAsia="Times New Roman" w:hAnsi="Calibri" w:cs="Times New Roman"/>
          <w:sz w:val="24"/>
          <w:szCs w:val="24"/>
          <w:lang w:eastAsia="en-AU"/>
        </w:rPr>
      </w:pPr>
      <w:r w:rsidRPr="00940345">
        <w:rPr>
          <w:rFonts w:ascii="Calibri" w:eastAsia="Times New Roman" w:hAnsi="Calibri" w:cs="Times New Roman"/>
          <w:sz w:val="24"/>
          <w:szCs w:val="24"/>
          <w:lang w:eastAsia="en-AU"/>
        </w:rPr>
        <w:t>A National Education Evaluation Agreement between the Federal Department of Education and Training and the State and Territory education departments to provide policy objectives, guidelines and parameters for the evaluation of education programs nationally</w:t>
      </w:r>
    </w:p>
    <w:p w:rsidR="00940345" w:rsidRPr="00940345" w:rsidRDefault="00940345" w:rsidP="00940345">
      <w:pPr>
        <w:numPr>
          <w:ilvl w:val="0"/>
          <w:numId w:val="2"/>
        </w:numPr>
        <w:spacing w:before="40" w:after="40"/>
        <w:ind w:left="567"/>
        <w:rPr>
          <w:rFonts w:ascii="Calibri" w:eastAsia="Times New Roman" w:hAnsi="Calibri" w:cs="Times New Roman"/>
          <w:sz w:val="24"/>
          <w:szCs w:val="24"/>
          <w:lang w:eastAsia="en-AU"/>
        </w:rPr>
      </w:pPr>
      <w:r w:rsidRPr="00940345">
        <w:rPr>
          <w:rFonts w:ascii="Calibri" w:eastAsia="Times New Roman" w:hAnsi="Calibri" w:cs="Times New Roman"/>
          <w:sz w:val="24"/>
          <w:szCs w:val="24"/>
          <w:lang w:eastAsia="en-AU"/>
        </w:rPr>
        <w:t>A national institution to:</w:t>
      </w:r>
    </w:p>
    <w:p w:rsidR="00940345" w:rsidRPr="00940345" w:rsidRDefault="00940345" w:rsidP="00940345">
      <w:pPr>
        <w:numPr>
          <w:ilvl w:val="1"/>
          <w:numId w:val="2"/>
        </w:numPr>
        <w:spacing w:before="40" w:after="40"/>
        <w:rPr>
          <w:rFonts w:ascii="Calibri" w:eastAsia="Times New Roman" w:hAnsi="Calibri" w:cs="Times New Roman"/>
          <w:sz w:val="24"/>
          <w:szCs w:val="24"/>
          <w:lang w:eastAsia="en-AU"/>
        </w:rPr>
      </w:pPr>
      <w:r w:rsidRPr="00940345">
        <w:rPr>
          <w:rFonts w:ascii="Calibri" w:eastAsia="Times New Roman" w:hAnsi="Calibri" w:cs="Times New Roman"/>
          <w:sz w:val="24"/>
          <w:szCs w:val="24"/>
          <w:lang w:eastAsia="en-AU"/>
        </w:rPr>
        <w:t>direct and commission evaluative research on education programs</w:t>
      </w:r>
    </w:p>
    <w:p w:rsidR="00940345" w:rsidRPr="00940345" w:rsidRDefault="00940345" w:rsidP="00940345">
      <w:pPr>
        <w:numPr>
          <w:ilvl w:val="1"/>
          <w:numId w:val="2"/>
        </w:numPr>
        <w:spacing w:before="40" w:after="40"/>
        <w:rPr>
          <w:rFonts w:ascii="Calibri" w:eastAsia="Times New Roman" w:hAnsi="Calibri" w:cs="Times New Roman"/>
          <w:sz w:val="24"/>
          <w:szCs w:val="24"/>
          <w:lang w:eastAsia="en-AU"/>
        </w:rPr>
      </w:pPr>
      <w:r w:rsidRPr="00940345">
        <w:rPr>
          <w:rFonts w:ascii="Calibri" w:eastAsia="Times New Roman" w:hAnsi="Calibri" w:cs="Times New Roman"/>
          <w:sz w:val="24"/>
          <w:szCs w:val="24"/>
          <w:lang w:eastAsia="en-AU"/>
        </w:rPr>
        <w:t>verify the quality of existing research</w:t>
      </w:r>
    </w:p>
    <w:p w:rsidR="00940345" w:rsidRPr="00940345" w:rsidRDefault="00940345" w:rsidP="00940345">
      <w:pPr>
        <w:numPr>
          <w:ilvl w:val="1"/>
          <w:numId w:val="2"/>
        </w:numPr>
        <w:spacing w:before="40" w:after="40"/>
        <w:rPr>
          <w:rFonts w:ascii="Calibri" w:eastAsia="Times New Roman" w:hAnsi="Calibri" w:cs="Times New Roman"/>
          <w:sz w:val="24"/>
          <w:szCs w:val="24"/>
          <w:lang w:eastAsia="en-AU"/>
        </w:rPr>
      </w:pPr>
      <w:r w:rsidRPr="00940345">
        <w:rPr>
          <w:rFonts w:ascii="Calibri" w:eastAsia="Times New Roman" w:hAnsi="Calibri" w:cs="Times New Roman"/>
          <w:sz w:val="24"/>
          <w:szCs w:val="24"/>
          <w:lang w:eastAsia="en-AU"/>
        </w:rPr>
        <w:t>provide a framework of program evaluation metrics</w:t>
      </w:r>
    </w:p>
    <w:p w:rsidR="00940345" w:rsidRPr="00940345" w:rsidRDefault="00940345" w:rsidP="00940345">
      <w:pPr>
        <w:numPr>
          <w:ilvl w:val="1"/>
          <w:numId w:val="2"/>
        </w:numPr>
        <w:spacing w:before="40" w:after="40"/>
        <w:rPr>
          <w:rFonts w:ascii="Calibri" w:eastAsia="Times New Roman" w:hAnsi="Calibri" w:cs="Times New Roman"/>
          <w:sz w:val="24"/>
          <w:szCs w:val="24"/>
          <w:lang w:eastAsia="en-AU"/>
        </w:rPr>
      </w:pPr>
      <w:r w:rsidRPr="00940345">
        <w:rPr>
          <w:rFonts w:ascii="Calibri" w:eastAsia="Times New Roman" w:hAnsi="Calibri" w:cs="Times New Roman"/>
          <w:sz w:val="24"/>
          <w:szCs w:val="24"/>
          <w:lang w:eastAsia="en-AU"/>
        </w:rPr>
        <w:t>provide national standards for education programs</w:t>
      </w:r>
    </w:p>
    <w:p w:rsidR="00940345" w:rsidRPr="00940345" w:rsidRDefault="00940345" w:rsidP="00940345">
      <w:pPr>
        <w:numPr>
          <w:ilvl w:val="1"/>
          <w:numId w:val="2"/>
        </w:numPr>
        <w:spacing w:before="40" w:after="40"/>
        <w:rPr>
          <w:rFonts w:ascii="Calibri" w:eastAsia="Times New Roman" w:hAnsi="Calibri" w:cs="Times New Roman"/>
          <w:sz w:val="24"/>
          <w:szCs w:val="24"/>
          <w:lang w:eastAsia="en-AU"/>
        </w:rPr>
      </w:pPr>
      <w:r w:rsidRPr="00940345">
        <w:rPr>
          <w:rFonts w:ascii="Calibri" w:eastAsia="Times New Roman" w:hAnsi="Calibri" w:cs="Times New Roman"/>
          <w:sz w:val="24"/>
          <w:szCs w:val="24"/>
          <w:lang w:eastAsia="en-AU"/>
        </w:rPr>
        <w:t>maintain an evidence base that identifies approaches to improving teaching practices and outcomes</w:t>
      </w:r>
    </w:p>
    <w:p w:rsidR="00940345" w:rsidRPr="00940345" w:rsidRDefault="00940345" w:rsidP="00940345">
      <w:pPr>
        <w:numPr>
          <w:ilvl w:val="1"/>
          <w:numId w:val="2"/>
        </w:numPr>
        <w:spacing w:before="40" w:after="40"/>
        <w:rPr>
          <w:rFonts w:ascii="Calibri" w:eastAsia="Times New Roman" w:hAnsi="Calibri" w:cs="Times New Roman"/>
          <w:sz w:val="24"/>
          <w:szCs w:val="24"/>
          <w:lang w:eastAsia="en-AU"/>
        </w:rPr>
      </w:pPr>
      <w:proofErr w:type="gramStart"/>
      <w:r w:rsidRPr="00940345">
        <w:rPr>
          <w:rFonts w:ascii="Calibri" w:eastAsia="Times New Roman" w:hAnsi="Calibri" w:cs="Times New Roman"/>
          <w:sz w:val="24"/>
          <w:szCs w:val="24"/>
          <w:lang w:eastAsia="en-AU"/>
        </w:rPr>
        <w:t>communicate</w:t>
      </w:r>
      <w:proofErr w:type="gramEnd"/>
      <w:r w:rsidRPr="00940345">
        <w:rPr>
          <w:rFonts w:ascii="Calibri" w:eastAsia="Times New Roman" w:hAnsi="Calibri" w:cs="Times New Roman"/>
          <w:sz w:val="24"/>
          <w:szCs w:val="24"/>
          <w:lang w:eastAsia="en-AU"/>
        </w:rPr>
        <w:t xml:space="preserve"> the outcomes of research into the effectiveness of education programs. </w:t>
      </w:r>
    </w:p>
    <w:p w:rsidR="00940345" w:rsidRPr="00940345" w:rsidRDefault="00940345" w:rsidP="00940345">
      <w:pPr>
        <w:spacing w:before="40" w:after="40"/>
        <w:rPr>
          <w:rFonts w:ascii="Calibri" w:eastAsia="Times New Roman" w:hAnsi="Calibri" w:cs="Times New Roman"/>
          <w:sz w:val="24"/>
          <w:szCs w:val="24"/>
          <w:lang w:eastAsia="en-AU"/>
        </w:rPr>
      </w:pPr>
      <w:r w:rsidRPr="00940345">
        <w:rPr>
          <w:rFonts w:ascii="Calibri" w:eastAsia="Times New Roman" w:hAnsi="Calibri" w:cs="Times New Roman"/>
          <w:sz w:val="24"/>
          <w:szCs w:val="24"/>
          <w:lang w:eastAsia="en-AU"/>
        </w:rPr>
        <w:t xml:space="preserve">This institution should be guided by an independent panel or board of education experts, analysts and stakeholders. </w:t>
      </w:r>
    </w:p>
    <w:p w:rsidR="00940345" w:rsidRPr="00940345" w:rsidRDefault="00940345" w:rsidP="00940345">
      <w:pPr>
        <w:numPr>
          <w:ilvl w:val="0"/>
          <w:numId w:val="2"/>
        </w:numPr>
        <w:spacing w:before="40" w:after="40"/>
        <w:ind w:left="567"/>
        <w:rPr>
          <w:rFonts w:ascii="Calibri" w:eastAsia="Times New Roman" w:hAnsi="Calibri" w:cs="Times New Roman"/>
          <w:sz w:val="24"/>
          <w:szCs w:val="24"/>
          <w:lang w:eastAsia="en-AU"/>
        </w:rPr>
      </w:pPr>
      <w:r w:rsidRPr="00940345">
        <w:rPr>
          <w:rFonts w:ascii="Calibri" w:eastAsia="Times New Roman" w:hAnsi="Calibri" w:cs="Times New Roman"/>
          <w:sz w:val="24"/>
          <w:szCs w:val="24"/>
          <w:lang w:eastAsia="en-AU"/>
        </w:rPr>
        <w:t>How can system enablers such as targets and standards, qualifications and accreditation, regulation and registration, quality assurance measures and transparency and accountably provisions be improved to help drive educational achievement and success and support effective monitoring, reporting and application of investment?</w:t>
      </w:r>
    </w:p>
    <w:p w:rsidR="00940345" w:rsidRPr="00940345" w:rsidRDefault="00940345" w:rsidP="00940345">
      <w:pPr>
        <w:spacing w:before="40" w:after="40"/>
        <w:rPr>
          <w:rFonts w:ascii="Calibri" w:eastAsia="Times New Roman" w:hAnsi="Calibri" w:cs="Times New Roman"/>
          <w:sz w:val="24"/>
          <w:szCs w:val="24"/>
          <w:lang w:eastAsia="en-AU"/>
        </w:rPr>
      </w:pPr>
      <w:r w:rsidRPr="00940345">
        <w:rPr>
          <w:rFonts w:ascii="Calibri" w:eastAsia="Times New Roman" w:hAnsi="Calibri" w:cs="Times New Roman"/>
          <w:sz w:val="24"/>
          <w:szCs w:val="24"/>
          <w:lang w:eastAsia="en-AU"/>
        </w:rPr>
        <w:t xml:space="preserve">These system enablers must be consistent, visible and transparent, with broad support from stakeholders. There must be a rigorous approach to data gathering, analysis, reporting and application. They must have minimal impact on individuals within the education system (i.e. students or professionals); they must not present a barrier to effective teaching or present an onerous administration burden of on schools and the education system. </w:t>
      </w:r>
    </w:p>
    <w:p w:rsidR="00940345" w:rsidRPr="00940345" w:rsidRDefault="00940345" w:rsidP="00940345">
      <w:pPr>
        <w:numPr>
          <w:ilvl w:val="0"/>
          <w:numId w:val="2"/>
        </w:numPr>
        <w:spacing w:before="40" w:after="40"/>
        <w:ind w:left="567"/>
        <w:rPr>
          <w:rFonts w:ascii="Calibri" w:eastAsia="Times New Roman" w:hAnsi="Calibri" w:cs="Times New Roman"/>
          <w:sz w:val="24"/>
          <w:szCs w:val="24"/>
          <w:lang w:eastAsia="en-AU"/>
        </w:rPr>
      </w:pPr>
      <w:r w:rsidRPr="00940345">
        <w:rPr>
          <w:rFonts w:ascii="Calibri" w:eastAsia="Times New Roman" w:hAnsi="Calibri" w:cs="Times New Roman"/>
          <w:sz w:val="24"/>
          <w:szCs w:val="24"/>
          <w:lang w:eastAsia="en-AU"/>
        </w:rPr>
        <w:t>Are there any new or emerging areas for action which could lead to large gains in student improvement that need further development or testing?</w:t>
      </w:r>
    </w:p>
    <w:p w:rsidR="00940345" w:rsidRPr="00940345" w:rsidRDefault="00940345" w:rsidP="00940345">
      <w:pPr>
        <w:numPr>
          <w:ilvl w:val="0"/>
          <w:numId w:val="3"/>
        </w:numPr>
        <w:spacing w:before="40" w:after="40"/>
        <w:rPr>
          <w:rFonts w:ascii="Calibri" w:eastAsia="Times New Roman" w:hAnsi="Calibri" w:cs="Times New Roman"/>
          <w:sz w:val="24"/>
          <w:szCs w:val="24"/>
          <w:lang w:eastAsia="en-AU"/>
        </w:rPr>
      </w:pPr>
      <w:r w:rsidRPr="00940345">
        <w:rPr>
          <w:rFonts w:ascii="Calibri" w:eastAsia="Times New Roman" w:hAnsi="Calibri" w:cs="Times New Roman"/>
          <w:sz w:val="24"/>
          <w:szCs w:val="24"/>
          <w:lang w:eastAsia="en-AU"/>
        </w:rPr>
        <w:t>What are they and how could they be further developed?</w:t>
      </w:r>
    </w:p>
    <w:p w:rsidR="00940345" w:rsidRPr="00940345" w:rsidRDefault="00940345" w:rsidP="00940345">
      <w:pPr>
        <w:spacing w:after="120"/>
        <w:rPr>
          <w:rFonts w:ascii="Calibri" w:eastAsia="Times New Roman" w:hAnsi="Calibri" w:cs="Times New Roman"/>
          <w:sz w:val="24"/>
          <w:szCs w:val="24"/>
          <w:lang w:eastAsia="en-AU"/>
        </w:rPr>
      </w:pPr>
      <w:r w:rsidRPr="00940345">
        <w:rPr>
          <w:rFonts w:ascii="Calibri" w:eastAsia="Times New Roman" w:hAnsi="Calibri" w:cs="Times New Roman"/>
          <w:sz w:val="24"/>
          <w:szCs w:val="24"/>
          <w:lang w:eastAsia="en-AU"/>
        </w:rPr>
        <w:t xml:space="preserve">As noted above, the Academy has three programs of inquiry-based education tools. The Academy’s award-winning curriculum resources and teacher professional learning programs are based on a guided inquiry-based approach to education. These programs have been based on extensive research with empirical testing as an integral feature of all aspects of resource and professional learning development. In particular </w:t>
      </w:r>
      <w:proofErr w:type="spellStart"/>
      <w:r w:rsidRPr="00940345">
        <w:rPr>
          <w:rFonts w:ascii="Calibri" w:eastAsia="Times New Roman" w:hAnsi="Calibri" w:cs="Times New Roman"/>
          <w:sz w:val="24"/>
          <w:szCs w:val="24"/>
          <w:lang w:eastAsia="en-AU"/>
        </w:rPr>
        <w:t>PrimaryConnections</w:t>
      </w:r>
      <w:proofErr w:type="spellEnd"/>
      <w:r w:rsidRPr="00940345">
        <w:rPr>
          <w:rFonts w:ascii="Calibri" w:eastAsia="Times New Roman" w:hAnsi="Calibri" w:cs="Times New Roman"/>
          <w:sz w:val="24"/>
          <w:szCs w:val="24"/>
          <w:lang w:eastAsia="en-AU"/>
        </w:rPr>
        <w:t xml:space="preserve"> and Science by Doing were preceded by comprehensive national research studies. During the development of both programs independent evaluation studies have been undertaken. These studies have continued to validate the value of the programs and their impact. We consider that these programs provide a strong foundation in science and mathematics knowledge, skills and processes. </w:t>
      </w:r>
    </w:p>
    <w:p w:rsidR="00940345" w:rsidRPr="00940345" w:rsidRDefault="00940345" w:rsidP="00940345">
      <w:pPr>
        <w:spacing w:after="120"/>
        <w:rPr>
          <w:rFonts w:ascii="Calibri" w:eastAsia="Times New Roman" w:hAnsi="Calibri" w:cs="Times New Roman"/>
          <w:sz w:val="24"/>
          <w:szCs w:val="24"/>
          <w:lang w:eastAsia="en-AU"/>
        </w:rPr>
      </w:pPr>
      <w:r w:rsidRPr="00940345">
        <w:rPr>
          <w:rFonts w:ascii="Calibri" w:eastAsia="Times New Roman" w:hAnsi="Calibri" w:cs="Times New Roman"/>
          <w:sz w:val="24"/>
          <w:szCs w:val="24"/>
          <w:lang w:eastAsia="en-AU"/>
        </w:rPr>
        <w:t xml:space="preserve">The Academy will continue these programs by further development of innovative teacher and student resources. We will expand the reach of our education programs to support pre-service and in-service teachers through targeted professional learning programs. </w:t>
      </w:r>
    </w:p>
    <w:p w:rsidR="00940345" w:rsidRPr="00940345" w:rsidRDefault="00940345" w:rsidP="00940345">
      <w:pPr>
        <w:spacing w:after="120"/>
        <w:rPr>
          <w:rFonts w:ascii="Calibri" w:eastAsia="Times New Roman" w:hAnsi="Calibri" w:cs="Times New Roman"/>
          <w:sz w:val="24"/>
          <w:szCs w:val="24"/>
          <w:lang w:eastAsia="en-AU"/>
        </w:rPr>
      </w:pPr>
      <w:r w:rsidRPr="00940345">
        <w:rPr>
          <w:rFonts w:ascii="Calibri" w:eastAsia="Times New Roman" w:hAnsi="Calibri" w:cs="Times New Roman"/>
          <w:sz w:val="24"/>
          <w:szCs w:val="24"/>
          <w:lang w:eastAsia="en-AU"/>
        </w:rPr>
        <w:t xml:space="preserve">The Academy is happy to provide further information on our inquiry-based education programs and evaluation processes as required. </w:t>
      </w:r>
    </w:p>
    <w:p w:rsidR="00940345" w:rsidRPr="00940345" w:rsidRDefault="00940345" w:rsidP="00940345">
      <w:pPr>
        <w:spacing w:after="120"/>
        <w:rPr>
          <w:rFonts w:ascii="Calibri" w:eastAsia="Times New Roman" w:hAnsi="Calibri" w:cs="Times New Roman"/>
          <w:sz w:val="24"/>
          <w:szCs w:val="24"/>
          <w:lang w:eastAsia="en-AU"/>
        </w:rPr>
      </w:pPr>
      <w:r w:rsidRPr="00940345">
        <w:rPr>
          <w:rFonts w:ascii="Calibri" w:eastAsia="Times New Roman" w:hAnsi="Calibri" w:cs="Times New Roman"/>
          <w:sz w:val="24"/>
          <w:szCs w:val="24"/>
          <w:lang w:eastAsia="en-AU"/>
        </w:rPr>
        <w:t xml:space="preserve">Are there barriers to implementing these improvements? </w:t>
      </w:r>
    </w:p>
    <w:p w:rsidR="00940345" w:rsidRPr="00940345" w:rsidRDefault="00940345" w:rsidP="00940345">
      <w:pPr>
        <w:numPr>
          <w:ilvl w:val="0"/>
          <w:numId w:val="2"/>
        </w:numPr>
        <w:spacing w:before="40" w:after="40"/>
        <w:ind w:left="567"/>
        <w:rPr>
          <w:rFonts w:ascii="Calibri" w:eastAsia="Times New Roman" w:hAnsi="Calibri" w:cs="Times New Roman"/>
          <w:sz w:val="24"/>
          <w:szCs w:val="24"/>
          <w:lang w:eastAsia="en-AU"/>
        </w:rPr>
      </w:pPr>
      <w:r w:rsidRPr="00940345">
        <w:rPr>
          <w:rFonts w:ascii="Calibri" w:eastAsia="Times New Roman" w:hAnsi="Calibri" w:cs="Times New Roman"/>
          <w:sz w:val="24"/>
          <w:szCs w:val="24"/>
          <w:lang w:eastAsia="en-AU"/>
        </w:rPr>
        <w:t>If yes, what are they and how could these be overcome?</w:t>
      </w:r>
    </w:p>
    <w:p w:rsidR="006A5461" w:rsidRPr="005A348F" w:rsidRDefault="00940345" w:rsidP="00940345">
      <w:pPr>
        <w:spacing w:after="120"/>
      </w:pPr>
      <w:r w:rsidRPr="00940345">
        <w:rPr>
          <w:rFonts w:ascii="Calibri" w:eastAsia="Times New Roman" w:hAnsi="Calibri" w:cs="Times New Roman"/>
          <w:sz w:val="24"/>
          <w:szCs w:val="24"/>
          <w:lang w:eastAsia="en-AU"/>
        </w:rPr>
        <w:t xml:space="preserve">Time and resources present the largest barriers to the proposed recommendations. It will likely take some time to establish a national education evidence base, with a time scale beyond the normal funding cycles for the education system. </w:t>
      </w:r>
      <w:bookmarkStart w:id="0" w:name="_GoBack"/>
      <w:bookmarkEnd w:id="0"/>
    </w:p>
    <w:sectPr w:rsidR="006A5461" w:rsidRPr="005A348F" w:rsidSect="00940345">
      <w:footerReference w:type="default" r:id="rId8"/>
      <w:headerReference w:type="first" r:id="rId9"/>
      <w:pgSz w:w="11906" w:h="16838"/>
      <w:pgMar w:top="1440" w:right="1800" w:bottom="1440" w:left="1800" w:header="0"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40345">
      <w:pPr>
        <w:spacing w:line="240" w:lineRule="auto"/>
      </w:pPr>
      <w:r>
        <w:separator/>
      </w:r>
    </w:p>
  </w:endnote>
  <w:endnote w:type="continuationSeparator" w:id="0">
    <w:p w:rsidR="00000000" w:rsidRDefault="009403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1803398"/>
      <w:docPartObj>
        <w:docPartGallery w:val="Page Numbers (Bottom of Page)"/>
        <w:docPartUnique/>
      </w:docPartObj>
    </w:sdtPr>
    <w:sdtEndPr>
      <w:rPr>
        <w:noProof/>
      </w:rPr>
    </w:sdtEndPr>
    <w:sdtContent>
      <w:p w:rsidR="00A8400B" w:rsidRDefault="005A348F" w:rsidP="00200CC2">
        <w:pPr>
          <w:pStyle w:val="Footer"/>
          <w:jc w:val="right"/>
        </w:pPr>
        <w:r>
          <w:fldChar w:fldCharType="begin"/>
        </w:r>
        <w:r>
          <w:instrText xml:space="preserve"> PAGE   \* MERGEFORMAT </w:instrText>
        </w:r>
        <w:r>
          <w:fldChar w:fldCharType="separate"/>
        </w:r>
        <w:r w:rsidR="00940345">
          <w:rPr>
            <w:noProof/>
          </w:rPr>
          <w:t>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40345">
      <w:pPr>
        <w:spacing w:line="240" w:lineRule="auto"/>
      </w:pPr>
      <w:r>
        <w:separator/>
      </w:r>
    </w:p>
  </w:footnote>
  <w:footnote w:type="continuationSeparator" w:id="0">
    <w:p w:rsidR="00000000" w:rsidRDefault="0094034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00B" w:rsidRDefault="005A348F" w:rsidP="00404613">
    <w:pPr>
      <w:pStyle w:val="Header"/>
      <w:tabs>
        <w:tab w:val="clear" w:pos="9026"/>
      </w:tabs>
      <w:ind w:hanging="1800"/>
    </w:pPr>
    <w:r>
      <w:rPr>
        <w:noProof/>
      </w:rPr>
      <w:drawing>
        <wp:inline distT="0" distB="0" distL="0" distR="0" wp14:anchorId="1E8F8F60" wp14:editId="047C1E09">
          <wp:extent cx="7582968" cy="1152525"/>
          <wp:effectExtent l="0" t="0" r="0" b="0"/>
          <wp:docPr id="5" name="Picture 5"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E66F9D"/>
    <w:multiLevelType w:val="hybridMultilevel"/>
    <w:tmpl w:val="299A60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6849766E"/>
    <w:multiLevelType w:val="hybridMultilevel"/>
    <w:tmpl w:val="75FE220C"/>
    <w:lvl w:ilvl="0" w:tplc="3E4E9B80">
      <w:start w:val="1"/>
      <w:numFmt w:val="bullet"/>
      <w:lvlText w:val="-"/>
      <w:lvlJc w:val="left"/>
      <w:pPr>
        <w:ind w:left="720" w:hanging="360"/>
      </w:pPr>
      <w:rPr>
        <w:rFonts w:ascii="Courier New" w:hAnsi="Courier New"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695662FD"/>
    <w:multiLevelType w:val="hybridMultilevel"/>
    <w:tmpl w:val="356E31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958" w:hanging="360"/>
      </w:pPr>
      <w:rPr>
        <w:rFonts w:ascii="Courier New" w:hAnsi="Courier New" w:cs="Courier New" w:hint="default"/>
      </w:rPr>
    </w:lvl>
    <w:lvl w:ilvl="2" w:tplc="0C090005">
      <w:start w:val="1"/>
      <w:numFmt w:val="bullet"/>
      <w:lvlText w:val=""/>
      <w:lvlJc w:val="left"/>
      <w:pPr>
        <w:ind w:left="1678" w:hanging="360"/>
      </w:pPr>
      <w:rPr>
        <w:rFonts w:ascii="Wingdings" w:hAnsi="Wingdings" w:hint="default"/>
      </w:rPr>
    </w:lvl>
    <w:lvl w:ilvl="3" w:tplc="0C090001">
      <w:start w:val="1"/>
      <w:numFmt w:val="bullet"/>
      <w:lvlText w:val=""/>
      <w:lvlJc w:val="left"/>
      <w:pPr>
        <w:ind w:left="2398" w:hanging="360"/>
      </w:pPr>
      <w:rPr>
        <w:rFonts w:ascii="Symbol" w:hAnsi="Symbol" w:hint="default"/>
      </w:rPr>
    </w:lvl>
    <w:lvl w:ilvl="4" w:tplc="0C090003">
      <w:start w:val="1"/>
      <w:numFmt w:val="bullet"/>
      <w:lvlText w:val="o"/>
      <w:lvlJc w:val="left"/>
      <w:pPr>
        <w:ind w:left="3118" w:hanging="360"/>
      </w:pPr>
      <w:rPr>
        <w:rFonts w:ascii="Courier New" w:hAnsi="Courier New" w:cs="Courier New" w:hint="default"/>
      </w:rPr>
    </w:lvl>
    <w:lvl w:ilvl="5" w:tplc="0C090005">
      <w:start w:val="1"/>
      <w:numFmt w:val="bullet"/>
      <w:lvlText w:val=""/>
      <w:lvlJc w:val="left"/>
      <w:pPr>
        <w:ind w:left="3838" w:hanging="360"/>
      </w:pPr>
      <w:rPr>
        <w:rFonts w:ascii="Wingdings" w:hAnsi="Wingdings" w:hint="default"/>
      </w:rPr>
    </w:lvl>
    <w:lvl w:ilvl="6" w:tplc="0C090001">
      <w:start w:val="1"/>
      <w:numFmt w:val="bullet"/>
      <w:lvlText w:val=""/>
      <w:lvlJc w:val="left"/>
      <w:pPr>
        <w:ind w:left="4558" w:hanging="360"/>
      </w:pPr>
      <w:rPr>
        <w:rFonts w:ascii="Symbol" w:hAnsi="Symbol" w:hint="default"/>
      </w:rPr>
    </w:lvl>
    <w:lvl w:ilvl="7" w:tplc="0C090003">
      <w:start w:val="1"/>
      <w:numFmt w:val="bullet"/>
      <w:lvlText w:val="o"/>
      <w:lvlJc w:val="left"/>
      <w:pPr>
        <w:ind w:left="5278" w:hanging="360"/>
      </w:pPr>
      <w:rPr>
        <w:rFonts w:ascii="Courier New" w:hAnsi="Courier New" w:cs="Courier New" w:hint="default"/>
      </w:rPr>
    </w:lvl>
    <w:lvl w:ilvl="8" w:tplc="0C090005">
      <w:start w:val="1"/>
      <w:numFmt w:val="bullet"/>
      <w:lvlText w:val=""/>
      <w:lvlJc w:val="left"/>
      <w:pPr>
        <w:ind w:left="599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48F"/>
    <w:rsid w:val="005A348F"/>
    <w:rsid w:val="006A5461"/>
    <w:rsid w:val="009403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A348F"/>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5A348F"/>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paragraph" w:styleId="Heading3">
    <w:name w:val="heading 3"/>
    <w:basedOn w:val="Normal"/>
    <w:next w:val="Normal"/>
    <w:link w:val="Heading3Char"/>
    <w:uiPriority w:val="9"/>
    <w:semiHidden/>
    <w:unhideWhenUsed/>
    <w:qFormat/>
    <w:rsid w:val="0094034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348F"/>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5A348F"/>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5A348F"/>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5A348F"/>
    <w:rPr>
      <w:rFonts w:ascii="Calibri" w:eastAsia="Times New Roman" w:hAnsi="Calibri" w:cs="Times New Roman"/>
      <w:sz w:val="24"/>
      <w:szCs w:val="24"/>
      <w:lang w:eastAsia="en-AU"/>
    </w:rPr>
  </w:style>
  <w:style w:type="paragraph" w:styleId="Footer">
    <w:name w:val="footer"/>
    <w:basedOn w:val="Normal"/>
    <w:link w:val="FooterChar"/>
    <w:uiPriority w:val="99"/>
    <w:rsid w:val="005A348F"/>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5A348F"/>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5A34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48F"/>
    <w:rPr>
      <w:rFonts w:ascii="Tahoma" w:hAnsi="Tahoma" w:cs="Tahoma"/>
      <w:sz w:val="16"/>
      <w:szCs w:val="16"/>
    </w:rPr>
  </w:style>
  <w:style w:type="character" w:customStyle="1" w:styleId="Heading3Char">
    <w:name w:val="Heading 3 Char"/>
    <w:basedOn w:val="DefaultParagraphFont"/>
    <w:link w:val="Heading3"/>
    <w:uiPriority w:val="9"/>
    <w:semiHidden/>
    <w:rsid w:val="00940345"/>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A348F"/>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5A348F"/>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paragraph" w:styleId="Heading3">
    <w:name w:val="heading 3"/>
    <w:basedOn w:val="Normal"/>
    <w:next w:val="Normal"/>
    <w:link w:val="Heading3Char"/>
    <w:uiPriority w:val="9"/>
    <w:semiHidden/>
    <w:unhideWhenUsed/>
    <w:qFormat/>
    <w:rsid w:val="0094034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348F"/>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5A348F"/>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5A348F"/>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5A348F"/>
    <w:rPr>
      <w:rFonts w:ascii="Calibri" w:eastAsia="Times New Roman" w:hAnsi="Calibri" w:cs="Times New Roman"/>
      <w:sz w:val="24"/>
      <w:szCs w:val="24"/>
      <w:lang w:eastAsia="en-AU"/>
    </w:rPr>
  </w:style>
  <w:style w:type="paragraph" w:styleId="Footer">
    <w:name w:val="footer"/>
    <w:basedOn w:val="Normal"/>
    <w:link w:val="FooterChar"/>
    <w:uiPriority w:val="99"/>
    <w:rsid w:val="005A348F"/>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5A348F"/>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5A34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48F"/>
    <w:rPr>
      <w:rFonts w:ascii="Tahoma" w:hAnsi="Tahoma" w:cs="Tahoma"/>
      <w:sz w:val="16"/>
      <w:szCs w:val="16"/>
    </w:rPr>
  </w:style>
  <w:style w:type="character" w:customStyle="1" w:styleId="Heading3Char">
    <w:name w:val="Heading 3 Char"/>
    <w:basedOn w:val="DefaultParagraphFont"/>
    <w:link w:val="Heading3"/>
    <w:uiPriority w:val="9"/>
    <w:semiHidden/>
    <w:rsid w:val="0094034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102D9D-82B5-4AB0-B77C-626181B3D893}"/>
</file>

<file path=customXml/itemProps2.xml><?xml version="1.0" encoding="utf-8"?>
<ds:datastoreItem xmlns:ds="http://schemas.openxmlformats.org/officeDocument/2006/customXml" ds:itemID="{790657B8-D0CE-43F4-8EDA-06FFD13FDDBC}"/>
</file>

<file path=customXml/itemProps3.xml><?xml version="1.0" encoding="utf-8"?>
<ds:datastoreItem xmlns:ds="http://schemas.openxmlformats.org/officeDocument/2006/customXml" ds:itemID="{ED6B17BE-92F6-4387-878B-5946F56045E6}"/>
</file>

<file path=docProps/app.xml><?xml version="1.0" encoding="utf-8"?>
<Properties xmlns="http://schemas.openxmlformats.org/officeDocument/2006/extended-properties" xmlns:vt="http://schemas.openxmlformats.org/officeDocument/2006/docPropsVTypes">
  <Template>Normal.dotm</Template>
  <TotalTime>8</TotalTime>
  <Pages>7</Pages>
  <Words>2622</Words>
  <Characters>14946</Characters>
  <Application>Microsoft Office Word</Application>
  <DocSecurity>0</DocSecurity>
  <Lines>124</Lines>
  <Paragraphs>35</Paragraphs>
  <ScaleCrop>false</ScaleCrop>
  <Company>Australian Government</Company>
  <LinksUpToDate>false</LinksUpToDate>
  <CharactersWithSpaces>17533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SMYTH,Liam</cp:lastModifiedBy>
  <cp:revision>2</cp:revision>
  <dcterms:created xsi:type="dcterms:W3CDTF">2018-03-23T08:44:00Z</dcterms:created>
  <dcterms:modified xsi:type="dcterms:W3CDTF">2018-03-24T11:25:00Z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