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2"/>
        <w:rPr>
          <w:sz w:val="19"/>
        </w:rPr>
      </w:pPr>
    </w:p>
    <w:p>
      <w:pPr>
        <w:pStyle w:val="BodyText"/>
        <w:spacing w:before="90"/>
        <w:ind w:left="213" w:right="6266"/>
      </w:pPr>
      <w:r>
        <w:rPr/>
        <w:t>The Hon Robert S French </w:t>
      </w:r>
      <w:r>
        <w:rPr>
          <w:spacing w:val="-8"/>
        </w:rPr>
        <w:t>AC </w:t>
      </w:r>
      <w:r>
        <w:rPr/>
        <w:t>Suite 2, Level</w:t>
      </w:r>
      <w:r>
        <w:rPr>
          <w:spacing w:val="-1"/>
        </w:rPr>
        <w:t> </w:t>
      </w:r>
      <w:r>
        <w:rPr/>
        <w:t>13</w:t>
      </w:r>
    </w:p>
    <w:p>
      <w:pPr>
        <w:pStyle w:val="BodyText"/>
        <w:ind w:left="213"/>
      </w:pPr>
      <w:r>
        <w:rPr/>
        <w:t>Allendale</w:t>
      </w:r>
      <w:r>
        <w:rPr>
          <w:spacing w:val="-2"/>
        </w:rPr>
        <w:t> </w:t>
      </w:r>
      <w:r>
        <w:rPr/>
        <w:t>Square</w:t>
      </w:r>
    </w:p>
    <w:p>
      <w:pPr>
        <w:pStyle w:val="BodyText"/>
        <w:ind w:left="213" w:right="6825"/>
      </w:pPr>
      <w:r>
        <w:rPr/>
        <w:t>77 St George </w:t>
      </w:r>
      <w:r>
        <w:rPr>
          <w:spacing w:val="-4"/>
        </w:rPr>
        <w:t>Terrace </w:t>
      </w:r>
      <w:r>
        <w:rPr/>
        <w:t>PERTH WA</w:t>
      </w:r>
      <w:r>
        <w:rPr>
          <w:spacing w:val="58"/>
        </w:rPr>
        <w:t> </w:t>
      </w:r>
      <w:r>
        <w:rPr/>
        <w:t>6000</w:t>
      </w:r>
    </w:p>
    <w:p>
      <w:pPr>
        <w:pStyle w:val="BodyText"/>
      </w:pPr>
    </w:p>
    <w:p>
      <w:pPr>
        <w:pStyle w:val="BodyText"/>
        <w:spacing w:before="1"/>
        <w:ind w:left="213"/>
      </w:pPr>
      <w:r>
        <w:rPr/>
        <w:t>By email: </w:t>
      </w:r>
      <w:hyperlink r:id="rId6">
        <w:r>
          <w:rPr>
            <w:color w:val="0000FF"/>
            <w:u w:val="single" w:color="0000FF"/>
          </w:rPr>
          <w:t>freedomofspeechreview@education.gov.au</w:t>
        </w:r>
      </w:hyperlink>
    </w:p>
    <w:p>
      <w:pPr>
        <w:pStyle w:val="BodyText"/>
        <w:rPr>
          <w:sz w:val="20"/>
        </w:rPr>
      </w:pPr>
    </w:p>
    <w:p>
      <w:pPr>
        <w:pStyle w:val="BodyText"/>
        <w:spacing w:before="2"/>
        <w:rPr>
          <w:sz w:val="20"/>
        </w:rPr>
      </w:pPr>
    </w:p>
    <w:p>
      <w:pPr>
        <w:pStyle w:val="BodyText"/>
        <w:spacing w:before="90"/>
        <w:ind w:left="213"/>
        <w:jc w:val="both"/>
      </w:pPr>
      <w:r>
        <w:rPr/>
        <w:t>Dear Mr French</w:t>
      </w:r>
    </w:p>
    <w:p>
      <w:pPr>
        <w:pStyle w:val="BodyText"/>
        <w:spacing w:before="11"/>
        <w:rPr>
          <w:sz w:val="23"/>
        </w:rPr>
      </w:pPr>
    </w:p>
    <w:p>
      <w:pPr>
        <w:pStyle w:val="BodyText"/>
        <w:ind w:left="213" w:right="575"/>
        <w:jc w:val="both"/>
      </w:pPr>
      <w:r>
        <w:rPr/>
        <w:t>Thank you for your letter of 8 February 2019 providing an update on the review you have undertaken of freedom of speech in higher education providers and sharing the Draft Model Code. We welcome this development and are supportive of the proposed approach. The Draft Model Code is well crafted and will assist the sector by clarifying the scope of academic freedom and how this must be balanced against other interests.</w:t>
      </w:r>
    </w:p>
    <w:p>
      <w:pPr>
        <w:pStyle w:val="BodyText"/>
        <w:spacing w:before="1"/>
      </w:pPr>
    </w:p>
    <w:p>
      <w:pPr>
        <w:spacing w:before="0"/>
        <w:ind w:left="213" w:right="573" w:firstLine="0"/>
        <w:jc w:val="both"/>
        <w:rPr>
          <w:sz w:val="24"/>
        </w:rPr>
      </w:pPr>
      <w:r>
        <w:rPr>
          <w:sz w:val="24"/>
        </w:rPr>
        <w:t>We do have two specific suggestions to further strengthen the document. The first relates to the</w:t>
      </w:r>
      <w:r>
        <w:rPr>
          <w:spacing w:val="-8"/>
          <w:sz w:val="24"/>
        </w:rPr>
        <w:t> </w:t>
      </w:r>
      <w:r>
        <w:rPr>
          <w:sz w:val="24"/>
        </w:rPr>
        <w:t>‘duty</w:t>
      </w:r>
      <w:r>
        <w:rPr>
          <w:spacing w:val="-9"/>
          <w:sz w:val="24"/>
        </w:rPr>
        <w:t> </w:t>
      </w:r>
      <w:r>
        <w:rPr>
          <w:sz w:val="24"/>
        </w:rPr>
        <w:t>to</w:t>
      </w:r>
      <w:r>
        <w:rPr>
          <w:spacing w:val="-7"/>
          <w:sz w:val="24"/>
        </w:rPr>
        <w:t> </w:t>
      </w:r>
      <w:r>
        <w:rPr>
          <w:sz w:val="24"/>
        </w:rPr>
        <w:t>foster</w:t>
      </w:r>
      <w:r>
        <w:rPr>
          <w:spacing w:val="-8"/>
          <w:sz w:val="24"/>
        </w:rPr>
        <w:t> </w:t>
      </w:r>
      <w:r>
        <w:rPr>
          <w:sz w:val="24"/>
        </w:rPr>
        <w:t>the</w:t>
      </w:r>
      <w:r>
        <w:rPr>
          <w:spacing w:val="-7"/>
          <w:sz w:val="24"/>
        </w:rPr>
        <w:t> </w:t>
      </w:r>
      <w:r>
        <w:rPr>
          <w:sz w:val="24"/>
        </w:rPr>
        <w:t>wellbeing…’</w:t>
      </w:r>
      <w:r>
        <w:rPr>
          <w:spacing w:val="-8"/>
          <w:sz w:val="24"/>
        </w:rPr>
        <w:t> </w:t>
      </w:r>
      <w:r>
        <w:rPr>
          <w:sz w:val="24"/>
        </w:rPr>
        <w:t>section.</w:t>
      </w:r>
      <w:r>
        <w:rPr>
          <w:spacing w:val="44"/>
          <w:sz w:val="24"/>
        </w:rPr>
        <w:t> </w:t>
      </w:r>
      <w:r>
        <w:rPr>
          <w:sz w:val="24"/>
        </w:rPr>
        <w:t>The</w:t>
      </w:r>
      <w:r>
        <w:rPr>
          <w:spacing w:val="-8"/>
          <w:sz w:val="24"/>
        </w:rPr>
        <w:t> </w:t>
      </w:r>
      <w:r>
        <w:rPr>
          <w:sz w:val="24"/>
        </w:rPr>
        <w:t>first</w:t>
      </w:r>
      <w:r>
        <w:rPr>
          <w:spacing w:val="-8"/>
          <w:sz w:val="24"/>
        </w:rPr>
        <w:t> </w:t>
      </w:r>
      <w:r>
        <w:rPr>
          <w:sz w:val="24"/>
        </w:rPr>
        <w:t>dot</w:t>
      </w:r>
      <w:r>
        <w:rPr>
          <w:spacing w:val="-7"/>
          <w:sz w:val="24"/>
        </w:rPr>
        <w:t> </w:t>
      </w:r>
      <w:r>
        <w:rPr>
          <w:sz w:val="24"/>
        </w:rPr>
        <w:t>point</w:t>
      </w:r>
      <w:r>
        <w:rPr>
          <w:spacing w:val="-8"/>
          <w:sz w:val="24"/>
        </w:rPr>
        <w:t> </w:t>
      </w:r>
      <w:r>
        <w:rPr>
          <w:sz w:val="24"/>
        </w:rPr>
        <w:t>defines</w:t>
      </w:r>
      <w:r>
        <w:rPr>
          <w:spacing w:val="-7"/>
          <w:sz w:val="24"/>
        </w:rPr>
        <w:t> </w:t>
      </w:r>
      <w:r>
        <w:rPr>
          <w:sz w:val="24"/>
        </w:rPr>
        <w:t>it</w:t>
      </w:r>
      <w:r>
        <w:rPr>
          <w:spacing w:val="-8"/>
          <w:sz w:val="24"/>
        </w:rPr>
        <w:t> </w:t>
      </w:r>
      <w:r>
        <w:rPr>
          <w:sz w:val="24"/>
        </w:rPr>
        <w:t>as</w:t>
      </w:r>
      <w:r>
        <w:rPr>
          <w:spacing w:val="-8"/>
          <w:sz w:val="24"/>
        </w:rPr>
        <w:t> </w:t>
      </w:r>
      <w:r>
        <w:rPr>
          <w:sz w:val="24"/>
        </w:rPr>
        <w:t>including</w:t>
      </w:r>
      <w:r>
        <w:rPr>
          <w:spacing w:val="-6"/>
          <w:sz w:val="24"/>
        </w:rPr>
        <w:t> </w:t>
      </w:r>
      <w:r>
        <w:rPr>
          <w:sz w:val="24"/>
        </w:rPr>
        <w:t>‘</w:t>
      </w:r>
      <w:r>
        <w:rPr>
          <w:i/>
          <w:sz w:val="24"/>
        </w:rPr>
        <w:t>the</w:t>
      </w:r>
      <w:r>
        <w:rPr>
          <w:i/>
          <w:spacing w:val="-7"/>
          <w:sz w:val="24"/>
        </w:rPr>
        <w:t> </w:t>
      </w:r>
      <w:r>
        <w:rPr>
          <w:i/>
          <w:sz w:val="24"/>
        </w:rPr>
        <w:t>duty </w:t>
      </w:r>
      <w:r>
        <w:rPr>
          <w:i/>
          <w:sz w:val="24"/>
        </w:rPr>
        <w:t>to</w:t>
      </w:r>
      <w:r>
        <w:rPr>
          <w:i/>
          <w:spacing w:val="-3"/>
          <w:sz w:val="24"/>
        </w:rPr>
        <w:t> </w:t>
      </w:r>
      <w:r>
        <w:rPr>
          <w:i/>
          <w:sz w:val="24"/>
        </w:rPr>
        <w:t>ensure</w:t>
      </w:r>
      <w:r>
        <w:rPr>
          <w:i/>
          <w:spacing w:val="-5"/>
          <w:sz w:val="24"/>
        </w:rPr>
        <w:t> </w:t>
      </w:r>
      <w:r>
        <w:rPr>
          <w:i/>
          <w:sz w:val="24"/>
        </w:rPr>
        <w:t>that</w:t>
      </w:r>
      <w:r>
        <w:rPr>
          <w:i/>
          <w:spacing w:val="-3"/>
          <w:sz w:val="24"/>
        </w:rPr>
        <w:t> </w:t>
      </w:r>
      <w:r>
        <w:rPr>
          <w:i/>
          <w:sz w:val="24"/>
        </w:rPr>
        <w:t>no</w:t>
      </w:r>
      <w:r>
        <w:rPr>
          <w:i/>
          <w:spacing w:val="-3"/>
          <w:sz w:val="24"/>
        </w:rPr>
        <w:t> </w:t>
      </w:r>
      <w:r>
        <w:rPr>
          <w:i/>
          <w:sz w:val="24"/>
        </w:rPr>
        <w:t>member</w:t>
      </w:r>
      <w:r>
        <w:rPr>
          <w:i/>
          <w:spacing w:val="-4"/>
          <w:sz w:val="24"/>
        </w:rPr>
        <w:t> </w:t>
      </w:r>
      <w:r>
        <w:rPr>
          <w:i/>
          <w:sz w:val="24"/>
        </w:rPr>
        <w:t>of</w:t>
      </w:r>
      <w:r>
        <w:rPr>
          <w:i/>
          <w:spacing w:val="-5"/>
          <w:sz w:val="24"/>
        </w:rPr>
        <w:t> </w:t>
      </w:r>
      <w:r>
        <w:rPr>
          <w:i/>
          <w:sz w:val="24"/>
        </w:rPr>
        <w:t>staff</w:t>
      </w:r>
      <w:r>
        <w:rPr>
          <w:i/>
          <w:spacing w:val="-4"/>
          <w:sz w:val="24"/>
        </w:rPr>
        <w:t> </w:t>
      </w:r>
      <w:r>
        <w:rPr>
          <w:i/>
          <w:sz w:val="24"/>
        </w:rPr>
        <w:t>and</w:t>
      </w:r>
      <w:r>
        <w:rPr>
          <w:i/>
          <w:spacing w:val="-5"/>
          <w:sz w:val="24"/>
        </w:rPr>
        <w:t> </w:t>
      </w:r>
      <w:r>
        <w:rPr>
          <w:i/>
          <w:sz w:val="24"/>
        </w:rPr>
        <w:t>no</w:t>
      </w:r>
      <w:r>
        <w:rPr>
          <w:i/>
          <w:spacing w:val="-4"/>
          <w:sz w:val="24"/>
        </w:rPr>
        <w:t> </w:t>
      </w:r>
      <w:r>
        <w:rPr>
          <w:i/>
          <w:sz w:val="24"/>
        </w:rPr>
        <w:t>student</w:t>
      </w:r>
      <w:r>
        <w:rPr>
          <w:i/>
          <w:spacing w:val="-3"/>
          <w:sz w:val="24"/>
        </w:rPr>
        <w:t> </w:t>
      </w:r>
      <w:r>
        <w:rPr>
          <w:i/>
          <w:sz w:val="24"/>
        </w:rPr>
        <w:t>suffers</w:t>
      </w:r>
      <w:r>
        <w:rPr>
          <w:i/>
          <w:spacing w:val="-4"/>
          <w:sz w:val="24"/>
        </w:rPr>
        <w:t> </w:t>
      </w:r>
      <w:r>
        <w:rPr>
          <w:i/>
          <w:sz w:val="24"/>
        </w:rPr>
        <w:t>unfair</w:t>
      </w:r>
      <w:r>
        <w:rPr>
          <w:i/>
          <w:spacing w:val="-4"/>
          <w:sz w:val="24"/>
        </w:rPr>
        <w:t> </w:t>
      </w:r>
      <w:r>
        <w:rPr>
          <w:i/>
          <w:sz w:val="24"/>
        </w:rPr>
        <w:t>disadvantage</w:t>
      </w:r>
      <w:r>
        <w:rPr>
          <w:i/>
          <w:spacing w:val="-3"/>
          <w:sz w:val="24"/>
        </w:rPr>
        <w:t> </w:t>
      </w:r>
      <w:r>
        <w:rPr>
          <w:i/>
          <w:sz w:val="24"/>
        </w:rPr>
        <w:t>or</w:t>
      </w:r>
      <w:r>
        <w:rPr>
          <w:i/>
          <w:spacing w:val="-4"/>
          <w:sz w:val="24"/>
        </w:rPr>
        <w:t> </w:t>
      </w:r>
      <w:r>
        <w:rPr>
          <w:i/>
          <w:sz w:val="24"/>
        </w:rPr>
        <w:t>unfair</w:t>
      </w:r>
      <w:r>
        <w:rPr>
          <w:i/>
          <w:spacing w:val="-6"/>
          <w:sz w:val="24"/>
        </w:rPr>
        <w:t> </w:t>
      </w:r>
      <w:r>
        <w:rPr>
          <w:i/>
          <w:sz w:val="24"/>
        </w:rPr>
        <w:t>adverse discrimination by reason of their inherent</w:t>
      </w:r>
      <w:r>
        <w:rPr>
          <w:i/>
          <w:spacing w:val="-1"/>
          <w:sz w:val="24"/>
        </w:rPr>
        <w:t> </w:t>
      </w:r>
      <w:r>
        <w:rPr>
          <w:i/>
          <w:sz w:val="24"/>
        </w:rPr>
        <w:t>attributes</w:t>
      </w:r>
      <w:r>
        <w:rPr>
          <w:sz w:val="24"/>
        </w:rPr>
        <w:t>’.</w:t>
      </w:r>
    </w:p>
    <w:p>
      <w:pPr>
        <w:pStyle w:val="BodyText"/>
      </w:pPr>
    </w:p>
    <w:p>
      <w:pPr>
        <w:pStyle w:val="BodyText"/>
        <w:ind w:left="213" w:right="575"/>
        <w:jc w:val="both"/>
      </w:pPr>
      <w:r>
        <w:rPr/>
        <w:t>We are concerned that ‘inherent’ may be too narrowly defined as essential or ‘innate’ attributes—whereas some areas of profound discrimination may not be related to inherent,</w:t>
      </w:r>
      <w:r>
        <w:rPr>
          <w:spacing w:val="-43"/>
        </w:rPr>
        <w:t> </w:t>
      </w:r>
      <w:r>
        <w:rPr/>
        <w:t>but cultural attributes. We are of the view that this broader scope should be captured in order to avoid vexatious definitional arguments about what is, or is not, ‘inherent’. Part of our caution here is based on ongoing debates in other areas, about ‘inherent requirements’ legislation and its application in study and workplaces. As a minimum, we believe it should cover those attributes protected at</w:t>
      </w:r>
      <w:r>
        <w:rPr>
          <w:spacing w:val="-2"/>
        </w:rPr>
        <w:t> </w:t>
      </w:r>
      <w:r>
        <w:rPr/>
        <w:t>law.</w:t>
      </w:r>
    </w:p>
    <w:p>
      <w:pPr>
        <w:pStyle w:val="BodyText"/>
        <w:spacing w:before="10"/>
        <w:rPr>
          <w:sz w:val="23"/>
        </w:rPr>
      </w:pPr>
    </w:p>
    <w:p>
      <w:pPr>
        <w:spacing w:before="0"/>
        <w:ind w:left="213" w:right="575" w:firstLine="0"/>
        <w:jc w:val="both"/>
        <w:rPr>
          <w:sz w:val="24"/>
        </w:rPr>
      </w:pPr>
      <w:r>
        <w:rPr>
          <w:sz w:val="24"/>
        </w:rPr>
        <w:t>The second suggestion relates to how this Draft Model Code interacts with University Behaviour Policies. We have noted that the core principle of balance is captured in the third dot point in the ‘duty to foster the wellbeing of staff and students’ section specifying that it ‘</w:t>
      </w:r>
      <w:r>
        <w:rPr>
          <w:i/>
          <w:sz w:val="24"/>
        </w:rPr>
        <w:t>supports reasonable and proportionate measures to prevent any person from using lawful </w:t>
      </w:r>
      <w:r>
        <w:rPr>
          <w:i/>
          <w:sz w:val="24"/>
        </w:rPr>
        <w:t>speech which is intended to insult, humiliate or intimidate other persons and which a reasonable person would regard, in the circumstances, as likely to have one or more of those effects</w:t>
      </w:r>
      <w:r>
        <w:rPr>
          <w:sz w:val="24"/>
        </w:rPr>
        <w:t>’.</w:t>
      </w:r>
      <w:r>
        <w:rPr>
          <w:spacing w:val="-7"/>
          <w:sz w:val="24"/>
        </w:rPr>
        <w:t> </w:t>
      </w:r>
      <w:r>
        <w:rPr>
          <w:sz w:val="24"/>
        </w:rPr>
        <w:t>Further,</w:t>
      </w:r>
      <w:r>
        <w:rPr>
          <w:spacing w:val="-7"/>
          <w:sz w:val="24"/>
        </w:rPr>
        <w:t> </w:t>
      </w:r>
      <w:r>
        <w:rPr>
          <w:sz w:val="24"/>
        </w:rPr>
        <w:t>this</w:t>
      </w:r>
      <w:r>
        <w:rPr>
          <w:spacing w:val="-7"/>
          <w:sz w:val="24"/>
        </w:rPr>
        <w:t> </w:t>
      </w:r>
      <w:r>
        <w:rPr>
          <w:sz w:val="24"/>
        </w:rPr>
        <w:t>protection</w:t>
      </w:r>
      <w:r>
        <w:rPr>
          <w:spacing w:val="-8"/>
          <w:sz w:val="24"/>
        </w:rPr>
        <w:t> </w:t>
      </w:r>
      <w:r>
        <w:rPr>
          <w:sz w:val="24"/>
        </w:rPr>
        <w:t>is</w:t>
      </w:r>
      <w:r>
        <w:rPr>
          <w:spacing w:val="-8"/>
          <w:sz w:val="24"/>
        </w:rPr>
        <w:t> </w:t>
      </w:r>
      <w:r>
        <w:rPr>
          <w:sz w:val="24"/>
        </w:rPr>
        <w:t>then</w:t>
      </w:r>
      <w:r>
        <w:rPr>
          <w:spacing w:val="-8"/>
          <w:sz w:val="24"/>
        </w:rPr>
        <w:t> </w:t>
      </w:r>
      <w:r>
        <w:rPr>
          <w:sz w:val="24"/>
        </w:rPr>
        <w:t>reflected</w:t>
      </w:r>
      <w:r>
        <w:rPr>
          <w:spacing w:val="-8"/>
          <w:sz w:val="24"/>
        </w:rPr>
        <w:t> </w:t>
      </w:r>
      <w:r>
        <w:rPr>
          <w:sz w:val="24"/>
        </w:rPr>
        <w:t>in</w:t>
      </w:r>
      <w:r>
        <w:rPr>
          <w:spacing w:val="-7"/>
          <w:sz w:val="24"/>
        </w:rPr>
        <w:t> </w:t>
      </w:r>
      <w:r>
        <w:rPr>
          <w:sz w:val="24"/>
        </w:rPr>
        <w:t>various</w:t>
      </w:r>
      <w:r>
        <w:rPr>
          <w:spacing w:val="-7"/>
          <w:sz w:val="24"/>
        </w:rPr>
        <w:t> </w:t>
      </w:r>
      <w:r>
        <w:rPr>
          <w:sz w:val="24"/>
        </w:rPr>
        <w:t>principles</w:t>
      </w:r>
      <w:r>
        <w:rPr>
          <w:spacing w:val="-7"/>
          <w:sz w:val="24"/>
        </w:rPr>
        <w:t> </w:t>
      </w:r>
      <w:r>
        <w:rPr>
          <w:sz w:val="24"/>
        </w:rPr>
        <w:t>of</w:t>
      </w:r>
      <w:r>
        <w:rPr>
          <w:spacing w:val="-8"/>
          <w:sz w:val="24"/>
        </w:rPr>
        <w:t> </w:t>
      </w:r>
      <w:r>
        <w:rPr>
          <w:sz w:val="24"/>
        </w:rPr>
        <w:t>the</w:t>
      </w:r>
      <w:r>
        <w:rPr>
          <w:spacing w:val="-7"/>
          <w:sz w:val="24"/>
        </w:rPr>
        <w:t> </w:t>
      </w:r>
      <w:r>
        <w:rPr>
          <w:sz w:val="24"/>
        </w:rPr>
        <w:t>Code</w:t>
      </w:r>
      <w:r>
        <w:rPr>
          <w:spacing w:val="-8"/>
          <w:sz w:val="24"/>
        </w:rPr>
        <w:t> </w:t>
      </w:r>
      <w:r>
        <w:rPr>
          <w:sz w:val="24"/>
        </w:rPr>
        <w:t>as</w:t>
      </w:r>
      <w:r>
        <w:rPr>
          <w:spacing w:val="-8"/>
          <w:sz w:val="24"/>
        </w:rPr>
        <w:t> </w:t>
      </w:r>
      <w:r>
        <w:rPr>
          <w:sz w:val="24"/>
        </w:rPr>
        <w:t>a</w:t>
      </w:r>
      <w:r>
        <w:rPr>
          <w:spacing w:val="-7"/>
          <w:sz w:val="24"/>
        </w:rPr>
        <w:t> </w:t>
      </w:r>
      <w:r>
        <w:rPr>
          <w:sz w:val="24"/>
        </w:rPr>
        <w:t>qualifier to the rights and freedoms that the draft code</w:t>
      </w:r>
      <w:r>
        <w:rPr>
          <w:spacing w:val="-3"/>
          <w:sz w:val="24"/>
        </w:rPr>
        <w:t> </w:t>
      </w:r>
      <w:r>
        <w:rPr>
          <w:sz w:val="24"/>
        </w:rPr>
        <w:t>provides.</w:t>
      </w:r>
    </w:p>
    <w:p>
      <w:pPr>
        <w:pStyle w:val="BodyText"/>
        <w:rPr>
          <w:sz w:val="20"/>
        </w:rPr>
      </w:pPr>
    </w:p>
    <w:p>
      <w:pPr>
        <w:pStyle w:val="BodyText"/>
        <w:rPr>
          <w:sz w:val="20"/>
        </w:rPr>
      </w:pPr>
    </w:p>
    <w:p>
      <w:pPr>
        <w:pStyle w:val="BodyText"/>
        <w:rPr>
          <w:sz w:val="20"/>
        </w:rPr>
      </w:pPr>
    </w:p>
    <w:p>
      <w:pPr>
        <w:pStyle w:val="BodyText"/>
        <w:spacing w:before="3"/>
        <w:rPr>
          <w:sz w:val="26"/>
        </w:rPr>
      </w:pPr>
    </w:p>
    <w:p>
      <w:pPr>
        <w:spacing w:after="0"/>
        <w:rPr>
          <w:sz w:val="26"/>
        </w:rPr>
        <w:sectPr>
          <w:headerReference w:type="default" r:id="rId5"/>
          <w:type w:val="continuous"/>
          <w:pgSz w:w="11910" w:h="16840"/>
          <w:pgMar w:header="568" w:top="2820" w:bottom="280" w:left="1260" w:right="840"/>
        </w:sectPr>
      </w:pPr>
    </w:p>
    <w:p>
      <w:pPr>
        <w:spacing w:line="288" w:lineRule="auto" w:before="100"/>
        <w:ind w:left="100" w:right="38" w:firstLine="0"/>
        <w:jc w:val="left"/>
        <w:rPr>
          <w:rFonts w:ascii="Verdana"/>
          <w:b/>
          <w:sz w:val="15"/>
        </w:rPr>
      </w:pPr>
      <w:r>
        <w:rPr/>
        <w:drawing>
          <wp:anchor distT="0" distB="0" distL="0" distR="0" allowOverlap="1" layoutInCell="1" locked="0" behindDoc="0" simplePos="0" relativeHeight="1024">
            <wp:simplePos x="0" y="0"/>
            <wp:positionH relativeFrom="page">
              <wp:posOffset>5681345</wp:posOffset>
            </wp:positionH>
            <wp:positionV relativeFrom="page">
              <wp:posOffset>553084</wp:posOffset>
            </wp:positionV>
            <wp:extent cx="1341881" cy="36512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341881" cy="365125"/>
                    </a:xfrm>
                    <a:prstGeom prst="rect">
                      <a:avLst/>
                    </a:prstGeom>
                  </pic:spPr>
                </pic:pic>
              </a:graphicData>
            </a:graphic>
          </wp:anchor>
        </w:drawing>
      </w:r>
      <w:r>
        <w:rPr>
          <w:rFonts w:ascii="Verdana"/>
          <w:b/>
          <w:sz w:val="15"/>
        </w:rPr>
        <w:t>Office of the Vice-Chancellor</w:t>
      </w:r>
    </w:p>
    <w:p>
      <w:pPr>
        <w:spacing w:line="290" w:lineRule="auto" w:before="107"/>
        <w:ind w:left="100" w:right="28" w:firstLine="0"/>
        <w:jc w:val="left"/>
        <w:rPr>
          <w:rFonts w:ascii="Verdana"/>
          <w:sz w:val="15"/>
        </w:rPr>
      </w:pPr>
      <w:r>
        <w:rPr/>
        <w:br w:type="column"/>
      </w:r>
      <w:r>
        <w:rPr>
          <w:rFonts w:ascii="Verdana"/>
          <w:sz w:val="15"/>
        </w:rPr>
        <w:t>University of</w:t>
      </w:r>
      <w:r>
        <w:rPr>
          <w:rFonts w:ascii="Verdana"/>
          <w:spacing w:val="-10"/>
          <w:sz w:val="15"/>
        </w:rPr>
        <w:t> </w:t>
      </w:r>
      <w:r>
        <w:rPr>
          <w:rFonts w:ascii="Verdana"/>
          <w:sz w:val="15"/>
        </w:rPr>
        <w:t>Tasmania Private Bag</w:t>
      </w:r>
      <w:r>
        <w:rPr>
          <w:rFonts w:ascii="Verdana"/>
          <w:spacing w:val="-2"/>
          <w:sz w:val="15"/>
        </w:rPr>
        <w:t> </w:t>
      </w:r>
      <w:r>
        <w:rPr>
          <w:rFonts w:ascii="Verdana"/>
          <w:sz w:val="15"/>
        </w:rPr>
        <w:t>51</w:t>
      </w:r>
    </w:p>
    <w:p>
      <w:pPr>
        <w:spacing w:line="288" w:lineRule="auto" w:before="0"/>
        <w:ind w:left="100" w:right="460" w:firstLine="0"/>
        <w:jc w:val="left"/>
        <w:rPr>
          <w:rFonts w:ascii="Verdana"/>
          <w:sz w:val="15"/>
        </w:rPr>
      </w:pPr>
      <w:r>
        <w:rPr>
          <w:rFonts w:ascii="Verdana"/>
          <w:sz w:val="15"/>
        </w:rPr>
        <w:t>Hobart Tasmania 7001</w:t>
      </w:r>
      <w:r>
        <w:rPr>
          <w:rFonts w:ascii="Verdana"/>
          <w:spacing w:val="-3"/>
          <w:sz w:val="15"/>
        </w:rPr>
        <w:t> </w:t>
      </w:r>
      <w:r>
        <w:rPr>
          <w:rFonts w:ascii="Verdana"/>
          <w:sz w:val="15"/>
        </w:rPr>
        <w:t>Australia</w:t>
      </w:r>
    </w:p>
    <w:p>
      <w:pPr>
        <w:spacing w:before="113"/>
        <w:ind w:left="100" w:right="0" w:firstLine="0"/>
        <w:jc w:val="left"/>
        <w:rPr>
          <w:rFonts w:ascii="Verdana"/>
          <w:sz w:val="15"/>
        </w:rPr>
      </w:pPr>
      <w:r>
        <w:rPr/>
        <w:br w:type="column"/>
      </w:r>
      <w:r>
        <w:rPr>
          <w:rFonts w:ascii="Verdana"/>
          <w:sz w:val="15"/>
        </w:rPr>
        <w:t>T 61+ (03) 6226 2003</w:t>
      </w:r>
    </w:p>
    <w:p>
      <w:pPr>
        <w:spacing w:before="39"/>
        <w:ind w:left="100" w:right="0" w:firstLine="0"/>
        <w:jc w:val="left"/>
        <w:rPr>
          <w:rFonts w:ascii="Verdana"/>
          <w:sz w:val="15"/>
        </w:rPr>
      </w:pPr>
      <w:r>
        <w:rPr>
          <w:rFonts w:ascii="Verdana"/>
          <w:sz w:val="15"/>
        </w:rPr>
        <w:t>E </w:t>
      </w:r>
      <w:hyperlink r:id="rId8">
        <w:r>
          <w:rPr>
            <w:rFonts w:ascii="Verdana"/>
            <w:color w:val="0000FF"/>
            <w:sz w:val="15"/>
            <w:u w:val="single" w:color="0000FF"/>
          </w:rPr>
          <w:t>Vice.Chancellor@utas.edu.au</w:t>
        </w:r>
      </w:hyperlink>
    </w:p>
    <w:p>
      <w:pPr>
        <w:pStyle w:val="BodyText"/>
        <w:spacing w:before="3"/>
        <w:rPr>
          <w:rFonts w:ascii="Verdana"/>
          <w:sz w:val="21"/>
        </w:rPr>
      </w:pPr>
    </w:p>
    <w:p>
      <w:pPr>
        <w:spacing w:before="0"/>
        <w:ind w:left="100" w:right="0" w:firstLine="0"/>
        <w:jc w:val="left"/>
        <w:rPr>
          <w:rFonts w:ascii="Verdana"/>
          <w:sz w:val="14"/>
        </w:rPr>
      </w:pPr>
      <w:r>
        <w:rPr>
          <w:rFonts w:ascii="Verdana"/>
          <w:sz w:val="14"/>
        </w:rPr>
        <w:t>ABN 30 764 374 782 / CRICOS 00586B</w:t>
      </w:r>
    </w:p>
    <w:p>
      <w:pPr>
        <w:pStyle w:val="BodyText"/>
        <w:rPr>
          <w:rFonts w:ascii="Verdana"/>
          <w:sz w:val="18"/>
        </w:rPr>
      </w:pPr>
      <w:r>
        <w:rPr/>
        <w:br w:type="column"/>
      </w:r>
      <w:r>
        <w:rPr>
          <w:rFonts w:ascii="Verdana"/>
          <w:sz w:val="18"/>
        </w:rPr>
      </w:r>
    </w:p>
    <w:p>
      <w:pPr>
        <w:pStyle w:val="BodyText"/>
        <w:rPr>
          <w:rFonts w:ascii="Verdana"/>
          <w:sz w:val="18"/>
        </w:rPr>
      </w:pPr>
    </w:p>
    <w:p>
      <w:pPr>
        <w:pStyle w:val="BodyText"/>
        <w:rPr>
          <w:rFonts w:ascii="Verdana"/>
          <w:sz w:val="18"/>
        </w:rPr>
      </w:pPr>
    </w:p>
    <w:p>
      <w:pPr>
        <w:spacing w:before="143"/>
        <w:ind w:left="100" w:right="0" w:firstLine="0"/>
        <w:jc w:val="left"/>
        <w:rPr>
          <w:rFonts w:ascii="Verdana"/>
          <w:b/>
          <w:i/>
          <w:sz w:val="15"/>
        </w:rPr>
      </w:pPr>
      <w:r>
        <w:rPr>
          <w:rFonts w:ascii="Verdana"/>
          <w:b/>
          <w:i/>
          <w:color w:val="E32212"/>
          <w:sz w:val="15"/>
        </w:rPr>
        <w:t>utas.edu.au</w:t>
      </w:r>
    </w:p>
    <w:p>
      <w:pPr>
        <w:spacing w:after="0"/>
        <w:jc w:val="left"/>
        <w:rPr>
          <w:rFonts w:ascii="Verdana"/>
          <w:sz w:val="15"/>
        </w:rPr>
        <w:sectPr>
          <w:type w:val="continuous"/>
          <w:pgSz w:w="11910" w:h="16840"/>
          <w:pgMar w:top="2820" w:bottom="280" w:left="1260" w:right="840"/>
          <w:cols w:num="4" w:equalWidth="0">
            <w:col w:w="1458" w:space="1167"/>
            <w:col w:w="1866" w:space="168"/>
            <w:col w:w="2922" w:space="1020"/>
            <w:col w:w="1209"/>
          </w:cols>
        </w:sectPr>
      </w:pPr>
    </w:p>
    <w:p>
      <w:pPr>
        <w:pStyle w:val="BodyText"/>
        <w:rPr>
          <w:rFonts w:ascii="Verdana"/>
          <w:b/>
          <w:i/>
          <w:sz w:val="20"/>
        </w:rPr>
      </w:pPr>
    </w:p>
    <w:p>
      <w:pPr>
        <w:pStyle w:val="BodyText"/>
        <w:rPr>
          <w:rFonts w:ascii="Verdana"/>
          <w:b/>
          <w:i/>
          <w:sz w:val="20"/>
        </w:rPr>
      </w:pPr>
    </w:p>
    <w:p>
      <w:pPr>
        <w:pStyle w:val="BodyText"/>
        <w:rPr>
          <w:rFonts w:ascii="Verdana"/>
          <w:b/>
          <w:i/>
          <w:sz w:val="20"/>
        </w:rPr>
      </w:pPr>
    </w:p>
    <w:p>
      <w:pPr>
        <w:pStyle w:val="BodyText"/>
        <w:spacing w:before="11"/>
        <w:rPr>
          <w:rFonts w:ascii="Verdana"/>
          <w:b/>
          <w:i/>
          <w:sz w:val="14"/>
        </w:rPr>
      </w:pPr>
    </w:p>
    <w:p>
      <w:pPr>
        <w:pStyle w:val="BodyText"/>
        <w:spacing w:before="90"/>
        <w:ind w:left="213" w:right="574"/>
        <w:jc w:val="both"/>
      </w:pPr>
      <w:r>
        <w:rPr/>
        <w:t>We believe, however, that it would be helpful for universities if the Draft Model Code dealt more</w:t>
      </w:r>
      <w:r>
        <w:rPr>
          <w:spacing w:val="-5"/>
        </w:rPr>
        <w:t> </w:t>
      </w:r>
      <w:r>
        <w:rPr/>
        <w:t>explicitly</w:t>
      </w:r>
      <w:r>
        <w:rPr>
          <w:spacing w:val="-4"/>
        </w:rPr>
        <w:t> </w:t>
      </w:r>
      <w:r>
        <w:rPr/>
        <w:t>with</w:t>
      </w:r>
      <w:r>
        <w:rPr>
          <w:spacing w:val="-4"/>
        </w:rPr>
        <w:t> </w:t>
      </w:r>
      <w:r>
        <w:rPr/>
        <w:t>how</w:t>
      </w:r>
      <w:r>
        <w:rPr>
          <w:spacing w:val="-6"/>
        </w:rPr>
        <w:t> </w:t>
      </w:r>
      <w:r>
        <w:rPr/>
        <w:t>it</w:t>
      </w:r>
      <w:r>
        <w:rPr>
          <w:spacing w:val="-3"/>
        </w:rPr>
        <w:t> </w:t>
      </w:r>
      <w:r>
        <w:rPr/>
        <w:t>interacts</w:t>
      </w:r>
      <w:r>
        <w:rPr>
          <w:spacing w:val="-5"/>
        </w:rPr>
        <w:t> </w:t>
      </w:r>
      <w:r>
        <w:rPr/>
        <w:t>with</w:t>
      </w:r>
      <w:r>
        <w:rPr>
          <w:spacing w:val="-5"/>
        </w:rPr>
        <w:t> </w:t>
      </w:r>
      <w:r>
        <w:rPr/>
        <w:t>University</w:t>
      </w:r>
      <w:r>
        <w:rPr>
          <w:spacing w:val="-4"/>
        </w:rPr>
        <w:t> </w:t>
      </w:r>
      <w:r>
        <w:rPr/>
        <w:t>Behaviour</w:t>
      </w:r>
      <w:r>
        <w:rPr>
          <w:spacing w:val="-4"/>
        </w:rPr>
        <w:t> </w:t>
      </w:r>
      <w:r>
        <w:rPr/>
        <w:t>Policies.</w:t>
      </w:r>
      <w:r>
        <w:rPr>
          <w:spacing w:val="-5"/>
        </w:rPr>
        <w:t> </w:t>
      </w:r>
      <w:r>
        <w:rPr/>
        <w:t>It</w:t>
      </w:r>
      <w:r>
        <w:rPr>
          <w:spacing w:val="-4"/>
        </w:rPr>
        <w:t> </w:t>
      </w:r>
      <w:r>
        <w:rPr/>
        <w:t>is</w:t>
      </w:r>
      <w:r>
        <w:rPr>
          <w:spacing w:val="-3"/>
        </w:rPr>
        <w:t> </w:t>
      </w:r>
      <w:r>
        <w:rPr/>
        <w:t>part</w:t>
      </w:r>
      <w:r>
        <w:rPr>
          <w:spacing w:val="-5"/>
        </w:rPr>
        <w:t> </w:t>
      </w:r>
      <w:r>
        <w:rPr/>
        <w:t>of</w:t>
      </w:r>
      <w:r>
        <w:rPr>
          <w:spacing w:val="-5"/>
        </w:rPr>
        <w:t> </w:t>
      </w:r>
      <w:r>
        <w:rPr/>
        <w:t>the</w:t>
      </w:r>
      <w:r>
        <w:rPr>
          <w:spacing w:val="-3"/>
        </w:rPr>
        <w:t> </w:t>
      </w:r>
      <w:r>
        <w:rPr/>
        <w:t>rights in</w:t>
      </w:r>
      <w:r>
        <w:rPr>
          <w:spacing w:val="-10"/>
        </w:rPr>
        <w:t> </w:t>
      </w:r>
      <w:r>
        <w:rPr/>
        <w:t>a</w:t>
      </w:r>
      <w:r>
        <w:rPr>
          <w:spacing w:val="-10"/>
        </w:rPr>
        <w:t> </w:t>
      </w:r>
      <w:r>
        <w:rPr/>
        <w:t>plural</w:t>
      </w:r>
      <w:r>
        <w:rPr>
          <w:spacing w:val="-9"/>
        </w:rPr>
        <w:t> </w:t>
      </w:r>
      <w:r>
        <w:rPr/>
        <w:t>society</w:t>
      </w:r>
      <w:r>
        <w:rPr>
          <w:spacing w:val="-11"/>
        </w:rPr>
        <w:t> </w:t>
      </w:r>
      <w:r>
        <w:rPr/>
        <w:t>for</w:t>
      </w:r>
      <w:r>
        <w:rPr>
          <w:spacing w:val="-10"/>
        </w:rPr>
        <w:t> </w:t>
      </w:r>
      <w:r>
        <w:rPr/>
        <w:t>institutions</w:t>
      </w:r>
      <w:r>
        <w:rPr>
          <w:spacing w:val="-10"/>
        </w:rPr>
        <w:t> </w:t>
      </w:r>
      <w:r>
        <w:rPr/>
        <w:t>to</w:t>
      </w:r>
      <w:r>
        <w:rPr>
          <w:spacing w:val="-9"/>
        </w:rPr>
        <w:t> </w:t>
      </w:r>
      <w:r>
        <w:rPr/>
        <w:t>establish</w:t>
      </w:r>
      <w:r>
        <w:rPr>
          <w:spacing w:val="-9"/>
        </w:rPr>
        <w:t> </w:t>
      </w:r>
      <w:r>
        <w:rPr/>
        <w:t>the</w:t>
      </w:r>
      <w:r>
        <w:rPr>
          <w:spacing w:val="-8"/>
        </w:rPr>
        <w:t> </w:t>
      </w:r>
      <w:r>
        <w:rPr/>
        <w:t>interaction</w:t>
      </w:r>
      <w:r>
        <w:rPr>
          <w:spacing w:val="-11"/>
        </w:rPr>
        <w:t> </w:t>
      </w:r>
      <w:r>
        <w:rPr/>
        <w:t>and</w:t>
      </w:r>
      <w:r>
        <w:rPr>
          <w:spacing w:val="-10"/>
        </w:rPr>
        <w:t> </w:t>
      </w:r>
      <w:r>
        <w:rPr/>
        <w:t>conduct</w:t>
      </w:r>
      <w:r>
        <w:rPr>
          <w:spacing w:val="-10"/>
        </w:rPr>
        <w:t> </w:t>
      </w:r>
      <w:r>
        <w:rPr/>
        <w:t>between</w:t>
      </w:r>
      <w:r>
        <w:rPr>
          <w:spacing w:val="-9"/>
        </w:rPr>
        <w:t> </w:t>
      </w:r>
      <w:r>
        <w:rPr/>
        <w:t>its</w:t>
      </w:r>
      <w:r>
        <w:rPr>
          <w:spacing w:val="-10"/>
        </w:rPr>
        <w:t> </w:t>
      </w:r>
      <w:r>
        <w:rPr/>
        <w:t>members. More</w:t>
      </w:r>
      <w:r>
        <w:rPr>
          <w:spacing w:val="-13"/>
        </w:rPr>
        <w:t> </w:t>
      </w:r>
      <w:r>
        <w:rPr/>
        <w:t>specifically,</w:t>
      </w:r>
      <w:r>
        <w:rPr>
          <w:spacing w:val="-14"/>
        </w:rPr>
        <w:t> </w:t>
      </w:r>
      <w:r>
        <w:rPr/>
        <w:t>it</w:t>
      </w:r>
      <w:r>
        <w:rPr>
          <w:spacing w:val="-13"/>
        </w:rPr>
        <w:t> </w:t>
      </w:r>
      <w:r>
        <w:rPr/>
        <w:t>is</w:t>
      </w:r>
      <w:r>
        <w:rPr>
          <w:spacing w:val="-13"/>
        </w:rPr>
        <w:t> </w:t>
      </w:r>
      <w:r>
        <w:rPr/>
        <w:t>reasonable</w:t>
      </w:r>
      <w:r>
        <w:rPr>
          <w:spacing w:val="-13"/>
        </w:rPr>
        <w:t> </w:t>
      </w:r>
      <w:r>
        <w:rPr/>
        <w:t>for</w:t>
      </w:r>
      <w:r>
        <w:rPr>
          <w:spacing w:val="-14"/>
        </w:rPr>
        <w:t> </w:t>
      </w:r>
      <w:r>
        <w:rPr/>
        <w:t>communities</w:t>
      </w:r>
      <w:r>
        <w:rPr>
          <w:spacing w:val="-14"/>
        </w:rPr>
        <w:t> </w:t>
      </w:r>
      <w:r>
        <w:rPr/>
        <w:t>to</w:t>
      </w:r>
      <w:r>
        <w:rPr>
          <w:spacing w:val="-12"/>
        </w:rPr>
        <w:t> </w:t>
      </w:r>
      <w:r>
        <w:rPr/>
        <w:t>set</w:t>
      </w:r>
      <w:r>
        <w:rPr>
          <w:spacing w:val="-14"/>
        </w:rPr>
        <w:t> </w:t>
      </w:r>
      <w:r>
        <w:rPr/>
        <w:t>a</w:t>
      </w:r>
      <w:r>
        <w:rPr>
          <w:spacing w:val="-13"/>
        </w:rPr>
        <w:t> </w:t>
      </w:r>
      <w:r>
        <w:rPr/>
        <w:t>culture</w:t>
      </w:r>
      <w:r>
        <w:rPr>
          <w:spacing w:val="-12"/>
        </w:rPr>
        <w:t> </w:t>
      </w:r>
      <w:r>
        <w:rPr/>
        <w:t>of</w:t>
      </w:r>
      <w:r>
        <w:rPr>
          <w:spacing w:val="-14"/>
        </w:rPr>
        <w:t> </w:t>
      </w:r>
      <w:r>
        <w:rPr/>
        <w:t>respectful</w:t>
      </w:r>
      <w:r>
        <w:rPr>
          <w:spacing w:val="-12"/>
        </w:rPr>
        <w:t> </w:t>
      </w:r>
      <w:r>
        <w:rPr/>
        <w:t>communication that may have a higher standard than not being offensive. We think it is important to</w:t>
      </w:r>
      <w:r>
        <w:rPr>
          <w:spacing w:val="-29"/>
        </w:rPr>
        <w:t> </w:t>
      </w:r>
      <w:r>
        <w:rPr/>
        <w:t>highlight that universities are a particular kind of community, for which civil and collegial communication and dialogue is of the essence. Indeed, these are essential elements which are the very basis for being able to enjoy academic freedom, so rather than seeing academic freedom</w:t>
      </w:r>
      <w:r>
        <w:rPr>
          <w:spacing w:val="-7"/>
        </w:rPr>
        <w:t> </w:t>
      </w:r>
      <w:r>
        <w:rPr/>
        <w:t>and</w:t>
      </w:r>
      <w:r>
        <w:rPr>
          <w:spacing w:val="-3"/>
        </w:rPr>
        <w:t> </w:t>
      </w:r>
      <w:r>
        <w:rPr/>
        <w:t>fostering</w:t>
      </w:r>
      <w:r>
        <w:rPr>
          <w:spacing w:val="-6"/>
        </w:rPr>
        <w:t> </w:t>
      </w:r>
      <w:r>
        <w:rPr/>
        <w:t>wellbeing</w:t>
      </w:r>
      <w:r>
        <w:rPr>
          <w:spacing w:val="-4"/>
        </w:rPr>
        <w:t> </w:t>
      </w:r>
      <w:r>
        <w:rPr/>
        <w:t>as</w:t>
      </w:r>
      <w:r>
        <w:rPr>
          <w:spacing w:val="-5"/>
        </w:rPr>
        <w:t> </w:t>
      </w:r>
      <w:r>
        <w:rPr/>
        <w:t>necessarily</w:t>
      </w:r>
      <w:r>
        <w:rPr>
          <w:spacing w:val="-4"/>
        </w:rPr>
        <w:t> </w:t>
      </w:r>
      <w:r>
        <w:rPr/>
        <w:t>in</w:t>
      </w:r>
      <w:r>
        <w:rPr>
          <w:spacing w:val="-6"/>
        </w:rPr>
        <w:t> </w:t>
      </w:r>
      <w:r>
        <w:rPr/>
        <w:t>tension,</w:t>
      </w:r>
      <w:r>
        <w:rPr>
          <w:spacing w:val="-4"/>
        </w:rPr>
        <w:t> </w:t>
      </w:r>
      <w:r>
        <w:rPr/>
        <w:t>we</w:t>
      </w:r>
      <w:r>
        <w:rPr>
          <w:spacing w:val="-7"/>
        </w:rPr>
        <w:t> </w:t>
      </w:r>
      <w:r>
        <w:rPr/>
        <w:t>think</w:t>
      </w:r>
      <w:r>
        <w:rPr>
          <w:spacing w:val="-5"/>
        </w:rPr>
        <w:t> </w:t>
      </w:r>
      <w:r>
        <w:rPr/>
        <w:t>that</w:t>
      </w:r>
      <w:r>
        <w:rPr>
          <w:spacing w:val="-5"/>
        </w:rPr>
        <w:t> </w:t>
      </w:r>
      <w:r>
        <w:rPr/>
        <w:t>inclusion</w:t>
      </w:r>
      <w:r>
        <w:rPr>
          <w:spacing w:val="-5"/>
        </w:rPr>
        <w:t> </w:t>
      </w:r>
      <w:r>
        <w:rPr/>
        <w:t>of</w:t>
      </w:r>
      <w:r>
        <w:rPr>
          <w:spacing w:val="-6"/>
        </w:rPr>
        <w:t> </w:t>
      </w:r>
      <w:r>
        <w:rPr/>
        <w:t>a</w:t>
      </w:r>
      <w:r>
        <w:rPr>
          <w:spacing w:val="-5"/>
        </w:rPr>
        <w:t> </w:t>
      </w:r>
      <w:r>
        <w:rPr/>
        <w:t>positive link</w:t>
      </w:r>
      <w:r>
        <w:rPr>
          <w:spacing w:val="-10"/>
        </w:rPr>
        <w:t> </w:t>
      </w:r>
      <w:r>
        <w:rPr/>
        <w:t>between</w:t>
      </w:r>
      <w:r>
        <w:rPr>
          <w:spacing w:val="-11"/>
        </w:rPr>
        <w:t> </w:t>
      </w:r>
      <w:r>
        <w:rPr/>
        <w:t>academic</w:t>
      </w:r>
      <w:r>
        <w:rPr>
          <w:spacing w:val="-8"/>
        </w:rPr>
        <w:t> </w:t>
      </w:r>
      <w:r>
        <w:rPr/>
        <w:t>freedom</w:t>
      </w:r>
      <w:r>
        <w:rPr>
          <w:spacing w:val="-12"/>
        </w:rPr>
        <w:t> </w:t>
      </w:r>
      <w:r>
        <w:rPr/>
        <w:t>and</w:t>
      </w:r>
      <w:r>
        <w:rPr>
          <w:spacing w:val="-10"/>
        </w:rPr>
        <w:t> </w:t>
      </w:r>
      <w:r>
        <w:rPr/>
        <w:t>collegial</w:t>
      </w:r>
      <w:r>
        <w:rPr>
          <w:spacing w:val="-8"/>
        </w:rPr>
        <w:t> </w:t>
      </w:r>
      <w:r>
        <w:rPr/>
        <w:t>behaviour</w:t>
      </w:r>
      <w:r>
        <w:rPr>
          <w:spacing w:val="-9"/>
        </w:rPr>
        <w:t> </w:t>
      </w:r>
      <w:r>
        <w:rPr/>
        <w:t>could</w:t>
      </w:r>
      <w:r>
        <w:rPr>
          <w:spacing w:val="-8"/>
        </w:rPr>
        <w:t> </w:t>
      </w:r>
      <w:r>
        <w:rPr/>
        <w:t>be</w:t>
      </w:r>
      <w:r>
        <w:rPr>
          <w:spacing w:val="-9"/>
        </w:rPr>
        <w:t> </w:t>
      </w:r>
      <w:r>
        <w:rPr/>
        <w:t>a</w:t>
      </w:r>
      <w:r>
        <w:rPr>
          <w:spacing w:val="-10"/>
        </w:rPr>
        <w:t> </w:t>
      </w:r>
      <w:r>
        <w:rPr/>
        <w:t>useful</w:t>
      </w:r>
      <w:r>
        <w:rPr>
          <w:spacing w:val="-10"/>
        </w:rPr>
        <w:t> </w:t>
      </w:r>
      <w:r>
        <w:rPr/>
        <w:t>addition</w:t>
      </w:r>
      <w:r>
        <w:rPr>
          <w:spacing w:val="-11"/>
        </w:rPr>
        <w:t> </w:t>
      </w:r>
      <w:r>
        <w:rPr/>
        <w:t>to</w:t>
      </w:r>
      <w:r>
        <w:rPr>
          <w:spacing w:val="-11"/>
        </w:rPr>
        <w:t> </w:t>
      </w:r>
      <w:r>
        <w:rPr/>
        <w:t>this</w:t>
      </w:r>
      <w:r>
        <w:rPr>
          <w:spacing w:val="-9"/>
        </w:rPr>
        <w:t> </w:t>
      </w:r>
      <w:r>
        <w:rPr/>
        <w:t>draft.</w:t>
      </w:r>
    </w:p>
    <w:p>
      <w:pPr>
        <w:pStyle w:val="BodyText"/>
        <w:spacing w:before="1"/>
      </w:pPr>
    </w:p>
    <w:p>
      <w:pPr>
        <w:pStyle w:val="BodyText"/>
        <w:ind w:left="213" w:right="575"/>
        <w:jc w:val="both"/>
      </w:pPr>
      <w:r>
        <w:rPr/>
        <w:t>For</w:t>
      </w:r>
      <w:r>
        <w:rPr>
          <w:spacing w:val="-13"/>
        </w:rPr>
        <w:t> </w:t>
      </w:r>
      <w:r>
        <w:rPr/>
        <w:t>the</w:t>
      </w:r>
      <w:r>
        <w:rPr>
          <w:spacing w:val="-14"/>
        </w:rPr>
        <w:t> </w:t>
      </w:r>
      <w:r>
        <w:rPr/>
        <w:t>record,</w:t>
      </w:r>
      <w:r>
        <w:rPr>
          <w:spacing w:val="-13"/>
        </w:rPr>
        <w:t> </w:t>
      </w:r>
      <w:r>
        <w:rPr/>
        <w:t>we</w:t>
      </w:r>
      <w:r>
        <w:rPr>
          <w:spacing w:val="-14"/>
        </w:rPr>
        <w:t> </w:t>
      </w:r>
      <w:r>
        <w:rPr/>
        <w:t>have</w:t>
      </w:r>
      <w:r>
        <w:rPr>
          <w:spacing w:val="-12"/>
        </w:rPr>
        <w:t> </w:t>
      </w:r>
      <w:r>
        <w:rPr/>
        <w:t>recently</w:t>
      </w:r>
      <w:r>
        <w:rPr>
          <w:spacing w:val="-14"/>
        </w:rPr>
        <w:t> </w:t>
      </w:r>
      <w:r>
        <w:rPr/>
        <w:t>revised</w:t>
      </w:r>
      <w:r>
        <w:rPr>
          <w:spacing w:val="-12"/>
        </w:rPr>
        <w:t> </w:t>
      </w:r>
      <w:r>
        <w:rPr/>
        <w:t>our</w:t>
      </w:r>
      <w:r>
        <w:rPr>
          <w:spacing w:val="-13"/>
        </w:rPr>
        <w:t> </w:t>
      </w:r>
      <w:r>
        <w:rPr/>
        <w:t>University</w:t>
      </w:r>
      <w:r>
        <w:rPr>
          <w:spacing w:val="-13"/>
        </w:rPr>
        <w:t> </w:t>
      </w:r>
      <w:r>
        <w:rPr/>
        <w:t>Behaviour</w:t>
      </w:r>
      <w:r>
        <w:rPr>
          <w:spacing w:val="-13"/>
        </w:rPr>
        <w:t> </w:t>
      </w:r>
      <w:r>
        <w:rPr/>
        <w:t>Policy</w:t>
      </w:r>
      <w:r>
        <w:rPr>
          <w:spacing w:val="-9"/>
        </w:rPr>
        <w:t> </w:t>
      </w:r>
      <w:r>
        <w:rPr/>
        <w:t>and</w:t>
      </w:r>
      <w:r>
        <w:rPr>
          <w:spacing w:val="-13"/>
        </w:rPr>
        <w:t> </w:t>
      </w:r>
      <w:r>
        <w:rPr/>
        <w:t>this</w:t>
      </w:r>
      <w:r>
        <w:rPr>
          <w:spacing w:val="-13"/>
        </w:rPr>
        <w:t> </w:t>
      </w:r>
      <w:r>
        <w:rPr/>
        <w:t>was</w:t>
      </w:r>
      <w:r>
        <w:rPr>
          <w:spacing w:val="-14"/>
        </w:rPr>
        <w:t> </w:t>
      </w:r>
      <w:r>
        <w:rPr/>
        <w:t>a</w:t>
      </w:r>
      <w:r>
        <w:rPr>
          <w:spacing w:val="-14"/>
        </w:rPr>
        <w:t> </w:t>
      </w:r>
      <w:r>
        <w:rPr/>
        <w:t>subject of lively feedback during the consultation process with our University community. To signal our view on the important interplay between academic freedom and respectful behaviour we have included the following statement in our</w:t>
      </w:r>
      <w:r>
        <w:rPr>
          <w:spacing w:val="-2"/>
        </w:rPr>
        <w:t> </w:t>
      </w:r>
      <w:r>
        <w:rPr/>
        <w:t>policy:</w:t>
      </w:r>
    </w:p>
    <w:p>
      <w:pPr>
        <w:pStyle w:val="BodyText"/>
      </w:pPr>
    </w:p>
    <w:p>
      <w:pPr>
        <w:spacing w:before="0"/>
        <w:ind w:left="934" w:right="576" w:firstLine="0"/>
        <w:jc w:val="both"/>
        <w:rPr>
          <w:sz w:val="24"/>
        </w:rPr>
      </w:pPr>
      <w:r>
        <w:rPr>
          <w:sz w:val="24"/>
        </w:rPr>
        <w:t>‘</w:t>
      </w:r>
      <w:r>
        <w:rPr>
          <w:i/>
          <w:sz w:val="24"/>
        </w:rPr>
        <w:t>Maintenance of academic freedom is a principle value of the University,</w:t>
      </w:r>
      <w:r>
        <w:rPr>
          <w:i/>
          <w:spacing w:val="-44"/>
          <w:sz w:val="24"/>
        </w:rPr>
        <w:t> </w:t>
      </w:r>
      <w:r>
        <w:rPr>
          <w:i/>
          <w:sz w:val="24"/>
        </w:rPr>
        <w:t>as supported </w:t>
      </w:r>
      <w:r>
        <w:rPr>
          <w:i/>
          <w:sz w:val="24"/>
        </w:rPr>
        <w:t>by a Governance Level Principle “Academic Freedom” and in policy. The provisions in this behaviour policy do not seek in any way to limit that. In conduct between members of the University, this policy establishes expectations consistent with the collegial and community nature of a University which is itself the foundation of the ability to have academic</w:t>
      </w:r>
      <w:r>
        <w:rPr>
          <w:i/>
          <w:spacing w:val="-1"/>
          <w:sz w:val="24"/>
        </w:rPr>
        <w:t> </w:t>
      </w:r>
      <w:r>
        <w:rPr>
          <w:i/>
          <w:sz w:val="24"/>
        </w:rPr>
        <w:t>freedom.</w:t>
      </w:r>
      <w:r>
        <w:rPr>
          <w:sz w:val="24"/>
        </w:rPr>
        <w:t>’</w:t>
      </w:r>
    </w:p>
    <w:p>
      <w:pPr>
        <w:pStyle w:val="BodyText"/>
      </w:pPr>
    </w:p>
    <w:p>
      <w:pPr>
        <w:pStyle w:val="BodyText"/>
        <w:ind w:left="213" w:right="575"/>
        <w:jc w:val="both"/>
      </w:pPr>
      <w:r>
        <w:rPr/>
        <w:t>Thank you again for the opportunity to provide comment on the Draft Model Code. Please do not hesitate to contact me if you would like to discuss any of these points further.</w:t>
      </w:r>
    </w:p>
    <w:p>
      <w:pPr>
        <w:pStyle w:val="BodyText"/>
        <w:rPr>
          <w:sz w:val="26"/>
        </w:rPr>
      </w:pPr>
    </w:p>
    <w:p>
      <w:pPr>
        <w:pStyle w:val="BodyText"/>
        <w:spacing w:before="11"/>
        <w:rPr>
          <w:sz w:val="21"/>
        </w:rPr>
      </w:pPr>
    </w:p>
    <w:p>
      <w:pPr>
        <w:pStyle w:val="BodyText"/>
        <w:ind w:left="213"/>
        <w:jc w:val="both"/>
      </w:pPr>
      <w:r>
        <w:rPr/>
        <w:t>Yours sincerely</w:t>
      </w:r>
    </w:p>
    <w:p>
      <w:pPr>
        <w:pStyle w:val="BodyText"/>
        <w:spacing w:before="2"/>
        <w:rPr>
          <w:sz w:val="15"/>
        </w:rPr>
      </w:pPr>
      <w:r>
        <w:rPr/>
        <w:drawing>
          <wp:anchor distT="0" distB="0" distL="0" distR="0" allowOverlap="1" layoutInCell="1" locked="0" behindDoc="0" simplePos="0" relativeHeight="1">
            <wp:simplePos x="0" y="0"/>
            <wp:positionH relativeFrom="page">
              <wp:posOffset>885825</wp:posOffset>
            </wp:positionH>
            <wp:positionV relativeFrom="paragraph">
              <wp:posOffset>135667</wp:posOffset>
            </wp:positionV>
            <wp:extent cx="1471037" cy="624078"/>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1471037" cy="624078"/>
                    </a:xfrm>
                    <a:prstGeom prst="rect">
                      <a:avLst/>
                    </a:prstGeom>
                  </pic:spPr>
                </pic:pic>
              </a:graphicData>
            </a:graphic>
          </wp:anchor>
        </w:drawing>
      </w:r>
    </w:p>
    <w:p>
      <w:pPr>
        <w:pStyle w:val="BodyText"/>
        <w:spacing w:before="154"/>
        <w:ind w:left="213"/>
        <w:jc w:val="both"/>
      </w:pPr>
      <w:r>
        <w:rPr/>
        <w:t>Professor Rufus Black</w:t>
      </w:r>
    </w:p>
    <w:p>
      <w:pPr>
        <w:spacing w:before="0"/>
        <w:ind w:left="213" w:right="0" w:firstLine="0"/>
        <w:jc w:val="both"/>
        <w:rPr>
          <w:b/>
          <w:sz w:val="24"/>
        </w:rPr>
      </w:pPr>
      <w:r>
        <w:rPr>
          <w:b/>
          <w:sz w:val="24"/>
        </w:rPr>
        <w:t>Vice-Chancellor</w:t>
      </w:r>
    </w:p>
    <w:p>
      <w:pPr>
        <w:pStyle w:val="BodyText"/>
        <w:rPr>
          <w:b/>
          <w:sz w:val="26"/>
        </w:rPr>
      </w:pPr>
    </w:p>
    <w:p>
      <w:pPr>
        <w:pStyle w:val="BodyText"/>
        <w:spacing w:before="1"/>
        <w:rPr>
          <w:b/>
          <w:sz w:val="22"/>
        </w:rPr>
      </w:pPr>
    </w:p>
    <w:p>
      <w:pPr>
        <w:pStyle w:val="BodyText"/>
        <w:ind w:left="213"/>
        <w:jc w:val="both"/>
      </w:pPr>
      <w:r>
        <w:rPr/>
        <w:t>21 February</w:t>
      </w:r>
      <w:r>
        <w:rPr>
          <w:spacing w:val="-1"/>
        </w:rPr>
        <w:t> </w:t>
      </w:r>
      <w:r>
        <w:rPr/>
        <w:t>2019</w:t>
      </w:r>
    </w:p>
    <w:sectPr>
      <w:pgSz w:w="11910" w:h="16840"/>
      <w:pgMar w:header="568" w:footer="0" w:top="2820" w:bottom="280" w:left="12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32127">
          <wp:simplePos x="0" y="0"/>
          <wp:positionH relativeFrom="page">
            <wp:posOffset>539750</wp:posOffset>
          </wp:positionH>
          <wp:positionV relativeFrom="page">
            <wp:posOffset>360425</wp:posOffset>
          </wp:positionV>
          <wp:extent cx="1511935" cy="143890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511935" cy="1438909"/>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au" w:eastAsia="en-au" w:bidi="en-au"/>
    </w:rPr>
  </w:style>
  <w:style w:styleId="BodyText" w:type="paragraph">
    <w:name w:val="Body Text"/>
    <w:basedOn w:val="Normal"/>
    <w:uiPriority w:val="1"/>
    <w:qFormat/>
    <w:pPr/>
    <w:rPr>
      <w:rFonts w:ascii="Times New Roman" w:hAnsi="Times New Roman" w:eastAsia="Times New Roman" w:cs="Times New Roman"/>
      <w:sz w:val="24"/>
      <w:szCs w:val="24"/>
      <w:lang w:val="en-au" w:eastAsia="en-au" w:bidi="en-au"/>
    </w:rPr>
  </w:style>
  <w:style w:styleId="ListParagraph" w:type="paragraph">
    <w:name w:val="List Paragraph"/>
    <w:basedOn w:val="Normal"/>
    <w:uiPriority w:val="1"/>
    <w:qFormat/>
    <w:pPr/>
    <w:rPr>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hyperlink" Target="mailto:Vice.Chancellor@utas.edu.au" TargetMode="External"/><Relationship Id="rId3"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reedomofspeechreview@education.gov.au" TargetMode="Externa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6613B-7D95-4E73-9FB4-6296C2650442}"/>
</file>

<file path=customXml/itemProps2.xml><?xml version="1.0" encoding="utf-8"?>
<ds:datastoreItem xmlns:ds="http://schemas.openxmlformats.org/officeDocument/2006/customXml" ds:itemID="{15BABFD8-4042-4557-901C-DB9C558578D0}"/>
</file>

<file path=customXml/itemProps3.xml><?xml version="1.0" encoding="utf-8"?>
<ds:datastoreItem xmlns:ds="http://schemas.openxmlformats.org/officeDocument/2006/customXml" ds:itemID="{D602E43B-9B51-4ABE-82E2-7F19A26F2A4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 Anscombe</dc:creator>
  <dcterms:created xsi:type="dcterms:W3CDTF">2019-03-14T22:13:06Z</dcterms:created>
  <dcterms:modified xsi:type="dcterms:W3CDTF">2019-03-14T22:13:06Z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for Office 365</vt:lpwstr>
  </property>
  <property fmtid="{D5CDD505-2E9C-101B-9397-08002B2CF9AE}" pid="4" name="LastSaved">
    <vt:filetime>2019-03-14T00:00:00Z</vt:filetime>
  </property>
  <property fmtid="{D5CDD505-2E9C-101B-9397-08002B2CF9AE}" pid="5" name="ContentTypeId">
    <vt:lpwstr>0x010100F984B0797088B9428D3F2AE3D1B82016</vt:lpwstr>
  </property>
</Properties>
</file>