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22"/>
        </w:rPr>
      </w:pPr>
    </w:p>
    <w:p>
      <w:pPr>
        <w:spacing w:before="1"/>
        <w:ind w:left="1362" w:right="0" w:firstLine="0"/>
        <w:jc w:val="left"/>
        <w:rPr>
          <w:rFonts w:ascii="Times New Roman"/>
          <w:b/>
          <w:sz w:val="23"/>
        </w:rPr>
      </w:pPr>
      <w:r>
        <w:rPr/>
        <w:drawing>
          <wp:anchor distT="0" distB="0" distL="0" distR="0" allowOverlap="1" layoutInCell="1" locked="0" behindDoc="0" simplePos="0" relativeHeight="1072">
            <wp:simplePos x="0" y="0"/>
            <wp:positionH relativeFrom="page">
              <wp:posOffset>415224</wp:posOffset>
            </wp:positionH>
            <wp:positionV relativeFrom="paragraph">
              <wp:posOffset>-119362</wp:posOffset>
            </wp:positionV>
            <wp:extent cx="732749" cy="524903"/>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32749" cy="524903"/>
                    </a:xfrm>
                    <a:prstGeom prst="rect">
                      <a:avLst/>
                    </a:prstGeom>
                  </pic:spPr>
                </pic:pic>
              </a:graphicData>
            </a:graphic>
          </wp:anchor>
        </w:drawing>
      </w:r>
      <w:bookmarkStart w:name="Page 1" w:id="1"/>
      <w:bookmarkEnd w:id="1"/>
      <w:r>
        <w:rPr/>
      </w:r>
      <w:r>
        <w:rPr>
          <w:rFonts w:ascii="Times New Roman"/>
          <w:b/>
          <w:color w:val="525252"/>
          <w:sz w:val="23"/>
        </w:rPr>
        <w:t>Australian Government</w:t>
      </w:r>
    </w:p>
    <w:p>
      <w:pPr>
        <w:pStyle w:val="BodyText"/>
        <w:spacing w:before="4"/>
        <w:rPr>
          <w:rFonts w:ascii="Times New Roman"/>
          <w:b/>
          <w:sz w:val="4"/>
        </w:rPr>
      </w:pPr>
    </w:p>
    <w:p>
      <w:pPr>
        <w:pStyle w:val="BodyText"/>
        <w:spacing w:line="20" w:lineRule="exact"/>
        <w:ind w:left="1359" w:right="-44"/>
        <w:rPr>
          <w:rFonts w:ascii="Times New Roman"/>
          <w:sz w:val="2"/>
        </w:rPr>
      </w:pPr>
      <w:r>
        <w:rPr>
          <w:rFonts w:ascii="Times New Roman"/>
          <w:sz w:val="2"/>
        </w:rPr>
        <w:pict>
          <v:group style="width:218.3pt;height:.5pt;mso-position-horizontal-relative:char;mso-position-vertical-relative:line" coordorigin="0,0" coordsize="4366,10">
            <v:line style="position:absolute" from="0,5" to="4366,5" stroked="true" strokeweight=".480593pt" strokecolor="#000000">
              <v:stroke dashstyle="solid"/>
            </v:line>
          </v:group>
        </w:pict>
      </w:r>
      <w:r>
        <w:rPr>
          <w:rFonts w:ascii="Times New Roman"/>
          <w:sz w:val="2"/>
        </w:rPr>
      </w:r>
    </w:p>
    <w:p>
      <w:pPr>
        <w:pStyle w:val="Heading1"/>
        <w:spacing w:before="48"/>
        <w:ind w:left="1361" w:firstLine="0"/>
        <w:rPr>
          <w:rFonts w:ascii="Times New Roman"/>
        </w:rPr>
      </w:pPr>
      <w:r>
        <w:rPr>
          <w:rFonts w:ascii="Times New Roman"/>
          <w:color w:val="525252"/>
          <w:w w:val="105"/>
        </w:rPr>
        <w:t>Tertiary Education Quality and Standards Agency</w:t>
      </w:r>
    </w:p>
    <w:p>
      <w:pPr>
        <w:spacing w:before="81"/>
        <w:ind w:left="113" w:right="0" w:firstLine="0"/>
        <w:jc w:val="left"/>
        <w:rPr>
          <w:sz w:val="14"/>
        </w:rPr>
      </w:pPr>
      <w:r>
        <w:rPr/>
        <w:br w:type="column"/>
      </w:r>
      <w:r>
        <w:rPr>
          <w:color w:val="525252"/>
          <w:w w:val="105"/>
          <w:sz w:val="14"/>
        </w:rPr>
        <w:t>GPO Box 1672</w:t>
      </w:r>
    </w:p>
    <w:p>
      <w:pPr>
        <w:tabs>
          <w:tab w:pos="2215" w:val="left" w:leader="none"/>
        </w:tabs>
        <w:spacing w:before="26"/>
        <w:ind w:left="115" w:right="0" w:firstLine="0"/>
        <w:jc w:val="left"/>
        <w:rPr>
          <w:b/>
          <w:sz w:val="15"/>
        </w:rPr>
      </w:pPr>
      <w:r>
        <w:rPr>
          <w:color w:val="525252"/>
          <w:w w:val="105"/>
          <w:sz w:val="14"/>
        </w:rPr>
        <w:t>Melbourne</w:t>
      </w:r>
      <w:r>
        <w:rPr>
          <w:color w:val="525252"/>
          <w:spacing w:val="13"/>
          <w:w w:val="105"/>
          <w:sz w:val="14"/>
        </w:rPr>
        <w:t> </w:t>
      </w:r>
      <w:r>
        <w:rPr>
          <w:color w:val="525252"/>
          <w:w w:val="105"/>
          <w:sz w:val="14"/>
        </w:rPr>
        <w:t>VIC</w:t>
      </w:r>
      <w:r>
        <w:rPr>
          <w:color w:val="525252"/>
          <w:spacing w:val="4"/>
          <w:w w:val="105"/>
          <w:sz w:val="14"/>
        </w:rPr>
        <w:t> </w:t>
      </w:r>
      <w:r>
        <w:rPr>
          <w:color w:val="525252"/>
          <w:w w:val="105"/>
          <w:sz w:val="14"/>
        </w:rPr>
        <w:t>3001</w:t>
        <w:tab/>
      </w:r>
      <w:r>
        <w:rPr>
          <w:b/>
          <w:color w:val="525252"/>
          <w:w w:val="105"/>
          <w:sz w:val="15"/>
        </w:rPr>
        <w:t>teqsa.gov.au</w:t>
      </w:r>
    </w:p>
    <w:p>
      <w:pPr>
        <w:tabs>
          <w:tab w:pos="2217" w:val="left" w:leader="none"/>
        </w:tabs>
        <w:spacing w:before="25"/>
        <w:ind w:left="115" w:right="0" w:firstLine="0"/>
        <w:jc w:val="left"/>
        <w:rPr>
          <w:b/>
          <w:sz w:val="15"/>
        </w:rPr>
      </w:pPr>
      <w:r>
        <w:rPr>
          <w:color w:val="525252"/>
          <w:w w:val="105"/>
          <w:sz w:val="14"/>
        </w:rPr>
        <w:t>Level 14, 530 Collins</w:t>
      </w:r>
      <w:r>
        <w:rPr>
          <w:color w:val="525252"/>
          <w:spacing w:val="3"/>
          <w:w w:val="105"/>
          <w:sz w:val="14"/>
        </w:rPr>
        <w:t> </w:t>
      </w:r>
      <w:r>
        <w:rPr>
          <w:color w:val="525252"/>
          <w:w w:val="105"/>
          <w:sz w:val="14"/>
        </w:rPr>
        <w:t>Street</w:t>
        <w:tab/>
      </w:r>
      <w:hyperlink r:id="rId6">
        <w:r>
          <w:rPr>
            <w:b/>
            <w:color w:val="525252"/>
            <w:w w:val="105"/>
            <w:sz w:val="15"/>
          </w:rPr>
          <w:t>enquiries@teqsa.gov.au</w:t>
        </w:r>
      </w:hyperlink>
    </w:p>
    <w:p>
      <w:pPr>
        <w:tabs>
          <w:tab w:pos="3144" w:val="right" w:leader="none"/>
        </w:tabs>
        <w:spacing w:before="29"/>
        <w:ind w:left="115" w:right="0" w:firstLine="0"/>
        <w:jc w:val="left"/>
        <w:rPr>
          <w:b/>
          <w:sz w:val="15"/>
        </w:rPr>
      </w:pPr>
      <w:r>
        <w:rPr>
          <w:color w:val="525252"/>
          <w:w w:val="105"/>
          <w:sz w:val="14"/>
        </w:rPr>
        <w:t>Melbourne</w:t>
      </w:r>
      <w:r>
        <w:rPr>
          <w:color w:val="525252"/>
          <w:spacing w:val="13"/>
          <w:w w:val="105"/>
          <w:sz w:val="14"/>
        </w:rPr>
        <w:t> </w:t>
      </w:r>
      <w:r>
        <w:rPr>
          <w:color w:val="525252"/>
          <w:w w:val="105"/>
          <w:sz w:val="14"/>
        </w:rPr>
        <w:t>VIC</w:t>
      </w:r>
      <w:r>
        <w:rPr>
          <w:color w:val="525252"/>
          <w:spacing w:val="4"/>
          <w:w w:val="105"/>
          <w:sz w:val="14"/>
        </w:rPr>
        <w:t> </w:t>
      </w:r>
      <w:r>
        <w:rPr>
          <w:color w:val="525252"/>
          <w:w w:val="105"/>
          <w:sz w:val="14"/>
        </w:rPr>
        <w:t>3000</w:t>
        <w:tab/>
      </w:r>
      <w:r>
        <w:rPr>
          <w:b/>
          <w:color w:val="525252"/>
          <w:w w:val="105"/>
          <w:sz w:val="15"/>
        </w:rPr>
        <w:t>1300</w:t>
      </w:r>
      <w:r>
        <w:rPr>
          <w:b/>
          <w:color w:val="525252"/>
          <w:spacing w:val="-22"/>
          <w:w w:val="105"/>
          <w:sz w:val="15"/>
        </w:rPr>
        <w:t> </w:t>
      </w:r>
      <w:r>
        <w:rPr>
          <w:b/>
          <w:color w:val="525252"/>
          <w:w w:val="105"/>
          <w:sz w:val="15"/>
        </w:rPr>
        <w:t>739</w:t>
      </w:r>
      <w:r>
        <w:rPr>
          <w:b/>
          <w:color w:val="525252"/>
          <w:spacing w:val="-23"/>
          <w:w w:val="105"/>
          <w:sz w:val="15"/>
        </w:rPr>
        <w:t> </w:t>
      </w:r>
      <w:r>
        <w:rPr>
          <w:b/>
          <w:color w:val="525252"/>
          <w:w w:val="105"/>
          <w:sz w:val="15"/>
        </w:rPr>
        <w:t>585</w:t>
      </w:r>
    </w:p>
    <w:p>
      <w:pPr>
        <w:spacing w:after="0"/>
        <w:jc w:val="left"/>
        <w:rPr>
          <w:sz w:val="15"/>
        </w:rPr>
        <w:sectPr>
          <w:type w:val="continuous"/>
          <w:pgSz w:w="11900" w:h="16840"/>
          <w:pgMar w:top="600" w:bottom="280" w:left="540" w:right="240"/>
          <w:cols w:num="2" w:equalWidth="0">
            <w:col w:w="5757" w:space="1279"/>
            <w:col w:w="4084"/>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line="254" w:lineRule="auto" w:before="144"/>
        <w:ind w:left="677" w:right="7519" w:hanging="1"/>
      </w:pPr>
      <w:r>
        <w:rPr>
          <w:color w:val="525252"/>
          <w:w w:val="105"/>
        </w:rPr>
        <w:t>The Hon Mr Robert S French AC Suite 2, Level</w:t>
      </w:r>
      <w:r>
        <w:rPr>
          <w:color w:val="525252"/>
          <w:spacing w:val="1"/>
          <w:w w:val="105"/>
        </w:rPr>
        <w:t> </w:t>
      </w:r>
      <w:r>
        <w:rPr>
          <w:color w:val="525252"/>
          <w:w w:val="105"/>
        </w:rPr>
        <w:t>13</w:t>
      </w:r>
    </w:p>
    <w:p>
      <w:pPr>
        <w:pStyle w:val="BodyText"/>
        <w:spacing w:line="217" w:lineRule="exact"/>
        <w:ind w:left="676"/>
      </w:pPr>
      <w:r>
        <w:rPr>
          <w:color w:val="525252"/>
          <w:w w:val="105"/>
        </w:rPr>
        <w:t>Allendale</w:t>
      </w:r>
      <w:r>
        <w:rPr>
          <w:color w:val="525252"/>
          <w:spacing w:val="-19"/>
          <w:w w:val="105"/>
        </w:rPr>
        <w:t> </w:t>
      </w:r>
      <w:r>
        <w:rPr>
          <w:color w:val="525252"/>
          <w:w w:val="105"/>
        </w:rPr>
        <w:t>Square</w:t>
      </w:r>
    </w:p>
    <w:p>
      <w:pPr>
        <w:pStyle w:val="BodyText"/>
        <w:spacing w:line="254" w:lineRule="auto" w:before="12"/>
        <w:ind w:left="676" w:right="8351" w:firstLine="5"/>
      </w:pPr>
      <w:r>
        <w:rPr>
          <w:color w:val="525252"/>
          <w:w w:val="105"/>
        </w:rPr>
        <w:t>77 St George's Terrace PERTH WA 6000</w:t>
      </w:r>
    </w:p>
    <w:p>
      <w:pPr>
        <w:pStyle w:val="BodyText"/>
        <w:spacing w:before="10"/>
      </w:pPr>
    </w:p>
    <w:p>
      <w:pPr>
        <w:pStyle w:val="BodyText"/>
        <w:ind w:left="675"/>
      </w:pPr>
      <w:r>
        <w:rPr>
          <w:color w:val="525252"/>
          <w:w w:val="105"/>
        </w:rPr>
        <w:t>Email: C/- </w:t>
      </w:r>
      <w:hyperlink r:id="rId7">
        <w:r>
          <w:rPr>
            <w:color w:val="525252"/>
            <w:w w:val="105"/>
          </w:rPr>
          <w:t>sulcsj@bigpond.com</w:t>
        </w:r>
      </w:hyperlink>
    </w:p>
    <w:p>
      <w:pPr>
        <w:pStyle w:val="BodyText"/>
        <w:rPr>
          <w:sz w:val="20"/>
        </w:rPr>
      </w:pPr>
    </w:p>
    <w:p>
      <w:pPr>
        <w:pStyle w:val="BodyText"/>
        <w:rPr>
          <w:sz w:val="20"/>
        </w:rPr>
      </w:pPr>
    </w:p>
    <w:p>
      <w:pPr>
        <w:pStyle w:val="BodyText"/>
        <w:spacing w:before="177"/>
        <w:ind w:left="676"/>
      </w:pPr>
      <w:r>
        <w:rPr>
          <w:color w:val="525252"/>
          <w:w w:val="105"/>
        </w:rPr>
        <w:t>Dear Mr French </w:t>
      </w:r>
      <w:r>
        <w:rPr>
          <w:color w:val="69696B"/>
          <w:w w:val="105"/>
        </w:rPr>
        <w:t>,</w:t>
      </w:r>
    </w:p>
    <w:p>
      <w:pPr>
        <w:pStyle w:val="BodyText"/>
        <w:rPr>
          <w:sz w:val="20"/>
        </w:rPr>
      </w:pPr>
    </w:p>
    <w:p>
      <w:pPr>
        <w:pStyle w:val="BodyText"/>
        <w:spacing w:before="4"/>
        <w:rPr>
          <w:sz w:val="28"/>
        </w:rPr>
      </w:pPr>
    </w:p>
    <w:p>
      <w:pPr>
        <w:pStyle w:val="Heading1"/>
        <w:spacing w:line="264" w:lineRule="auto"/>
        <w:ind w:left="677" w:right="1112" w:firstLine="2"/>
      </w:pPr>
      <w:r>
        <w:rPr>
          <w:color w:val="525252"/>
          <w:w w:val="105"/>
        </w:rPr>
        <w:t>Subject: Independent Review of Freedom of Speech in Higher Education Providers </w:t>
      </w:r>
      <w:r>
        <w:rPr>
          <w:b w:val="0"/>
          <w:color w:val="525252"/>
          <w:w w:val="105"/>
        </w:rPr>
        <w:t>- </w:t>
      </w:r>
      <w:r>
        <w:rPr>
          <w:color w:val="525252"/>
          <w:w w:val="105"/>
        </w:rPr>
        <w:t>Draft Model Code</w:t>
      </w:r>
    </w:p>
    <w:p>
      <w:pPr>
        <w:pStyle w:val="BodyText"/>
        <w:spacing w:line="256" w:lineRule="auto" w:before="144"/>
        <w:ind w:left="673" w:right="1112" w:hanging="2"/>
      </w:pPr>
      <w:r>
        <w:rPr>
          <w:color w:val="525252"/>
          <w:w w:val="105"/>
        </w:rPr>
        <w:t>Thank you for your letter of 8 February 2019 providing a copy of a Draft Model Code. I have had an opportunity to discuss your letter, and the Draft Model Code, with my fellow commissioners, and this letter reflects our views.</w:t>
      </w:r>
    </w:p>
    <w:p>
      <w:pPr>
        <w:pStyle w:val="BodyText"/>
        <w:spacing w:before="154"/>
        <w:ind w:left="673"/>
      </w:pPr>
      <w:r>
        <w:rPr>
          <w:color w:val="525252"/>
          <w:w w:val="105"/>
        </w:rPr>
        <w:t>In particular, we:</w:t>
      </w:r>
    </w:p>
    <w:p>
      <w:pPr>
        <w:pStyle w:val="ListParagraph"/>
        <w:numPr>
          <w:ilvl w:val="0"/>
          <w:numId w:val="1"/>
        </w:numPr>
        <w:tabs>
          <w:tab w:pos="1395" w:val="left" w:leader="none"/>
        </w:tabs>
        <w:spacing w:line="240" w:lineRule="auto" w:before="171" w:after="0"/>
        <w:ind w:left="1394" w:right="0" w:hanging="364"/>
        <w:jc w:val="left"/>
        <w:rPr>
          <w:sz w:val="19"/>
        </w:rPr>
      </w:pPr>
      <w:r>
        <w:rPr>
          <w:color w:val="525252"/>
          <w:w w:val="105"/>
          <w:sz w:val="19"/>
        </w:rPr>
        <w:t>note your view that you have not been persuaded of the existence of a </w:t>
      </w:r>
      <w:r>
        <w:rPr>
          <w:color w:val="69696B"/>
          <w:w w:val="105"/>
          <w:sz w:val="19"/>
        </w:rPr>
        <w:t>'</w:t>
      </w:r>
      <w:r>
        <w:rPr>
          <w:color w:val="525252"/>
          <w:w w:val="105"/>
          <w:sz w:val="19"/>
        </w:rPr>
        <w:t>free speech</w:t>
      </w:r>
      <w:r>
        <w:rPr>
          <w:color w:val="525252"/>
          <w:spacing w:val="48"/>
          <w:w w:val="105"/>
          <w:sz w:val="19"/>
        </w:rPr>
        <w:t> </w:t>
      </w:r>
      <w:r>
        <w:rPr>
          <w:color w:val="525252"/>
          <w:w w:val="105"/>
          <w:sz w:val="19"/>
        </w:rPr>
        <w:t>crisis</w:t>
      </w:r>
      <w:r>
        <w:rPr>
          <w:color w:val="69696B"/>
          <w:w w:val="105"/>
          <w:sz w:val="19"/>
        </w:rPr>
        <w:t>'</w:t>
      </w:r>
    </w:p>
    <w:p>
      <w:pPr>
        <w:pStyle w:val="ListParagraph"/>
        <w:numPr>
          <w:ilvl w:val="0"/>
          <w:numId w:val="1"/>
        </w:numPr>
        <w:tabs>
          <w:tab w:pos="1398" w:val="left" w:leader="none"/>
        </w:tabs>
        <w:spacing w:line="254" w:lineRule="auto" w:before="12" w:after="0"/>
        <w:ind w:left="1390" w:right="1362" w:hanging="354"/>
        <w:jc w:val="left"/>
        <w:rPr>
          <w:sz w:val="19"/>
        </w:rPr>
      </w:pPr>
      <w:r>
        <w:rPr>
          <w:color w:val="525252"/>
          <w:w w:val="105"/>
          <w:sz w:val="19"/>
        </w:rPr>
        <w:t>welcome the Draft Model Code's clarification of the distinction between freedom of speech and academic</w:t>
      </w:r>
      <w:r>
        <w:rPr>
          <w:color w:val="525252"/>
          <w:spacing w:val="11"/>
          <w:w w:val="105"/>
          <w:sz w:val="19"/>
        </w:rPr>
        <w:t> </w:t>
      </w:r>
      <w:r>
        <w:rPr>
          <w:color w:val="525252"/>
          <w:w w:val="105"/>
          <w:sz w:val="19"/>
        </w:rPr>
        <w:t>freedom;</w:t>
      </w:r>
    </w:p>
    <w:p>
      <w:pPr>
        <w:pStyle w:val="ListParagraph"/>
        <w:numPr>
          <w:ilvl w:val="0"/>
          <w:numId w:val="1"/>
        </w:numPr>
        <w:tabs>
          <w:tab w:pos="1398" w:val="left" w:leader="none"/>
        </w:tabs>
        <w:spacing w:line="254" w:lineRule="auto" w:before="0" w:after="0"/>
        <w:ind w:left="1394" w:right="1525" w:hanging="361"/>
        <w:jc w:val="left"/>
        <w:rPr>
          <w:sz w:val="19"/>
        </w:rPr>
      </w:pPr>
      <w:r>
        <w:rPr>
          <w:color w:val="525252"/>
          <w:w w:val="105"/>
          <w:sz w:val="19"/>
        </w:rPr>
        <w:t>welcome the proposed use of the Draft Model Code as an optional resource to support institutional approaches to these matters, while preserving institutional autonomy to deal with these matters in the context of institutions' relevant legal</w:t>
      </w:r>
      <w:r>
        <w:rPr>
          <w:color w:val="525252"/>
          <w:spacing w:val="36"/>
          <w:w w:val="105"/>
          <w:sz w:val="19"/>
        </w:rPr>
        <w:t> </w:t>
      </w:r>
      <w:r>
        <w:rPr>
          <w:color w:val="525252"/>
          <w:w w:val="105"/>
          <w:sz w:val="19"/>
        </w:rPr>
        <w:t>obligations.</w:t>
      </w:r>
    </w:p>
    <w:p>
      <w:pPr>
        <w:pStyle w:val="BodyText"/>
        <w:spacing w:line="254" w:lineRule="auto" w:before="159"/>
        <w:ind w:left="669" w:right="1047" w:firstLine="2"/>
      </w:pPr>
      <w:r>
        <w:rPr>
          <w:color w:val="525252"/>
          <w:w w:val="105"/>
        </w:rPr>
        <w:t>Subject to a further opportunity to review any proposed amendments to the Higher Education Standards Framework and the </w:t>
      </w:r>
      <w:r>
        <w:rPr>
          <w:i/>
          <w:color w:val="525252"/>
          <w:w w:val="105"/>
        </w:rPr>
        <w:t>Higher Education Support Act 2003, </w:t>
      </w:r>
      <w:r>
        <w:rPr>
          <w:color w:val="525252"/>
          <w:w w:val="105"/>
        </w:rPr>
        <w:t>and to individual institutions having an opportunity to consider the application of the Code in the context of their own governance and </w:t>
      </w:r>
      <w:r>
        <w:rPr>
          <w:color w:val="525252"/>
          <w:spacing w:val="-3"/>
          <w:w w:val="105"/>
        </w:rPr>
        <w:t>operations</w:t>
      </w:r>
      <w:r>
        <w:rPr>
          <w:color w:val="69696B"/>
          <w:spacing w:val="-3"/>
          <w:w w:val="105"/>
        </w:rPr>
        <w:t>, </w:t>
      </w:r>
      <w:r>
        <w:rPr>
          <w:color w:val="525252"/>
          <w:w w:val="105"/>
        </w:rPr>
        <w:t>we do not anticipate that the Draft Model Code will raise substantial difficulties for TEQSA in performing its functions.</w:t>
      </w:r>
    </w:p>
    <w:p>
      <w:pPr>
        <w:pStyle w:val="BodyText"/>
        <w:spacing w:line="432" w:lineRule="auto" w:before="154"/>
        <w:ind w:left="671" w:right="1112" w:firstLine="2"/>
      </w:pPr>
      <w:r>
        <w:rPr/>
        <w:drawing>
          <wp:anchor distT="0" distB="0" distL="0" distR="0" allowOverlap="1" layoutInCell="1" locked="0" behindDoc="0" simplePos="0" relativeHeight="1">
            <wp:simplePos x="0" y="0"/>
            <wp:positionH relativeFrom="page">
              <wp:posOffset>964787</wp:posOffset>
            </wp:positionH>
            <wp:positionV relativeFrom="paragraph">
              <wp:posOffset>659566</wp:posOffset>
            </wp:positionV>
            <wp:extent cx="2622446" cy="438912"/>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2622446" cy="438912"/>
                    </a:xfrm>
                    <a:prstGeom prst="rect">
                      <a:avLst/>
                    </a:prstGeom>
                  </pic:spPr>
                </pic:pic>
              </a:graphicData>
            </a:graphic>
          </wp:anchor>
        </w:drawing>
      </w:r>
      <w:r>
        <w:rPr>
          <w:color w:val="525252"/>
          <w:w w:val="105"/>
        </w:rPr>
        <w:t>I confirm that we are content for my correspondence to you to be published on the Department's website</w:t>
      </w:r>
      <w:r>
        <w:rPr>
          <w:color w:val="69696B"/>
          <w:w w:val="105"/>
        </w:rPr>
        <w:t>.</w:t>
      </w:r>
      <w:r>
        <w:rPr>
          <w:color w:val="525252"/>
          <w:w w:val="105"/>
        </w:rPr>
        <w:t> Yours sincerely,</w:t>
      </w:r>
    </w:p>
    <w:p>
      <w:pPr>
        <w:pStyle w:val="BodyText"/>
        <w:spacing w:before="8"/>
        <w:rPr>
          <w:sz w:val="16"/>
        </w:rPr>
      </w:pPr>
    </w:p>
    <w:p>
      <w:pPr>
        <w:pStyle w:val="Heading1"/>
        <w:spacing w:line="254" w:lineRule="auto"/>
        <w:ind w:right="7291"/>
      </w:pPr>
      <w:r>
        <w:rPr>
          <w:color w:val="525252"/>
          <w:w w:val="105"/>
        </w:rPr>
        <w:t>Professor Nicholas Saunders AO Chief Commissioner</w:t>
      </w:r>
    </w:p>
    <w:p>
      <w:pPr>
        <w:pStyle w:val="BodyText"/>
        <w:rPr>
          <w:b/>
          <w:sz w:val="20"/>
        </w:rPr>
      </w:pPr>
    </w:p>
    <w:p>
      <w:pPr>
        <w:pStyle w:val="BodyText"/>
        <w:spacing w:before="163"/>
        <w:ind w:left="671"/>
      </w:pPr>
      <w:r>
        <w:rPr>
          <w:color w:val="525252"/>
          <w:w w:val="105"/>
        </w:rPr>
        <w:t>20 February 2019</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spacing w:before="0"/>
        <w:ind w:left="0" w:right="507" w:firstLine="0"/>
        <w:jc w:val="right"/>
        <w:rPr>
          <w:b/>
          <w:sz w:val="47"/>
        </w:rPr>
      </w:pPr>
      <w:r>
        <w:rPr>
          <w:b/>
          <w:color w:val="728EBC"/>
          <w:sz w:val="47"/>
        </w:rPr>
        <w:t>TEQSA</w:t>
      </w:r>
    </w:p>
    <w:sectPr>
      <w:type w:val="continuous"/>
      <w:pgSz w:w="11900" w:h="16840"/>
      <w:pgMar w:top="600" w:bottom="280" w:left="5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94" w:hanging="364"/>
        <w:jc w:val="left"/>
      </w:pPr>
      <w:rPr>
        <w:rFonts w:hint="default" w:ascii="Arial" w:hAnsi="Arial" w:eastAsia="Arial" w:cs="Arial"/>
        <w:color w:val="525252"/>
        <w:spacing w:val="-1"/>
        <w:w w:val="109"/>
        <w:sz w:val="19"/>
        <w:szCs w:val="19"/>
        <w:lang w:val="en-US" w:eastAsia="en-US" w:bidi="en-US"/>
      </w:rPr>
    </w:lvl>
    <w:lvl w:ilvl="1">
      <w:start w:val="0"/>
      <w:numFmt w:val="bullet"/>
      <w:lvlText w:val="•"/>
      <w:lvlJc w:val="left"/>
      <w:pPr>
        <w:ind w:left="2372" w:hanging="364"/>
      </w:pPr>
      <w:rPr>
        <w:rFonts w:hint="default"/>
        <w:lang w:val="en-US" w:eastAsia="en-US" w:bidi="en-US"/>
      </w:rPr>
    </w:lvl>
    <w:lvl w:ilvl="2">
      <w:start w:val="0"/>
      <w:numFmt w:val="bullet"/>
      <w:lvlText w:val="•"/>
      <w:lvlJc w:val="left"/>
      <w:pPr>
        <w:ind w:left="3344" w:hanging="364"/>
      </w:pPr>
      <w:rPr>
        <w:rFonts w:hint="default"/>
        <w:lang w:val="en-US" w:eastAsia="en-US" w:bidi="en-US"/>
      </w:rPr>
    </w:lvl>
    <w:lvl w:ilvl="3">
      <w:start w:val="0"/>
      <w:numFmt w:val="bullet"/>
      <w:lvlText w:val="•"/>
      <w:lvlJc w:val="left"/>
      <w:pPr>
        <w:ind w:left="4316" w:hanging="364"/>
      </w:pPr>
      <w:rPr>
        <w:rFonts w:hint="default"/>
        <w:lang w:val="en-US" w:eastAsia="en-US" w:bidi="en-US"/>
      </w:rPr>
    </w:lvl>
    <w:lvl w:ilvl="4">
      <w:start w:val="0"/>
      <w:numFmt w:val="bullet"/>
      <w:lvlText w:val="•"/>
      <w:lvlJc w:val="left"/>
      <w:pPr>
        <w:ind w:left="5288" w:hanging="364"/>
      </w:pPr>
      <w:rPr>
        <w:rFonts w:hint="default"/>
        <w:lang w:val="en-US" w:eastAsia="en-US" w:bidi="en-US"/>
      </w:rPr>
    </w:lvl>
    <w:lvl w:ilvl="5">
      <w:start w:val="0"/>
      <w:numFmt w:val="bullet"/>
      <w:lvlText w:val="•"/>
      <w:lvlJc w:val="left"/>
      <w:pPr>
        <w:ind w:left="6260" w:hanging="364"/>
      </w:pPr>
      <w:rPr>
        <w:rFonts w:hint="default"/>
        <w:lang w:val="en-US" w:eastAsia="en-US" w:bidi="en-US"/>
      </w:rPr>
    </w:lvl>
    <w:lvl w:ilvl="6">
      <w:start w:val="0"/>
      <w:numFmt w:val="bullet"/>
      <w:lvlText w:val="•"/>
      <w:lvlJc w:val="left"/>
      <w:pPr>
        <w:ind w:left="7232" w:hanging="364"/>
      </w:pPr>
      <w:rPr>
        <w:rFonts w:hint="default"/>
        <w:lang w:val="en-US" w:eastAsia="en-US" w:bidi="en-US"/>
      </w:rPr>
    </w:lvl>
    <w:lvl w:ilvl="7">
      <w:start w:val="0"/>
      <w:numFmt w:val="bullet"/>
      <w:lvlText w:val="•"/>
      <w:lvlJc w:val="left"/>
      <w:pPr>
        <w:ind w:left="8204" w:hanging="364"/>
      </w:pPr>
      <w:rPr>
        <w:rFonts w:hint="default"/>
        <w:lang w:val="en-US" w:eastAsia="en-US" w:bidi="en-US"/>
      </w:rPr>
    </w:lvl>
    <w:lvl w:ilvl="8">
      <w:start w:val="0"/>
      <w:numFmt w:val="bullet"/>
      <w:lvlText w:val="•"/>
      <w:lvlJc w:val="left"/>
      <w:pPr>
        <w:ind w:left="9176" w:hanging="364"/>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9"/>
      <w:szCs w:val="19"/>
      <w:lang w:val="en-US" w:eastAsia="en-US" w:bidi="en-US"/>
    </w:rPr>
  </w:style>
  <w:style w:styleId="Heading1" w:type="paragraph">
    <w:name w:val="Heading 1"/>
    <w:basedOn w:val="Normal"/>
    <w:uiPriority w:val="1"/>
    <w:qFormat/>
    <w:pPr>
      <w:ind w:left="672" w:hanging="1"/>
      <w:outlineLvl w:val="1"/>
    </w:pPr>
    <w:rPr>
      <w:rFonts w:ascii="Arial" w:hAnsi="Arial" w:eastAsia="Arial" w:cs="Arial"/>
      <w:b/>
      <w:bCs/>
      <w:sz w:val="19"/>
      <w:szCs w:val="19"/>
      <w:lang w:val="en-US" w:eastAsia="en-US" w:bidi="en-US"/>
    </w:rPr>
  </w:style>
  <w:style w:styleId="ListParagraph" w:type="paragraph">
    <w:name w:val="List Paragraph"/>
    <w:basedOn w:val="Normal"/>
    <w:uiPriority w:val="1"/>
    <w:qFormat/>
    <w:pPr>
      <w:ind w:left="1394" w:hanging="364"/>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theme" Target="theme/theme1.xml"/><Relationship Id="rId7" Type="http://schemas.openxmlformats.org/officeDocument/2006/relationships/hyperlink" Target="mailto:sulcsj@bigpond.com" TargetMode="Externa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nquiries@teqsa.gov.au"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70FF2-AB87-46A4-82FF-103B3C271DC1}"/>
</file>

<file path=customXml/itemProps2.xml><?xml version="1.0" encoding="utf-8"?>
<ds:datastoreItem xmlns:ds="http://schemas.openxmlformats.org/officeDocument/2006/customXml" ds:itemID="{3949BC89-8110-4B32-9CF7-BAB72C96C344}"/>
</file>

<file path=customXml/itemProps3.xml><?xml version="1.0" encoding="utf-8"?>
<ds:datastoreItem xmlns:ds="http://schemas.openxmlformats.org/officeDocument/2006/customXml" ds:itemID="{0BA11D97-ACFA-46D9-B8F2-C0F891183D9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2019-03-15T03:19:02Z</dcterms:created>
  <dcterms:modified xsi:type="dcterms:W3CDTF">2019-03-15T03:19:02Z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OmniPage CSDK 18</vt:lpwstr>
  </property>
  <property fmtid="{D5CDD505-2E9C-101B-9397-08002B2CF9AE}" pid="4" name="LastSaved">
    <vt:filetime>2019-03-15T00:00:00Z</vt:filetime>
  </property>
  <property fmtid="{D5CDD505-2E9C-101B-9397-08002B2CF9AE}" pid="5" name="ContentTypeId">
    <vt:lpwstr>0x010100F984B0797088B9428D3F2AE3D1B82016</vt:lpwstr>
  </property>
</Properties>
</file>