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78A" w:rsidRDefault="0025578A" w:rsidP="0025578A">
      <w:r>
        <w:t>The Hon. Robert S. French,</w:t>
      </w:r>
    </w:p>
    <w:p w:rsidR="0025578A" w:rsidRDefault="0025578A" w:rsidP="0025578A"/>
    <w:p w:rsidR="0025578A" w:rsidRDefault="0025578A" w:rsidP="0025578A">
      <w:r>
        <w:t xml:space="preserve">Re-Draft Document </w:t>
      </w:r>
    </w:p>
    <w:p w:rsidR="0025578A" w:rsidRDefault="0025578A" w:rsidP="0025578A"/>
    <w:p w:rsidR="0025578A" w:rsidRDefault="0025578A" w:rsidP="0025578A">
      <w:r>
        <w:t>Dear Sir,</w:t>
      </w:r>
    </w:p>
    <w:p w:rsidR="0025578A" w:rsidRDefault="0025578A" w:rsidP="0025578A"/>
    <w:p w:rsidR="0025578A" w:rsidRDefault="0025578A" w:rsidP="0025578A">
      <w:r>
        <w:t xml:space="preserve">Thank you for your considered draft document which, I believe, is an excellent document to preserve freedom of speech at Academic Institutions. </w:t>
      </w:r>
    </w:p>
    <w:p w:rsidR="0025578A" w:rsidRDefault="0025578A" w:rsidP="0025578A"/>
    <w:p w:rsidR="0025578A" w:rsidRDefault="0025578A" w:rsidP="0025578A">
      <w:pPr>
        <w:rPr>
          <w:rFonts w:ascii="Arial" w:hAnsi="Arial" w:cs="Arial"/>
        </w:rPr>
      </w:pPr>
      <w:r>
        <w:rPr>
          <w:rFonts w:ascii="Arial" w:hAnsi="Arial" w:cs="Arial"/>
        </w:rPr>
        <w:t xml:space="preserve">I wish to raise some concern about the proposal in </w:t>
      </w:r>
      <w:r>
        <w:rPr>
          <w:rFonts w:ascii="Arial" w:hAnsi="Arial" w:cs="Arial"/>
          <w:i/>
          <w:iCs/>
        </w:rPr>
        <w:t>Principles of the Code</w:t>
      </w:r>
      <w:r>
        <w:rPr>
          <w:rFonts w:ascii="Arial" w:hAnsi="Arial" w:cs="Arial"/>
        </w:rPr>
        <w:t>, sub-clause 5 (d), which make the organisers of an event responsible for the financial costs regarding the security of an event. This opens the door for an opposing group to protest in such a way or such numbers that the organisers may not be able to afford to hold the event. This will necessarily have a stifling effect on free speech with minority voices bullied into silence by an unruly majority, or even a majority position being silenced by a small group of disruptive students. Surely it is the responsibility of the university and the government to ensure that students (as well as citizens in general) are free to express their views and free to hear particular views without intimidation or the burden of having to cover the cost of controlling the misbehaviour of those seeking to disrupt a meeting. If no disruption of meetings is allowed, then the cost of security should be minimal. As it stands, those seeking to exercise their lawful rights to freedom of speech are forced to pay extra, beyond their taxes, to control those who are acting against the law by disrupting a lawful gathering. This means that the rich will gain more rights to express themselves than the poor.</w:t>
      </w:r>
    </w:p>
    <w:p w:rsidR="0025578A" w:rsidRDefault="0025578A" w:rsidP="0025578A">
      <w:pPr>
        <w:rPr>
          <w:rFonts w:ascii="Arial" w:hAnsi="Arial" w:cs="Arial"/>
        </w:rPr>
      </w:pPr>
    </w:p>
    <w:p w:rsidR="0025578A" w:rsidRDefault="0025578A" w:rsidP="0025578A">
      <w:pPr>
        <w:rPr>
          <w:rFonts w:ascii="Arial" w:hAnsi="Arial" w:cs="Arial"/>
        </w:rPr>
      </w:pPr>
      <w:r>
        <w:rPr>
          <w:rFonts w:ascii="Arial" w:hAnsi="Arial" w:cs="Arial"/>
        </w:rPr>
        <w:t>Thank you again for your good work.</w:t>
      </w:r>
    </w:p>
    <w:p w:rsidR="0025578A" w:rsidRDefault="0025578A" w:rsidP="0025578A">
      <w:pPr>
        <w:rPr>
          <w:rFonts w:ascii="Arial" w:hAnsi="Arial" w:cs="Arial"/>
        </w:rPr>
      </w:pPr>
    </w:p>
    <w:p w:rsidR="0025578A" w:rsidRDefault="0025578A" w:rsidP="0025578A">
      <w:pPr>
        <w:rPr>
          <w:rFonts w:ascii="Arial" w:hAnsi="Arial" w:cs="Arial"/>
        </w:rPr>
      </w:pPr>
    </w:p>
    <w:p w:rsidR="0025578A" w:rsidRDefault="0025578A" w:rsidP="0025578A">
      <w:pPr>
        <w:rPr>
          <w:rFonts w:ascii="Arial" w:hAnsi="Arial" w:cs="Arial"/>
        </w:rPr>
      </w:pPr>
      <w:r>
        <w:rPr>
          <w:rFonts w:ascii="Arial" w:hAnsi="Arial" w:cs="Arial"/>
          <w:color w:val="094A82"/>
        </w:rPr>
        <w:t xml:space="preserve">Andre van </w:t>
      </w:r>
      <w:proofErr w:type="spellStart"/>
      <w:r>
        <w:rPr>
          <w:rFonts w:ascii="Arial" w:hAnsi="Arial" w:cs="Arial"/>
          <w:color w:val="094A82"/>
        </w:rPr>
        <w:t>Oudtshoorn</w:t>
      </w:r>
      <w:proofErr w:type="spellEnd"/>
    </w:p>
    <w:p w:rsidR="0025578A" w:rsidRDefault="0025578A" w:rsidP="0025578A">
      <w:pPr>
        <w:rPr>
          <w:rFonts w:ascii="Arial" w:hAnsi="Arial" w:cs="Arial"/>
        </w:rPr>
      </w:pPr>
      <w:r>
        <w:rPr>
          <w:rFonts w:ascii="Arial" w:hAnsi="Arial" w:cs="Arial"/>
          <w:color w:val="094A82"/>
        </w:rPr>
        <w:t>Acting Principal</w:t>
      </w:r>
    </w:p>
    <w:p w:rsidR="0025578A" w:rsidRDefault="0025578A" w:rsidP="0025578A">
      <w:pPr>
        <w:spacing w:after="240"/>
        <w:rPr>
          <w:rFonts w:ascii="Arial" w:hAnsi="Arial" w:cs="Arial"/>
        </w:rPr>
      </w:pPr>
      <w:r>
        <w:rPr>
          <w:rFonts w:ascii="Arial" w:hAnsi="Arial" w:cs="Arial"/>
          <w:color w:val="094A82"/>
        </w:rPr>
        <w:t>Dean of Academics and Research</w:t>
      </w:r>
      <w:r>
        <w:rPr>
          <w:rFonts w:ascii="Arial" w:hAnsi="Arial" w:cs="Arial"/>
          <w:color w:val="094A82"/>
        </w:rPr>
        <w:br/>
      </w:r>
    </w:p>
    <w:tbl>
      <w:tblPr>
        <w:tblW w:w="6000" w:type="dxa"/>
        <w:shd w:val="clear" w:color="auto" w:fill="FFFFFF"/>
        <w:tblCellMar>
          <w:left w:w="0" w:type="dxa"/>
          <w:right w:w="0" w:type="dxa"/>
        </w:tblCellMar>
        <w:tblLook w:val="04A0" w:firstRow="1" w:lastRow="0" w:firstColumn="1" w:lastColumn="0" w:noHBand="0" w:noVBand="1"/>
      </w:tblPr>
      <w:tblGrid>
        <w:gridCol w:w="75"/>
        <w:gridCol w:w="75"/>
        <w:gridCol w:w="2400"/>
        <w:gridCol w:w="3450"/>
      </w:tblGrid>
      <w:tr w:rsidR="0025578A" w:rsidTr="0025578A">
        <w:tc>
          <w:tcPr>
            <w:tcW w:w="75" w:type="dxa"/>
            <w:shd w:val="clear" w:color="auto" w:fill="FFFFFF"/>
            <w:vAlign w:val="center"/>
            <w:hideMark/>
          </w:tcPr>
          <w:p w:rsidR="0025578A" w:rsidRDefault="0025578A">
            <w:pPr>
              <w:rPr>
                <w:rFonts w:ascii="Arial" w:hAnsi="Arial" w:cs="Arial"/>
                <w:lang w:eastAsia="en-US"/>
              </w:rPr>
            </w:pPr>
            <w:r>
              <w:rPr>
                <w:rFonts w:ascii="Arial" w:hAnsi="Arial" w:cs="Arial"/>
                <w:lang w:eastAsia="en-US"/>
              </w:rPr>
              <w:t> </w:t>
            </w:r>
          </w:p>
        </w:tc>
        <w:tc>
          <w:tcPr>
            <w:tcW w:w="0" w:type="auto"/>
            <w:gridSpan w:val="2"/>
            <w:shd w:val="clear" w:color="auto" w:fill="FFFFFF"/>
            <w:vAlign w:val="center"/>
            <w:hideMark/>
          </w:tcPr>
          <w:p w:rsidR="0025578A" w:rsidRDefault="0025578A">
            <w:pPr>
              <w:rPr>
                <w:lang w:eastAsia="en-US"/>
              </w:rPr>
            </w:pPr>
            <w:r>
              <w:rPr>
                <w:noProof/>
              </w:rPr>
              <w:drawing>
                <wp:inline distT="0" distB="0" distL="0" distR="0">
                  <wp:extent cx="1171575" cy="1095375"/>
                  <wp:effectExtent l="0" t="0" r="9525" b="9525"/>
                  <wp:docPr id="3" name="Picture 3" descr="Perth Bible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th Bible Colle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095375"/>
                          </a:xfrm>
                          <a:prstGeom prst="rect">
                            <a:avLst/>
                          </a:prstGeom>
                          <a:noFill/>
                          <a:ln>
                            <a:noFill/>
                          </a:ln>
                        </pic:spPr>
                      </pic:pic>
                    </a:graphicData>
                  </a:graphic>
                </wp:inline>
              </w:drawing>
            </w:r>
          </w:p>
        </w:tc>
        <w:tc>
          <w:tcPr>
            <w:tcW w:w="0" w:type="auto"/>
            <w:shd w:val="clear" w:color="auto" w:fill="FFFFFF"/>
            <w:vAlign w:val="center"/>
            <w:hideMark/>
          </w:tcPr>
          <w:p w:rsidR="0025578A" w:rsidRDefault="0025578A">
            <w:pPr>
              <w:rPr>
                <w:lang w:eastAsia="en-US"/>
              </w:rPr>
            </w:pPr>
            <w:r>
              <w:rPr>
                <w:noProof/>
                <w:color w:val="0000FF"/>
              </w:rPr>
              <w:drawing>
                <wp:inline distT="0" distB="0" distL="0" distR="0">
                  <wp:extent cx="1657350" cy="1095375"/>
                  <wp:effectExtent l="0" t="0" r="0" b="9525"/>
                  <wp:docPr id="2" name="Picture 2" descr="Perth Bible College">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th Bible Colle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1095375"/>
                          </a:xfrm>
                          <a:prstGeom prst="rect">
                            <a:avLst/>
                          </a:prstGeom>
                          <a:noFill/>
                          <a:ln>
                            <a:noFill/>
                          </a:ln>
                        </pic:spPr>
                      </pic:pic>
                    </a:graphicData>
                  </a:graphic>
                </wp:inline>
              </w:drawing>
            </w:r>
          </w:p>
        </w:tc>
      </w:tr>
      <w:tr w:rsidR="0025578A" w:rsidTr="0025578A">
        <w:tc>
          <w:tcPr>
            <w:tcW w:w="0" w:type="auto"/>
            <w:gridSpan w:val="4"/>
            <w:shd w:val="clear" w:color="auto" w:fill="FFFFFF"/>
            <w:vAlign w:val="center"/>
            <w:hideMark/>
          </w:tcPr>
          <w:p w:rsidR="0025578A" w:rsidRDefault="0025578A">
            <w:pPr>
              <w:rPr>
                <w:lang w:eastAsia="en-US"/>
              </w:rPr>
            </w:pPr>
            <w:r>
              <w:rPr>
                <w:sz w:val="15"/>
                <w:szCs w:val="15"/>
                <w:lang w:eastAsia="en-US"/>
              </w:rPr>
              <w:t> </w:t>
            </w:r>
          </w:p>
        </w:tc>
      </w:tr>
      <w:tr w:rsidR="0025578A" w:rsidTr="0025578A">
        <w:tc>
          <w:tcPr>
            <w:tcW w:w="75" w:type="dxa"/>
            <w:shd w:val="clear" w:color="auto" w:fill="FFFFFF"/>
            <w:vAlign w:val="center"/>
            <w:hideMark/>
          </w:tcPr>
          <w:p w:rsidR="0025578A" w:rsidRDefault="0025578A">
            <w:pPr>
              <w:rPr>
                <w:rFonts w:ascii="Arial" w:hAnsi="Arial" w:cs="Arial"/>
                <w:lang w:eastAsia="en-US"/>
              </w:rPr>
            </w:pPr>
            <w:r>
              <w:rPr>
                <w:rFonts w:ascii="Arial" w:hAnsi="Arial" w:cs="Arial"/>
                <w:lang w:eastAsia="en-US"/>
              </w:rPr>
              <w:t> </w:t>
            </w:r>
          </w:p>
        </w:tc>
        <w:tc>
          <w:tcPr>
            <w:tcW w:w="75" w:type="dxa"/>
            <w:shd w:val="clear" w:color="auto" w:fill="FFFFFF"/>
            <w:vAlign w:val="center"/>
            <w:hideMark/>
          </w:tcPr>
          <w:p w:rsidR="0025578A" w:rsidRDefault="0025578A">
            <w:pPr>
              <w:rPr>
                <w:rFonts w:ascii="Arial" w:hAnsi="Arial" w:cs="Arial"/>
                <w:lang w:eastAsia="en-US"/>
              </w:rPr>
            </w:pPr>
            <w:r>
              <w:rPr>
                <w:rFonts w:ascii="Arial" w:hAnsi="Arial" w:cs="Arial"/>
                <w:lang w:eastAsia="en-US"/>
              </w:rPr>
              <w:t> </w:t>
            </w:r>
          </w:p>
        </w:tc>
        <w:tc>
          <w:tcPr>
            <w:tcW w:w="2400" w:type="dxa"/>
            <w:shd w:val="clear" w:color="auto" w:fill="FFFFFF"/>
            <w:hideMark/>
          </w:tcPr>
          <w:p w:rsidR="0025578A" w:rsidRDefault="0025578A">
            <w:pPr>
              <w:rPr>
                <w:rFonts w:ascii="Arial" w:hAnsi="Arial" w:cs="Arial"/>
                <w:lang w:eastAsia="en-US"/>
              </w:rPr>
            </w:pPr>
            <w:r>
              <w:rPr>
                <w:rFonts w:ascii="Arial" w:hAnsi="Arial" w:cs="Arial"/>
                <w:color w:val="094A82"/>
                <w:lang w:eastAsia="en-US"/>
              </w:rPr>
              <w:t>1 College Court</w:t>
            </w:r>
            <w:r>
              <w:rPr>
                <w:rFonts w:ascii="Arial" w:hAnsi="Arial" w:cs="Arial"/>
                <w:color w:val="094A82"/>
                <w:lang w:eastAsia="en-US"/>
              </w:rPr>
              <w:br/>
              <w:t>Karrinyup WA 6018</w:t>
            </w:r>
            <w:r>
              <w:rPr>
                <w:rFonts w:ascii="Arial" w:hAnsi="Arial" w:cs="Arial"/>
                <w:color w:val="094A82"/>
                <w:lang w:eastAsia="en-US"/>
              </w:rPr>
              <w:br/>
              <w:t>Australia</w:t>
            </w:r>
            <w:r>
              <w:rPr>
                <w:rFonts w:ascii="Arial" w:hAnsi="Arial" w:cs="Arial"/>
                <w:lang w:eastAsia="en-US"/>
              </w:rPr>
              <w:t xml:space="preserve"> </w:t>
            </w:r>
          </w:p>
        </w:tc>
        <w:tc>
          <w:tcPr>
            <w:tcW w:w="3450" w:type="dxa"/>
            <w:shd w:val="clear" w:color="auto" w:fill="FFFFFF"/>
            <w:hideMark/>
          </w:tcPr>
          <w:p w:rsidR="0025578A" w:rsidRDefault="0025578A">
            <w:pPr>
              <w:rPr>
                <w:rFonts w:ascii="Arial" w:hAnsi="Arial" w:cs="Arial"/>
                <w:lang w:eastAsia="en-US"/>
              </w:rPr>
            </w:pPr>
            <w:r>
              <w:rPr>
                <w:rFonts w:ascii="Arial" w:hAnsi="Arial" w:cs="Arial"/>
                <w:b/>
                <w:bCs/>
                <w:color w:val="094A82"/>
                <w:lang w:eastAsia="en-US"/>
              </w:rPr>
              <w:t>P</w:t>
            </w:r>
            <w:r>
              <w:rPr>
                <w:rFonts w:ascii="Arial" w:hAnsi="Arial" w:cs="Arial"/>
                <w:color w:val="094A82"/>
                <w:lang w:eastAsia="en-US"/>
              </w:rPr>
              <w:t xml:space="preserve"> </w:t>
            </w:r>
            <w:hyperlink r:id="rId7" w:tgtFrame="_blank" w:history="1">
              <w:r>
                <w:rPr>
                  <w:rStyle w:val="Hyperlink"/>
                  <w:rFonts w:ascii="Arial" w:hAnsi="Arial" w:cs="Arial"/>
                  <w:u w:val="none"/>
                  <w:lang w:eastAsia="en-US"/>
                </w:rPr>
                <w:t>+61 (0)8 9243 2000</w:t>
              </w:r>
            </w:hyperlink>
            <w:r>
              <w:rPr>
                <w:rFonts w:ascii="Arial" w:hAnsi="Arial" w:cs="Arial"/>
                <w:color w:val="094A82"/>
                <w:lang w:eastAsia="en-US"/>
              </w:rPr>
              <w:br/>
            </w:r>
            <w:r>
              <w:rPr>
                <w:rFonts w:ascii="Arial" w:hAnsi="Arial" w:cs="Arial"/>
                <w:b/>
                <w:bCs/>
                <w:color w:val="094A82"/>
                <w:lang w:eastAsia="en-US"/>
              </w:rPr>
              <w:t>E</w:t>
            </w:r>
            <w:r>
              <w:rPr>
                <w:rFonts w:ascii="Arial" w:hAnsi="Arial" w:cs="Arial"/>
                <w:color w:val="094A82"/>
                <w:lang w:eastAsia="en-US"/>
              </w:rPr>
              <w:t xml:space="preserve"> </w:t>
            </w:r>
            <w:hyperlink r:id="rId8" w:tgtFrame="_blank" w:history="1">
              <w:r>
                <w:rPr>
                  <w:rStyle w:val="Hyperlink"/>
                  <w:rFonts w:ascii="Arial" w:hAnsi="Arial" w:cs="Arial"/>
                  <w:u w:val="none"/>
                  <w:lang w:eastAsia="en-US"/>
                </w:rPr>
                <w:t>andre@pbc.wa.edu.au</w:t>
              </w:r>
            </w:hyperlink>
            <w:r>
              <w:rPr>
                <w:rFonts w:ascii="Arial" w:hAnsi="Arial" w:cs="Arial"/>
                <w:color w:val="094A82"/>
                <w:lang w:eastAsia="en-US"/>
              </w:rPr>
              <w:br/>
            </w:r>
            <w:hyperlink r:id="rId9" w:tgtFrame="_blank" w:history="1">
              <w:r>
                <w:rPr>
                  <w:rStyle w:val="Hyperlink"/>
                  <w:rFonts w:ascii="Arial" w:hAnsi="Arial" w:cs="Arial"/>
                  <w:u w:val="none"/>
                  <w:lang w:eastAsia="en-US"/>
                </w:rPr>
                <w:t>www.pbc.wa.edu.au</w:t>
              </w:r>
            </w:hyperlink>
            <w:r>
              <w:rPr>
                <w:rFonts w:ascii="Arial" w:hAnsi="Arial" w:cs="Arial"/>
                <w:color w:val="094A82"/>
                <w:lang w:eastAsia="en-US"/>
              </w:rPr>
              <w:t xml:space="preserve"> </w:t>
            </w:r>
          </w:p>
        </w:tc>
      </w:tr>
      <w:tr w:rsidR="0025578A" w:rsidTr="0025578A">
        <w:tc>
          <w:tcPr>
            <w:tcW w:w="6000" w:type="dxa"/>
            <w:gridSpan w:val="4"/>
            <w:shd w:val="clear" w:color="auto" w:fill="FFFFFF"/>
            <w:vAlign w:val="center"/>
            <w:hideMark/>
          </w:tcPr>
          <w:p w:rsidR="0025578A" w:rsidRDefault="0025578A">
            <w:pPr>
              <w:jc w:val="center"/>
              <w:rPr>
                <w:lang w:eastAsia="en-US"/>
              </w:rPr>
            </w:pPr>
            <w:r>
              <w:rPr>
                <w:noProof/>
              </w:rPr>
              <w:drawing>
                <wp:inline distT="0" distB="0" distL="0" distR="0">
                  <wp:extent cx="3810000" cy="1133475"/>
                  <wp:effectExtent l="0" t="0" r="0" b="9525"/>
                  <wp:docPr id="1" name="Picture 1" descr="Thinking Service since 1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nking Service since 19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133475"/>
                          </a:xfrm>
                          <a:prstGeom prst="rect">
                            <a:avLst/>
                          </a:prstGeom>
                          <a:noFill/>
                          <a:ln>
                            <a:noFill/>
                          </a:ln>
                        </pic:spPr>
                      </pic:pic>
                    </a:graphicData>
                  </a:graphic>
                </wp:inline>
              </w:drawing>
            </w:r>
          </w:p>
        </w:tc>
      </w:tr>
      <w:tr w:rsidR="0025578A" w:rsidTr="0025578A">
        <w:tc>
          <w:tcPr>
            <w:tcW w:w="6000" w:type="dxa"/>
            <w:gridSpan w:val="4"/>
            <w:shd w:val="clear" w:color="auto" w:fill="FFFFFF"/>
            <w:vAlign w:val="center"/>
            <w:hideMark/>
          </w:tcPr>
          <w:p w:rsidR="0025578A" w:rsidRDefault="0025578A">
            <w:pPr>
              <w:jc w:val="center"/>
              <w:rPr>
                <w:rFonts w:ascii="Arial" w:hAnsi="Arial" w:cs="Arial"/>
                <w:lang w:eastAsia="en-US"/>
              </w:rPr>
            </w:pPr>
            <w:r>
              <w:rPr>
                <w:rFonts w:ascii="Arial" w:hAnsi="Arial" w:cs="Arial"/>
                <w:color w:val="999999"/>
                <w:sz w:val="15"/>
                <w:szCs w:val="15"/>
                <w:lang w:eastAsia="en-US"/>
              </w:rPr>
              <w:lastRenderedPageBreak/>
              <w:t>This email is intended for the stated recipient only, and may contain confidential information. If you are not the stated recipient, you are not allowed to use or disclose any information contained within this communication. If you have received this email in error, please contact the sender immediately and delete this email from your system.</w:t>
            </w:r>
            <w:r>
              <w:rPr>
                <w:rFonts w:ascii="Arial" w:hAnsi="Arial" w:cs="Arial"/>
                <w:lang w:eastAsia="en-US"/>
              </w:rPr>
              <w:t xml:space="preserve"> </w:t>
            </w:r>
          </w:p>
        </w:tc>
      </w:tr>
    </w:tbl>
    <w:p w:rsidR="0025578A" w:rsidRDefault="0025578A" w:rsidP="0025578A"/>
    <w:p w:rsidR="00626E28" w:rsidRDefault="0025578A">
      <w:bookmarkStart w:id="0" w:name="_GoBack"/>
      <w:bookmarkEnd w:id="0"/>
    </w:p>
    <w:sectPr w:rsidR="00626E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8A"/>
    <w:rsid w:val="0025578A"/>
    <w:rsid w:val="00573F7A"/>
    <w:rsid w:val="00A816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4F8C6-E281-4328-8374-939F8F42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78A"/>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57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8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pbc.wa.edu.au"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tel:+6189243200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pbc.wa.edu.au/" TargetMode="External"/><Relationship Id="rId15" Type="http://schemas.openxmlformats.org/officeDocument/2006/relationships/customXml" Target="../customXml/item3.xm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pbc.wa.edu.a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4B0797088B9428D3F2AE3D1B82016" ma:contentTypeVersion="0" ma:contentTypeDescription="Create a new document." ma:contentTypeScope="" ma:versionID="37bfcbbe32baefe3c35bcdf8f4683e6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86506C-1130-41A9-B5BE-E3ACF601205C}"/>
</file>

<file path=customXml/itemProps2.xml><?xml version="1.0" encoding="utf-8"?>
<ds:datastoreItem xmlns:ds="http://schemas.openxmlformats.org/officeDocument/2006/customXml" ds:itemID="{5798B79A-C7FE-4226-B02D-34CC48F06655}"/>
</file>

<file path=customXml/itemProps3.xml><?xml version="1.0" encoding="utf-8"?>
<ds:datastoreItem xmlns:ds="http://schemas.openxmlformats.org/officeDocument/2006/customXml" ds:itemID="{02A0C08D-05B9-41EA-8F4D-289D080AF071}"/>
</file>

<file path=docProps/app.xml><?xml version="1.0" encoding="utf-8"?>
<Properties xmlns="http://schemas.openxmlformats.org/officeDocument/2006/extended-properties" xmlns:vt="http://schemas.openxmlformats.org/officeDocument/2006/docPropsVTypes">
  <Template>3059FD2F.dotm</Template>
  <TotalTime>1</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KINAL,Larissa</dc:creator>
  <cp:keywords/>
  <dc:description/>
  <cp:lastModifiedBy>KINAL,Larissa</cp:lastModifiedBy>
  <cp:revision>1</cp:revision>
  <dcterms:created xsi:type="dcterms:W3CDTF">2019-02-11T23:28:00Z</dcterms:created>
  <dcterms:modified xsi:type="dcterms:W3CDTF">2019-02-11T23:29:00Z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0x010100F984B0797088B9428D3F2AE3D1B82016</vt:lpwstr>
  </property>
</Properties>
</file>