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CBF9F" w14:textId="77777777" w:rsidR="00DC4DCB" w:rsidRDefault="00DC4DCB" w:rsidP="00DC4DCB">
      <w:pPr>
        <w:jc w:val="right"/>
        <w:rPr>
          <w:rFonts w:ascii="Tw Cen MT" w:hAnsi="Tw Cen MT"/>
          <w:color w:val="000000" w:themeColor="text1"/>
        </w:rPr>
      </w:pPr>
      <w:bookmarkStart w:id="0" w:name="_GoBack"/>
      <w:r>
        <w:rPr>
          <w:rFonts w:ascii="Tw Cen MT" w:hAnsi="Tw Cen MT"/>
          <w:noProof/>
          <w:color w:val="000000" w:themeColor="text1"/>
          <w:lang w:val="en-GB" w:eastAsia="en-GB"/>
        </w:rPr>
        <w:drawing>
          <wp:anchor distT="0" distB="0" distL="114300" distR="114300" simplePos="0" relativeHeight="251658240" behindDoc="0" locked="0" layoutInCell="1" allowOverlap="1" wp14:anchorId="09E1730F" wp14:editId="3FB3F538">
            <wp:simplePos x="0" y="0"/>
            <wp:positionH relativeFrom="margin">
              <wp:align>left</wp:align>
            </wp:positionH>
            <wp:positionV relativeFrom="margin">
              <wp:align>top</wp:align>
            </wp:positionV>
            <wp:extent cx="3766820" cy="9169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ERAA_logo.png"/>
                    <pic:cNvPicPr/>
                  </pic:nvPicPr>
                  <pic:blipFill>
                    <a:blip r:embed="rId10">
                      <a:extLst>
                        <a:ext uri="{28A0092B-C50C-407E-A947-70E740481C1C}">
                          <a14:useLocalDpi xmlns:a14="http://schemas.microsoft.com/office/drawing/2010/main" val="0"/>
                        </a:ext>
                      </a:extLst>
                    </a:blip>
                    <a:stretch>
                      <a:fillRect/>
                    </a:stretch>
                  </pic:blipFill>
                  <pic:spPr>
                    <a:xfrm>
                      <a:off x="0" y="0"/>
                      <a:ext cx="3771499" cy="918062"/>
                    </a:xfrm>
                    <a:prstGeom prst="rect">
                      <a:avLst/>
                    </a:prstGeom>
                  </pic:spPr>
                </pic:pic>
              </a:graphicData>
            </a:graphic>
            <wp14:sizeRelH relativeFrom="margin">
              <wp14:pctWidth>0</wp14:pctWidth>
            </wp14:sizeRelH>
            <wp14:sizeRelV relativeFrom="margin">
              <wp14:pctHeight>0</wp14:pctHeight>
            </wp14:sizeRelV>
          </wp:anchor>
        </w:drawing>
      </w:r>
      <w:r>
        <w:rPr>
          <w:rFonts w:ascii="Tw Cen MT" w:hAnsi="Tw Cen MT"/>
          <w:color w:val="000000" w:themeColor="text1"/>
        </w:rPr>
        <w:t xml:space="preserve">          </w:t>
      </w:r>
    </w:p>
    <w:p w14:paraId="081C8C4C" w14:textId="77777777" w:rsidR="00DC4DCB" w:rsidRDefault="00DC4DCB" w:rsidP="00DC4DCB">
      <w:pPr>
        <w:jc w:val="right"/>
        <w:rPr>
          <w:rFonts w:ascii="Tw Cen MT" w:hAnsi="Tw Cen MT"/>
          <w:color w:val="000000" w:themeColor="text1"/>
        </w:rPr>
      </w:pPr>
      <w:r w:rsidRPr="00DC4DCB">
        <w:rPr>
          <w:rFonts w:ascii="Tw Cen MT" w:hAnsi="Tw Cen MT"/>
          <w:color w:val="000000" w:themeColor="text1"/>
        </w:rPr>
        <w:t xml:space="preserve">  </w:t>
      </w:r>
    </w:p>
    <w:p w14:paraId="26167D6C" w14:textId="4A3EF7CE" w:rsidR="00DC4DCB" w:rsidRPr="00DC4DCB" w:rsidRDefault="00DC4DCB" w:rsidP="00DC4DCB">
      <w:pPr>
        <w:jc w:val="right"/>
        <w:rPr>
          <w:rFonts w:ascii="Tw Cen MT" w:hAnsi="Tw Cen MT" w:cstheme="minorHAnsi"/>
          <w:bCs/>
        </w:rPr>
      </w:pPr>
      <w:r w:rsidRPr="00DC4DCB">
        <w:rPr>
          <w:rFonts w:ascii="Tw Cen MT" w:hAnsi="Tw Cen MT" w:cstheme="minorHAnsi"/>
          <w:bCs/>
        </w:rPr>
        <w:t xml:space="preserve">PO Box 2044, </w:t>
      </w:r>
    </w:p>
    <w:p w14:paraId="408B3493" w14:textId="47D65FB7" w:rsidR="00DC4DCB" w:rsidRPr="00DC4DCB" w:rsidRDefault="00DC4DCB" w:rsidP="00DC4DCB">
      <w:pPr>
        <w:jc w:val="right"/>
        <w:rPr>
          <w:rFonts w:ascii="Tw Cen MT" w:hAnsi="Tw Cen MT" w:cstheme="minorHAnsi"/>
          <w:bCs/>
        </w:rPr>
      </w:pPr>
      <w:r w:rsidRPr="00DC4DCB">
        <w:rPr>
          <w:rFonts w:ascii="Tw Cen MT" w:hAnsi="Tw Cen MT" w:cstheme="minorHAnsi"/>
          <w:bCs/>
        </w:rPr>
        <w:t>Dangar NSW 2309</w:t>
      </w:r>
    </w:p>
    <w:p w14:paraId="0622D443" w14:textId="0135CD95" w:rsidR="00DC4DCB" w:rsidRPr="00DC4DCB" w:rsidRDefault="00DC4DCB" w:rsidP="00DC4DCB">
      <w:pPr>
        <w:jc w:val="right"/>
        <w:rPr>
          <w:rFonts w:ascii="Tw Cen MT" w:hAnsi="Tw Cen MT"/>
          <w:color w:val="000000" w:themeColor="text1"/>
        </w:rPr>
      </w:pPr>
      <w:r w:rsidRPr="00DC4DCB">
        <w:rPr>
          <w:rFonts w:ascii="Tw Cen MT" w:hAnsi="Tw Cen MT" w:cstheme="minorHAnsi"/>
          <w:bCs/>
        </w:rPr>
        <w:t>Australia</w:t>
      </w:r>
    </w:p>
    <w:p w14:paraId="4D743F97" w14:textId="550F21A9" w:rsidR="00F0363E" w:rsidRDefault="00DC4DCB" w:rsidP="00DC4DCB">
      <w:pPr>
        <w:pStyle w:val="Heading1"/>
        <w:shd w:val="clear" w:color="auto" w:fill="FFFFFF"/>
        <w:rPr>
          <w:rFonts w:ascii="Tw Cen MT" w:hAnsi="Tw Cen MT"/>
          <w:color w:val="000000" w:themeColor="text1"/>
          <w:sz w:val="24"/>
          <w:szCs w:val="24"/>
        </w:rPr>
      </w:pPr>
      <w:r>
        <w:rPr>
          <w:rFonts w:ascii="Tw Cen MT" w:hAnsi="Tw Cen MT"/>
          <w:color w:val="000000" w:themeColor="text1"/>
          <w:sz w:val="24"/>
          <w:szCs w:val="24"/>
        </w:rPr>
        <w:t xml:space="preserve"> </w:t>
      </w:r>
    </w:p>
    <w:p w14:paraId="15A74FD9" w14:textId="125F5620" w:rsidR="00DC4DCB" w:rsidRDefault="00DC4DCB" w:rsidP="00DC4DCB">
      <w:pPr>
        <w:pStyle w:val="Heading1"/>
        <w:shd w:val="clear" w:color="auto" w:fill="FFFFFF"/>
        <w:rPr>
          <w:rFonts w:ascii="Tw Cen MT" w:hAnsi="Tw Cen MT"/>
          <w:color w:val="000000" w:themeColor="text1"/>
          <w:sz w:val="24"/>
          <w:szCs w:val="24"/>
        </w:rPr>
      </w:pPr>
      <w:r>
        <w:rPr>
          <w:rFonts w:ascii="Tw Cen MT" w:hAnsi="Tw Cen MT"/>
          <w:color w:val="000000" w:themeColor="text1"/>
          <w:sz w:val="24"/>
          <w:szCs w:val="24"/>
        </w:rPr>
        <w:t xml:space="preserve">      </w:t>
      </w:r>
    </w:p>
    <w:p w14:paraId="3370BA27" w14:textId="6E77BF32" w:rsidR="0005047C" w:rsidRPr="00D17990" w:rsidRDefault="0005047C" w:rsidP="00C71E48">
      <w:pPr>
        <w:pStyle w:val="Heading1"/>
        <w:shd w:val="clear" w:color="auto" w:fill="FFFFFF"/>
        <w:jc w:val="center"/>
        <w:rPr>
          <w:rFonts w:ascii="Tw Cen MT" w:eastAsia="Times New Roman" w:hAnsi="Tw Cen MT"/>
          <w:color w:val="252525"/>
          <w:sz w:val="24"/>
          <w:szCs w:val="24"/>
        </w:rPr>
      </w:pPr>
      <w:r w:rsidRPr="00D17990">
        <w:rPr>
          <w:rFonts w:ascii="Tw Cen MT" w:hAnsi="Tw Cen MT"/>
          <w:color w:val="000000" w:themeColor="text1"/>
          <w:sz w:val="24"/>
          <w:szCs w:val="24"/>
        </w:rPr>
        <w:t>S</w:t>
      </w:r>
      <w:r w:rsidR="00DC4DCB">
        <w:rPr>
          <w:rFonts w:ascii="Tw Cen MT" w:hAnsi="Tw Cen MT"/>
          <w:color w:val="000000" w:themeColor="text1"/>
          <w:sz w:val="24"/>
          <w:szCs w:val="24"/>
        </w:rPr>
        <w:t>u</w:t>
      </w:r>
      <w:r w:rsidRPr="00D17990">
        <w:rPr>
          <w:rFonts w:ascii="Tw Cen MT" w:hAnsi="Tw Cen MT"/>
          <w:color w:val="000000" w:themeColor="text1"/>
          <w:sz w:val="24"/>
          <w:szCs w:val="24"/>
        </w:rPr>
        <w:t xml:space="preserve">bmission from the Journalism Education &amp; Research Association of Australia (JERAA) to the </w:t>
      </w:r>
      <w:r w:rsidR="00C71E48" w:rsidRPr="00D17990">
        <w:rPr>
          <w:rFonts w:ascii="Tw Cen MT" w:eastAsia="Times New Roman" w:hAnsi="Tw Cen MT"/>
          <w:color w:val="252525"/>
          <w:sz w:val="24"/>
          <w:szCs w:val="24"/>
        </w:rPr>
        <w:t>Job-ready Graduates Package draft legislation consultation</w:t>
      </w:r>
    </w:p>
    <w:p w14:paraId="06A231E1" w14:textId="6839771F" w:rsidR="0005047C" w:rsidRPr="003714C9" w:rsidRDefault="0005047C" w:rsidP="0005047C">
      <w:pPr>
        <w:jc w:val="center"/>
        <w:rPr>
          <w:rFonts w:ascii="Tw Cen MT" w:hAnsi="Tw Cen MT"/>
          <w:b/>
          <w:bCs/>
          <w:color w:val="000000" w:themeColor="text1"/>
        </w:rPr>
      </w:pPr>
      <w:r w:rsidRPr="003714C9">
        <w:rPr>
          <w:rFonts w:ascii="Tw Cen MT" w:hAnsi="Tw Cen MT"/>
          <w:b/>
          <w:bCs/>
          <w:color w:val="000000" w:themeColor="text1"/>
        </w:rPr>
        <w:t>Prepared by JERAA</w:t>
      </w:r>
      <w:r w:rsidR="00C71E48" w:rsidRPr="003714C9">
        <w:rPr>
          <w:rFonts w:ascii="Tw Cen MT" w:hAnsi="Tw Cen MT"/>
          <w:b/>
          <w:bCs/>
          <w:color w:val="000000" w:themeColor="text1"/>
        </w:rPr>
        <w:t xml:space="preserve"> V.P. Research Associate Professor Fiona Martin</w:t>
      </w:r>
      <w:r w:rsidRPr="003714C9">
        <w:rPr>
          <w:rFonts w:ascii="Tw Cen MT" w:hAnsi="Tw Cen MT"/>
          <w:b/>
          <w:bCs/>
          <w:color w:val="000000" w:themeColor="text1"/>
        </w:rPr>
        <w:t xml:space="preserve">, </w:t>
      </w:r>
      <w:r w:rsidR="00C71E48" w:rsidRPr="003714C9">
        <w:rPr>
          <w:rFonts w:ascii="Tw Cen MT" w:hAnsi="Tw Cen MT"/>
          <w:b/>
          <w:bCs/>
          <w:color w:val="000000" w:themeColor="text1"/>
        </w:rPr>
        <w:t xml:space="preserve">University of Sydney </w:t>
      </w:r>
      <w:r w:rsidR="006453A8" w:rsidRPr="003714C9">
        <w:rPr>
          <w:rFonts w:ascii="Tw Cen MT" w:hAnsi="Tw Cen MT"/>
          <w:b/>
          <w:bCs/>
          <w:color w:val="000000" w:themeColor="text1"/>
        </w:rPr>
        <w:t>and JERAA President Dr Alex Wake,</w:t>
      </w:r>
      <w:r w:rsidR="00D86628">
        <w:rPr>
          <w:rFonts w:ascii="Tw Cen MT" w:hAnsi="Tw Cen MT"/>
          <w:b/>
          <w:bCs/>
          <w:color w:val="000000" w:themeColor="text1"/>
        </w:rPr>
        <w:t xml:space="preserve"> RMIT,</w:t>
      </w:r>
      <w:r w:rsidR="006453A8" w:rsidRPr="003714C9">
        <w:rPr>
          <w:rFonts w:ascii="Tw Cen MT" w:hAnsi="Tw Cen MT"/>
          <w:b/>
          <w:bCs/>
          <w:color w:val="000000" w:themeColor="text1"/>
        </w:rPr>
        <w:t xml:space="preserve"> </w:t>
      </w:r>
      <w:r w:rsidRPr="003714C9">
        <w:rPr>
          <w:rFonts w:ascii="Tw Cen MT" w:hAnsi="Tw Cen MT"/>
          <w:b/>
          <w:bCs/>
          <w:color w:val="000000" w:themeColor="text1"/>
        </w:rPr>
        <w:t>with input members of the JERAA executive.</w:t>
      </w:r>
    </w:p>
    <w:p w14:paraId="76586A37" w14:textId="77777777" w:rsidR="0005047C" w:rsidRPr="003714C9" w:rsidRDefault="0005047C" w:rsidP="00FF6F97">
      <w:pPr>
        <w:rPr>
          <w:rFonts w:ascii="Tw Cen MT" w:hAnsi="Tw Cen MT"/>
          <w:color w:val="000000" w:themeColor="text1"/>
        </w:rPr>
      </w:pPr>
    </w:p>
    <w:p w14:paraId="38EFC760" w14:textId="77777777" w:rsidR="0005047C" w:rsidRPr="003714C9" w:rsidRDefault="0005047C" w:rsidP="00FF6F97">
      <w:pPr>
        <w:rPr>
          <w:rFonts w:ascii="Tw Cen MT" w:hAnsi="Tw Cen MT"/>
          <w:color w:val="000000" w:themeColor="text1"/>
        </w:rPr>
      </w:pPr>
    </w:p>
    <w:p w14:paraId="22B9308D" w14:textId="75FA9D11" w:rsidR="00FF6F97" w:rsidRPr="003714C9" w:rsidRDefault="00FF6F97" w:rsidP="00FF6F97">
      <w:pPr>
        <w:rPr>
          <w:rFonts w:ascii="Tw Cen MT" w:hAnsi="Tw Cen MT"/>
          <w:color w:val="000000" w:themeColor="text1"/>
        </w:rPr>
      </w:pPr>
      <w:r w:rsidRPr="003714C9">
        <w:rPr>
          <w:rFonts w:ascii="Tw Cen MT" w:hAnsi="Tw Cen MT"/>
          <w:color w:val="000000" w:themeColor="text1"/>
        </w:rPr>
        <w:t xml:space="preserve">The Journalism Education and Research Association of Australia Incorporated (JERAA Inc.) is the peak body of Australian journalism educators and researchers from tertiary education and industry organisations. JERAA’s primary aim is to raise the standard of teaching and training in journalism in order to foster excellence and integrity in the future generation of journalism practitioners. JERAA also supports research, with the understanding that this can help communities to identify and analyse important media and communications issues, to resolve problems, and to promote or celebrate excellence in journalism and journalism education. JERAA runs annual awards and grants for journalism students and journalism researchers to recognise and encourage quality in journalism practice, study and research. </w:t>
      </w:r>
    </w:p>
    <w:p w14:paraId="2A687C6E" w14:textId="057A4721" w:rsidR="000B7BE1" w:rsidRPr="003714C9" w:rsidRDefault="000B7BE1" w:rsidP="00FF6F97">
      <w:pPr>
        <w:rPr>
          <w:rFonts w:ascii="Tw Cen MT" w:hAnsi="Tw Cen MT"/>
          <w:color w:val="000000" w:themeColor="text1"/>
        </w:rPr>
      </w:pPr>
    </w:p>
    <w:p w14:paraId="1C276EC2" w14:textId="1BA7774B" w:rsidR="000B7BE1" w:rsidRPr="00D17990" w:rsidRDefault="000B7BE1" w:rsidP="000B7BE1">
      <w:pPr>
        <w:rPr>
          <w:rFonts w:ascii="Tw Cen MT" w:hAnsi="Tw Cen MT" w:cs="Calibri"/>
          <w:color w:val="000000" w:themeColor="text1"/>
          <w:bdr w:val="none" w:sz="0" w:space="0" w:color="auto" w:frame="1"/>
        </w:rPr>
      </w:pPr>
      <w:r w:rsidRPr="00D17990">
        <w:rPr>
          <w:rFonts w:ascii="Tw Cen MT" w:hAnsi="Tw Cen MT" w:cs="Calibri"/>
          <w:color w:val="000000" w:themeColor="text1"/>
          <w:bdr w:val="none" w:sz="0" w:space="0" w:color="auto" w:frame="1"/>
        </w:rPr>
        <w:t xml:space="preserve">At a time </w:t>
      </w:r>
      <w:r w:rsidR="00443812" w:rsidRPr="00D17990">
        <w:rPr>
          <w:rFonts w:ascii="Tw Cen MT" w:hAnsi="Tw Cen MT" w:cs="Calibri"/>
          <w:color w:val="000000" w:themeColor="text1"/>
          <w:bdr w:val="none" w:sz="0" w:space="0" w:color="auto" w:frame="1"/>
        </w:rPr>
        <w:t xml:space="preserve">when Australian society </w:t>
      </w:r>
      <w:r w:rsidR="002B0229">
        <w:rPr>
          <w:rFonts w:ascii="Tw Cen MT" w:hAnsi="Tw Cen MT" w:cs="Calibri"/>
          <w:color w:val="000000" w:themeColor="text1"/>
          <w:bdr w:val="none" w:sz="0" w:space="0" w:color="auto" w:frame="1"/>
        </w:rPr>
        <w:t xml:space="preserve">is </w:t>
      </w:r>
      <w:r w:rsidR="009469C9">
        <w:rPr>
          <w:rFonts w:ascii="Tw Cen MT" w:hAnsi="Tw Cen MT" w:cs="Calibri"/>
          <w:color w:val="000000" w:themeColor="text1"/>
          <w:bdr w:val="none" w:sz="0" w:space="0" w:color="auto" w:frame="1"/>
        </w:rPr>
        <w:t xml:space="preserve">dependent on journalism to keep citizens abreast of </w:t>
      </w:r>
      <w:r w:rsidR="002B0229">
        <w:rPr>
          <w:rFonts w:ascii="Tw Cen MT" w:hAnsi="Tw Cen MT" w:cs="Calibri"/>
          <w:color w:val="000000" w:themeColor="text1"/>
          <w:bdr w:val="none" w:sz="0" w:space="0" w:color="auto" w:frame="1"/>
        </w:rPr>
        <w:t xml:space="preserve">developments in </w:t>
      </w:r>
      <w:r w:rsidR="009469C9">
        <w:rPr>
          <w:rFonts w:ascii="Tw Cen MT" w:hAnsi="Tw Cen MT" w:cs="Calibri"/>
          <w:color w:val="000000" w:themeColor="text1"/>
          <w:bdr w:val="none" w:sz="0" w:space="0" w:color="auto" w:frame="1"/>
        </w:rPr>
        <w:t>the global pandemic</w:t>
      </w:r>
      <w:r w:rsidR="00D05CC8">
        <w:rPr>
          <w:rFonts w:ascii="Tw Cen MT" w:hAnsi="Tw Cen MT" w:cs="Calibri"/>
          <w:color w:val="000000" w:themeColor="text1"/>
          <w:bdr w:val="none" w:sz="0" w:space="0" w:color="auto" w:frame="1"/>
        </w:rPr>
        <w:t xml:space="preserve"> and natural disasters</w:t>
      </w:r>
      <w:r w:rsidR="009469C9">
        <w:rPr>
          <w:rFonts w:ascii="Tw Cen MT" w:hAnsi="Tw Cen MT" w:cs="Calibri"/>
          <w:color w:val="000000" w:themeColor="text1"/>
          <w:bdr w:val="none" w:sz="0" w:space="0" w:color="auto" w:frame="1"/>
        </w:rPr>
        <w:t xml:space="preserve">, and the community </w:t>
      </w:r>
      <w:r w:rsidR="00443812" w:rsidRPr="00D17990">
        <w:rPr>
          <w:rFonts w:ascii="Tw Cen MT" w:hAnsi="Tw Cen MT" w:cs="Calibri"/>
          <w:color w:val="000000" w:themeColor="text1"/>
          <w:bdr w:val="none" w:sz="0" w:space="0" w:color="auto" w:frame="1"/>
        </w:rPr>
        <w:t>is</w:t>
      </w:r>
      <w:r w:rsidRPr="00D17990">
        <w:rPr>
          <w:rFonts w:ascii="Tw Cen MT" w:hAnsi="Tw Cen MT" w:cs="Calibri"/>
          <w:color w:val="000000" w:themeColor="text1"/>
          <w:bdr w:val="none" w:sz="0" w:space="0" w:color="auto" w:frame="1"/>
        </w:rPr>
        <w:t xml:space="preserve"> </w:t>
      </w:r>
      <w:r w:rsidR="00524E78" w:rsidRPr="00D17990">
        <w:rPr>
          <w:rFonts w:ascii="Tw Cen MT" w:hAnsi="Tw Cen MT" w:cs="Calibri"/>
          <w:color w:val="000000" w:themeColor="text1"/>
          <w:bdr w:val="none" w:sz="0" w:space="0" w:color="auto" w:frame="1"/>
        </w:rPr>
        <w:t xml:space="preserve">besieged by </w:t>
      </w:r>
      <w:proofErr w:type="spellStart"/>
      <w:r w:rsidRPr="00D17990">
        <w:rPr>
          <w:rFonts w:ascii="Tw Cen MT" w:hAnsi="Tw Cen MT" w:cs="Calibri"/>
          <w:color w:val="000000" w:themeColor="text1"/>
          <w:bdr w:val="none" w:sz="0" w:space="0" w:color="auto" w:frame="1"/>
        </w:rPr>
        <w:t>mis</w:t>
      </w:r>
      <w:proofErr w:type="spellEnd"/>
      <w:r w:rsidR="009469C9">
        <w:rPr>
          <w:rFonts w:ascii="Tw Cen MT" w:hAnsi="Tw Cen MT" w:cs="Calibri"/>
          <w:color w:val="000000" w:themeColor="text1"/>
          <w:bdr w:val="none" w:sz="0" w:space="0" w:color="auto" w:frame="1"/>
        </w:rPr>
        <w:t>-</w:t>
      </w:r>
      <w:r w:rsidR="00524E78" w:rsidRPr="00D17990">
        <w:rPr>
          <w:rFonts w:ascii="Tw Cen MT" w:hAnsi="Tw Cen MT" w:cs="Calibri"/>
          <w:color w:val="000000" w:themeColor="text1"/>
          <w:bdr w:val="none" w:sz="0" w:space="0" w:color="auto" w:frame="1"/>
        </w:rPr>
        <w:t xml:space="preserve"> and dis</w:t>
      </w:r>
      <w:r w:rsidRPr="00D17990">
        <w:rPr>
          <w:rFonts w:ascii="Tw Cen MT" w:hAnsi="Tw Cen MT" w:cs="Calibri"/>
          <w:color w:val="000000" w:themeColor="text1"/>
          <w:bdr w:val="none" w:sz="0" w:space="0" w:color="auto" w:frame="1"/>
        </w:rPr>
        <w:t>information</w:t>
      </w:r>
      <w:r w:rsidR="009469C9">
        <w:rPr>
          <w:rFonts w:ascii="Tw Cen MT" w:hAnsi="Tw Cen MT" w:cs="Calibri"/>
          <w:color w:val="000000" w:themeColor="text1"/>
          <w:bdr w:val="none" w:sz="0" w:space="0" w:color="auto" w:frame="1"/>
        </w:rPr>
        <w:t>,</w:t>
      </w:r>
      <w:r w:rsidR="00443812" w:rsidRPr="00D17990">
        <w:rPr>
          <w:rFonts w:ascii="Tw Cen MT" w:hAnsi="Tw Cen MT" w:cs="Calibri"/>
          <w:color w:val="000000" w:themeColor="text1"/>
          <w:bdr w:val="none" w:sz="0" w:space="0" w:color="auto" w:frame="1"/>
        </w:rPr>
        <w:t xml:space="preserve"> </w:t>
      </w:r>
      <w:r w:rsidR="001F018E" w:rsidRPr="00D17990">
        <w:rPr>
          <w:rFonts w:ascii="Tw Cen MT" w:hAnsi="Tw Cen MT" w:cs="Calibri"/>
          <w:color w:val="000000" w:themeColor="text1"/>
          <w:bdr w:val="none" w:sz="0" w:space="0" w:color="auto" w:frame="1"/>
        </w:rPr>
        <w:t xml:space="preserve">it is essential to </w:t>
      </w:r>
      <w:r w:rsidR="00F144C7" w:rsidRPr="00D17990">
        <w:rPr>
          <w:rFonts w:ascii="Tw Cen MT" w:hAnsi="Tw Cen MT" w:cs="Calibri"/>
          <w:color w:val="000000" w:themeColor="text1"/>
          <w:bdr w:val="none" w:sz="0" w:space="0" w:color="auto" w:frame="1"/>
        </w:rPr>
        <w:t>encourage tertiary journalism education</w:t>
      </w:r>
      <w:r w:rsidR="00D05CC8">
        <w:rPr>
          <w:rFonts w:ascii="Tw Cen MT" w:hAnsi="Tw Cen MT" w:cs="Calibri"/>
          <w:color w:val="000000" w:themeColor="text1"/>
          <w:bdr w:val="none" w:sz="0" w:space="0" w:color="auto" w:frame="1"/>
        </w:rPr>
        <w:t>. Our universities</w:t>
      </w:r>
      <w:r w:rsidR="00F144C7" w:rsidRPr="00D17990">
        <w:rPr>
          <w:rFonts w:ascii="Tw Cen MT" w:hAnsi="Tw Cen MT" w:cs="Calibri"/>
          <w:color w:val="000000" w:themeColor="text1"/>
          <w:bdr w:val="none" w:sz="0" w:space="0" w:color="auto" w:frame="1"/>
        </w:rPr>
        <w:t xml:space="preserve"> foster professionals who produce the accurate</w:t>
      </w:r>
      <w:r w:rsidRPr="00D17990">
        <w:rPr>
          <w:rFonts w:ascii="Tw Cen MT" w:hAnsi="Tw Cen MT" w:cs="Calibri"/>
          <w:color w:val="000000" w:themeColor="text1"/>
          <w:bdr w:val="none" w:sz="0" w:space="0" w:color="auto" w:frame="1"/>
        </w:rPr>
        <w:t xml:space="preserve"> information</w:t>
      </w:r>
      <w:r w:rsidR="00F144C7" w:rsidRPr="00D17990">
        <w:rPr>
          <w:rFonts w:ascii="Tw Cen MT" w:hAnsi="Tw Cen MT" w:cs="Calibri"/>
          <w:color w:val="000000" w:themeColor="text1"/>
          <w:bdr w:val="none" w:sz="0" w:space="0" w:color="auto" w:frame="1"/>
        </w:rPr>
        <w:t>, analysis, investigation</w:t>
      </w:r>
      <w:r w:rsidRPr="00D17990">
        <w:rPr>
          <w:rFonts w:ascii="Tw Cen MT" w:hAnsi="Tw Cen MT" w:cs="Calibri"/>
          <w:color w:val="000000" w:themeColor="text1"/>
          <w:bdr w:val="none" w:sz="0" w:space="0" w:color="auto" w:frame="1"/>
        </w:rPr>
        <w:t xml:space="preserve"> and ideas</w:t>
      </w:r>
      <w:r w:rsidR="00F144C7" w:rsidRPr="00D17990">
        <w:rPr>
          <w:rFonts w:ascii="Tw Cen MT" w:hAnsi="Tw Cen MT" w:cs="Calibri"/>
          <w:color w:val="000000" w:themeColor="text1"/>
          <w:bdr w:val="none" w:sz="0" w:space="0" w:color="auto" w:frame="1"/>
        </w:rPr>
        <w:t xml:space="preserve"> </w:t>
      </w:r>
      <w:r w:rsidR="00D05CC8">
        <w:rPr>
          <w:rFonts w:ascii="Tw Cen MT" w:hAnsi="Tw Cen MT" w:cs="Calibri"/>
          <w:color w:val="000000" w:themeColor="text1"/>
          <w:bdr w:val="none" w:sz="0" w:space="0" w:color="auto" w:frame="1"/>
        </w:rPr>
        <w:t xml:space="preserve">which underpin </w:t>
      </w:r>
      <w:r w:rsidR="00F144C7" w:rsidRPr="00D17990">
        <w:rPr>
          <w:rFonts w:ascii="Tw Cen MT" w:hAnsi="Tw Cen MT" w:cs="Calibri"/>
          <w:color w:val="000000" w:themeColor="text1"/>
          <w:bdr w:val="none" w:sz="0" w:space="0" w:color="auto" w:frame="1"/>
        </w:rPr>
        <w:t>our democratic processes.</w:t>
      </w:r>
    </w:p>
    <w:p w14:paraId="44E7A431" w14:textId="77777777" w:rsidR="00443812" w:rsidRPr="00D17990" w:rsidRDefault="00443812" w:rsidP="000B7BE1">
      <w:pPr>
        <w:rPr>
          <w:rFonts w:ascii="Tw Cen MT" w:hAnsi="Tw Cen MT" w:cs="Calibri"/>
          <w:color w:val="000000" w:themeColor="text1"/>
          <w:bdr w:val="none" w:sz="0" w:space="0" w:color="auto" w:frame="1"/>
        </w:rPr>
      </w:pPr>
    </w:p>
    <w:p w14:paraId="72437880" w14:textId="61AC8486" w:rsidR="003714C9" w:rsidRPr="00D17990" w:rsidRDefault="003714C9" w:rsidP="000B7BE1">
      <w:pPr>
        <w:rPr>
          <w:rFonts w:ascii="Tw Cen MT" w:hAnsi="Tw Cen MT" w:cs="Calibri"/>
          <w:color w:val="000000" w:themeColor="text1"/>
          <w:bdr w:val="none" w:sz="0" w:space="0" w:color="auto" w:frame="1"/>
        </w:rPr>
      </w:pPr>
      <w:r w:rsidRPr="00D17990">
        <w:rPr>
          <w:rFonts w:ascii="Tw Cen MT" w:hAnsi="Tw Cen MT" w:cs="Calibri"/>
          <w:color w:val="000000" w:themeColor="text1"/>
          <w:bdr w:val="none" w:sz="0" w:space="0" w:color="auto" w:frame="1"/>
        </w:rPr>
        <w:t>It is our view that t</w:t>
      </w:r>
      <w:r w:rsidR="000B7BE1" w:rsidRPr="00D17990">
        <w:rPr>
          <w:rFonts w:ascii="Tw Cen MT" w:hAnsi="Tw Cen MT" w:cs="Calibri"/>
          <w:color w:val="000000" w:themeColor="text1"/>
          <w:bdr w:val="none" w:sz="0" w:space="0" w:color="auto" w:frame="1"/>
        </w:rPr>
        <w:t xml:space="preserve">his </w:t>
      </w:r>
      <w:r w:rsidR="00443812" w:rsidRPr="00D17990">
        <w:rPr>
          <w:rFonts w:ascii="Tw Cen MT" w:hAnsi="Tw Cen MT" w:cs="Calibri"/>
          <w:color w:val="000000" w:themeColor="text1"/>
          <w:bdr w:val="none" w:sz="0" w:space="0" w:color="auto" w:frame="1"/>
        </w:rPr>
        <w:t xml:space="preserve">legislation </w:t>
      </w:r>
      <w:r w:rsidRPr="00D17990">
        <w:rPr>
          <w:rFonts w:ascii="Tw Cen MT" w:hAnsi="Tw Cen MT" w:cs="Calibri"/>
          <w:color w:val="000000" w:themeColor="text1"/>
          <w:bdr w:val="none" w:sz="0" w:space="0" w:color="auto" w:frame="1"/>
        </w:rPr>
        <w:t>will further reduce</w:t>
      </w:r>
      <w:r w:rsidR="00443812" w:rsidRPr="00D17990">
        <w:rPr>
          <w:rFonts w:ascii="Tw Cen MT" w:hAnsi="Tw Cen MT" w:cs="Calibri"/>
          <w:color w:val="000000" w:themeColor="text1"/>
          <w:bdr w:val="none" w:sz="0" w:space="0" w:color="auto" w:frame="1"/>
        </w:rPr>
        <w:t xml:space="preserve"> </w:t>
      </w:r>
      <w:r w:rsidRPr="00D17990">
        <w:rPr>
          <w:rFonts w:ascii="Tw Cen MT" w:hAnsi="Tw Cen MT" w:cs="Calibri"/>
          <w:color w:val="000000" w:themeColor="text1"/>
          <w:bdr w:val="none" w:sz="0" w:space="0" w:color="auto" w:frame="1"/>
        </w:rPr>
        <w:t>access</w:t>
      </w:r>
      <w:r w:rsidR="001F018E" w:rsidRPr="00D17990">
        <w:rPr>
          <w:rFonts w:ascii="Tw Cen MT" w:hAnsi="Tw Cen MT" w:cs="Calibri"/>
          <w:color w:val="000000" w:themeColor="text1"/>
          <w:bdr w:val="none" w:sz="0" w:space="0" w:color="auto" w:frame="1"/>
        </w:rPr>
        <w:t xml:space="preserve"> to,</w:t>
      </w:r>
      <w:r w:rsidRPr="00D17990">
        <w:rPr>
          <w:rFonts w:ascii="Tw Cen MT" w:hAnsi="Tw Cen MT" w:cs="Calibri"/>
          <w:color w:val="000000" w:themeColor="text1"/>
          <w:bdr w:val="none" w:sz="0" w:space="0" w:color="auto" w:frame="1"/>
        </w:rPr>
        <w:t xml:space="preserve"> and equity in</w:t>
      </w:r>
      <w:r w:rsidR="001F018E" w:rsidRPr="00D17990">
        <w:rPr>
          <w:rFonts w:ascii="Tw Cen MT" w:hAnsi="Tw Cen MT" w:cs="Calibri"/>
          <w:color w:val="000000" w:themeColor="text1"/>
          <w:bdr w:val="none" w:sz="0" w:space="0" w:color="auto" w:frame="1"/>
        </w:rPr>
        <w:t>,</w:t>
      </w:r>
      <w:r w:rsidR="00443812" w:rsidRPr="00D17990">
        <w:rPr>
          <w:rFonts w:ascii="Tw Cen MT" w:hAnsi="Tw Cen MT" w:cs="Calibri"/>
          <w:color w:val="000000" w:themeColor="text1"/>
          <w:bdr w:val="none" w:sz="0" w:space="0" w:color="auto" w:frame="1"/>
        </w:rPr>
        <w:t xml:space="preserve"> education</w:t>
      </w:r>
      <w:r w:rsidR="00F144C7" w:rsidRPr="00D17990">
        <w:rPr>
          <w:rFonts w:ascii="Tw Cen MT" w:hAnsi="Tw Cen MT" w:cs="Calibri"/>
          <w:color w:val="000000" w:themeColor="text1"/>
          <w:bdr w:val="none" w:sz="0" w:space="0" w:color="auto" w:frame="1"/>
        </w:rPr>
        <w:t xml:space="preserve">, and will </w:t>
      </w:r>
      <w:r w:rsidRPr="00D17990">
        <w:rPr>
          <w:rFonts w:ascii="Tw Cen MT" w:hAnsi="Tw Cen MT" w:cs="Calibri"/>
          <w:color w:val="000000" w:themeColor="text1"/>
          <w:bdr w:val="none" w:sz="0" w:space="0" w:color="auto" w:frame="1"/>
        </w:rPr>
        <w:t xml:space="preserve">reduce the diversity </w:t>
      </w:r>
      <w:r w:rsidR="001F018E" w:rsidRPr="00D17990">
        <w:rPr>
          <w:rFonts w:ascii="Tw Cen MT" w:hAnsi="Tw Cen MT" w:cs="Calibri"/>
          <w:color w:val="000000" w:themeColor="text1"/>
          <w:bdr w:val="none" w:sz="0" w:space="0" w:color="auto" w:frame="1"/>
        </w:rPr>
        <w:t>of potential journalism graduates</w:t>
      </w:r>
      <w:r w:rsidR="00F144C7" w:rsidRPr="00D17990">
        <w:rPr>
          <w:rFonts w:ascii="Tw Cen MT" w:hAnsi="Tw Cen MT" w:cs="Calibri"/>
          <w:color w:val="000000" w:themeColor="text1"/>
          <w:bdr w:val="none" w:sz="0" w:space="0" w:color="auto" w:frame="1"/>
        </w:rPr>
        <w:t>, with negative impacts for industry and society</w:t>
      </w:r>
      <w:r w:rsidRPr="00D17990">
        <w:rPr>
          <w:rFonts w:ascii="Tw Cen MT" w:hAnsi="Tw Cen MT" w:cs="Calibri"/>
          <w:color w:val="000000" w:themeColor="text1"/>
          <w:bdr w:val="none" w:sz="0" w:space="0" w:color="auto" w:frame="1"/>
        </w:rPr>
        <w:t>.</w:t>
      </w:r>
    </w:p>
    <w:p w14:paraId="4ED500AB" w14:textId="77777777" w:rsidR="00FF6F97" w:rsidRPr="00A87566" w:rsidRDefault="00FF6F97" w:rsidP="00FF6F97">
      <w:pPr>
        <w:rPr>
          <w:rFonts w:ascii="Tw Cen MT" w:hAnsi="Tw Cen MT"/>
          <w:color w:val="000000" w:themeColor="text1"/>
          <w14:cntxtAlts/>
        </w:rPr>
      </w:pPr>
    </w:p>
    <w:p w14:paraId="6EEDCD62" w14:textId="5401D91C" w:rsidR="00770342" w:rsidRPr="00D86628" w:rsidRDefault="00770342" w:rsidP="00D86628">
      <w:pPr>
        <w:spacing w:after="120"/>
        <w:contextualSpacing/>
        <w:rPr>
          <w:rFonts w:ascii="Tw Cen MT" w:hAnsi="Tw Cen MT"/>
          <w:kern w:val="24"/>
        </w:rPr>
      </w:pPr>
      <w:r w:rsidRPr="00D86628">
        <w:rPr>
          <w:rFonts w:ascii="Tw Cen MT" w:hAnsi="Tw Cen MT"/>
          <w:kern w:val="24"/>
        </w:rPr>
        <w:t xml:space="preserve">JERAA </w:t>
      </w:r>
      <w:r w:rsidR="000B7BE1" w:rsidRPr="00D86628">
        <w:rPr>
          <w:rFonts w:ascii="Tw Cen MT" w:hAnsi="Tw Cen MT"/>
          <w:kern w:val="24"/>
        </w:rPr>
        <w:t>contends</w:t>
      </w:r>
      <w:r w:rsidR="009469C9" w:rsidRPr="00D86628">
        <w:rPr>
          <w:rFonts w:ascii="Tw Cen MT" w:hAnsi="Tw Cen MT"/>
          <w:kern w:val="24"/>
        </w:rPr>
        <w:t>,</w:t>
      </w:r>
      <w:r w:rsidR="00F144C7" w:rsidRPr="00D86628">
        <w:rPr>
          <w:rFonts w:ascii="Tw Cen MT" w:hAnsi="Tw Cen MT"/>
          <w:kern w:val="24"/>
        </w:rPr>
        <w:t xml:space="preserve"> as a whole,</w:t>
      </w:r>
      <w:r w:rsidRPr="00D86628">
        <w:rPr>
          <w:rFonts w:ascii="Tw Cen MT" w:hAnsi="Tw Cen MT"/>
          <w:kern w:val="24"/>
        </w:rPr>
        <w:t xml:space="preserve"> the government’s package </w:t>
      </w:r>
      <w:r w:rsidR="003714C9" w:rsidRPr="00D86628">
        <w:rPr>
          <w:rFonts w:ascii="Tw Cen MT" w:hAnsi="Tw Cen MT"/>
          <w:kern w:val="24"/>
        </w:rPr>
        <w:t>could</w:t>
      </w:r>
      <w:r w:rsidRPr="00D86628">
        <w:rPr>
          <w:rFonts w:ascii="Tw Cen MT" w:hAnsi="Tw Cen MT"/>
          <w:kern w:val="24"/>
        </w:rPr>
        <w:t>:</w:t>
      </w:r>
    </w:p>
    <w:p w14:paraId="33ED1CD1" w14:textId="6C59F541" w:rsidR="00770342" w:rsidRPr="00D86628" w:rsidRDefault="00F51A04" w:rsidP="00D86628">
      <w:pPr>
        <w:pStyle w:val="ListParagraph"/>
        <w:numPr>
          <w:ilvl w:val="0"/>
          <w:numId w:val="3"/>
        </w:numPr>
        <w:spacing w:after="240" w:line="240" w:lineRule="auto"/>
        <w:ind w:left="714" w:hanging="357"/>
        <w:rPr>
          <w:rFonts w:ascii="Tw Cen MT" w:hAnsi="Tw Cen MT"/>
          <w:kern w:val="24"/>
          <w:sz w:val="24"/>
          <w:szCs w:val="24"/>
        </w:rPr>
      </w:pPr>
      <w:r w:rsidRPr="00D86628">
        <w:rPr>
          <w:rFonts w:ascii="Tw Cen MT" w:hAnsi="Tw Cen MT"/>
          <w:kern w:val="24"/>
          <w:sz w:val="24"/>
          <w:szCs w:val="24"/>
        </w:rPr>
        <w:t>s</w:t>
      </w:r>
      <w:r w:rsidR="00770342" w:rsidRPr="00D86628">
        <w:rPr>
          <w:rFonts w:ascii="Tw Cen MT" w:hAnsi="Tw Cen MT"/>
          <w:kern w:val="24"/>
          <w:sz w:val="24"/>
          <w:szCs w:val="24"/>
        </w:rPr>
        <w:t>ignificantly reduce the pool of job-ready graduates in communications and journalism</w:t>
      </w:r>
      <w:r w:rsidR="00F144C7" w:rsidRPr="00D86628">
        <w:rPr>
          <w:rFonts w:ascii="Tw Cen MT" w:hAnsi="Tw Cen MT"/>
          <w:kern w:val="24"/>
          <w:sz w:val="24"/>
          <w:szCs w:val="24"/>
        </w:rPr>
        <w:t>,</w:t>
      </w:r>
    </w:p>
    <w:p w14:paraId="024844CE" w14:textId="2949CA84" w:rsidR="001F018E" w:rsidRPr="00D86628" w:rsidRDefault="00770342" w:rsidP="00D86628">
      <w:pPr>
        <w:pStyle w:val="ListParagraph"/>
        <w:numPr>
          <w:ilvl w:val="0"/>
          <w:numId w:val="3"/>
        </w:numPr>
        <w:spacing w:after="240" w:line="240" w:lineRule="auto"/>
        <w:ind w:left="714" w:hanging="357"/>
        <w:rPr>
          <w:rFonts w:ascii="Tw Cen MT" w:hAnsi="Tw Cen MT"/>
          <w:kern w:val="24"/>
          <w:sz w:val="24"/>
          <w:szCs w:val="24"/>
        </w:rPr>
      </w:pPr>
      <w:r w:rsidRPr="00D86628">
        <w:rPr>
          <w:rFonts w:ascii="Tw Cen MT" w:hAnsi="Tw Cen MT"/>
          <w:kern w:val="24"/>
          <w:sz w:val="24"/>
          <w:szCs w:val="24"/>
        </w:rPr>
        <w:t xml:space="preserve">fail </w:t>
      </w:r>
      <w:r w:rsidR="001F018E" w:rsidRPr="00D86628">
        <w:rPr>
          <w:rFonts w:ascii="Tw Cen MT" w:hAnsi="Tw Cen MT"/>
          <w:kern w:val="24"/>
          <w:sz w:val="24"/>
          <w:szCs w:val="24"/>
        </w:rPr>
        <w:t xml:space="preserve">industry </w:t>
      </w:r>
      <w:r w:rsidR="00F51A04" w:rsidRPr="00D86628">
        <w:rPr>
          <w:rFonts w:ascii="Tw Cen MT" w:hAnsi="Tw Cen MT"/>
          <w:kern w:val="24"/>
          <w:sz w:val="24"/>
          <w:szCs w:val="24"/>
        </w:rPr>
        <w:t xml:space="preserve">by reducing the number of </w:t>
      </w:r>
      <w:r w:rsidR="001F018E" w:rsidRPr="00D86628">
        <w:rPr>
          <w:rFonts w:ascii="Tw Cen MT" w:hAnsi="Tw Cen MT"/>
          <w:kern w:val="24"/>
          <w:sz w:val="24"/>
          <w:szCs w:val="24"/>
        </w:rPr>
        <w:t xml:space="preserve">communications </w:t>
      </w:r>
      <w:r w:rsidRPr="00D86628">
        <w:rPr>
          <w:rFonts w:ascii="Tw Cen MT" w:hAnsi="Tw Cen MT"/>
          <w:kern w:val="24"/>
          <w:sz w:val="24"/>
          <w:szCs w:val="24"/>
        </w:rPr>
        <w:t xml:space="preserve">graduates </w:t>
      </w:r>
      <w:r w:rsidR="00F51A04" w:rsidRPr="00D86628">
        <w:rPr>
          <w:rFonts w:ascii="Tw Cen MT" w:hAnsi="Tw Cen MT"/>
          <w:kern w:val="24"/>
          <w:sz w:val="24"/>
          <w:szCs w:val="24"/>
        </w:rPr>
        <w:t>at a time when skills demand is high</w:t>
      </w:r>
      <w:r w:rsidR="00F144C7" w:rsidRPr="00D86628">
        <w:rPr>
          <w:rFonts w:ascii="Tw Cen MT" w:hAnsi="Tw Cen MT"/>
          <w:kern w:val="24"/>
          <w:sz w:val="24"/>
          <w:szCs w:val="24"/>
        </w:rPr>
        <w:t>,</w:t>
      </w:r>
    </w:p>
    <w:p w14:paraId="47B7BD12" w14:textId="4F8BDFAB" w:rsidR="003714C9" w:rsidRPr="00D86628" w:rsidRDefault="003714C9" w:rsidP="00D86628">
      <w:pPr>
        <w:pStyle w:val="ListParagraph"/>
        <w:numPr>
          <w:ilvl w:val="0"/>
          <w:numId w:val="3"/>
        </w:numPr>
        <w:spacing w:after="240" w:line="240" w:lineRule="auto"/>
        <w:ind w:left="714" w:hanging="357"/>
        <w:rPr>
          <w:rFonts w:ascii="Tw Cen MT" w:hAnsi="Tw Cen MT"/>
          <w:kern w:val="24"/>
          <w:sz w:val="24"/>
          <w:szCs w:val="24"/>
        </w:rPr>
      </w:pPr>
      <w:r w:rsidRPr="00D86628">
        <w:rPr>
          <w:rFonts w:ascii="Tw Cen MT" w:hAnsi="Tw Cen MT"/>
          <w:kern w:val="24"/>
          <w:sz w:val="24"/>
          <w:szCs w:val="24"/>
        </w:rPr>
        <w:t xml:space="preserve">reduce the </w:t>
      </w:r>
      <w:r w:rsidR="007E4A19" w:rsidRPr="00D86628">
        <w:rPr>
          <w:rFonts w:ascii="Tw Cen MT" w:hAnsi="Tw Cen MT"/>
          <w:kern w:val="24"/>
          <w:sz w:val="24"/>
          <w:szCs w:val="24"/>
        </w:rPr>
        <w:t>support many universities provide to students undertaking work placement units</w:t>
      </w:r>
      <w:r w:rsidR="001F018E" w:rsidRPr="00D86628">
        <w:rPr>
          <w:rFonts w:ascii="Tw Cen MT" w:hAnsi="Tw Cen MT"/>
          <w:kern w:val="24"/>
          <w:sz w:val="24"/>
          <w:szCs w:val="24"/>
        </w:rPr>
        <w:t xml:space="preserve">, </w:t>
      </w:r>
      <w:r w:rsidR="00F144C7" w:rsidRPr="00D86628">
        <w:rPr>
          <w:rFonts w:ascii="Tw Cen MT" w:hAnsi="Tw Cen MT"/>
          <w:kern w:val="24"/>
          <w:sz w:val="24"/>
          <w:szCs w:val="24"/>
        </w:rPr>
        <w:t>reducing the quality of work integrated learning,</w:t>
      </w:r>
    </w:p>
    <w:p w14:paraId="2EF1394A" w14:textId="44107910" w:rsidR="001F018E" w:rsidRPr="00D86628" w:rsidRDefault="001F018E" w:rsidP="00D86628">
      <w:pPr>
        <w:pStyle w:val="ListParagraph"/>
        <w:numPr>
          <w:ilvl w:val="0"/>
          <w:numId w:val="3"/>
        </w:numPr>
        <w:spacing w:after="240" w:line="240" w:lineRule="auto"/>
        <w:ind w:left="714" w:hanging="357"/>
        <w:rPr>
          <w:rFonts w:ascii="Tw Cen MT" w:hAnsi="Tw Cen MT"/>
          <w:kern w:val="24"/>
          <w:sz w:val="24"/>
          <w:szCs w:val="24"/>
        </w:rPr>
      </w:pPr>
      <w:r w:rsidRPr="00D86628">
        <w:rPr>
          <w:rFonts w:ascii="Tw Cen MT" w:hAnsi="Tw Cen MT"/>
          <w:kern w:val="24"/>
          <w:sz w:val="24"/>
          <w:szCs w:val="24"/>
        </w:rPr>
        <w:t>discourage regional and remote students from studying communications and journalism, particularly on regional campuses</w:t>
      </w:r>
      <w:r w:rsidR="00F144C7" w:rsidRPr="00D86628">
        <w:rPr>
          <w:rFonts w:ascii="Tw Cen MT" w:hAnsi="Tw Cen MT"/>
          <w:kern w:val="24"/>
          <w:sz w:val="24"/>
          <w:szCs w:val="24"/>
        </w:rPr>
        <w:t>,</w:t>
      </w:r>
    </w:p>
    <w:p w14:paraId="772F91F0" w14:textId="16D48E25" w:rsidR="001F018E" w:rsidRPr="00D86628" w:rsidRDefault="00F144C7" w:rsidP="00D86628">
      <w:pPr>
        <w:pStyle w:val="ListParagraph"/>
        <w:numPr>
          <w:ilvl w:val="0"/>
          <w:numId w:val="3"/>
        </w:numPr>
        <w:spacing w:after="240" w:line="240" w:lineRule="auto"/>
        <w:ind w:left="714" w:hanging="357"/>
        <w:rPr>
          <w:rFonts w:ascii="Tw Cen MT" w:hAnsi="Tw Cen MT"/>
          <w:kern w:val="24"/>
          <w:sz w:val="24"/>
          <w:szCs w:val="24"/>
        </w:rPr>
      </w:pPr>
      <w:r w:rsidRPr="00D86628">
        <w:rPr>
          <w:rFonts w:ascii="Tw Cen MT" w:hAnsi="Tw Cen MT"/>
          <w:kern w:val="24"/>
          <w:sz w:val="24"/>
          <w:szCs w:val="24"/>
        </w:rPr>
        <w:t>decrease</w:t>
      </w:r>
      <w:r w:rsidR="001F018E" w:rsidRPr="00D86628">
        <w:rPr>
          <w:rFonts w:ascii="Tw Cen MT" w:hAnsi="Tw Cen MT"/>
          <w:kern w:val="24"/>
          <w:sz w:val="24"/>
          <w:szCs w:val="24"/>
        </w:rPr>
        <w:t xml:space="preserve"> the attractiveness of the programs for much needed </w:t>
      </w:r>
      <w:r w:rsidR="009469C9" w:rsidRPr="00D86628">
        <w:rPr>
          <w:rFonts w:ascii="Tw Cen MT" w:hAnsi="Tw Cen MT"/>
          <w:kern w:val="24"/>
          <w:sz w:val="24"/>
          <w:szCs w:val="24"/>
        </w:rPr>
        <w:t xml:space="preserve">diverse </w:t>
      </w:r>
      <w:r w:rsidR="001F018E" w:rsidRPr="00D86628">
        <w:rPr>
          <w:rFonts w:ascii="Tw Cen MT" w:hAnsi="Tw Cen MT"/>
          <w:kern w:val="24"/>
          <w:sz w:val="24"/>
          <w:szCs w:val="24"/>
        </w:rPr>
        <w:t>people in the industry (specifically people from C</w:t>
      </w:r>
      <w:r w:rsidR="009469C9" w:rsidRPr="00D86628">
        <w:rPr>
          <w:rFonts w:ascii="Tw Cen MT" w:hAnsi="Tw Cen MT"/>
          <w:kern w:val="24"/>
          <w:sz w:val="24"/>
          <w:szCs w:val="24"/>
        </w:rPr>
        <w:t>ulturally and Linguistically Diverse</w:t>
      </w:r>
      <w:r w:rsidR="001F018E" w:rsidRPr="00D86628">
        <w:rPr>
          <w:rFonts w:ascii="Tw Cen MT" w:hAnsi="Tw Cen MT"/>
          <w:kern w:val="24"/>
          <w:sz w:val="24"/>
          <w:szCs w:val="24"/>
        </w:rPr>
        <w:t xml:space="preserve"> backgrounds, those with disabilities </w:t>
      </w:r>
      <w:proofErr w:type="spellStart"/>
      <w:r w:rsidR="001F018E" w:rsidRPr="00D86628">
        <w:rPr>
          <w:rFonts w:ascii="Tw Cen MT" w:hAnsi="Tw Cen MT"/>
          <w:kern w:val="24"/>
          <w:sz w:val="24"/>
          <w:szCs w:val="24"/>
        </w:rPr>
        <w:t>etc</w:t>
      </w:r>
      <w:proofErr w:type="spellEnd"/>
      <w:r w:rsidR="001F018E" w:rsidRPr="00D86628">
        <w:rPr>
          <w:rFonts w:ascii="Tw Cen MT" w:hAnsi="Tw Cen MT"/>
          <w:kern w:val="24"/>
          <w:sz w:val="24"/>
          <w:szCs w:val="24"/>
        </w:rPr>
        <w:t>)</w:t>
      </w:r>
      <w:r w:rsidRPr="00D86628">
        <w:rPr>
          <w:rFonts w:ascii="Tw Cen MT" w:hAnsi="Tw Cen MT"/>
          <w:kern w:val="24"/>
          <w:sz w:val="24"/>
          <w:szCs w:val="24"/>
        </w:rPr>
        <w:t>,</w:t>
      </w:r>
    </w:p>
    <w:p w14:paraId="6A2B22B9" w14:textId="112CCC8C" w:rsidR="001F018E" w:rsidRPr="00D86628" w:rsidRDefault="00F144C7" w:rsidP="00D86628">
      <w:pPr>
        <w:pStyle w:val="ListParagraph"/>
        <w:numPr>
          <w:ilvl w:val="0"/>
          <w:numId w:val="3"/>
        </w:numPr>
        <w:spacing w:after="240" w:line="240" w:lineRule="auto"/>
        <w:ind w:left="714" w:hanging="357"/>
        <w:rPr>
          <w:rFonts w:ascii="Tw Cen MT" w:hAnsi="Tw Cen MT"/>
          <w:kern w:val="24"/>
          <w:sz w:val="24"/>
          <w:szCs w:val="24"/>
        </w:rPr>
      </w:pPr>
      <w:r w:rsidRPr="00D86628">
        <w:rPr>
          <w:rFonts w:ascii="Tw Cen MT" w:hAnsi="Tw Cen MT"/>
          <w:kern w:val="24"/>
          <w:sz w:val="24"/>
          <w:szCs w:val="24"/>
        </w:rPr>
        <w:t>u</w:t>
      </w:r>
      <w:r w:rsidR="001F018E" w:rsidRPr="00D86628">
        <w:rPr>
          <w:rFonts w:ascii="Tw Cen MT" w:hAnsi="Tw Cen MT"/>
          <w:kern w:val="24"/>
          <w:sz w:val="24"/>
          <w:szCs w:val="24"/>
        </w:rPr>
        <w:t xml:space="preserve">nfairly punish students who fail for reasons beyond their control, including ill health, mental health, homelessness, economic </w:t>
      </w:r>
      <w:proofErr w:type="spellStart"/>
      <w:r w:rsidR="001F018E" w:rsidRPr="00D86628">
        <w:rPr>
          <w:rFonts w:ascii="Tw Cen MT" w:hAnsi="Tw Cen MT"/>
          <w:kern w:val="24"/>
          <w:sz w:val="24"/>
          <w:szCs w:val="24"/>
        </w:rPr>
        <w:t>precarity</w:t>
      </w:r>
      <w:proofErr w:type="spellEnd"/>
      <w:r w:rsidR="001F018E" w:rsidRPr="00D86628">
        <w:rPr>
          <w:rFonts w:ascii="Tw Cen MT" w:hAnsi="Tw Cen MT"/>
          <w:kern w:val="24"/>
          <w:sz w:val="24"/>
          <w:szCs w:val="24"/>
        </w:rPr>
        <w:t>, being victims of crime</w:t>
      </w:r>
      <w:r w:rsidR="009469C9" w:rsidRPr="00D86628">
        <w:rPr>
          <w:rFonts w:ascii="Tw Cen MT" w:hAnsi="Tw Cen MT"/>
          <w:kern w:val="24"/>
          <w:sz w:val="24"/>
          <w:szCs w:val="24"/>
        </w:rPr>
        <w:t>,</w:t>
      </w:r>
      <w:r w:rsidR="001F018E" w:rsidRPr="00D86628">
        <w:rPr>
          <w:rFonts w:ascii="Tw Cen MT" w:hAnsi="Tw Cen MT"/>
          <w:kern w:val="24"/>
          <w:sz w:val="24"/>
          <w:szCs w:val="24"/>
        </w:rPr>
        <w:t xml:space="preserve"> etc</w:t>
      </w:r>
      <w:r w:rsidR="00D86628">
        <w:rPr>
          <w:rFonts w:ascii="Tw Cen MT" w:hAnsi="Tw Cen MT"/>
          <w:kern w:val="24"/>
          <w:sz w:val="24"/>
          <w:szCs w:val="24"/>
        </w:rPr>
        <w:t>.</w:t>
      </w:r>
      <w:r w:rsidRPr="00D86628">
        <w:rPr>
          <w:rFonts w:ascii="Tw Cen MT" w:hAnsi="Tw Cen MT"/>
          <w:kern w:val="24"/>
          <w:sz w:val="24"/>
          <w:szCs w:val="24"/>
        </w:rPr>
        <w:t>,</w:t>
      </w:r>
    </w:p>
    <w:p w14:paraId="3A418876" w14:textId="77777777" w:rsidR="00BA2977" w:rsidRPr="00D05CC8" w:rsidRDefault="003714C9" w:rsidP="00D86628">
      <w:pPr>
        <w:pStyle w:val="ListParagraph"/>
        <w:numPr>
          <w:ilvl w:val="0"/>
          <w:numId w:val="3"/>
        </w:numPr>
        <w:spacing w:after="240" w:line="240" w:lineRule="auto"/>
        <w:ind w:left="714" w:hanging="357"/>
        <w:rPr>
          <w:rFonts w:ascii="Tw Cen MT" w:hAnsi="Tw Cen MT"/>
          <w:kern w:val="24"/>
          <w:szCs w:val="24"/>
        </w:rPr>
      </w:pPr>
      <w:r w:rsidRPr="00D86628">
        <w:rPr>
          <w:rFonts w:ascii="Tw Cen MT" w:hAnsi="Tw Cen MT"/>
          <w:kern w:val="24"/>
          <w:sz w:val="24"/>
          <w:szCs w:val="24"/>
        </w:rPr>
        <w:lastRenderedPageBreak/>
        <w:t xml:space="preserve">burden </w:t>
      </w:r>
      <w:r w:rsidR="00F51A04" w:rsidRPr="00D86628">
        <w:rPr>
          <w:rFonts w:ascii="Tw Cen MT" w:hAnsi="Tw Cen MT"/>
          <w:kern w:val="24"/>
          <w:sz w:val="24"/>
          <w:szCs w:val="24"/>
        </w:rPr>
        <w:t>female students with greater lifetime debt, as most communications graduates are women</w:t>
      </w:r>
      <w:r w:rsidR="00D86628">
        <w:rPr>
          <w:rFonts w:ascii="Tw Cen MT" w:hAnsi="Tw Cen MT"/>
          <w:kern w:val="24"/>
          <w:sz w:val="24"/>
          <w:szCs w:val="24"/>
        </w:rPr>
        <w:t>.</w:t>
      </w:r>
    </w:p>
    <w:p w14:paraId="573AD132" w14:textId="222B4308" w:rsidR="00F51A04" w:rsidRPr="00D05CC8" w:rsidRDefault="00BA2977" w:rsidP="00D05CC8">
      <w:pPr>
        <w:pStyle w:val="ListParagraph"/>
        <w:numPr>
          <w:ilvl w:val="0"/>
          <w:numId w:val="3"/>
        </w:numPr>
        <w:rPr>
          <w:rFonts w:ascii="Tw Cen MT" w:hAnsi="Tw Cen MT"/>
        </w:rPr>
      </w:pPr>
      <w:r>
        <w:rPr>
          <w:rFonts w:ascii="Tw Cen MT" w:hAnsi="Tw Cen MT"/>
          <w:kern w:val="24"/>
          <w:sz w:val="24"/>
          <w:szCs w:val="24"/>
        </w:rPr>
        <w:t>reduce the funding available</w:t>
      </w:r>
      <w:r w:rsidR="00F51A04" w:rsidRPr="00D86628">
        <w:rPr>
          <w:rFonts w:ascii="Tw Cen MT" w:hAnsi="Tw Cen MT"/>
          <w:kern w:val="24"/>
          <w:sz w:val="24"/>
          <w:szCs w:val="24"/>
        </w:rPr>
        <w:t xml:space="preserve"> </w:t>
      </w:r>
      <w:r>
        <w:rPr>
          <w:rFonts w:ascii="Tw Cen MT" w:hAnsi="Tw Cen MT"/>
          <w:kern w:val="24"/>
          <w:sz w:val="24"/>
          <w:szCs w:val="24"/>
        </w:rPr>
        <w:t>for journalism research</w:t>
      </w:r>
      <w:r w:rsidR="00D05CC8">
        <w:rPr>
          <w:rFonts w:ascii="Tw Cen MT" w:hAnsi="Tw Cen MT"/>
          <w:kern w:val="24"/>
          <w:sz w:val="24"/>
          <w:szCs w:val="24"/>
        </w:rPr>
        <w:t xml:space="preserve">, at a time when </w:t>
      </w:r>
      <w:r w:rsidR="00D05CC8">
        <w:rPr>
          <w:rFonts w:ascii="Tw Cen MT" w:hAnsi="Tw Cen MT"/>
          <w:sz w:val="24"/>
          <w:szCs w:val="24"/>
        </w:rPr>
        <w:t>our nation requires this knowledge</w:t>
      </w:r>
      <w:r w:rsidR="00D05CC8" w:rsidRPr="00C55095">
        <w:rPr>
          <w:rFonts w:ascii="Tw Cen MT" w:hAnsi="Tw Cen MT"/>
          <w:sz w:val="24"/>
          <w:szCs w:val="24"/>
        </w:rPr>
        <w:t xml:space="preserve"> more than ever before</w:t>
      </w:r>
      <w:r w:rsidR="00D05CC8">
        <w:rPr>
          <w:rFonts w:ascii="Tw Cen MT" w:hAnsi="Tw Cen MT"/>
          <w:sz w:val="24"/>
          <w:szCs w:val="24"/>
        </w:rPr>
        <w:t>.</w:t>
      </w:r>
    </w:p>
    <w:p w14:paraId="391A34DF" w14:textId="77777777" w:rsidR="00D86628" w:rsidRDefault="00D86628" w:rsidP="00FF6F97">
      <w:pPr>
        <w:rPr>
          <w:rFonts w:ascii="Tw Cen MT" w:hAnsi="Tw Cen MT"/>
          <w:kern w:val="24"/>
        </w:rPr>
      </w:pPr>
    </w:p>
    <w:p w14:paraId="7702D42A" w14:textId="7864D12B" w:rsidR="00770342" w:rsidRPr="00D86628" w:rsidRDefault="00770342" w:rsidP="00FF6F97">
      <w:pPr>
        <w:rPr>
          <w:rFonts w:ascii="Tw Cen MT" w:hAnsi="Tw Cen MT"/>
          <w:b/>
          <w:color w:val="000000" w:themeColor="text1"/>
          <w14:cntxtAlts/>
        </w:rPr>
      </w:pPr>
      <w:r w:rsidRPr="00D86628">
        <w:rPr>
          <w:rFonts w:ascii="Tw Cen MT" w:hAnsi="Tw Cen MT"/>
          <w:b/>
          <w:color w:val="000000" w:themeColor="text1"/>
          <w14:cntxtAlts/>
        </w:rPr>
        <w:t xml:space="preserve">BACKGROUND: </w:t>
      </w:r>
    </w:p>
    <w:p w14:paraId="4EB955C2" w14:textId="77777777" w:rsidR="00770342" w:rsidRPr="001F018E" w:rsidRDefault="00770342" w:rsidP="00FF6F97">
      <w:pPr>
        <w:rPr>
          <w:rFonts w:ascii="Tw Cen MT" w:hAnsi="Tw Cen MT"/>
          <w:color w:val="000000" w:themeColor="text1"/>
          <w14:cntxtAlts/>
        </w:rPr>
      </w:pPr>
    </w:p>
    <w:p w14:paraId="15EAC12C" w14:textId="74674E64" w:rsidR="00FF6F97" w:rsidRPr="00A87566" w:rsidRDefault="00FF6F97" w:rsidP="00FF6F97">
      <w:pPr>
        <w:rPr>
          <w:rFonts w:ascii="Tw Cen MT" w:hAnsi="Tw Cen MT"/>
          <w:color w:val="000000" w:themeColor="text1"/>
          <w14:cntxtAlts/>
        </w:rPr>
      </w:pPr>
      <w:r w:rsidRPr="00D17990">
        <w:rPr>
          <w:rFonts w:ascii="Tw Cen MT" w:hAnsi="Tw Cen MT"/>
          <w:color w:val="000000" w:themeColor="text1"/>
          <w14:cntxtAlts/>
        </w:rPr>
        <w:t xml:space="preserve">This submission strongly opposes placing communications studies into cluster 1 of the </w:t>
      </w:r>
      <w:r w:rsidRPr="003714C9">
        <w:rPr>
          <w:rFonts w:ascii="Tw Cen MT" w:hAnsi="Tw Cen MT"/>
        </w:rPr>
        <w:t>Commonwealth funding contribution</w:t>
      </w:r>
      <w:r w:rsidR="00FC62E9" w:rsidRPr="003714C9">
        <w:rPr>
          <w:rFonts w:ascii="Tw Cen MT" w:hAnsi="Tw Cen MT"/>
        </w:rPr>
        <w:t xml:space="preserve"> bands</w:t>
      </w:r>
      <w:r w:rsidRPr="003714C9">
        <w:rPr>
          <w:rFonts w:ascii="Tw Cen MT" w:hAnsi="Tw Cen MT"/>
        </w:rPr>
        <w:t>, where it attracts</w:t>
      </w:r>
      <w:r w:rsidR="00C22909" w:rsidRPr="003714C9">
        <w:rPr>
          <w:rFonts w:ascii="Tw Cen MT" w:hAnsi="Tw Cen MT"/>
        </w:rPr>
        <w:t xml:space="preserve"> the</w:t>
      </w:r>
      <w:r w:rsidRPr="003714C9">
        <w:rPr>
          <w:rFonts w:ascii="Tw Cen MT" w:hAnsi="Tw Cen MT"/>
        </w:rPr>
        <w:t xml:space="preserve"> least funding support of all clusters. This </w:t>
      </w:r>
      <w:r w:rsidR="00973F59" w:rsidRPr="003714C9">
        <w:rPr>
          <w:rFonts w:ascii="Tw Cen MT" w:hAnsi="Tw Cen MT"/>
        </w:rPr>
        <w:t xml:space="preserve">more than </w:t>
      </w:r>
      <w:r w:rsidRPr="003714C9">
        <w:rPr>
          <w:rFonts w:ascii="Tw Cen MT" w:hAnsi="Tw Cen MT"/>
        </w:rPr>
        <w:t>doubles the cost of a media and communications degree</w:t>
      </w:r>
      <w:r w:rsidR="009469C9">
        <w:rPr>
          <w:rFonts w:ascii="Tw Cen MT" w:hAnsi="Tw Cen MT"/>
        </w:rPr>
        <w:t xml:space="preserve"> for students</w:t>
      </w:r>
      <w:r w:rsidRPr="003714C9">
        <w:rPr>
          <w:rFonts w:ascii="Tw Cen MT" w:hAnsi="Tw Cen MT"/>
        </w:rPr>
        <w:t>,</w:t>
      </w:r>
      <w:r w:rsidR="009469C9">
        <w:rPr>
          <w:rFonts w:ascii="Tw Cen MT" w:hAnsi="Tw Cen MT"/>
        </w:rPr>
        <w:t xml:space="preserve"> thus</w:t>
      </w:r>
      <w:r w:rsidRPr="003714C9">
        <w:rPr>
          <w:rFonts w:ascii="Tw Cen MT" w:hAnsi="Tw Cen MT"/>
        </w:rPr>
        <w:t xml:space="preserve"> placing the burden squarely on students and their families</w:t>
      </w:r>
      <w:r w:rsidR="00A433F3" w:rsidRPr="003714C9">
        <w:rPr>
          <w:rFonts w:ascii="Tw Cen MT" w:hAnsi="Tw Cen MT"/>
        </w:rPr>
        <w:t xml:space="preserve"> at a time when communications skills are key to the future of work</w:t>
      </w:r>
      <w:r w:rsidRPr="003714C9">
        <w:rPr>
          <w:rFonts w:ascii="Tw Cen MT" w:hAnsi="Tw Cen MT"/>
        </w:rPr>
        <w:t xml:space="preserve">. </w:t>
      </w:r>
      <w:r w:rsidR="00A433F3" w:rsidRPr="003714C9">
        <w:rPr>
          <w:rFonts w:ascii="Tw Cen MT" w:hAnsi="Tw Cen MT"/>
        </w:rPr>
        <w:t>It also penalises the next generation of journalists, whose innovation and social connections will be key to media industry sustainability and the integrity of Australia’s democracy.</w:t>
      </w:r>
    </w:p>
    <w:p w14:paraId="7BDE8462" w14:textId="77777777" w:rsidR="00FF6F97" w:rsidRPr="003714C9" w:rsidRDefault="00FF6F97">
      <w:pPr>
        <w:rPr>
          <w:rFonts w:ascii="Tw Cen MT" w:hAnsi="Tw Cen MT"/>
        </w:rPr>
      </w:pPr>
    </w:p>
    <w:p w14:paraId="123A360F" w14:textId="77777777" w:rsidR="00973F59" w:rsidRPr="003714C9" w:rsidRDefault="00F251F1">
      <w:pPr>
        <w:rPr>
          <w:rFonts w:ascii="Tw Cen MT" w:hAnsi="Tw Cen MT"/>
        </w:rPr>
      </w:pPr>
      <w:r w:rsidRPr="003714C9">
        <w:rPr>
          <w:rFonts w:ascii="Tw Cen MT" w:hAnsi="Tw Cen MT"/>
        </w:rPr>
        <w:t>T</w:t>
      </w:r>
      <w:r w:rsidR="007C3C8C" w:rsidRPr="003714C9">
        <w:rPr>
          <w:rFonts w:ascii="Tw Cen MT" w:hAnsi="Tw Cen MT"/>
        </w:rPr>
        <w:t>he F</w:t>
      </w:r>
      <w:r w:rsidRPr="003714C9">
        <w:rPr>
          <w:rFonts w:ascii="Tw Cen MT" w:hAnsi="Tw Cen MT"/>
        </w:rPr>
        <w:t>ede</w:t>
      </w:r>
      <w:r w:rsidR="007C3C8C" w:rsidRPr="003714C9">
        <w:rPr>
          <w:rFonts w:ascii="Tw Cen MT" w:hAnsi="Tw Cen MT"/>
        </w:rPr>
        <w:t>ral G</w:t>
      </w:r>
      <w:r w:rsidRPr="003714C9">
        <w:rPr>
          <w:rFonts w:ascii="Tw Cen MT" w:hAnsi="Tw Cen MT"/>
        </w:rPr>
        <w:t xml:space="preserve">overnment roadmap for digital media regulation has recently recognised journalism </w:t>
      </w:r>
      <w:r w:rsidRPr="003714C9">
        <w:rPr>
          <w:rFonts w:ascii="Tw Cen MT" w:hAnsi="Tw Cen MT"/>
          <w:bCs/>
        </w:rPr>
        <w:t xml:space="preserve">as essential </w:t>
      </w:r>
      <w:r w:rsidR="00A433F3" w:rsidRPr="003714C9">
        <w:rPr>
          <w:rFonts w:ascii="Tw Cen MT" w:hAnsi="Tw Cen MT"/>
        </w:rPr>
        <w:t>to Australian</w:t>
      </w:r>
      <w:r w:rsidRPr="003714C9">
        <w:rPr>
          <w:rFonts w:ascii="Tw Cen MT" w:hAnsi="Tw Cen MT"/>
        </w:rPr>
        <w:t xml:space="preserve"> democracy and regional journalism </w:t>
      </w:r>
      <w:r w:rsidR="00A433F3" w:rsidRPr="003714C9">
        <w:rPr>
          <w:rFonts w:ascii="Tw Cen MT" w:hAnsi="Tw Cen MT"/>
        </w:rPr>
        <w:t xml:space="preserve">in particular </w:t>
      </w:r>
      <w:r w:rsidRPr="003714C9">
        <w:rPr>
          <w:rFonts w:ascii="Tw Cen MT" w:hAnsi="Tw Cen MT"/>
        </w:rPr>
        <w:t>as critical to “informing and strengthening local communities”</w:t>
      </w:r>
      <w:r w:rsidR="007C3C8C" w:rsidRPr="003714C9">
        <w:rPr>
          <w:rFonts w:ascii="Tw Cen MT" w:hAnsi="Tw Cen MT"/>
        </w:rPr>
        <w:t>.</w:t>
      </w:r>
      <w:r w:rsidR="007C3C8C" w:rsidRPr="003714C9">
        <w:rPr>
          <w:rStyle w:val="FootnoteReference"/>
          <w:rFonts w:ascii="Tw Cen MT" w:hAnsi="Tw Cen MT"/>
        </w:rPr>
        <w:footnoteReference w:id="1"/>
      </w:r>
      <w:r w:rsidR="00973F59" w:rsidRPr="003714C9">
        <w:rPr>
          <w:rFonts w:ascii="Tw Cen MT" w:hAnsi="Tw Cen MT"/>
        </w:rPr>
        <w:t xml:space="preserve"> </w:t>
      </w:r>
    </w:p>
    <w:p w14:paraId="3C89CC59" w14:textId="77777777" w:rsidR="00973F59" w:rsidRPr="003714C9" w:rsidRDefault="00973F59">
      <w:pPr>
        <w:rPr>
          <w:rFonts w:ascii="Tw Cen MT" w:hAnsi="Tw Cen MT"/>
        </w:rPr>
      </w:pPr>
    </w:p>
    <w:p w14:paraId="1CBF4057" w14:textId="7AC4D870" w:rsidR="00DE0F27" w:rsidRPr="003714C9" w:rsidRDefault="00F251F1">
      <w:pPr>
        <w:rPr>
          <w:rStyle w:val="apple-converted-space"/>
          <w:rFonts w:ascii="Tw Cen MT" w:hAnsi="Tw Cen MT"/>
        </w:rPr>
      </w:pPr>
      <w:r w:rsidRPr="003714C9">
        <w:rPr>
          <w:rFonts w:ascii="Tw Cen MT" w:hAnsi="Tw Cen MT"/>
        </w:rPr>
        <w:t>It is a retrograde move</w:t>
      </w:r>
      <w:r w:rsidR="007C3C8C" w:rsidRPr="003714C9">
        <w:rPr>
          <w:rFonts w:ascii="Tw Cen MT" w:hAnsi="Tw Cen MT"/>
        </w:rPr>
        <w:t xml:space="preserve"> then</w:t>
      </w:r>
      <w:r w:rsidRPr="003714C9">
        <w:rPr>
          <w:rFonts w:ascii="Tw Cen MT" w:hAnsi="Tw Cen MT"/>
        </w:rPr>
        <w:t xml:space="preserve"> to increase the cost to students of communications and journalism degrees at the very moment when media industries are trying to innovate to address increased competition from digital platforms. The </w:t>
      </w:r>
      <w:r w:rsidR="009469C9">
        <w:rPr>
          <w:rFonts w:ascii="Tw Cen MT" w:hAnsi="Tw Cen MT"/>
        </w:rPr>
        <w:t>F</w:t>
      </w:r>
      <w:r w:rsidRPr="003714C9">
        <w:rPr>
          <w:rFonts w:ascii="Tw Cen MT" w:hAnsi="Tw Cen MT"/>
        </w:rPr>
        <w:t xml:space="preserve">ederal </w:t>
      </w:r>
      <w:r w:rsidR="009469C9">
        <w:rPr>
          <w:rFonts w:ascii="Tw Cen MT" w:hAnsi="Tw Cen MT"/>
        </w:rPr>
        <w:t>G</w:t>
      </w:r>
      <w:r w:rsidRPr="003714C9">
        <w:rPr>
          <w:rFonts w:ascii="Tw Cen MT" w:hAnsi="Tw Cen MT"/>
        </w:rPr>
        <w:t xml:space="preserve">overnment has argued “a sustainable and adaptable media sector is necessary to support the provision of </w:t>
      </w:r>
      <w:r w:rsidR="00B96EE4">
        <w:rPr>
          <w:rFonts w:ascii="Tw Cen MT" w:hAnsi="Tw Cen MT"/>
        </w:rPr>
        <w:t>[</w:t>
      </w:r>
      <w:r w:rsidRPr="003714C9">
        <w:rPr>
          <w:rFonts w:ascii="Tw Cen MT" w:hAnsi="Tw Cen MT"/>
        </w:rPr>
        <w:t>public interest</w:t>
      </w:r>
      <w:r w:rsidR="00B96EE4">
        <w:rPr>
          <w:rFonts w:ascii="Tw Cen MT" w:hAnsi="Tw Cen MT"/>
        </w:rPr>
        <w:t>]</w:t>
      </w:r>
      <w:r w:rsidRPr="003714C9">
        <w:rPr>
          <w:rFonts w:ascii="Tw Cen MT" w:hAnsi="Tw Cen MT"/>
        </w:rPr>
        <w:t xml:space="preserve"> journalism.</w:t>
      </w:r>
      <w:r w:rsidR="00B96EE4">
        <w:rPr>
          <w:rFonts w:ascii="Tw Cen MT" w:hAnsi="Tw Cen MT"/>
        </w:rPr>
        <w:t>”</w:t>
      </w:r>
      <w:r w:rsidRPr="003714C9">
        <w:rPr>
          <w:rStyle w:val="FootnoteReference"/>
          <w:rFonts w:ascii="Tw Cen MT" w:hAnsi="Tw Cen MT"/>
        </w:rPr>
        <w:footnoteReference w:id="2"/>
      </w:r>
      <w:r w:rsidRPr="003714C9">
        <w:rPr>
          <w:rStyle w:val="apple-converted-space"/>
          <w:rFonts w:ascii="Tw Cen MT" w:hAnsi="Tw Cen MT"/>
        </w:rPr>
        <w:t xml:space="preserve"> Making journalism more expensive to study </w:t>
      </w:r>
      <w:r w:rsidR="00DE0F27" w:rsidRPr="003714C9">
        <w:rPr>
          <w:rStyle w:val="apple-converted-space"/>
          <w:rFonts w:ascii="Tw Cen MT" w:hAnsi="Tw Cen MT"/>
        </w:rPr>
        <w:t>will reduce the pool of young people willing to take on this already competitive career option, limit</w:t>
      </w:r>
      <w:r w:rsidR="00A433F3" w:rsidRPr="003714C9">
        <w:rPr>
          <w:rStyle w:val="apple-converted-space"/>
          <w:rFonts w:ascii="Tw Cen MT" w:hAnsi="Tw Cen MT"/>
        </w:rPr>
        <w:t>ing</w:t>
      </w:r>
      <w:r w:rsidR="00DE0F27" w:rsidRPr="003714C9">
        <w:rPr>
          <w:rStyle w:val="apple-converted-space"/>
          <w:rFonts w:ascii="Tw Cen MT" w:hAnsi="Tw Cen MT"/>
        </w:rPr>
        <w:t xml:space="preserve"> opportunities for companies to develop ground</w:t>
      </w:r>
      <w:r w:rsidR="00A433F3" w:rsidRPr="003714C9">
        <w:rPr>
          <w:rStyle w:val="apple-converted-space"/>
          <w:rFonts w:ascii="Tw Cen MT" w:hAnsi="Tw Cen MT"/>
        </w:rPr>
        <w:t xml:space="preserve"> up innovation and also decreasing</w:t>
      </w:r>
      <w:r w:rsidR="00DE0F27" w:rsidRPr="003714C9">
        <w:rPr>
          <w:rStyle w:val="apple-converted-space"/>
          <w:rFonts w:ascii="Tw Cen MT" w:hAnsi="Tw Cen MT"/>
        </w:rPr>
        <w:t xml:space="preserve"> the diversity of people able to enter the media.</w:t>
      </w:r>
    </w:p>
    <w:p w14:paraId="70140000" w14:textId="77777777" w:rsidR="00DE0F27" w:rsidRPr="003714C9" w:rsidRDefault="00DE0F27">
      <w:pPr>
        <w:rPr>
          <w:rStyle w:val="apple-converted-space"/>
          <w:rFonts w:ascii="Tw Cen MT" w:hAnsi="Tw Cen MT"/>
        </w:rPr>
      </w:pPr>
    </w:p>
    <w:p w14:paraId="6D8803AD" w14:textId="125B8304" w:rsidR="00A433F3" w:rsidRPr="003714C9" w:rsidRDefault="00A433F3">
      <w:pPr>
        <w:rPr>
          <w:rFonts w:ascii="Tw Cen MT" w:hAnsi="Tw Cen MT" w:cs="Calibri"/>
          <w:color w:val="201F1E"/>
          <w:bdr w:val="none" w:sz="0" w:space="0" w:color="auto" w:frame="1"/>
        </w:rPr>
      </w:pPr>
      <w:r w:rsidRPr="003714C9">
        <w:rPr>
          <w:rStyle w:val="apple-converted-space"/>
          <w:rFonts w:ascii="Tw Cen MT" w:hAnsi="Tw Cen MT"/>
        </w:rPr>
        <w:t>Doubling</w:t>
      </w:r>
      <w:r w:rsidR="00DE0F27" w:rsidRPr="003714C9">
        <w:rPr>
          <w:rStyle w:val="apple-converted-space"/>
          <w:rFonts w:ascii="Tw Cen MT" w:hAnsi="Tw Cen MT"/>
        </w:rPr>
        <w:t xml:space="preserve"> the cost of journalism study </w:t>
      </w:r>
      <w:r w:rsidR="00973F59" w:rsidRPr="003714C9">
        <w:rPr>
          <w:rStyle w:val="apple-converted-space"/>
          <w:rFonts w:ascii="Tw Cen MT" w:hAnsi="Tw Cen MT"/>
        </w:rPr>
        <w:t xml:space="preserve">makes it less appealing to </w:t>
      </w:r>
      <w:r w:rsidR="00DE0F27" w:rsidRPr="003714C9">
        <w:rPr>
          <w:rStyle w:val="apple-converted-space"/>
          <w:rFonts w:ascii="Tw Cen MT" w:hAnsi="Tw Cen MT"/>
        </w:rPr>
        <w:t>people from disadvantaged backgrounds including low income, rural</w:t>
      </w:r>
      <w:r w:rsidR="007C3C8C" w:rsidRPr="003714C9">
        <w:rPr>
          <w:rStyle w:val="apple-converted-space"/>
          <w:rFonts w:ascii="Tw Cen MT" w:hAnsi="Tw Cen MT"/>
        </w:rPr>
        <w:t>, migrant</w:t>
      </w:r>
      <w:r w:rsidR="00DE0F27" w:rsidRPr="003714C9">
        <w:rPr>
          <w:rStyle w:val="apple-converted-space"/>
          <w:rFonts w:ascii="Tw Cen MT" w:hAnsi="Tw Cen MT"/>
        </w:rPr>
        <w:t xml:space="preserve"> and Indigenous Australians, whose views are important to ensuring Australians receive fair and balanced reporting from diverse perspectives.</w:t>
      </w:r>
      <w:r w:rsidR="00105A22" w:rsidRPr="003714C9">
        <w:rPr>
          <w:rStyle w:val="apple-converted-space"/>
          <w:rFonts w:ascii="Tw Cen MT" w:hAnsi="Tw Cen MT"/>
        </w:rPr>
        <w:t xml:space="preserve"> </w:t>
      </w:r>
      <w:r w:rsidR="007C3C8C" w:rsidRPr="003714C9">
        <w:rPr>
          <w:rStyle w:val="apple-converted-space"/>
          <w:rFonts w:ascii="Tw Cen MT" w:hAnsi="Tw Cen MT"/>
        </w:rPr>
        <w:t>It also places increased</w:t>
      </w:r>
      <w:r w:rsidRPr="003714C9">
        <w:rPr>
          <w:rStyle w:val="apple-converted-space"/>
          <w:rFonts w:ascii="Tw Cen MT" w:hAnsi="Tw Cen MT"/>
        </w:rPr>
        <w:t xml:space="preserve"> immediate</w:t>
      </w:r>
      <w:r w:rsidR="007C3C8C" w:rsidRPr="003714C9">
        <w:rPr>
          <w:rStyle w:val="apple-converted-space"/>
          <w:rFonts w:ascii="Tw Cen MT" w:hAnsi="Tw Cen MT"/>
        </w:rPr>
        <w:t xml:space="preserve"> financial pressure on </w:t>
      </w:r>
      <w:r w:rsidR="007C3C8C" w:rsidRPr="003714C9">
        <w:rPr>
          <w:rFonts w:ascii="Tw Cen MT" w:hAnsi="Tw Cen MT"/>
        </w:rPr>
        <w:t xml:space="preserve">students whose income-earning opportunities have diminished as a result of COVID19. </w:t>
      </w:r>
      <w:r w:rsidR="00105A22" w:rsidRPr="003714C9">
        <w:rPr>
          <w:rFonts w:ascii="Tw Cen MT" w:hAnsi="Tw Cen MT"/>
        </w:rPr>
        <w:t>While we recognise the addition</w:t>
      </w:r>
      <w:r w:rsidR="00A143AB" w:rsidRPr="003714C9">
        <w:rPr>
          <w:rFonts w:ascii="Tw Cen MT" w:hAnsi="Tw Cen MT"/>
        </w:rPr>
        <w:t>al</w:t>
      </w:r>
      <w:r w:rsidR="00105A22" w:rsidRPr="003714C9">
        <w:rPr>
          <w:rFonts w:ascii="Tw Cen MT" w:hAnsi="Tw Cen MT"/>
        </w:rPr>
        <w:t xml:space="preserve"> support </w:t>
      </w:r>
      <w:r w:rsidR="00A143AB" w:rsidRPr="003714C9">
        <w:rPr>
          <w:rFonts w:ascii="Tw Cen MT" w:hAnsi="Tw Cen MT"/>
        </w:rPr>
        <w:t>this package proposes</w:t>
      </w:r>
      <w:r w:rsidR="00105A22" w:rsidRPr="003714C9">
        <w:rPr>
          <w:rFonts w:ascii="Tw Cen MT" w:hAnsi="Tw Cen MT"/>
        </w:rPr>
        <w:t xml:space="preserve"> for regional, remote and Indigenous students, there is no evidence to indicate that this will offset the significant inequity that higher HECs contributions will have on students’ long term financial outcomes. </w:t>
      </w:r>
      <w:r w:rsidR="007C3C8C" w:rsidRPr="003714C9">
        <w:rPr>
          <w:rFonts w:ascii="Tw Cen MT" w:hAnsi="Tw Cen MT" w:cs="Calibri"/>
          <w:color w:val="201F1E"/>
          <w:bdr w:val="none" w:sz="0" w:space="0" w:color="auto" w:frame="1"/>
        </w:rPr>
        <w:t>If journalism is to reflect the experiences of all Australians, and the diverse communities we live in, its study needs to be readily accessible to all</w:t>
      </w:r>
      <w:r w:rsidR="00105A22" w:rsidRPr="003714C9">
        <w:rPr>
          <w:rFonts w:ascii="Tw Cen MT" w:hAnsi="Tw Cen MT" w:cs="Calibri"/>
          <w:color w:val="201F1E"/>
          <w:bdr w:val="none" w:sz="0" w:space="0" w:color="auto" w:frame="1"/>
        </w:rPr>
        <w:t xml:space="preserve"> and not position graduates to </w:t>
      </w:r>
      <w:r w:rsidR="00A143AB" w:rsidRPr="003714C9">
        <w:rPr>
          <w:rFonts w:ascii="Tw Cen MT" w:hAnsi="Tw Cen MT" w:cs="Calibri"/>
          <w:color w:val="201F1E"/>
          <w:bdr w:val="none" w:sz="0" w:space="0" w:color="auto" w:frame="1"/>
        </w:rPr>
        <w:t>live in greater debt than they already incur</w:t>
      </w:r>
      <w:r w:rsidR="007C3C8C" w:rsidRPr="003714C9">
        <w:rPr>
          <w:rFonts w:ascii="Tw Cen MT" w:hAnsi="Tw Cen MT" w:cs="Calibri"/>
          <w:color w:val="201F1E"/>
          <w:bdr w:val="none" w:sz="0" w:space="0" w:color="auto" w:frame="1"/>
        </w:rPr>
        <w:t>.</w:t>
      </w:r>
    </w:p>
    <w:p w14:paraId="2361A8F7" w14:textId="77777777" w:rsidR="00903553" w:rsidRPr="003714C9" w:rsidRDefault="00903553">
      <w:pPr>
        <w:rPr>
          <w:rFonts w:ascii="Tw Cen MT" w:hAnsi="Tw Cen MT" w:cs="Calibri"/>
          <w:color w:val="201F1E"/>
          <w:bdr w:val="none" w:sz="0" w:space="0" w:color="auto" w:frame="1"/>
        </w:rPr>
      </w:pPr>
    </w:p>
    <w:p w14:paraId="41609920" w14:textId="5941014C" w:rsidR="00612EDC" w:rsidRPr="003714C9" w:rsidRDefault="00903553">
      <w:pPr>
        <w:rPr>
          <w:rFonts w:ascii="Tw Cen MT" w:hAnsi="Tw Cen MT" w:cs="Calibri"/>
          <w:color w:val="201F1E"/>
          <w:bdr w:val="none" w:sz="0" w:space="0" w:color="auto" w:frame="1"/>
        </w:rPr>
      </w:pPr>
      <w:r w:rsidRPr="003714C9">
        <w:rPr>
          <w:rFonts w:ascii="Tw Cen MT" w:hAnsi="Tw Cen MT"/>
        </w:rPr>
        <w:t>JERAA condemns the move to increase the cost of communications degrees as short-sighted and lacking in strategic evidence.</w:t>
      </w:r>
      <w:r w:rsidR="00926F7D" w:rsidRPr="003714C9">
        <w:rPr>
          <w:rFonts w:ascii="Tw Cen MT" w:hAnsi="Tw Cen MT"/>
        </w:rPr>
        <w:t xml:space="preserve"> </w:t>
      </w:r>
      <w:r w:rsidR="0017085E" w:rsidRPr="003714C9">
        <w:rPr>
          <w:rFonts w:ascii="Tw Cen MT" w:hAnsi="Tw Cen MT" w:cs="Calibri"/>
          <w:color w:val="201F1E"/>
          <w:bdr w:val="none" w:sz="0" w:space="0" w:color="auto" w:frame="1"/>
        </w:rPr>
        <w:t xml:space="preserve">In Australia, journalism is most often taught within media and communications programs rather than specialist degrees and so journalist graduates acquire </w:t>
      </w:r>
      <w:r w:rsidR="00973F59" w:rsidRPr="003714C9">
        <w:rPr>
          <w:rFonts w:ascii="Tw Cen MT" w:hAnsi="Tw Cen MT" w:cs="Calibri"/>
          <w:color w:val="201F1E"/>
          <w:bdr w:val="none" w:sz="0" w:space="0" w:color="auto" w:frame="1"/>
        </w:rPr>
        <w:t xml:space="preserve">transferable </w:t>
      </w:r>
      <w:r w:rsidR="0017085E" w:rsidRPr="003714C9">
        <w:rPr>
          <w:rFonts w:ascii="Tw Cen MT" w:hAnsi="Tw Cen MT" w:cs="Calibri"/>
          <w:color w:val="201F1E"/>
          <w:bdr w:val="none" w:sz="0" w:space="0" w:color="auto" w:frame="1"/>
        </w:rPr>
        <w:t xml:space="preserve">skills which make them job ready in fields such as politics, business and research. </w:t>
      </w:r>
      <w:r w:rsidR="00926F7D" w:rsidRPr="003714C9">
        <w:rPr>
          <w:rFonts w:ascii="Tw Cen MT" w:hAnsi="Tw Cen MT"/>
        </w:rPr>
        <w:t xml:space="preserve">Recent research indicates that </w:t>
      </w:r>
      <w:r w:rsidR="00C71E48" w:rsidRPr="003714C9">
        <w:rPr>
          <w:rFonts w:ascii="Tw Cen MT" w:hAnsi="Tw Cen MT"/>
        </w:rPr>
        <w:t xml:space="preserve">such </w:t>
      </w:r>
      <w:r w:rsidR="00926F7D" w:rsidRPr="003714C9">
        <w:rPr>
          <w:rFonts w:ascii="Tw Cen MT" w:hAnsi="Tw Cen MT"/>
        </w:rPr>
        <w:t xml:space="preserve">communications studies are as ‘job relevant’ as nursing or agricultural education. Communications degrees teach several of the core social or ‘soft’ skills that the World Economic Forum argues are essential to the future of work including critical </w:t>
      </w:r>
      <w:r w:rsidR="00926F7D" w:rsidRPr="003714C9">
        <w:rPr>
          <w:rFonts w:ascii="Tw Cen MT" w:hAnsi="Tw Cen MT"/>
        </w:rPr>
        <w:lastRenderedPageBreak/>
        <w:t>thinking, persuasion, negotiation, and collaboration.</w:t>
      </w:r>
      <w:r w:rsidR="00926F7D" w:rsidRPr="003714C9">
        <w:rPr>
          <w:rStyle w:val="FootnoteReference"/>
          <w:rFonts w:ascii="Tw Cen MT" w:hAnsi="Tw Cen MT"/>
        </w:rPr>
        <w:footnoteReference w:id="3"/>
      </w:r>
      <w:r w:rsidR="00926F7D" w:rsidRPr="003714C9">
        <w:rPr>
          <w:rFonts w:ascii="Tw Cen MT" w:hAnsi="Tw Cen MT"/>
        </w:rPr>
        <w:t xml:space="preserve"> Communications skills are also more important to business since the COVID 19 pandemic.</w:t>
      </w:r>
      <w:r w:rsidR="00926F7D" w:rsidRPr="003714C9">
        <w:rPr>
          <w:rStyle w:val="FootnoteReference"/>
          <w:rFonts w:ascii="Tw Cen MT" w:hAnsi="Tw Cen MT"/>
        </w:rPr>
        <w:footnoteReference w:id="4"/>
      </w:r>
      <w:r w:rsidR="00926F7D" w:rsidRPr="003714C9">
        <w:rPr>
          <w:rFonts w:ascii="Tw Cen MT" w:hAnsi="Tw Cen MT" w:cs="Calibri"/>
          <w:color w:val="201F1E"/>
          <w:bdr w:val="none" w:sz="0" w:space="0" w:color="auto" w:frame="1"/>
        </w:rPr>
        <w:t xml:space="preserve"> Moreover, </w:t>
      </w:r>
      <w:r w:rsidR="0017085E" w:rsidRPr="003714C9">
        <w:rPr>
          <w:rFonts w:ascii="Tw Cen MT" w:hAnsi="Tw Cen MT" w:cs="Calibri"/>
          <w:color w:val="201F1E"/>
          <w:bdr w:val="none" w:sz="0" w:space="0" w:color="auto" w:frame="1"/>
        </w:rPr>
        <w:t xml:space="preserve">undergraduate </w:t>
      </w:r>
      <w:r w:rsidR="00926F7D" w:rsidRPr="003714C9">
        <w:rPr>
          <w:rFonts w:ascii="Tw Cen MT" w:hAnsi="Tw Cen MT" w:cs="Calibri"/>
          <w:color w:val="201F1E"/>
          <w:bdr w:val="none" w:sz="0" w:space="0" w:color="auto" w:frame="1"/>
        </w:rPr>
        <w:t>employment outcomes for humanities graduates</w:t>
      </w:r>
      <w:r w:rsidR="009006FC" w:rsidRPr="003714C9">
        <w:rPr>
          <w:rFonts w:ascii="Tw Cen MT" w:hAnsi="Tw Cen MT" w:cs="Calibri"/>
          <w:color w:val="201F1E"/>
          <w:bdr w:val="none" w:sz="0" w:space="0" w:color="auto" w:frame="1"/>
        </w:rPr>
        <w:t xml:space="preserve"> as a whole</w:t>
      </w:r>
      <w:r w:rsidR="00926F7D" w:rsidRPr="003714C9">
        <w:rPr>
          <w:rFonts w:ascii="Tw Cen MT" w:hAnsi="Tw Cen MT" w:cs="Calibri"/>
          <w:color w:val="201F1E"/>
          <w:bdr w:val="none" w:sz="0" w:space="0" w:color="auto" w:frame="1"/>
        </w:rPr>
        <w:t xml:space="preserve"> are similar to those for </w:t>
      </w:r>
      <w:r w:rsidR="0017085E" w:rsidRPr="003714C9">
        <w:rPr>
          <w:rFonts w:ascii="Tw Cen MT" w:hAnsi="Tw Cen MT" w:cs="Calibri"/>
          <w:color w:val="201F1E"/>
          <w:bdr w:val="none" w:sz="0" w:space="0" w:color="auto" w:frame="1"/>
        </w:rPr>
        <w:t xml:space="preserve">science and maths </w:t>
      </w:r>
      <w:r w:rsidR="00926F7D" w:rsidRPr="003714C9">
        <w:rPr>
          <w:rFonts w:ascii="Tw Cen MT" w:hAnsi="Tw Cen MT" w:cs="Calibri"/>
          <w:color w:val="201F1E"/>
          <w:bdr w:val="none" w:sz="0" w:space="0" w:color="auto" w:frame="1"/>
        </w:rPr>
        <w:t>graduates</w:t>
      </w:r>
      <w:r w:rsidR="0017085E" w:rsidRPr="003714C9">
        <w:rPr>
          <w:rFonts w:ascii="Tw Cen MT" w:hAnsi="Tw Cen MT" w:cs="Calibri"/>
          <w:color w:val="201F1E"/>
          <w:bdr w:val="none" w:sz="0" w:space="0" w:color="auto" w:frame="1"/>
        </w:rPr>
        <w:t xml:space="preserve">, and their labour force participation rates </w:t>
      </w:r>
      <w:r w:rsidR="0017085E" w:rsidRPr="003714C9">
        <w:rPr>
          <w:rFonts w:ascii="Tw Cen MT" w:hAnsi="Tw Cen MT" w:cs="Calibri"/>
          <w:i/>
          <w:color w:val="201F1E"/>
          <w:bdr w:val="none" w:sz="0" w:space="0" w:color="auto" w:frame="1"/>
        </w:rPr>
        <w:t>are higher</w:t>
      </w:r>
      <w:r w:rsidR="00926F7D" w:rsidRPr="003714C9">
        <w:rPr>
          <w:rFonts w:ascii="Tw Cen MT" w:hAnsi="Tw Cen MT" w:cs="Calibri"/>
          <w:color w:val="201F1E"/>
          <w:bdr w:val="none" w:sz="0" w:space="0" w:color="auto" w:frame="1"/>
        </w:rPr>
        <w:t>.</w:t>
      </w:r>
      <w:r w:rsidR="00C71E48" w:rsidRPr="003714C9">
        <w:rPr>
          <w:rStyle w:val="FootnoteReference"/>
          <w:rFonts w:ascii="Tw Cen MT" w:hAnsi="Tw Cen MT" w:cs="Calibri"/>
          <w:color w:val="201F1E"/>
          <w:bdr w:val="none" w:sz="0" w:space="0" w:color="auto" w:frame="1"/>
        </w:rPr>
        <w:footnoteReference w:id="5"/>
      </w:r>
      <w:r w:rsidR="00926F7D" w:rsidRPr="003714C9">
        <w:rPr>
          <w:rFonts w:ascii="Tw Cen MT" w:hAnsi="Tw Cen MT" w:cs="Calibri"/>
          <w:color w:val="201F1E"/>
          <w:bdr w:val="none" w:sz="0" w:space="0" w:color="auto" w:frame="1"/>
        </w:rPr>
        <w:t xml:space="preserve"> </w:t>
      </w:r>
      <w:r w:rsidR="00665FFA" w:rsidRPr="003714C9">
        <w:rPr>
          <w:rFonts w:ascii="Tw Cen MT" w:hAnsi="Tw Cen MT" w:cs="Calibri"/>
          <w:color w:val="201F1E"/>
          <w:bdr w:val="none" w:sz="0" w:space="0" w:color="auto" w:frame="1"/>
        </w:rPr>
        <w:t>In those</w:t>
      </w:r>
      <w:r w:rsidR="009006FC" w:rsidRPr="003714C9">
        <w:rPr>
          <w:rFonts w:ascii="Tw Cen MT" w:hAnsi="Tw Cen MT" w:cs="Calibri"/>
          <w:color w:val="201F1E"/>
          <w:bdr w:val="none" w:sz="0" w:space="0" w:color="auto" w:frame="1"/>
        </w:rPr>
        <w:t xml:space="preserve"> respect</w:t>
      </w:r>
      <w:r w:rsidR="00665FFA" w:rsidRPr="003714C9">
        <w:rPr>
          <w:rFonts w:ascii="Tw Cen MT" w:hAnsi="Tw Cen MT" w:cs="Calibri"/>
          <w:color w:val="201F1E"/>
          <w:bdr w:val="none" w:sz="0" w:space="0" w:color="auto" w:frame="1"/>
        </w:rPr>
        <w:t>s</w:t>
      </w:r>
      <w:r w:rsidR="009006FC" w:rsidRPr="003714C9">
        <w:rPr>
          <w:rFonts w:ascii="Tw Cen MT" w:hAnsi="Tw Cen MT" w:cs="Calibri"/>
          <w:color w:val="201F1E"/>
          <w:bdr w:val="none" w:sz="0" w:space="0" w:color="auto" w:frame="1"/>
        </w:rPr>
        <w:t xml:space="preserve"> it makes little sense to </w:t>
      </w:r>
      <w:r w:rsidR="009750B0" w:rsidRPr="003714C9">
        <w:rPr>
          <w:rFonts w:ascii="Tw Cen MT" w:hAnsi="Tw Cen MT" w:cs="Calibri"/>
          <w:color w:val="201F1E"/>
          <w:bdr w:val="none" w:sz="0" w:space="0" w:color="auto" w:frame="1"/>
        </w:rPr>
        <w:t xml:space="preserve">penalise those </w:t>
      </w:r>
      <w:r w:rsidR="00665FFA" w:rsidRPr="003714C9">
        <w:rPr>
          <w:rFonts w:ascii="Tw Cen MT" w:hAnsi="Tw Cen MT" w:cs="Calibri"/>
          <w:color w:val="201F1E"/>
          <w:bdr w:val="none" w:sz="0" w:space="0" w:color="auto" w:frame="1"/>
        </w:rPr>
        <w:t>seeking to study communications, especially in comparison to those who choose a science or maths education.</w:t>
      </w:r>
    </w:p>
    <w:p w14:paraId="61649DCA" w14:textId="77777777" w:rsidR="006361EF" w:rsidRPr="003714C9" w:rsidRDefault="006361EF">
      <w:pPr>
        <w:rPr>
          <w:rFonts w:ascii="Tw Cen MT" w:hAnsi="Tw Cen MT" w:cs="Calibri"/>
          <w:color w:val="201F1E"/>
          <w:bdr w:val="none" w:sz="0" w:space="0" w:color="auto" w:frame="1"/>
        </w:rPr>
      </w:pPr>
    </w:p>
    <w:p w14:paraId="73B1DD17" w14:textId="2D3F15F1" w:rsidR="003620A0" w:rsidRPr="003714C9" w:rsidRDefault="002C51F8" w:rsidP="003620A0">
      <w:pPr>
        <w:rPr>
          <w:rFonts w:ascii="Tw Cen MT" w:eastAsia="Times New Roman" w:hAnsi="Tw Cen MT" w:cs="Times New Roman"/>
          <w:lang w:val="en-GB" w:eastAsia="en-GB"/>
        </w:rPr>
      </w:pPr>
      <w:r w:rsidRPr="003714C9">
        <w:rPr>
          <w:rFonts w:ascii="Tw Cen MT" w:hAnsi="Tw Cen MT" w:cs="Calibri"/>
          <w:color w:val="201F1E"/>
          <w:bdr w:val="none" w:sz="0" w:space="0" w:color="auto" w:frame="1"/>
        </w:rPr>
        <w:t>JERAA also notes that this reform package</w:t>
      </w:r>
      <w:r w:rsidR="00E44A21" w:rsidRPr="003714C9">
        <w:rPr>
          <w:rFonts w:ascii="Tw Cen MT" w:hAnsi="Tw Cen MT" w:cs="Calibri"/>
          <w:color w:val="201F1E"/>
          <w:bdr w:val="none" w:sz="0" w:space="0" w:color="auto" w:frame="1"/>
        </w:rPr>
        <w:t>, despite its interest in boosting funding to regional rural and remote students,</w:t>
      </w:r>
      <w:r w:rsidRPr="003714C9">
        <w:rPr>
          <w:rFonts w:ascii="Tw Cen MT" w:hAnsi="Tw Cen MT" w:cs="Calibri"/>
          <w:color w:val="201F1E"/>
          <w:bdr w:val="none" w:sz="0" w:space="0" w:color="auto" w:frame="1"/>
        </w:rPr>
        <w:t xml:space="preserve"> delivers no new funding to tertiary education in Australia. </w:t>
      </w:r>
      <w:r w:rsidR="009B41B7" w:rsidRPr="003714C9">
        <w:rPr>
          <w:rFonts w:ascii="Tw Cen MT" w:hAnsi="Tw Cen MT" w:cs="Calibri"/>
          <w:color w:val="201F1E"/>
          <w:bdr w:val="none" w:sz="0" w:space="0" w:color="auto" w:frame="1"/>
        </w:rPr>
        <w:t xml:space="preserve">Instead it shifts most of the cost of changes to students and their families. </w:t>
      </w:r>
      <w:r w:rsidR="003620A0" w:rsidRPr="003714C9">
        <w:rPr>
          <w:rFonts w:ascii="Tw Cen MT" w:hAnsi="Tw Cen MT" w:cs="Calibri"/>
          <w:color w:val="201F1E"/>
          <w:bdr w:val="none" w:sz="0" w:space="0" w:color="auto" w:frame="1"/>
        </w:rPr>
        <w:t xml:space="preserve">As recent OECD report notes </w:t>
      </w:r>
      <w:r w:rsidR="009B41B7" w:rsidRPr="003714C9">
        <w:rPr>
          <w:rFonts w:ascii="Tw Cen MT" w:hAnsi="Tw Cen MT" w:cs="Calibri"/>
          <w:color w:val="201F1E"/>
          <w:bdr w:val="none" w:sz="0" w:space="0" w:color="auto" w:frame="1"/>
        </w:rPr>
        <w:t xml:space="preserve">Australians already fund more of their tertiary education than people most OECD countries: </w:t>
      </w:r>
      <w:r w:rsidR="003620A0" w:rsidRPr="003714C9">
        <w:rPr>
          <w:rFonts w:ascii="Tw Cen MT" w:hAnsi="Tw Cen MT" w:cs="Calibri"/>
          <w:color w:val="201F1E"/>
          <w:bdr w:val="none" w:sz="0" w:space="0" w:color="auto" w:frame="1"/>
        </w:rPr>
        <w:t>“</w:t>
      </w:r>
      <w:r w:rsidR="003620A0" w:rsidRPr="003714C9">
        <w:rPr>
          <w:rFonts w:ascii="Tw Cen MT" w:eastAsia="Times New Roman" w:hAnsi="Tw Cen MT" w:cs="Times New Roman"/>
          <w:lang w:val="en-GB" w:eastAsia="en-GB"/>
        </w:rPr>
        <w:t>private sources account for 60% of the total funding of tertiary educational institutions in Australia,</w:t>
      </w:r>
      <w:r w:rsidR="009B41B7" w:rsidRPr="003714C9">
        <w:rPr>
          <w:rFonts w:ascii="Tw Cen MT" w:eastAsia="Times New Roman" w:hAnsi="Tw Cen MT" w:cs="Times New Roman"/>
          <w:lang w:val="en-GB" w:eastAsia="en-GB"/>
        </w:rPr>
        <w:t xml:space="preserve"> almost double the OECD average” and </w:t>
      </w:r>
      <w:r w:rsidR="003620A0" w:rsidRPr="003714C9">
        <w:rPr>
          <w:rFonts w:ascii="Tw Cen MT" w:eastAsia="Times New Roman" w:hAnsi="Tw Cen MT" w:cs="Times New Roman"/>
          <w:lang w:val="en-GB" w:eastAsia="en-GB"/>
        </w:rPr>
        <w:t>“almost three-quarters of private expenditure is covered by households, most of which is spent on tuition fees.”</w:t>
      </w:r>
      <w:r w:rsidR="003620A0" w:rsidRPr="003714C9">
        <w:rPr>
          <w:rStyle w:val="FootnoteReference"/>
          <w:rFonts w:ascii="Tw Cen MT" w:eastAsia="Times New Roman" w:hAnsi="Tw Cen MT" w:cs="Times New Roman"/>
          <w:lang w:val="en-GB" w:eastAsia="en-GB"/>
        </w:rPr>
        <w:footnoteReference w:id="6"/>
      </w:r>
      <w:r w:rsidR="003620A0" w:rsidRPr="003714C9">
        <w:rPr>
          <w:rFonts w:ascii="Tw Cen MT" w:eastAsia="Times New Roman" w:hAnsi="Tw Cen MT" w:cs="Times New Roman"/>
          <w:lang w:val="en-GB" w:eastAsia="en-GB"/>
        </w:rPr>
        <w:t xml:space="preserve"> This further proposed shift of the cost of tertiary education to private households will unfairly affect those with lower incomes, and is likely to negatively affect equity in access to education. As the government has no </w:t>
      </w:r>
      <w:r w:rsidR="00D86628">
        <w:rPr>
          <w:rFonts w:ascii="Tw Cen MT" w:eastAsia="Times New Roman" w:hAnsi="Tw Cen MT" w:cs="Times New Roman"/>
          <w:lang w:val="en-GB" w:eastAsia="en-GB"/>
        </w:rPr>
        <w:t xml:space="preserve">regulatory impact </w:t>
      </w:r>
      <w:r w:rsidR="003620A0" w:rsidRPr="003714C9">
        <w:rPr>
          <w:rFonts w:ascii="Tw Cen MT" w:eastAsia="Times New Roman" w:hAnsi="Tw Cen MT" w:cs="Times New Roman"/>
          <w:lang w:val="en-GB" w:eastAsia="en-GB"/>
        </w:rPr>
        <w:t xml:space="preserve">modelling to understand the long-term </w:t>
      </w:r>
      <w:r w:rsidR="00D86628">
        <w:rPr>
          <w:rFonts w:ascii="Tw Cen MT" w:eastAsia="Times New Roman" w:hAnsi="Tw Cen MT" w:cs="Times New Roman"/>
          <w:lang w:val="en-GB" w:eastAsia="en-GB"/>
        </w:rPr>
        <w:t>effects</w:t>
      </w:r>
      <w:r w:rsidR="003620A0" w:rsidRPr="003714C9">
        <w:rPr>
          <w:rFonts w:ascii="Tw Cen MT" w:eastAsia="Times New Roman" w:hAnsi="Tw Cen MT" w:cs="Times New Roman"/>
          <w:lang w:val="en-GB" w:eastAsia="en-GB"/>
        </w:rPr>
        <w:t xml:space="preserve"> of this Bill on education equity, on employment prospects or on workforce availability and industry outcomes</w:t>
      </w:r>
      <w:r w:rsidR="009B41B7" w:rsidRPr="003714C9">
        <w:rPr>
          <w:rFonts w:ascii="Tw Cen MT" w:eastAsia="Times New Roman" w:hAnsi="Tw Cen MT" w:cs="Times New Roman"/>
          <w:lang w:val="en-GB" w:eastAsia="en-GB"/>
        </w:rPr>
        <w:t>,</w:t>
      </w:r>
      <w:r w:rsidR="003620A0" w:rsidRPr="003714C9">
        <w:rPr>
          <w:rFonts w:ascii="Tw Cen MT" w:eastAsia="Times New Roman" w:hAnsi="Tw Cen MT" w:cs="Times New Roman"/>
          <w:lang w:val="en-GB" w:eastAsia="en-GB"/>
        </w:rPr>
        <w:t xml:space="preserve"> JERAA argues the </w:t>
      </w:r>
      <w:r w:rsidR="009B41B7" w:rsidRPr="003714C9">
        <w:rPr>
          <w:rFonts w:ascii="Tw Cen MT" w:eastAsia="Times New Roman" w:hAnsi="Tw Cen MT" w:cs="Times New Roman"/>
          <w:lang w:val="en-GB" w:eastAsia="en-GB"/>
        </w:rPr>
        <w:t xml:space="preserve">proposed </w:t>
      </w:r>
      <w:r w:rsidR="003620A0" w:rsidRPr="003714C9">
        <w:rPr>
          <w:rFonts w:ascii="Tw Cen MT" w:eastAsia="Times New Roman" w:hAnsi="Tw Cen MT" w:cs="Times New Roman"/>
          <w:lang w:val="en-GB" w:eastAsia="en-GB"/>
        </w:rPr>
        <w:t xml:space="preserve">changes to </w:t>
      </w:r>
      <w:r w:rsidR="009B41B7" w:rsidRPr="003714C9">
        <w:rPr>
          <w:rFonts w:ascii="Tw Cen MT" w:eastAsia="Times New Roman" w:hAnsi="Tw Cen MT" w:cs="Times New Roman"/>
          <w:lang w:val="en-GB" w:eastAsia="en-GB"/>
        </w:rPr>
        <w:t xml:space="preserve">higher education support </w:t>
      </w:r>
      <w:r w:rsidR="003620A0" w:rsidRPr="003714C9">
        <w:rPr>
          <w:rFonts w:ascii="Tw Cen MT" w:eastAsia="Times New Roman" w:hAnsi="Tw Cen MT" w:cs="Times New Roman"/>
          <w:lang w:val="en-GB" w:eastAsia="en-GB"/>
        </w:rPr>
        <w:t>should not go forward.</w:t>
      </w:r>
    </w:p>
    <w:p w14:paraId="2A76889E" w14:textId="15BE0659" w:rsidR="00770342" w:rsidRPr="003714C9" w:rsidRDefault="00770342">
      <w:pPr>
        <w:rPr>
          <w:rFonts w:ascii="Tw Cen MT" w:hAnsi="Tw Cen MT" w:cs="Calibri"/>
          <w:color w:val="201F1E"/>
          <w:bdr w:val="none" w:sz="0" w:space="0" w:color="auto" w:frame="1"/>
        </w:rPr>
      </w:pPr>
    </w:p>
    <w:p w14:paraId="40B584BC" w14:textId="77777777" w:rsidR="000B7BE1" w:rsidRPr="003714C9" w:rsidRDefault="000B7BE1">
      <w:pPr>
        <w:rPr>
          <w:rFonts w:ascii="Tw Cen MT" w:hAnsi="Tw Cen MT" w:cs="Calibri"/>
          <w:color w:val="201F1E"/>
          <w:bdr w:val="none" w:sz="0" w:space="0" w:color="auto" w:frame="1"/>
        </w:rPr>
      </w:pPr>
    </w:p>
    <w:p w14:paraId="74998029" w14:textId="77777777" w:rsidR="00770342" w:rsidRPr="00D17990" w:rsidRDefault="00770342" w:rsidP="00770342">
      <w:pPr>
        <w:rPr>
          <w:rFonts w:ascii="Tw Cen MT" w:hAnsi="Tw Cen MT" w:cs="Calibri"/>
          <w:b/>
          <w:bCs/>
          <w:color w:val="201F1E"/>
          <w:bdr w:val="none" w:sz="0" w:space="0" w:color="auto" w:frame="1"/>
        </w:rPr>
      </w:pPr>
      <w:r w:rsidRPr="00D17990">
        <w:rPr>
          <w:rFonts w:ascii="Tw Cen MT" w:hAnsi="Tw Cen MT" w:cs="Calibri"/>
          <w:b/>
          <w:bCs/>
          <w:color w:val="201F1E"/>
          <w:bdr w:val="none" w:sz="0" w:space="0" w:color="auto" w:frame="1"/>
        </w:rPr>
        <w:t>RECOMMENDATIONS:</w:t>
      </w:r>
    </w:p>
    <w:p w14:paraId="0305C40F" w14:textId="77777777" w:rsidR="00443812" w:rsidRPr="003714C9" w:rsidRDefault="00443812" w:rsidP="00770342">
      <w:pPr>
        <w:rPr>
          <w:rFonts w:ascii="Tw Cen MT" w:hAnsi="Tw Cen MT" w:cs="Calibri"/>
          <w:color w:val="201F1E"/>
          <w:bdr w:val="none" w:sz="0" w:space="0" w:color="auto" w:frame="1"/>
        </w:rPr>
      </w:pPr>
    </w:p>
    <w:p w14:paraId="35BF76CC" w14:textId="533629E6" w:rsidR="00443812" w:rsidRPr="00D17990" w:rsidRDefault="00770342" w:rsidP="00770342">
      <w:pPr>
        <w:rPr>
          <w:rFonts w:ascii="Tw Cen MT" w:hAnsi="Tw Cen MT"/>
        </w:rPr>
      </w:pPr>
      <w:r w:rsidRPr="003714C9">
        <w:rPr>
          <w:rFonts w:ascii="Tw Cen MT" w:hAnsi="Tw Cen MT" w:cs="Calibri"/>
          <w:color w:val="201F1E"/>
          <w:bdr w:val="none" w:sz="0" w:space="0" w:color="auto" w:frame="1"/>
        </w:rPr>
        <w:t xml:space="preserve">JERAA recommends that the </w:t>
      </w:r>
      <w:r w:rsidRPr="00D17990">
        <w:rPr>
          <w:rFonts w:ascii="Tw Cen MT" w:hAnsi="Tw Cen MT"/>
        </w:rPr>
        <w:t>legislation not be passed in its current form</w:t>
      </w:r>
      <w:r w:rsidR="003F6235" w:rsidRPr="00D17990">
        <w:rPr>
          <w:rFonts w:ascii="Tw Cen MT" w:hAnsi="Tw Cen MT"/>
        </w:rPr>
        <w:t xml:space="preserve"> and that full and appropriate consultation occur with the higher education sector and relevant bodies on any changes to current funding arrangements.</w:t>
      </w:r>
    </w:p>
    <w:p w14:paraId="5FF24767" w14:textId="6CAA1501" w:rsidR="00FF1654" w:rsidRPr="00D17990" w:rsidRDefault="00FF1654" w:rsidP="00770342">
      <w:pPr>
        <w:rPr>
          <w:rFonts w:ascii="Tw Cen MT" w:hAnsi="Tw Cen MT"/>
        </w:rPr>
      </w:pPr>
    </w:p>
    <w:p w14:paraId="401961D5" w14:textId="6641D913" w:rsidR="00F144C7" w:rsidRDefault="00FF1654" w:rsidP="00770342">
      <w:pPr>
        <w:rPr>
          <w:rFonts w:ascii="Tw Cen MT" w:hAnsi="Tw Cen MT" w:cs="Calibri"/>
          <w:b/>
          <w:bCs/>
          <w:color w:val="201F1E"/>
          <w:bdr w:val="none" w:sz="0" w:space="0" w:color="auto" w:frame="1"/>
        </w:rPr>
      </w:pPr>
      <w:proofErr w:type="gramStart"/>
      <w:r w:rsidRPr="00D17990">
        <w:rPr>
          <w:rFonts w:ascii="Tw Cen MT" w:hAnsi="Tw Cen MT"/>
          <w:b/>
          <w:bCs/>
        </w:rPr>
        <w:t>Specifically</w:t>
      </w:r>
      <w:proofErr w:type="gramEnd"/>
      <w:r w:rsidRPr="00D17990">
        <w:rPr>
          <w:rFonts w:ascii="Tw Cen MT" w:hAnsi="Tw Cen MT"/>
          <w:b/>
          <w:bCs/>
        </w:rPr>
        <w:t xml:space="preserve"> we seek </w:t>
      </w:r>
      <w:r w:rsidRPr="00D17990">
        <w:rPr>
          <w:rFonts w:ascii="Tw Cen MT" w:hAnsi="Tw Cen MT" w:cs="Calibri"/>
          <w:b/>
          <w:bCs/>
          <w:color w:val="201F1E"/>
          <w:bdr w:val="none" w:sz="0" w:space="0" w:color="auto" w:frame="1"/>
        </w:rPr>
        <w:t xml:space="preserve">the development </w:t>
      </w:r>
      <w:r w:rsidR="00F144C7">
        <w:rPr>
          <w:rFonts w:ascii="Tw Cen MT" w:hAnsi="Tw Cen MT" w:cs="Calibri"/>
          <w:b/>
          <w:bCs/>
          <w:color w:val="201F1E"/>
          <w:bdr w:val="none" w:sz="0" w:space="0" w:color="auto" w:frame="1"/>
        </w:rPr>
        <w:t xml:space="preserve">and release </w:t>
      </w:r>
      <w:r w:rsidRPr="00D17990">
        <w:rPr>
          <w:rFonts w:ascii="Tw Cen MT" w:hAnsi="Tw Cen MT" w:cs="Calibri"/>
          <w:b/>
          <w:bCs/>
          <w:color w:val="201F1E"/>
          <w:bdr w:val="none" w:sz="0" w:space="0" w:color="auto" w:frame="1"/>
        </w:rPr>
        <w:t>of a regulatory impact statement</w:t>
      </w:r>
      <w:r w:rsidR="00F144C7">
        <w:rPr>
          <w:rFonts w:ascii="Tw Cen MT" w:hAnsi="Tw Cen MT" w:cs="Calibri"/>
          <w:b/>
          <w:bCs/>
          <w:color w:val="201F1E"/>
          <w:bdr w:val="none" w:sz="0" w:space="0" w:color="auto" w:frame="1"/>
        </w:rPr>
        <w:t xml:space="preserve">, detailing </w:t>
      </w:r>
      <w:r w:rsidR="00D17990">
        <w:rPr>
          <w:rFonts w:ascii="Tw Cen MT" w:hAnsi="Tw Cen MT" w:cs="Calibri"/>
          <w:b/>
          <w:bCs/>
          <w:color w:val="201F1E"/>
          <w:bdr w:val="none" w:sz="0" w:space="0" w:color="auto" w:frame="1"/>
        </w:rPr>
        <w:t>options for achieving the government’s intended goals.</w:t>
      </w:r>
    </w:p>
    <w:p w14:paraId="0247007C" w14:textId="77777777" w:rsidR="00443812" w:rsidRPr="00D17990" w:rsidRDefault="00443812" w:rsidP="00770342">
      <w:pPr>
        <w:rPr>
          <w:rFonts w:ascii="Tw Cen MT" w:hAnsi="Tw Cen MT"/>
        </w:rPr>
      </w:pPr>
    </w:p>
    <w:p w14:paraId="07FAFFA8" w14:textId="44DFAE69" w:rsidR="00770342" w:rsidRPr="00D17990" w:rsidRDefault="00D17990" w:rsidP="00D86628">
      <w:pPr>
        <w:spacing w:after="240"/>
        <w:contextualSpacing/>
        <w:rPr>
          <w:rFonts w:ascii="Tw Cen MT" w:hAnsi="Tw Cen MT"/>
        </w:rPr>
      </w:pPr>
      <w:r>
        <w:rPr>
          <w:rFonts w:ascii="Tw Cen MT" w:hAnsi="Tw Cen MT"/>
        </w:rPr>
        <w:t xml:space="preserve">In the case that the Bill </w:t>
      </w:r>
      <w:r w:rsidR="006453A8" w:rsidRPr="00D17990">
        <w:rPr>
          <w:rFonts w:ascii="Tw Cen MT" w:hAnsi="Tw Cen MT"/>
        </w:rPr>
        <w:t xml:space="preserve">does proceed we would recommend </w:t>
      </w:r>
      <w:r w:rsidR="00770342" w:rsidRPr="00D17990">
        <w:rPr>
          <w:rFonts w:ascii="Tw Cen MT" w:hAnsi="Tw Cen MT"/>
        </w:rPr>
        <w:t xml:space="preserve">the following amendments: </w:t>
      </w:r>
    </w:p>
    <w:p w14:paraId="761B388F" w14:textId="52C3C44E" w:rsidR="00483B90" w:rsidRPr="00D17990" w:rsidRDefault="00483B90" w:rsidP="00D86628">
      <w:pPr>
        <w:pStyle w:val="ListParagraph"/>
        <w:numPr>
          <w:ilvl w:val="0"/>
          <w:numId w:val="2"/>
        </w:numPr>
        <w:spacing w:after="240" w:line="240" w:lineRule="auto"/>
        <w:ind w:left="720" w:hanging="360"/>
        <w:rPr>
          <w:rFonts w:ascii="Tw Cen MT" w:hAnsi="Tw Cen MT"/>
          <w:sz w:val="24"/>
          <w:szCs w:val="24"/>
        </w:rPr>
      </w:pPr>
      <w:r w:rsidRPr="00D17990">
        <w:rPr>
          <w:rFonts w:ascii="Tw Cen MT" w:hAnsi="Tw Cen MT"/>
          <w:sz w:val="24"/>
          <w:szCs w:val="24"/>
        </w:rPr>
        <w:t xml:space="preserve">Remove journalism </w:t>
      </w:r>
      <w:r w:rsidR="009469C9">
        <w:rPr>
          <w:rFonts w:ascii="Tw Cen MT" w:hAnsi="Tw Cen MT"/>
          <w:sz w:val="24"/>
          <w:szCs w:val="24"/>
        </w:rPr>
        <w:t xml:space="preserve">and </w:t>
      </w:r>
      <w:r w:rsidRPr="00D17990">
        <w:rPr>
          <w:rFonts w:ascii="Tw Cen MT" w:hAnsi="Tw Cen MT"/>
          <w:sz w:val="24"/>
          <w:szCs w:val="24"/>
        </w:rPr>
        <w:t xml:space="preserve">communication from Funding Cluster 1 in recognition of our vital role in the maintenance of democracy, </w:t>
      </w:r>
      <w:r w:rsidR="00D86628">
        <w:rPr>
          <w:rFonts w:ascii="Tw Cen MT" w:hAnsi="Tw Cen MT"/>
          <w:sz w:val="24"/>
          <w:szCs w:val="24"/>
        </w:rPr>
        <w:t xml:space="preserve">and </w:t>
      </w:r>
      <w:r w:rsidRPr="00D17990">
        <w:rPr>
          <w:rFonts w:ascii="Tw Cen MT" w:hAnsi="Tw Cen MT"/>
          <w:sz w:val="24"/>
          <w:szCs w:val="24"/>
        </w:rPr>
        <w:t>the struggling nature of the</w:t>
      </w:r>
      <w:r w:rsidR="00D86628">
        <w:rPr>
          <w:rFonts w:ascii="Tw Cen MT" w:hAnsi="Tw Cen MT"/>
          <w:sz w:val="24"/>
          <w:szCs w:val="24"/>
        </w:rPr>
        <w:t xml:space="preserve"> news media</w:t>
      </w:r>
      <w:r w:rsidRPr="00D17990">
        <w:rPr>
          <w:rFonts w:ascii="Tw Cen MT" w:hAnsi="Tw Cen MT"/>
          <w:sz w:val="24"/>
          <w:szCs w:val="24"/>
        </w:rPr>
        <w:t xml:space="preserve"> industr</w:t>
      </w:r>
      <w:r w:rsidR="00D86628">
        <w:rPr>
          <w:rFonts w:ascii="Tw Cen MT" w:hAnsi="Tw Cen MT"/>
          <w:sz w:val="24"/>
          <w:szCs w:val="24"/>
        </w:rPr>
        <w:t>y</w:t>
      </w:r>
      <w:r w:rsidR="000B7BE1" w:rsidRPr="00D17990">
        <w:rPr>
          <w:rFonts w:ascii="Tw Cen MT" w:hAnsi="Tw Cen MT"/>
          <w:sz w:val="24"/>
          <w:szCs w:val="24"/>
        </w:rPr>
        <w:t>.</w:t>
      </w:r>
      <w:r w:rsidRPr="00D17990">
        <w:rPr>
          <w:rFonts w:ascii="Tw Cen MT" w:hAnsi="Tw Cen MT"/>
          <w:sz w:val="24"/>
          <w:szCs w:val="24"/>
        </w:rPr>
        <w:t xml:space="preserve"> </w:t>
      </w:r>
    </w:p>
    <w:p w14:paraId="0C2A4408" w14:textId="2F72F330" w:rsidR="00483B90" w:rsidRPr="00D17990" w:rsidRDefault="00483B90" w:rsidP="00D86628">
      <w:pPr>
        <w:pStyle w:val="ListParagraph"/>
        <w:numPr>
          <w:ilvl w:val="0"/>
          <w:numId w:val="2"/>
        </w:numPr>
        <w:spacing w:after="240" w:line="240" w:lineRule="auto"/>
        <w:ind w:left="720" w:hanging="360"/>
        <w:rPr>
          <w:rFonts w:ascii="Tw Cen MT" w:hAnsi="Tw Cen MT"/>
          <w:sz w:val="24"/>
          <w:szCs w:val="24"/>
        </w:rPr>
      </w:pPr>
      <w:r w:rsidRPr="00D17990">
        <w:rPr>
          <w:rFonts w:ascii="Tw Cen MT" w:hAnsi="Tw Cen MT"/>
          <w:sz w:val="24"/>
          <w:szCs w:val="24"/>
        </w:rPr>
        <w:t xml:space="preserve">Increase the </w:t>
      </w:r>
      <w:r w:rsidRPr="00D17990">
        <w:rPr>
          <w:rFonts w:ascii="Tw Cen MT" w:hAnsi="Tw Cen MT"/>
          <w:bCs/>
          <w:iCs/>
          <w:sz w:val="24"/>
          <w:szCs w:val="24"/>
        </w:rPr>
        <w:t>maximum student contribution amount for a place</w:t>
      </w:r>
      <w:r w:rsidRPr="00D17990">
        <w:rPr>
          <w:rFonts w:ascii="Tw Cen MT" w:hAnsi="Tw Cen MT"/>
          <w:b/>
          <w:i/>
          <w:sz w:val="24"/>
          <w:szCs w:val="24"/>
        </w:rPr>
        <w:t xml:space="preserve"> </w:t>
      </w:r>
      <w:r w:rsidRPr="00D17990">
        <w:rPr>
          <w:rFonts w:ascii="Tw Cen MT" w:hAnsi="Tw Cen MT"/>
          <w:sz w:val="24"/>
          <w:szCs w:val="24"/>
        </w:rPr>
        <w:t>in a unit of study in communications.</w:t>
      </w:r>
    </w:p>
    <w:p w14:paraId="432E938B" w14:textId="4C0D52FA" w:rsidR="00770342" w:rsidRPr="00D17990" w:rsidRDefault="00770342" w:rsidP="00D86628">
      <w:pPr>
        <w:pStyle w:val="ListParagraph"/>
        <w:numPr>
          <w:ilvl w:val="0"/>
          <w:numId w:val="2"/>
        </w:numPr>
        <w:spacing w:after="240" w:line="240" w:lineRule="auto"/>
        <w:ind w:left="720" w:hanging="360"/>
        <w:rPr>
          <w:rFonts w:ascii="Tw Cen MT" w:hAnsi="Tw Cen MT"/>
          <w:sz w:val="24"/>
          <w:szCs w:val="24"/>
        </w:rPr>
      </w:pPr>
      <w:r w:rsidRPr="00D17990">
        <w:rPr>
          <w:rFonts w:ascii="Tw Cen MT" w:hAnsi="Tw Cen MT"/>
          <w:sz w:val="24"/>
          <w:szCs w:val="24"/>
        </w:rPr>
        <w:t xml:space="preserve">Continue to give universities </w:t>
      </w:r>
      <w:r w:rsidR="007E4A19" w:rsidRPr="00D17990">
        <w:rPr>
          <w:rFonts w:ascii="Tw Cen MT" w:hAnsi="Tw Cen MT"/>
          <w:sz w:val="24"/>
          <w:szCs w:val="24"/>
        </w:rPr>
        <w:t xml:space="preserve">the </w:t>
      </w:r>
      <w:r w:rsidRPr="00D17990">
        <w:rPr>
          <w:rFonts w:ascii="Tw Cen MT" w:hAnsi="Tw Cen MT"/>
          <w:sz w:val="24"/>
          <w:szCs w:val="24"/>
        </w:rPr>
        <w:t xml:space="preserve">ability to manage finances to ensure that students benefit from both </w:t>
      </w:r>
      <w:r w:rsidR="009469C9">
        <w:rPr>
          <w:rFonts w:ascii="Tw Cen MT" w:hAnsi="Tw Cen MT"/>
          <w:sz w:val="24"/>
          <w:szCs w:val="24"/>
        </w:rPr>
        <w:t>high-level</w:t>
      </w:r>
      <w:r w:rsidRPr="00D17990">
        <w:rPr>
          <w:rFonts w:ascii="Tw Cen MT" w:hAnsi="Tw Cen MT"/>
          <w:sz w:val="24"/>
          <w:szCs w:val="24"/>
        </w:rPr>
        <w:t xml:space="preserve"> teaching and research as part of the cost of their university education.</w:t>
      </w:r>
    </w:p>
    <w:p w14:paraId="434B4C8C" w14:textId="363512DE" w:rsidR="00770342" w:rsidRPr="00D17990" w:rsidRDefault="00D17990" w:rsidP="00D86628">
      <w:pPr>
        <w:pStyle w:val="ListParagraph"/>
        <w:numPr>
          <w:ilvl w:val="0"/>
          <w:numId w:val="2"/>
        </w:numPr>
        <w:spacing w:after="240" w:line="240" w:lineRule="auto"/>
        <w:ind w:left="720" w:hanging="360"/>
        <w:rPr>
          <w:rFonts w:ascii="Tw Cen MT" w:hAnsi="Tw Cen MT"/>
          <w:sz w:val="24"/>
          <w:szCs w:val="24"/>
        </w:rPr>
      </w:pPr>
      <w:r>
        <w:rPr>
          <w:rFonts w:ascii="Tw Cen MT" w:hAnsi="Tw Cen MT"/>
          <w:sz w:val="24"/>
          <w:szCs w:val="24"/>
        </w:rPr>
        <w:t>C</w:t>
      </w:r>
      <w:r w:rsidR="00770342" w:rsidRPr="00D17990">
        <w:rPr>
          <w:rFonts w:ascii="Tw Cen MT" w:hAnsi="Tw Cen MT"/>
          <w:sz w:val="24"/>
          <w:szCs w:val="24"/>
        </w:rPr>
        <w:t xml:space="preserve">reate financial incentives, external to the university funding process, to encourage regional and remote Indigenous persons </w:t>
      </w:r>
      <w:r w:rsidR="00443812" w:rsidRPr="00D17990">
        <w:rPr>
          <w:rFonts w:ascii="Tw Cen MT" w:hAnsi="Tw Cen MT"/>
          <w:sz w:val="24"/>
          <w:szCs w:val="24"/>
        </w:rPr>
        <w:t>to</w:t>
      </w:r>
      <w:r w:rsidR="00770342" w:rsidRPr="00D17990">
        <w:rPr>
          <w:rFonts w:ascii="Tw Cen MT" w:hAnsi="Tw Cen MT"/>
          <w:sz w:val="24"/>
          <w:szCs w:val="24"/>
        </w:rPr>
        <w:t xml:space="preserve"> study</w:t>
      </w:r>
      <w:r w:rsidR="00443812" w:rsidRPr="00D17990">
        <w:rPr>
          <w:rFonts w:ascii="Tw Cen MT" w:hAnsi="Tw Cen MT"/>
          <w:sz w:val="24"/>
          <w:szCs w:val="24"/>
        </w:rPr>
        <w:t xml:space="preserve">, including </w:t>
      </w:r>
      <w:r w:rsidR="00770342" w:rsidRPr="00D17990">
        <w:rPr>
          <w:rFonts w:ascii="Tw Cen MT" w:hAnsi="Tw Cen MT"/>
          <w:sz w:val="24"/>
          <w:szCs w:val="24"/>
        </w:rPr>
        <w:t>at regional campuses.</w:t>
      </w:r>
    </w:p>
    <w:p w14:paraId="57667132" w14:textId="3B4EC90A" w:rsidR="00770342" w:rsidRPr="00D17990" w:rsidRDefault="00D17990" w:rsidP="00D86628">
      <w:pPr>
        <w:pStyle w:val="ListParagraph"/>
        <w:numPr>
          <w:ilvl w:val="0"/>
          <w:numId w:val="2"/>
        </w:numPr>
        <w:spacing w:after="240" w:line="240" w:lineRule="auto"/>
        <w:ind w:left="720" w:hanging="360"/>
        <w:rPr>
          <w:rFonts w:ascii="Tw Cen MT" w:hAnsi="Tw Cen MT"/>
          <w:sz w:val="24"/>
          <w:szCs w:val="24"/>
        </w:rPr>
      </w:pPr>
      <w:r>
        <w:rPr>
          <w:rFonts w:ascii="Tw Cen MT" w:hAnsi="Tw Cen MT"/>
          <w:sz w:val="24"/>
          <w:szCs w:val="24"/>
        </w:rPr>
        <w:t>I</w:t>
      </w:r>
      <w:r w:rsidR="00770342" w:rsidRPr="00D17990">
        <w:rPr>
          <w:rFonts w:ascii="Tw Cen MT" w:hAnsi="Tw Cen MT"/>
          <w:sz w:val="24"/>
          <w:szCs w:val="24"/>
        </w:rPr>
        <w:t xml:space="preserve">ncrease the FEE-HELP loan fee for undergraduate students from 25 per cent to </w:t>
      </w:r>
      <w:r w:rsidR="00770342" w:rsidRPr="00D17990">
        <w:rPr>
          <w:rFonts w:ascii="Tw Cen MT" w:hAnsi="Tw Cen MT"/>
          <w:sz w:val="24"/>
          <w:szCs w:val="24"/>
        </w:rPr>
        <w:br/>
        <w:t>50 per cent</w:t>
      </w:r>
      <w:r w:rsidR="00D86628">
        <w:rPr>
          <w:rFonts w:ascii="Tw Cen MT" w:hAnsi="Tw Cen MT"/>
          <w:sz w:val="24"/>
          <w:szCs w:val="24"/>
        </w:rPr>
        <w:t>.</w:t>
      </w:r>
    </w:p>
    <w:p w14:paraId="6049BD96" w14:textId="39CB7F5C" w:rsidR="00770342" w:rsidRPr="003714C9" w:rsidRDefault="00914844" w:rsidP="00D86628">
      <w:pPr>
        <w:pStyle w:val="ListParagraph"/>
        <w:numPr>
          <w:ilvl w:val="0"/>
          <w:numId w:val="2"/>
        </w:numPr>
        <w:spacing w:after="240" w:line="240" w:lineRule="auto"/>
        <w:ind w:left="720" w:hanging="360"/>
        <w:rPr>
          <w:bdr w:val="none" w:sz="0" w:space="0" w:color="auto" w:frame="1"/>
        </w:rPr>
      </w:pPr>
      <w:r w:rsidRPr="00D17990">
        <w:rPr>
          <w:rFonts w:ascii="Tw Cen MT" w:hAnsi="Tw Cen MT"/>
          <w:sz w:val="24"/>
          <w:szCs w:val="24"/>
        </w:rPr>
        <w:lastRenderedPageBreak/>
        <w:t>Maintain</w:t>
      </w:r>
      <w:r w:rsidR="00770342" w:rsidRPr="00D17990">
        <w:rPr>
          <w:rFonts w:ascii="Tw Cen MT" w:hAnsi="Tw Cen MT"/>
          <w:sz w:val="24"/>
          <w:szCs w:val="24"/>
        </w:rPr>
        <w:t xml:space="preserve"> </w:t>
      </w:r>
      <w:r w:rsidRPr="00D17990">
        <w:rPr>
          <w:rFonts w:ascii="Tw Cen MT" w:hAnsi="Tw Cen MT"/>
          <w:sz w:val="24"/>
          <w:szCs w:val="24"/>
        </w:rPr>
        <w:t>t</w:t>
      </w:r>
      <w:r w:rsidR="00770342" w:rsidRPr="00D17990">
        <w:rPr>
          <w:rFonts w:ascii="Tw Cen MT" w:hAnsi="Tw Cen MT"/>
          <w:sz w:val="24"/>
          <w:szCs w:val="24"/>
        </w:rPr>
        <w:t xml:space="preserve">he number of months a student must be receiving eligible student support payments to be eligible to receive the Fares Allowance under the Social Security Act 1991 (SS Act). </w:t>
      </w:r>
    </w:p>
    <w:bookmarkEnd w:id="0"/>
    <w:sectPr w:rsidR="00770342" w:rsidRPr="003714C9" w:rsidSect="00F0363E">
      <w:footerReference w:type="even" r:id="rId11"/>
      <w:footerReference w:type="default" r:id="rId12"/>
      <w:pgSz w:w="11900" w:h="16840"/>
      <w:pgMar w:top="1440" w:right="1440" w:bottom="1440" w:left="1440" w:header="113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97E4D" w14:textId="77777777" w:rsidR="00607BD6" w:rsidRDefault="00607BD6" w:rsidP="00F251F1">
      <w:r>
        <w:separator/>
      </w:r>
    </w:p>
  </w:endnote>
  <w:endnote w:type="continuationSeparator" w:id="0">
    <w:p w14:paraId="7B673414" w14:textId="77777777" w:rsidR="00607BD6" w:rsidRDefault="00607BD6" w:rsidP="00F2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w Cen MT">
    <w:panose1 w:val="020B06020201040206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C192A" w14:textId="77777777" w:rsidR="009B41B7" w:rsidRDefault="009B41B7" w:rsidP="00166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FFF3E3" w14:textId="77777777" w:rsidR="009B41B7" w:rsidRDefault="009B41B7" w:rsidP="009B41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E2547" w14:textId="77777777" w:rsidR="009B41B7" w:rsidRPr="009B41B7" w:rsidRDefault="009B41B7" w:rsidP="00166A6F">
    <w:pPr>
      <w:pStyle w:val="Footer"/>
      <w:framePr w:wrap="none" w:vAnchor="text" w:hAnchor="margin" w:xAlign="right" w:y="1"/>
      <w:rPr>
        <w:rStyle w:val="PageNumber"/>
        <w:rFonts w:ascii="Tw Cen MT" w:hAnsi="Tw Cen MT"/>
        <w:sz w:val="18"/>
        <w:szCs w:val="18"/>
      </w:rPr>
    </w:pPr>
    <w:r w:rsidRPr="009B41B7">
      <w:rPr>
        <w:rStyle w:val="PageNumber"/>
        <w:rFonts w:ascii="Tw Cen MT" w:hAnsi="Tw Cen MT"/>
        <w:sz w:val="18"/>
        <w:szCs w:val="18"/>
      </w:rPr>
      <w:fldChar w:fldCharType="begin"/>
    </w:r>
    <w:r w:rsidRPr="009B41B7">
      <w:rPr>
        <w:rStyle w:val="PageNumber"/>
        <w:rFonts w:ascii="Tw Cen MT" w:hAnsi="Tw Cen MT"/>
        <w:sz w:val="18"/>
        <w:szCs w:val="18"/>
      </w:rPr>
      <w:instrText xml:space="preserve">PAGE  </w:instrText>
    </w:r>
    <w:r w:rsidRPr="009B41B7">
      <w:rPr>
        <w:rStyle w:val="PageNumber"/>
        <w:rFonts w:ascii="Tw Cen MT" w:hAnsi="Tw Cen MT"/>
        <w:sz w:val="18"/>
        <w:szCs w:val="18"/>
      </w:rPr>
      <w:fldChar w:fldCharType="separate"/>
    </w:r>
    <w:r w:rsidR="00D05CC8">
      <w:rPr>
        <w:rStyle w:val="PageNumber"/>
        <w:rFonts w:ascii="Tw Cen MT" w:hAnsi="Tw Cen MT"/>
        <w:noProof/>
        <w:sz w:val="18"/>
        <w:szCs w:val="18"/>
      </w:rPr>
      <w:t>1</w:t>
    </w:r>
    <w:r w:rsidRPr="009B41B7">
      <w:rPr>
        <w:rStyle w:val="PageNumber"/>
        <w:rFonts w:ascii="Tw Cen MT" w:hAnsi="Tw Cen MT"/>
        <w:sz w:val="18"/>
        <w:szCs w:val="18"/>
      </w:rPr>
      <w:fldChar w:fldCharType="end"/>
    </w:r>
  </w:p>
  <w:p w14:paraId="5B3B6AD4" w14:textId="77777777" w:rsidR="009B41B7" w:rsidRDefault="009B41B7" w:rsidP="009B41B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3A46F" w14:textId="77777777" w:rsidR="00607BD6" w:rsidRDefault="00607BD6" w:rsidP="00F251F1">
      <w:r>
        <w:separator/>
      </w:r>
    </w:p>
  </w:footnote>
  <w:footnote w:type="continuationSeparator" w:id="0">
    <w:p w14:paraId="3404FD5F" w14:textId="77777777" w:rsidR="00607BD6" w:rsidRDefault="00607BD6" w:rsidP="00F251F1">
      <w:r>
        <w:continuationSeparator/>
      </w:r>
    </w:p>
  </w:footnote>
  <w:footnote w:id="1">
    <w:p w14:paraId="5FD58891" w14:textId="77777777" w:rsidR="007C3C8C" w:rsidRPr="00C71E48" w:rsidRDefault="007C3C8C" w:rsidP="007C3C8C">
      <w:pPr>
        <w:pStyle w:val="FootnoteText"/>
        <w:rPr>
          <w:rFonts w:ascii="Tw Cen MT" w:hAnsi="Tw Cen MT"/>
          <w:sz w:val="16"/>
          <w:szCs w:val="16"/>
          <w:lang w:val="en-AU"/>
        </w:rPr>
      </w:pPr>
      <w:r w:rsidRPr="00C71E48">
        <w:rPr>
          <w:rStyle w:val="FootnoteReference"/>
          <w:rFonts w:ascii="Tw Cen MT" w:hAnsi="Tw Cen MT"/>
          <w:sz w:val="16"/>
          <w:szCs w:val="16"/>
        </w:rPr>
        <w:footnoteRef/>
      </w:r>
      <w:r w:rsidRPr="00C71E48">
        <w:rPr>
          <w:rFonts w:ascii="Tw Cen MT" w:hAnsi="Tw Cen MT"/>
          <w:sz w:val="16"/>
          <w:szCs w:val="16"/>
        </w:rPr>
        <w:t xml:space="preserve"> Australian Government. 2019. Regulating in the Digital Age: </w:t>
      </w:r>
      <w:r w:rsidRPr="00C71E48">
        <w:rPr>
          <w:rFonts w:ascii="Tw Cen MT" w:hAnsi="Tw Cen MT" w:cs="Arial"/>
          <w:color w:val="000000"/>
          <w:sz w:val="16"/>
          <w:szCs w:val="16"/>
        </w:rPr>
        <w:t>Government Response and Implementation Roadmap for the Digital Platforms Inquiry. Canberra: Commonwealth of Australia.</w:t>
      </w:r>
    </w:p>
  </w:footnote>
  <w:footnote w:id="2">
    <w:p w14:paraId="1DE50D3A" w14:textId="77777777" w:rsidR="00F251F1" w:rsidRPr="00FE0728" w:rsidRDefault="00F251F1" w:rsidP="00F251F1">
      <w:pPr>
        <w:pStyle w:val="FootnoteText"/>
        <w:rPr>
          <w:sz w:val="16"/>
          <w:szCs w:val="16"/>
          <w:lang w:val="en-AU"/>
        </w:rPr>
      </w:pPr>
      <w:r w:rsidRPr="00C71E48">
        <w:rPr>
          <w:rStyle w:val="FootnoteReference"/>
          <w:rFonts w:ascii="Tw Cen MT" w:hAnsi="Tw Cen MT"/>
          <w:sz w:val="16"/>
          <w:szCs w:val="16"/>
        </w:rPr>
        <w:footnoteRef/>
      </w:r>
      <w:r w:rsidRPr="00C71E48">
        <w:rPr>
          <w:rFonts w:ascii="Tw Cen MT" w:hAnsi="Tw Cen MT"/>
          <w:sz w:val="16"/>
          <w:szCs w:val="16"/>
        </w:rPr>
        <w:t xml:space="preserve"> Australian Government. 2019. Regulating in the Digital Age: </w:t>
      </w:r>
      <w:r w:rsidRPr="00C71E48">
        <w:rPr>
          <w:rFonts w:ascii="Tw Cen MT" w:hAnsi="Tw Cen MT" w:cs="Arial"/>
          <w:color w:val="000000"/>
          <w:sz w:val="16"/>
          <w:szCs w:val="16"/>
        </w:rPr>
        <w:t>Government Response and Implementation Roadmap for the Digital Platforms Inquiry. Canberra: Commonwealth of Australia.</w:t>
      </w:r>
    </w:p>
  </w:footnote>
  <w:footnote w:id="3">
    <w:p w14:paraId="48C5E4DA" w14:textId="4D607E1A" w:rsidR="00926F7D" w:rsidRPr="009006FC" w:rsidRDefault="00926F7D" w:rsidP="009006FC">
      <w:pPr>
        <w:rPr>
          <w:rFonts w:ascii="Tw Cen MT" w:eastAsia="Times New Roman" w:hAnsi="Tw Cen MT" w:cs="Times New Roman"/>
          <w:sz w:val="16"/>
          <w:szCs w:val="16"/>
          <w:lang w:val="en-GB" w:eastAsia="en-GB"/>
        </w:rPr>
      </w:pPr>
      <w:r w:rsidRPr="009006FC">
        <w:rPr>
          <w:rStyle w:val="FootnoteReference"/>
          <w:rFonts w:ascii="Tw Cen MT" w:hAnsi="Tw Cen MT"/>
          <w:sz w:val="16"/>
          <w:szCs w:val="16"/>
        </w:rPr>
        <w:footnoteRef/>
      </w:r>
      <w:r w:rsidRPr="009006FC">
        <w:rPr>
          <w:rFonts w:ascii="Tw Cen MT" w:hAnsi="Tw Cen MT"/>
          <w:sz w:val="16"/>
          <w:szCs w:val="16"/>
        </w:rPr>
        <w:t xml:space="preserve"> </w:t>
      </w:r>
      <w:r w:rsidR="009006FC" w:rsidRPr="009006FC">
        <w:rPr>
          <w:rFonts w:ascii="Tw Cen MT" w:hAnsi="Tw Cen MT"/>
          <w:sz w:val="16"/>
          <w:szCs w:val="16"/>
        </w:rPr>
        <w:t xml:space="preserve">Blue, Allen. </w:t>
      </w:r>
      <w:r w:rsidR="00C71E48" w:rsidRPr="009006FC">
        <w:rPr>
          <w:rFonts w:ascii="Tw Cen MT" w:hAnsi="Tw Cen MT"/>
          <w:sz w:val="16"/>
          <w:szCs w:val="16"/>
        </w:rPr>
        <w:t>2020</w:t>
      </w:r>
      <w:r w:rsidR="009006FC" w:rsidRPr="009006FC">
        <w:rPr>
          <w:rFonts w:ascii="Tw Cen MT" w:hAnsi="Tw Cen MT"/>
          <w:sz w:val="16"/>
          <w:szCs w:val="16"/>
        </w:rPr>
        <w:t xml:space="preserve">. 5 things we know about the jobs of the future. World Economic Forum. </w:t>
      </w:r>
      <w:r w:rsidR="00C71E48" w:rsidRPr="009006FC">
        <w:rPr>
          <w:rFonts w:ascii="Tw Cen MT" w:hAnsi="Tw Cen MT"/>
          <w:sz w:val="16"/>
          <w:szCs w:val="16"/>
        </w:rPr>
        <w:t xml:space="preserve"> </w:t>
      </w:r>
      <w:hyperlink r:id="rId1" w:history="1">
        <w:r w:rsidR="00C71E48" w:rsidRPr="009006FC">
          <w:rPr>
            <w:rFonts w:ascii="Tw Cen MT" w:eastAsia="Times New Roman" w:hAnsi="Tw Cen MT" w:cs="Times New Roman"/>
            <w:color w:val="0000FF"/>
            <w:sz w:val="16"/>
            <w:szCs w:val="16"/>
            <w:u w:val="single"/>
            <w:lang w:val="en-GB" w:eastAsia="en-GB"/>
          </w:rPr>
          <w:t>https://www.weforum.org/agenda/2020/01/future-jobs-and-skills-in-demand</w:t>
        </w:r>
      </w:hyperlink>
      <w:r w:rsidR="009006FC" w:rsidRPr="009006FC">
        <w:rPr>
          <w:rFonts w:ascii="Tw Cen MT" w:eastAsia="Times New Roman" w:hAnsi="Tw Cen MT" w:cs="Times New Roman"/>
          <w:sz w:val="16"/>
          <w:szCs w:val="16"/>
          <w:lang w:val="en-GB" w:eastAsia="en-GB"/>
        </w:rPr>
        <w:t xml:space="preserve"> </w:t>
      </w:r>
    </w:p>
  </w:footnote>
  <w:footnote w:id="4">
    <w:p w14:paraId="6AE94B18" w14:textId="538C0212" w:rsidR="00926F7D" w:rsidRPr="00D02A14" w:rsidRDefault="00926F7D" w:rsidP="00D02A14">
      <w:pPr>
        <w:rPr>
          <w:rFonts w:ascii="Tw Cen MT" w:eastAsia="Times New Roman" w:hAnsi="Tw Cen MT" w:cs="Times New Roman"/>
          <w:sz w:val="16"/>
          <w:szCs w:val="16"/>
          <w:lang w:val="en-GB" w:eastAsia="en-GB"/>
        </w:rPr>
      </w:pPr>
      <w:r w:rsidRPr="009006FC">
        <w:rPr>
          <w:rStyle w:val="FootnoteReference"/>
          <w:rFonts w:ascii="Tw Cen MT" w:hAnsi="Tw Cen MT"/>
          <w:sz w:val="16"/>
          <w:szCs w:val="16"/>
        </w:rPr>
        <w:footnoteRef/>
      </w:r>
      <w:r w:rsidRPr="009006FC">
        <w:rPr>
          <w:rFonts w:ascii="Tw Cen MT" w:hAnsi="Tw Cen MT"/>
          <w:sz w:val="16"/>
          <w:szCs w:val="16"/>
        </w:rPr>
        <w:t xml:space="preserve"> </w:t>
      </w:r>
      <w:r w:rsidR="00D02A14" w:rsidRPr="00D02A14">
        <w:rPr>
          <w:rFonts w:ascii="Tw Cen MT" w:hAnsi="Tw Cen MT"/>
          <w:sz w:val="16"/>
          <w:szCs w:val="16"/>
        </w:rPr>
        <w:t xml:space="preserve">The Global Alliance in Management Education. 2020. Global teams are likely to communicate MORE frequently post-COVID-19, however relationship quality may be compromised, new CEMS research finds. </w:t>
      </w:r>
      <w:hyperlink r:id="rId2" w:history="1">
        <w:r w:rsidR="00D02A14" w:rsidRPr="00D02A14">
          <w:rPr>
            <w:rFonts w:ascii="Tw Cen MT" w:eastAsia="Times New Roman" w:hAnsi="Tw Cen MT" w:cs="Times New Roman"/>
            <w:color w:val="0000FF"/>
            <w:sz w:val="16"/>
            <w:szCs w:val="16"/>
            <w:u w:val="single"/>
            <w:lang w:val="en-GB" w:eastAsia="en-GB"/>
          </w:rPr>
          <w:t>https://www.cems.org/news-media/news/press-releases/global-teams-are-likely-communicate-more-frequently-post-covid-19-how</w:t>
        </w:r>
      </w:hyperlink>
    </w:p>
  </w:footnote>
  <w:footnote w:id="5">
    <w:p w14:paraId="5DF8A734" w14:textId="4EE1C270" w:rsidR="00C71E48" w:rsidRPr="003620A0" w:rsidRDefault="00C71E48" w:rsidP="003620A0">
      <w:pPr>
        <w:rPr>
          <w:rFonts w:ascii="Tw Cen MT" w:eastAsia="Times New Roman" w:hAnsi="Tw Cen MT" w:cs="Times New Roman"/>
          <w:sz w:val="16"/>
          <w:szCs w:val="16"/>
          <w:lang w:val="en-GB" w:eastAsia="en-GB"/>
        </w:rPr>
      </w:pPr>
      <w:r w:rsidRPr="007C1406">
        <w:rPr>
          <w:rStyle w:val="FootnoteReference"/>
          <w:rFonts w:ascii="Tw Cen MT" w:hAnsi="Tw Cen MT"/>
          <w:sz w:val="16"/>
          <w:szCs w:val="16"/>
        </w:rPr>
        <w:footnoteRef/>
      </w:r>
      <w:r w:rsidRPr="007C1406">
        <w:rPr>
          <w:rFonts w:ascii="Tw Cen MT" w:hAnsi="Tw Cen MT"/>
          <w:sz w:val="16"/>
          <w:szCs w:val="16"/>
        </w:rPr>
        <w:t xml:space="preserve"> </w:t>
      </w:r>
      <w:r w:rsidR="007C1406" w:rsidRPr="007C1406">
        <w:rPr>
          <w:rFonts w:ascii="Tw Cen MT" w:hAnsi="Tw Cen MT"/>
          <w:sz w:val="16"/>
          <w:szCs w:val="16"/>
        </w:rPr>
        <w:t xml:space="preserve">Quality Indicators for Learning and Teaching. 2020. 2019 Graduate Outcomes Survey. </w:t>
      </w:r>
      <w:hyperlink r:id="rId3" w:history="1">
        <w:r w:rsidR="007C1406" w:rsidRPr="003620A0">
          <w:rPr>
            <w:rFonts w:ascii="Tw Cen MT" w:eastAsia="Times New Roman" w:hAnsi="Tw Cen MT" w:cs="Times New Roman"/>
            <w:color w:val="0000FF"/>
            <w:sz w:val="16"/>
            <w:szCs w:val="16"/>
            <w:u w:val="single"/>
            <w:lang w:val="en-GB" w:eastAsia="en-GB"/>
          </w:rPr>
          <w:t>https://www.qilt.edu.au/docs/default-source/gos-reports/2019-gos/2019-gos-national-report.pdf</w:t>
        </w:r>
      </w:hyperlink>
      <w:r w:rsidR="007C1406" w:rsidRPr="003620A0">
        <w:rPr>
          <w:rFonts w:ascii="Tw Cen MT" w:eastAsia="Times New Roman" w:hAnsi="Tw Cen MT" w:cs="Times New Roman"/>
          <w:sz w:val="16"/>
          <w:szCs w:val="16"/>
          <w:lang w:val="en-GB" w:eastAsia="en-GB"/>
        </w:rPr>
        <w:t xml:space="preserve"> p.7</w:t>
      </w:r>
    </w:p>
  </w:footnote>
  <w:footnote w:id="6">
    <w:p w14:paraId="74445FAE" w14:textId="77777777" w:rsidR="009B41B7" w:rsidRPr="009B41B7" w:rsidRDefault="003620A0" w:rsidP="009B41B7">
      <w:pPr>
        <w:rPr>
          <w:rFonts w:ascii="Times New Roman" w:eastAsia="Times New Roman" w:hAnsi="Times New Roman" w:cs="Times New Roman"/>
          <w:lang w:val="en-GB" w:eastAsia="en-GB"/>
        </w:rPr>
      </w:pPr>
      <w:r w:rsidRPr="003620A0">
        <w:rPr>
          <w:rStyle w:val="FootnoteReference"/>
          <w:rFonts w:ascii="Tw Cen MT" w:hAnsi="Tw Cen MT"/>
          <w:sz w:val="16"/>
          <w:szCs w:val="16"/>
        </w:rPr>
        <w:footnoteRef/>
      </w:r>
      <w:r w:rsidRPr="003620A0">
        <w:rPr>
          <w:rFonts w:ascii="Tw Cen MT" w:hAnsi="Tw Cen MT"/>
          <w:sz w:val="16"/>
          <w:szCs w:val="16"/>
        </w:rPr>
        <w:t xml:space="preserve"> OECD. 2019. Education at a Glance</w:t>
      </w:r>
      <w:r w:rsidR="009B41B7">
        <w:rPr>
          <w:rFonts w:ascii="Tw Cen MT" w:hAnsi="Tw Cen MT"/>
          <w:sz w:val="16"/>
          <w:szCs w:val="16"/>
        </w:rPr>
        <w:t xml:space="preserve"> 2019</w:t>
      </w:r>
      <w:r w:rsidRPr="003620A0">
        <w:rPr>
          <w:rFonts w:ascii="Tw Cen MT" w:hAnsi="Tw Cen MT"/>
          <w:sz w:val="16"/>
          <w:szCs w:val="16"/>
        </w:rPr>
        <w:t>: Australia</w:t>
      </w:r>
      <w:r w:rsidR="009B41B7">
        <w:rPr>
          <w:rFonts w:ascii="Tw Cen MT" w:hAnsi="Tw Cen MT"/>
          <w:sz w:val="16"/>
          <w:szCs w:val="16"/>
        </w:rPr>
        <w:t xml:space="preserve">. </w:t>
      </w:r>
      <w:hyperlink r:id="rId4" w:history="1">
        <w:r w:rsidR="009B41B7" w:rsidRPr="009B41B7">
          <w:rPr>
            <w:rFonts w:ascii="Tw Cen MT" w:eastAsia="Times New Roman" w:hAnsi="Tw Cen MT" w:cs="Times New Roman"/>
            <w:color w:val="0000FF"/>
            <w:sz w:val="16"/>
            <w:szCs w:val="16"/>
            <w:u w:val="single"/>
            <w:lang w:val="en-GB" w:eastAsia="en-GB"/>
          </w:rPr>
          <w:t>https://gpseducation.oecd.org/Content/EAGCountryNotes/AUS.pdf</w:t>
        </w:r>
      </w:hyperlink>
    </w:p>
    <w:p w14:paraId="34AC53E7" w14:textId="19D6B187" w:rsidR="003620A0" w:rsidRPr="003620A0" w:rsidRDefault="003620A0">
      <w:pPr>
        <w:pStyle w:val="FootnoteText"/>
        <w:rPr>
          <w:rFonts w:ascii="Tw Cen MT" w:hAnsi="Tw Cen MT"/>
          <w:sz w:val="16"/>
          <w:szCs w:val="16"/>
          <w:lang w:val="en-AU"/>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1F86"/>
    <w:multiLevelType w:val="hybridMultilevel"/>
    <w:tmpl w:val="366679D4"/>
    <w:lvl w:ilvl="0" w:tplc="0C090001">
      <w:start w:val="1"/>
      <w:numFmt w:val="bullet"/>
      <w:lvlText w:val=""/>
      <w:lvlJc w:val="left"/>
      <w:pPr>
        <w:ind w:left="1287"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9BA2927"/>
    <w:multiLevelType w:val="hybridMultilevel"/>
    <w:tmpl w:val="199A8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3237B54"/>
    <w:multiLevelType w:val="hybridMultilevel"/>
    <w:tmpl w:val="2BB29A8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DC"/>
    <w:rsid w:val="0005047C"/>
    <w:rsid w:val="0007721F"/>
    <w:rsid w:val="000B7BE1"/>
    <w:rsid w:val="00105A22"/>
    <w:rsid w:val="0017085E"/>
    <w:rsid w:val="001F018E"/>
    <w:rsid w:val="002016D1"/>
    <w:rsid w:val="0020523D"/>
    <w:rsid w:val="002777A9"/>
    <w:rsid w:val="002B0229"/>
    <w:rsid w:val="002C51F8"/>
    <w:rsid w:val="002D3F76"/>
    <w:rsid w:val="002E648F"/>
    <w:rsid w:val="0030002E"/>
    <w:rsid w:val="00307F45"/>
    <w:rsid w:val="003620A0"/>
    <w:rsid w:val="003714C9"/>
    <w:rsid w:val="003D3801"/>
    <w:rsid w:val="003E3E42"/>
    <w:rsid w:val="003F6235"/>
    <w:rsid w:val="00443812"/>
    <w:rsid w:val="00483B90"/>
    <w:rsid w:val="004910C0"/>
    <w:rsid w:val="00524E78"/>
    <w:rsid w:val="005C0F47"/>
    <w:rsid w:val="00607840"/>
    <w:rsid w:val="00607BD6"/>
    <w:rsid w:val="00612EDC"/>
    <w:rsid w:val="006361EF"/>
    <w:rsid w:val="006443ED"/>
    <w:rsid w:val="006453A8"/>
    <w:rsid w:val="00665FFA"/>
    <w:rsid w:val="006A633B"/>
    <w:rsid w:val="006C5129"/>
    <w:rsid w:val="007572C3"/>
    <w:rsid w:val="00761435"/>
    <w:rsid w:val="00770342"/>
    <w:rsid w:val="007C1406"/>
    <w:rsid w:val="007C3C8C"/>
    <w:rsid w:val="007E4A19"/>
    <w:rsid w:val="008C10F6"/>
    <w:rsid w:val="009006FC"/>
    <w:rsid w:val="00903553"/>
    <w:rsid w:val="009121DA"/>
    <w:rsid w:val="00914844"/>
    <w:rsid w:val="00926F7D"/>
    <w:rsid w:val="009469C9"/>
    <w:rsid w:val="00973F59"/>
    <w:rsid w:val="009750B0"/>
    <w:rsid w:val="009B41B7"/>
    <w:rsid w:val="00A02681"/>
    <w:rsid w:val="00A143AB"/>
    <w:rsid w:val="00A433F3"/>
    <w:rsid w:val="00A87566"/>
    <w:rsid w:val="00AF426A"/>
    <w:rsid w:val="00B6211F"/>
    <w:rsid w:val="00B724DD"/>
    <w:rsid w:val="00B8440A"/>
    <w:rsid w:val="00B96EE4"/>
    <w:rsid w:val="00BA2977"/>
    <w:rsid w:val="00BF4F83"/>
    <w:rsid w:val="00C12E8A"/>
    <w:rsid w:val="00C22909"/>
    <w:rsid w:val="00C5614E"/>
    <w:rsid w:val="00C71E48"/>
    <w:rsid w:val="00C87602"/>
    <w:rsid w:val="00C92484"/>
    <w:rsid w:val="00CD7B24"/>
    <w:rsid w:val="00D02A14"/>
    <w:rsid w:val="00D05CC8"/>
    <w:rsid w:val="00D17990"/>
    <w:rsid w:val="00D75CF6"/>
    <w:rsid w:val="00D76F6C"/>
    <w:rsid w:val="00D86628"/>
    <w:rsid w:val="00D94975"/>
    <w:rsid w:val="00DC4DCB"/>
    <w:rsid w:val="00DE0F27"/>
    <w:rsid w:val="00E44A21"/>
    <w:rsid w:val="00E60C15"/>
    <w:rsid w:val="00EC31AC"/>
    <w:rsid w:val="00F0363E"/>
    <w:rsid w:val="00F1072F"/>
    <w:rsid w:val="00F144C7"/>
    <w:rsid w:val="00F251F1"/>
    <w:rsid w:val="00F51A04"/>
    <w:rsid w:val="00F903D1"/>
    <w:rsid w:val="00FC62E9"/>
    <w:rsid w:val="00FF1654"/>
    <w:rsid w:val="00FF6F9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BC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AU"/>
    </w:rPr>
  </w:style>
  <w:style w:type="paragraph" w:styleId="Heading1">
    <w:name w:val="heading 1"/>
    <w:basedOn w:val="Normal"/>
    <w:link w:val="Heading1Char"/>
    <w:uiPriority w:val="9"/>
    <w:qFormat/>
    <w:rsid w:val="00C71E48"/>
    <w:pPr>
      <w:spacing w:before="100" w:beforeAutospacing="1" w:after="100" w:afterAutospacing="1"/>
      <w:outlineLvl w:val="0"/>
    </w:pPr>
    <w:rPr>
      <w:rFonts w:ascii="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51F1"/>
  </w:style>
  <w:style w:type="paragraph" w:styleId="FootnoteText">
    <w:name w:val="footnote text"/>
    <w:basedOn w:val="Normal"/>
    <w:link w:val="FootnoteTextChar"/>
    <w:uiPriority w:val="99"/>
    <w:unhideWhenUsed/>
    <w:rsid w:val="00F251F1"/>
    <w:rPr>
      <w:lang w:val="en-GB"/>
    </w:rPr>
  </w:style>
  <w:style w:type="character" w:customStyle="1" w:styleId="FootnoteTextChar">
    <w:name w:val="Footnote Text Char"/>
    <w:basedOn w:val="DefaultParagraphFont"/>
    <w:link w:val="FootnoteText"/>
    <w:uiPriority w:val="99"/>
    <w:rsid w:val="00F251F1"/>
  </w:style>
  <w:style w:type="character" w:styleId="FootnoteReference">
    <w:name w:val="footnote reference"/>
    <w:basedOn w:val="DefaultParagraphFont"/>
    <w:uiPriority w:val="99"/>
    <w:unhideWhenUsed/>
    <w:rsid w:val="00F251F1"/>
    <w:rPr>
      <w:vertAlign w:val="superscript"/>
    </w:rPr>
  </w:style>
  <w:style w:type="character" w:customStyle="1" w:styleId="Heading1Char">
    <w:name w:val="Heading 1 Char"/>
    <w:basedOn w:val="DefaultParagraphFont"/>
    <w:link w:val="Heading1"/>
    <w:uiPriority w:val="9"/>
    <w:rsid w:val="00C71E48"/>
    <w:rPr>
      <w:rFonts w:ascii="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C71E48"/>
    <w:rPr>
      <w:color w:val="0000FF"/>
      <w:u w:val="single"/>
    </w:rPr>
  </w:style>
  <w:style w:type="paragraph" w:styleId="Footer">
    <w:name w:val="footer"/>
    <w:basedOn w:val="Normal"/>
    <w:link w:val="FooterChar"/>
    <w:uiPriority w:val="99"/>
    <w:unhideWhenUsed/>
    <w:rsid w:val="009B41B7"/>
    <w:pPr>
      <w:tabs>
        <w:tab w:val="center" w:pos="4513"/>
        <w:tab w:val="right" w:pos="9026"/>
      </w:tabs>
    </w:pPr>
  </w:style>
  <w:style w:type="character" w:customStyle="1" w:styleId="FooterChar">
    <w:name w:val="Footer Char"/>
    <w:basedOn w:val="DefaultParagraphFont"/>
    <w:link w:val="Footer"/>
    <w:uiPriority w:val="99"/>
    <w:rsid w:val="009B41B7"/>
    <w:rPr>
      <w:lang w:val="en-AU"/>
    </w:rPr>
  </w:style>
  <w:style w:type="character" w:styleId="PageNumber">
    <w:name w:val="page number"/>
    <w:basedOn w:val="DefaultParagraphFont"/>
    <w:uiPriority w:val="99"/>
    <w:semiHidden/>
    <w:unhideWhenUsed/>
    <w:rsid w:val="009B41B7"/>
  </w:style>
  <w:style w:type="paragraph" w:styleId="Header">
    <w:name w:val="header"/>
    <w:basedOn w:val="Normal"/>
    <w:link w:val="HeaderChar"/>
    <w:uiPriority w:val="99"/>
    <w:unhideWhenUsed/>
    <w:rsid w:val="009B41B7"/>
    <w:pPr>
      <w:tabs>
        <w:tab w:val="center" w:pos="4513"/>
        <w:tab w:val="right" w:pos="9026"/>
      </w:tabs>
    </w:pPr>
  </w:style>
  <w:style w:type="character" w:customStyle="1" w:styleId="HeaderChar">
    <w:name w:val="Header Char"/>
    <w:basedOn w:val="DefaultParagraphFont"/>
    <w:link w:val="Header"/>
    <w:uiPriority w:val="99"/>
    <w:rsid w:val="009B41B7"/>
    <w:rPr>
      <w:lang w:val="en-AU"/>
    </w:rPr>
  </w:style>
  <w:style w:type="paragraph" w:styleId="ListParagraph">
    <w:name w:val="List Paragraph"/>
    <w:aliases w:val="L,List Paragraph1,List Paragraph11,Recommendation,bullet point list,Bullet point,List Paragraph Number,Bulletr List Paragraph,FooterText,List Paragraph2,List Paragraph21,Listeafsnit1,NFP GP Bulleted List,Paragraphe de liste1,numbered,列出段落"/>
    <w:basedOn w:val="Normal"/>
    <w:link w:val="ListParagraphChar"/>
    <w:uiPriority w:val="34"/>
    <w:qFormat/>
    <w:rsid w:val="00770342"/>
    <w:pPr>
      <w:spacing w:after="200" w:line="360" w:lineRule="auto"/>
      <w:ind w:left="720"/>
      <w:contextualSpacing/>
    </w:pPr>
    <w:rPr>
      <w:sz w:val="22"/>
      <w:szCs w:val="22"/>
    </w:rPr>
  </w:style>
  <w:style w:type="character" w:customStyle="1" w:styleId="ListParagraphChar">
    <w:name w:val="List Paragraph Char"/>
    <w:aliases w:val="L Char,List Paragraph1 Char,List Paragraph11 Char,Recommendation Char,bullet point list Char,Bullet point Char,List Paragraph Number Char,Bulletr List Paragraph Char,FooterText Char,List Paragraph2 Char,List Paragraph21 Char"/>
    <w:basedOn w:val="DefaultParagraphFont"/>
    <w:link w:val="ListParagraph"/>
    <w:uiPriority w:val="34"/>
    <w:locked/>
    <w:rsid w:val="00770342"/>
    <w:rPr>
      <w:sz w:val="22"/>
      <w:szCs w:val="22"/>
      <w:lang w:val="en-AU"/>
    </w:rPr>
  </w:style>
  <w:style w:type="paragraph" w:styleId="BalloonText">
    <w:name w:val="Balloon Text"/>
    <w:basedOn w:val="Normal"/>
    <w:link w:val="BalloonTextChar"/>
    <w:uiPriority w:val="99"/>
    <w:semiHidden/>
    <w:unhideWhenUsed/>
    <w:rsid w:val="00A875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7566"/>
    <w:rPr>
      <w:rFonts w:ascii="Times New Roman" w:hAnsi="Times New Roman" w:cs="Times New Roman"/>
      <w:sz w:val="18"/>
      <w:szCs w:val="18"/>
      <w:lang w:val="en-AU"/>
    </w:rPr>
  </w:style>
  <w:style w:type="table" w:styleId="TableGrid">
    <w:name w:val="Table Grid"/>
    <w:basedOn w:val="TableNormal"/>
    <w:uiPriority w:val="39"/>
    <w:rsid w:val="00F03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6520">
      <w:bodyDiv w:val="1"/>
      <w:marLeft w:val="0"/>
      <w:marRight w:val="0"/>
      <w:marTop w:val="0"/>
      <w:marBottom w:val="0"/>
      <w:divBdr>
        <w:top w:val="none" w:sz="0" w:space="0" w:color="auto"/>
        <w:left w:val="none" w:sz="0" w:space="0" w:color="auto"/>
        <w:bottom w:val="none" w:sz="0" w:space="0" w:color="auto"/>
        <w:right w:val="none" w:sz="0" w:space="0" w:color="auto"/>
      </w:divBdr>
    </w:div>
    <w:div w:id="335426483">
      <w:bodyDiv w:val="1"/>
      <w:marLeft w:val="0"/>
      <w:marRight w:val="0"/>
      <w:marTop w:val="0"/>
      <w:marBottom w:val="0"/>
      <w:divBdr>
        <w:top w:val="none" w:sz="0" w:space="0" w:color="auto"/>
        <w:left w:val="none" w:sz="0" w:space="0" w:color="auto"/>
        <w:bottom w:val="none" w:sz="0" w:space="0" w:color="auto"/>
        <w:right w:val="none" w:sz="0" w:space="0" w:color="auto"/>
      </w:divBdr>
    </w:div>
    <w:div w:id="647588243">
      <w:bodyDiv w:val="1"/>
      <w:marLeft w:val="0"/>
      <w:marRight w:val="0"/>
      <w:marTop w:val="0"/>
      <w:marBottom w:val="0"/>
      <w:divBdr>
        <w:top w:val="none" w:sz="0" w:space="0" w:color="auto"/>
        <w:left w:val="none" w:sz="0" w:space="0" w:color="auto"/>
        <w:bottom w:val="none" w:sz="0" w:space="0" w:color="auto"/>
        <w:right w:val="none" w:sz="0" w:space="0" w:color="auto"/>
      </w:divBdr>
    </w:div>
    <w:div w:id="663894393">
      <w:bodyDiv w:val="1"/>
      <w:marLeft w:val="0"/>
      <w:marRight w:val="0"/>
      <w:marTop w:val="0"/>
      <w:marBottom w:val="0"/>
      <w:divBdr>
        <w:top w:val="none" w:sz="0" w:space="0" w:color="auto"/>
        <w:left w:val="none" w:sz="0" w:space="0" w:color="auto"/>
        <w:bottom w:val="none" w:sz="0" w:space="0" w:color="auto"/>
        <w:right w:val="none" w:sz="0" w:space="0" w:color="auto"/>
      </w:divBdr>
    </w:div>
    <w:div w:id="957831244">
      <w:bodyDiv w:val="1"/>
      <w:marLeft w:val="0"/>
      <w:marRight w:val="0"/>
      <w:marTop w:val="0"/>
      <w:marBottom w:val="0"/>
      <w:divBdr>
        <w:top w:val="none" w:sz="0" w:space="0" w:color="auto"/>
        <w:left w:val="none" w:sz="0" w:space="0" w:color="auto"/>
        <w:bottom w:val="none" w:sz="0" w:space="0" w:color="auto"/>
        <w:right w:val="none" w:sz="0" w:space="0" w:color="auto"/>
      </w:divBdr>
    </w:div>
    <w:div w:id="1144661323">
      <w:bodyDiv w:val="1"/>
      <w:marLeft w:val="0"/>
      <w:marRight w:val="0"/>
      <w:marTop w:val="0"/>
      <w:marBottom w:val="0"/>
      <w:divBdr>
        <w:top w:val="none" w:sz="0" w:space="0" w:color="auto"/>
        <w:left w:val="none" w:sz="0" w:space="0" w:color="auto"/>
        <w:bottom w:val="none" w:sz="0" w:space="0" w:color="auto"/>
        <w:right w:val="none" w:sz="0" w:space="0" w:color="auto"/>
      </w:divBdr>
    </w:div>
    <w:div w:id="1151826561">
      <w:bodyDiv w:val="1"/>
      <w:marLeft w:val="0"/>
      <w:marRight w:val="0"/>
      <w:marTop w:val="0"/>
      <w:marBottom w:val="0"/>
      <w:divBdr>
        <w:top w:val="none" w:sz="0" w:space="0" w:color="auto"/>
        <w:left w:val="none" w:sz="0" w:space="0" w:color="auto"/>
        <w:bottom w:val="none" w:sz="0" w:space="0" w:color="auto"/>
        <w:right w:val="none" w:sz="0" w:space="0" w:color="auto"/>
      </w:divBdr>
    </w:div>
    <w:div w:id="19082988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qilt.edu.au/docs/default-source/gos-reports/2019-gos/2019-gos-national-report.pdf" TargetMode="External"/><Relationship Id="rId4" Type="http://schemas.openxmlformats.org/officeDocument/2006/relationships/hyperlink" Target="https://gpseducation.oecd.org/Content/EAGCountryNotes/AUS.pdf" TargetMode="External"/><Relationship Id="rId1" Type="http://schemas.openxmlformats.org/officeDocument/2006/relationships/hyperlink" Target="https://www.weforum.org/agenda/2020/01/future-jobs-and-skills-in-demand" TargetMode="External"/><Relationship Id="rId2" Type="http://schemas.openxmlformats.org/officeDocument/2006/relationships/hyperlink" Target="https://www.cems.org/news-media/news/press-releases/global-teams-are-likely-communicate-more-frequently-post-covid-19-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4375E58E94B4797547602088A153E" ma:contentTypeVersion="10" ma:contentTypeDescription="Create a new document." ma:contentTypeScope="" ma:versionID="4413fecb22e675031a72d900f331c9bc">
  <xsd:schema xmlns:xsd="http://www.w3.org/2001/XMLSchema" xmlns:xs="http://www.w3.org/2001/XMLSchema" xmlns:p="http://schemas.microsoft.com/office/2006/metadata/properties" xmlns:ns3="a21de7b9-cad9-43f2-8459-9b1b4f9894e2" targetNamespace="http://schemas.microsoft.com/office/2006/metadata/properties" ma:root="true" ma:fieldsID="4f5aa1ef75de17e5c068691e6bfe30b1" ns3:_="">
    <xsd:import namespace="a21de7b9-cad9-43f2-8459-9b1b4f9894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de7b9-cad9-43f2-8459-9b1b4f9894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320DAC-867E-48BD-97BD-36A400610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de7b9-cad9-43f2-8459-9b1b4f989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0F478-1F4A-4FF5-8EE0-3AED6EF0BD65}">
  <ds:schemaRefs>
    <ds:schemaRef ds:uri="http://schemas.microsoft.com/sharepoint/v3/contenttype/forms"/>
  </ds:schemaRefs>
</ds:datastoreItem>
</file>

<file path=customXml/itemProps3.xml><?xml version="1.0" encoding="utf-8"?>
<ds:datastoreItem xmlns:ds="http://schemas.openxmlformats.org/officeDocument/2006/customXml" ds:itemID="{3876AE21-60F7-464B-8A45-3E26ADF2B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1342</Words>
  <Characters>7655</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Martin</dc:creator>
  <cp:keywords/>
  <dc:description/>
  <cp:lastModifiedBy>Fiona Martin</cp:lastModifiedBy>
  <cp:revision>11</cp:revision>
  <dcterms:created xsi:type="dcterms:W3CDTF">2020-08-16T10:43:00Z</dcterms:created>
  <dcterms:modified xsi:type="dcterms:W3CDTF">2020-08-17T01:15:00Z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0x0101005144375E58E94B4797547602088A153E</vt:lpwstr>
  </property>
</Properties>
</file>