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98" w:rsidRDefault="00B7284B">
      <w:pPr>
        <w:tabs>
          <w:tab w:val="left" w:pos="1469"/>
        </w:tabs>
        <w:spacing w:before="75"/>
        <w:ind w:left="131"/>
        <w:rPr>
          <w:rFonts w:ascii="Tahoma"/>
          <w:sz w:val="13"/>
        </w:rPr>
      </w:pPr>
      <w:r>
        <w:rPr>
          <w:rFonts w:ascii="Tahoma"/>
          <w:b/>
          <w:sz w:val="13"/>
        </w:rPr>
        <w:t>From:</w:t>
      </w:r>
      <w:r>
        <w:rPr>
          <w:rFonts w:ascii="Tahoma"/>
          <w:b/>
          <w:sz w:val="13"/>
        </w:rPr>
        <w:tab/>
      </w:r>
      <w:r>
        <w:rPr>
          <w:rFonts w:ascii="Tahoma"/>
          <w:sz w:val="13"/>
        </w:rPr>
        <w:t>Kellie Dean</w:t>
      </w:r>
    </w:p>
    <w:p w:rsidR="00C23C98" w:rsidRDefault="00B7284B">
      <w:pPr>
        <w:tabs>
          <w:tab w:val="left" w:pos="1469"/>
        </w:tabs>
        <w:spacing w:before="26"/>
        <w:ind w:left="131"/>
        <w:rPr>
          <w:rFonts w:ascii="Tahoma"/>
          <w:sz w:val="13"/>
        </w:rPr>
      </w:pPr>
      <w:r>
        <w:rPr>
          <w:rFonts w:ascii="Tahoma"/>
          <w:b/>
          <w:sz w:val="13"/>
        </w:rPr>
        <w:t>To:</w:t>
      </w:r>
      <w:r>
        <w:rPr>
          <w:rFonts w:ascii="Tahoma"/>
          <w:b/>
          <w:sz w:val="13"/>
        </w:rPr>
        <w:tab/>
      </w:r>
      <w:hyperlink r:id="rId4">
        <w:r>
          <w:rPr>
            <w:rFonts w:ascii="Tahoma"/>
            <w:color w:val="0000FF"/>
            <w:sz w:val="13"/>
            <w:u w:val="single" w:color="0000FF"/>
          </w:rPr>
          <w:t>Education - Freedom of Speech Review</w:t>
        </w:r>
      </w:hyperlink>
    </w:p>
    <w:p w:rsidR="00C23C98" w:rsidRDefault="00B7284B">
      <w:pPr>
        <w:tabs>
          <w:tab w:val="left" w:pos="1469"/>
        </w:tabs>
        <w:spacing w:before="27"/>
        <w:ind w:left="131"/>
        <w:rPr>
          <w:rFonts w:ascii="Tahoma"/>
          <w:sz w:val="13"/>
        </w:rPr>
      </w:pPr>
      <w:r>
        <w:rPr>
          <w:rFonts w:ascii="Tahoma"/>
          <w:b/>
          <w:sz w:val="13"/>
        </w:rPr>
        <w:t>Cc:</w:t>
      </w:r>
      <w:r>
        <w:rPr>
          <w:rFonts w:ascii="Tahoma"/>
          <w:b/>
          <w:sz w:val="13"/>
        </w:rPr>
        <w:tab/>
      </w:r>
      <w:hyperlink r:id="rId5">
        <w:r>
          <w:rPr>
            <w:rFonts w:ascii="Tahoma"/>
            <w:color w:val="0000FF"/>
            <w:sz w:val="13"/>
            <w:u w:val="single" w:color="0000FF"/>
          </w:rPr>
          <w:t>COO Office</w:t>
        </w:r>
      </w:hyperlink>
    </w:p>
    <w:p w:rsidR="00C23C98" w:rsidRDefault="00B7284B">
      <w:pPr>
        <w:tabs>
          <w:tab w:val="left" w:pos="1469"/>
        </w:tabs>
        <w:spacing w:before="27"/>
        <w:ind w:left="131"/>
        <w:rPr>
          <w:rFonts w:ascii="Tahoma"/>
          <w:sz w:val="13"/>
        </w:rPr>
      </w:pPr>
      <w:r>
        <w:rPr>
          <w:rFonts w:ascii="Tahoma"/>
          <w:b/>
          <w:sz w:val="13"/>
        </w:rPr>
        <w:t>Subject:</w:t>
      </w:r>
      <w:r>
        <w:rPr>
          <w:rFonts w:ascii="Tahoma"/>
          <w:b/>
          <w:sz w:val="13"/>
        </w:rPr>
        <w:tab/>
      </w:r>
      <w:r>
        <w:rPr>
          <w:rFonts w:ascii="Tahoma"/>
          <w:sz w:val="13"/>
        </w:rPr>
        <w:t>RE: Review of Freedom of Speech</w:t>
      </w:r>
      <w:r>
        <w:rPr>
          <w:rFonts w:ascii="Tahoma"/>
          <w:spacing w:val="1"/>
          <w:sz w:val="13"/>
        </w:rPr>
        <w:t xml:space="preserve"> </w:t>
      </w:r>
      <w:r>
        <w:rPr>
          <w:rFonts w:ascii="Tahoma"/>
          <w:sz w:val="13"/>
        </w:rPr>
        <w:t>[SEC=UNCLASSIFIED]</w:t>
      </w:r>
    </w:p>
    <w:p w:rsidR="00C23C98" w:rsidRDefault="00B7284B">
      <w:pPr>
        <w:tabs>
          <w:tab w:val="left" w:pos="1469"/>
        </w:tabs>
        <w:spacing w:before="27"/>
        <w:ind w:left="131"/>
        <w:rPr>
          <w:rFonts w:ascii="Tahoma"/>
          <w:sz w:val="13"/>
        </w:rPr>
      </w:pPr>
      <w:r>
        <w:pict>
          <v:group id="_x0000_s1029" style="position:absolute;left:0;text-align:left;margin-left:77.25pt;margin-top:15.75pt;width:441.6pt;height:1.35pt;z-index:-251659264;mso-wrap-distance-left:0;mso-wrap-distance-right:0;mso-position-horizontal-relative:page" coordorigin="1545,315" coordsize="8832,27">
            <v:line id="_x0000_s1034" style="position:absolute" from="1545,328" to="10376,328" strokecolor="#818181" strokeweight=".46283mm"/>
            <v:line id="_x0000_s1033" style="position:absolute" from="1545,321" to="10376,321" strokecolor="#818181" strokeweight=".23178mm"/>
            <v:line id="_x0000_s1032" style="position:absolute" from="1545,334" to="10376,334" strokecolor="#818181" strokeweight=".23142mm"/>
            <v:shape id="_x0000_s1031" style="position:absolute;left:1544;top:314;width:14;height:27" coordorigin="1545,315" coordsize="14,27" path="m1545,315r,26l1558,328r-13,-13xe" fillcolor="#818181" stroked="f">
              <v:path arrowok="t"/>
            </v:shape>
            <v:shape id="_x0000_s1030" style="position:absolute;left:10363;top:314;width:14;height:27" coordorigin="10363,315" coordsize="14,27" path="m10376,315r-13,13l10376,341r,-26xe" fillcolor="#818181" stroked="f">
              <v:path arrowok="t"/>
            </v:shape>
            <w10:wrap type="topAndBottom" anchorx="page"/>
          </v:group>
        </w:pict>
      </w:r>
      <w:r>
        <w:rPr>
          <w:rFonts w:ascii="Tahoma"/>
          <w:b/>
          <w:sz w:val="13"/>
        </w:rPr>
        <w:t>Date:</w:t>
      </w:r>
      <w:r>
        <w:rPr>
          <w:rFonts w:ascii="Tahoma"/>
          <w:b/>
          <w:sz w:val="13"/>
        </w:rPr>
        <w:tab/>
      </w:r>
      <w:r>
        <w:rPr>
          <w:rFonts w:ascii="Tahoma"/>
          <w:sz w:val="13"/>
        </w:rPr>
        <w:t>Tuesday, 8 January 2019 15:10:18</w:t>
      </w:r>
    </w:p>
    <w:p w:rsidR="00C23C98" w:rsidRDefault="00B7284B">
      <w:pPr>
        <w:pStyle w:val="Heading2"/>
        <w:spacing w:before="103"/>
        <w:ind w:right="0"/>
      </w:pPr>
      <w:r>
        <w:t xml:space="preserve">Dear </w:t>
      </w:r>
      <w:proofErr w:type="spellStart"/>
      <w:r>
        <w:t>Mr</w:t>
      </w:r>
      <w:proofErr w:type="spellEnd"/>
      <w:r>
        <w:t xml:space="preserve"> French</w:t>
      </w:r>
    </w:p>
    <w:p w:rsidR="00C23C98" w:rsidRDefault="00C23C98">
      <w:pPr>
        <w:pStyle w:val="BodyText"/>
        <w:spacing w:before="9"/>
        <w:rPr>
          <w:rFonts w:ascii="Arial"/>
          <w:sz w:val="20"/>
        </w:rPr>
      </w:pPr>
    </w:p>
    <w:p w:rsidR="00C23C98" w:rsidRDefault="00B7284B">
      <w:pPr>
        <w:spacing w:line="518" w:lineRule="auto"/>
        <w:ind w:left="104" w:right="330"/>
        <w:rPr>
          <w:rFonts w:ascii="Arial"/>
          <w:sz w:val="18"/>
        </w:rPr>
      </w:pPr>
      <w:r>
        <w:rPr>
          <w:rFonts w:ascii="Arial"/>
          <w:sz w:val="18"/>
        </w:rPr>
        <w:t>I write in response to your letter to our Vice-Chancellor, Professor Rufus Black, dated 29 November 2018. Other than what is available on our University website, we have no other material to assist wit</w:t>
      </w:r>
      <w:r>
        <w:rPr>
          <w:rFonts w:ascii="Arial"/>
          <w:sz w:val="18"/>
        </w:rPr>
        <w:t>h your Review.</w:t>
      </w:r>
    </w:p>
    <w:p w:rsidR="00C23C98" w:rsidRDefault="00B7284B">
      <w:pPr>
        <w:spacing w:line="259" w:lineRule="auto"/>
        <w:ind w:left="104" w:right="330"/>
        <w:rPr>
          <w:rFonts w:ascii="Arial"/>
          <w:sz w:val="18"/>
        </w:rPr>
      </w:pPr>
      <w:r>
        <w:rPr>
          <w:rFonts w:ascii="Arial"/>
          <w:sz w:val="18"/>
        </w:rPr>
        <w:t xml:space="preserve">For your convenience however, the relevant information relating to freedom of expression and intellectual inquiry at the University of Tasmania </w:t>
      </w:r>
      <w:proofErr w:type="gramStart"/>
      <w:r>
        <w:rPr>
          <w:rFonts w:ascii="Arial"/>
          <w:sz w:val="18"/>
        </w:rPr>
        <w:t>is outlined</w:t>
      </w:r>
      <w:proofErr w:type="gramEnd"/>
      <w:r>
        <w:rPr>
          <w:rFonts w:ascii="Arial"/>
          <w:sz w:val="18"/>
        </w:rPr>
        <w:t xml:space="preserve"> below:</w:t>
      </w:r>
    </w:p>
    <w:p w:rsidR="00C23C98" w:rsidRDefault="00C23C98">
      <w:pPr>
        <w:pStyle w:val="BodyText"/>
        <w:rPr>
          <w:rFonts w:ascii="Arial"/>
          <w:sz w:val="1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7151"/>
      </w:tblGrid>
      <w:tr w:rsidR="00C23C98">
        <w:trPr>
          <w:trHeight w:val="444"/>
        </w:trPr>
        <w:tc>
          <w:tcPr>
            <w:tcW w:w="1745" w:type="dxa"/>
          </w:tcPr>
          <w:p w:rsidR="00C23C98" w:rsidRDefault="00B7284B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Information</w:t>
            </w:r>
          </w:p>
          <w:p w:rsidR="00C23C98" w:rsidRDefault="00B7284B">
            <w:pPr>
              <w:pStyle w:val="TableParagraph"/>
              <w:spacing w:before="16" w:line="201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sought</w:t>
            </w:r>
          </w:p>
        </w:tc>
        <w:tc>
          <w:tcPr>
            <w:tcW w:w="7151" w:type="dxa"/>
          </w:tcPr>
          <w:p w:rsidR="00C23C98" w:rsidRDefault="00B7284B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UTAS response</w:t>
            </w:r>
          </w:p>
        </w:tc>
      </w:tr>
      <w:tr w:rsidR="00C23C98">
        <w:trPr>
          <w:trHeight w:val="1559"/>
        </w:trPr>
        <w:tc>
          <w:tcPr>
            <w:tcW w:w="1745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tabs>
                <w:tab w:val="left" w:pos="483"/>
              </w:tabs>
              <w:ind w:left="12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University</w:t>
            </w:r>
          </w:p>
          <w:p w:rsidR="00C23C98" w:rsidRDefault="00B7284B">
            <w:pPr>
              <w:pStyle w:val="TableParagraph"/>
              <w:spacing w:before="16" w:line="259" w:lineRule="auto"/>
              <w:ind w:left="491"/>
              <w:rPr>
                <w:sz w:val="18"/>
              </w:rPr>
            </w:pPr>
            <w:r>
              <w:rPr>
                <w:sz w:val="18"/>
              </w:rPr>
              <w:t>statutes, regulations, rules or by- laws</w:t>
            </w:r>
          </w:p>
        </w:tc>
        <w:tc>
          <w:tcPr>
            <w:tcW w:w="7151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C23C98">
        <w:trPr>
          <w:trHeight w:val="3567"/>
        </w:trPr>
        <w:tc>
          <w:tcPr>
            <w:tcW w:w="1745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tabs>
                <w:tab w:val="left" w:pos="483"/>
              </w:tabs>
              <w:spacing w:line="259" w:lineRule="auto"/>
              <w:ind w:left="491" w:right="90" w:hanging="36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Administrative codes, policies or principles</w:t>
            </w:r>
          </w:p>
        </w:tc>
        <w:tc>
          <w:tcPr>
            <w:tcW w:w="7151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spacing w:line="259" w:lineRule="auto"/>
              <w:ind w:left="97" w:right="215" w:hanging="1"/>
              <w:rPr>
                <w:sz w:val="18"/>
              </w:rPr>
            </w:pPr>
            <w:r>
              <w:rPr>
                <w:sz w:val="18"/>
              </w:rPr>
              <w:t xml:space="preserve">Governance Level Principle (Academic Freedom) </w:t>
            </w:r>
            <w:hyperlink r:id="rId6">
              <w:r>
                <w:rPr>
                  <w:color w:val="0563C1"/>
                  <w:sz w:val="18"/>
                  <w:u w:val="single" w:color="0563C1"/>
                </w:rPr>
                <w:t>http://www.utas.edu.au/university-</w:t>
              </w:r>
            </w:hyperlink>
            <w:r>
              <w:rPr>
                <w:color w:val="0563C1"/>
                <w:sz w:val="18"/>
              </w:rPr>
              <w:t xml:space="preserve"> </w:t>
            </w:r>
            <w:hyperlink r:id="rId7">
              <w:r>
                <w:rPr>
                  <w:color w:val="0563C1"/>
                  <w:sz w:val="18"/>
                  <w:u w:val="single" w:color="0563C1"/>
                </w:rPr>
                <w:t>council/university-governance/governance-level-principles/academic-freedom-glp14</w:t>
              </w:r>
            </w:hyperlink>
          </w:p>
          <w:p w:rsidR="00C23C98" w:rsidRDefault="00C23C98">
            <w:pPr>
              <w:pStyle w:val="TableParagraph"/>
              <w:spacing w:before="4"/>
              <w:rPr>
                <w:sz w:val="19"/>
              </w:rPr>
            </w:pPr>
          </w:p>
          <w:p w:rsidR="00C23C98" w:rsidRDefault="00B7284B">
            <w:pPr>
              <w:pStyle w:val="TableParagraph"/>
              <w:tabs>
                <w:tab w:val="left" w:pos="2221"/>
              </w:tabs>
              <w:spacing w:line="259" w:lineRule="auto"/>
              <w:ind w:left="97" w:right="266"/>
              <w:rPr>
                <w:sz w:val="18"/>
              </w:rPr>
            </w:pPr>
            <w:r>
              <w:rPr>
                <w:sz w:val="18"/>
              </w:rPr>
              <w:t xml:space="preserve">Freedom to Inquiry Policy and the Responsibility to Publish Policy </w:t>
            </w:r>
            <w:hyperlink r:id="rId8">
              <w:r>
                <w:rPr>
                  <w:color w:val="0563C1"/>
                  <w:sz w:val="18"/>
                  <w:u w:val="single" w:color="0563C1"/>
                </w:rPr>
                <w:t>http://www.utas.edu.au/</w:t>
              </w:r>
              <w:r>
                <w:rPr>
                  <w:color w:val="0563C1"/>
                  <w:sz w:val="18"/>
                  <w:u w:val="single" w:color="0563C1"/>
                </w:rPr>
                <w:tab/>
              </w:r>
              <w:r>
                <w:rPr>
                  <w:color w:val="0563C1"/>
                  <w:spacing w:val="-1"/>
                  <w:sz w:val="18"/>
                  <w:u w:val="single" w:color="0563C1"/>
                </w:rPr>
                <w:t>data/assets/</w:t>
              </w:r>
              <w:proofErr w:type="spellStart"/>
              <w:r>
                <w:rPr>
                  <w:color w:val="0563C1"/>
                  <w:spacing w:val="-1"/>
                  <w:sz w:val="18"/>
                  <w:u w:val="single" w:color="0563C1"/>
                </w:rPr>
                <w:t>pdf_file</w:t>
              </w:r>
              <w:proofErr w:type="spellEnd"/>
              <w:r>
                <w:rPr>
                  <w:color w:val="0563C1"/>
                  <w:spacing w:val="-1"/>
                  <w:sz w:val="18"/>
                  <w:u w:val="single" w:color="0563C1"/>
                </w:rPr>
                <w:t>/0003/30936/Freedom-of-Inquiry-and-</w:t>
              </w:r>
            </w:hyperlink>
            <w:r>
              <w:rPr>
                <w:color w:val="0563C1"/>
                <w:spacing w:val="-1"/>
                <w:sz w:val="18"/>
              </w:rPr>
              <w:t xml:space="preserve"> </w:t>
            </w:r>
            <w:hyperlink r:id="rId9">
              <w:r>
                <w:rPr>
                  <w:color w:val="0563C1"/>
                  <w:sz w:val="18"/>
                  <w:u w:val="single" w:color="0563C1"/>
                </w:rPr>
                <w:t>the-Responsibility-to-Publish-Policy.pdf</w:t>
              </w:r>
            </w:hyperlink>
          </w:p>
          <w:p w:rsidR="00C23C98" w:rsidRDefault="00C23C98">
            <w:pPr>
              <w:pStyle w:val="TableParagraph"/>
              <w:spacing w:before="3"/>
              <w:rPr>
                <w:sz w:val="19"/>
              </w:rPr>
            </w:pPr>
          </w:p>
          <w:p w:rsidR="00C23C98" w:rsidRDefault="00B7284B">
            <w:pPr>
              <w:pStyle w:val="TableParagraph"/>
              <w:spacing w:line="259" w:lineRule="auto"/>
              <w:ind w:left="97" w:right="83"/>
              <w:rPr>
                <w:sz w:val="18"/>
              </w:rPr>
            </w:pPr>
            <w:r>
              <w:rPr>
                <w:sz w:val="18"/>
              </w:rPr>
              <w:t xml:space="preserve">University Staff Agreement </w:t>
            </w:r>
            <w:hyperlink r:id="rId10">
              <w:r>
                <w:rPr>
                  <w:color w:val="0563C1"/>
                  <w:sz w:val="18"/>
                  <w:u w:val="single" w:color="0563C1"/>
                </w:rPr>
                <w:t>https://universitytasmania.sharepoint.com/sites/people/Shared%20Documents/UTAS-</w:t>
              </w:r>
            </w:hyperlink>
            <w:r>
              <w:rPr>
                <w:color w:val="0563C1"/>
                <w:sz w:val="18"/>
              </w:rPr>
              <w:t xml:space="preserve"> </w:t>
            </w:r>
            <w:hyperlink r:id="rId11">
              <w:r>
                <w:rPr>
                  <w:color w:val="0563C1"/>
                  <w:sz w:val="18"/>
                  <w:u w:val="single" w:color="0563C1"/>
                </w:rPr>
                <w:t>Staff-Agreement.pdf</w:t>
              </w:r>
            </w:hyperlink>
          </w:p>
          <w:p w:rsidR="00C23C98" w:rsidRDefault="00C23C98">
            <w:pPr>
              <w:pStyle w:val="TableParagraph"/>
              <w:spacing w:before="3"/>
              <w:rPr>
                <w:sz w:val="19"/>
              </w:rPr>
            </w:pPr>
          </w:p>
          <w:p w:rsidR="00C23C98" w:rsidRDefault="00B7284B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 xml:space="preserve">University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Policy</w:t>
            </w:r>
          </w:p>
          <w:p w:rsidR="00C23C98" w:rsidRDefault="00B7284B">
            <w:pPr>
              <w:pStyle w:val="TableParagraph"/>
              <w:tabs>
                <w:tab w:val="left" w:pos="2221"/>
              </w:tabs>
              <w:spacing w:before="16" w:line="259" w:lineRule="auto"/>
              <w:ind w:left="97" w:right="296"/>
              <w:rPr>
                <w:sz w:val="18"/>
              </w:rPr>
            </w:pPr>
            <w:hyperlink r:id="rId12">
              <w:r>
                <w:rPr>
                  <w:color w:val="0563C1"/>
                  <w:sz w:val="18"/>
                  <w:u w:val="single" w:color="0563C1"/>
                </w:rPr>
                <w:t>http://www.utas.edu.au/</w:t>
              </w:r>
              <w:r>
                <w:rPr>
                  <w:color w:val="0563C1"/>
                  <w:sz w:val="18"/>
                  <w:u w:val="single" w:color="0563C1"/>
                </w:rPr>
                <w:tab/>
              </w:r>
              <w:r>
                <w:rPr>
                  <w:color w:val="0563C1"/>
                  <w:spacing w:val="-1"/>
                  <w:sz w:val="18"/>
                  <w:u w:val="single" w:color="0563C1"/>
                </w:rPr>
                <w:t>data/assets/</w:t>
              </w:r>
              <w:proofErr w:type="spellStart"/>
              <w:r>
                <w:rPr>
                  <w:color w:val="0563C1"/>
                  <w:spacing w:val="-1"/>
                  <w:sz w:val="18"/>
                  <w:u w:val="single" w:color="0563C1"/>
                </w:rPr>
                <w:t>pdf_file</w:t>
              </w:r>
              <w:proofErr w:type="spellEnd"/>
              <w:r>
                <w:rPr>
                  <w:color w:val="0563C1"/>
                  <w:spacing w:val="-1"/>
                  <w:sz w:val="18"/>
                  <w:u w:val="single" w:color="0563C1"/>
                </w:rPr>
                <w:t>/0006/1181985/University-</w:t>
              </w:r>
              <w:proofErr w:type="spellStart"/>
              <w:r>
                <w:rPr>
                  <w:color w:val="0563C1"/>
                  <w:spacing w:val="-1"/>
                  <w:sz w:val="18"/>
                  <w:u w:val="single" w:color="0563C1"/>
                </w:rPr>
                <w:t>Behaviour</w:t>
              </w:r>
              <w:proofErr w:type="spellEnd"/>
              <w:r>
                <w:rPr>
                  <w:color w:val="0563C1"/>
                  <w:spacing w:val="-1"/>
                  <w:sz w:val="18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1"/>
                <w:sz w:val="18"/>
              </w:rPr>
              <w:t xml:space="preserve"> </w:t>
            </w:r>
            <w:hyperlink r:id="rId13">
              <w:r>
                <w:rPr>
                  <w:color w:val="0563C1"/>
                  <w:sz w:val="18"/>
                  <w:u w:val="single" w:color="0563C1"/>
                </w:rPr>
                <w:t>Policy.pdf</w:t>
              </w:r>
            </w:hyperlink>
          </w:p>
        </w:tc>
      </w:tr>
      <w:tr w:rsidR="00C23C98">
        <w:trPr>
          <w:trHeight w:val="1559"/>
        </w:trPr>
        <w:tc>
          <w:tcPr>
            <w:tcW w:w="1745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tabs>
                <w:tab w:val="left" w:pos="463"/>
              </w:tabs>
              <w:spacing w:line="259" w:lineRule="auto"/>
              <w:ind w:left="491" w:right="100" w:hanging="44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Other </w:t>
            </w:r>
            <w:r>
              <w:rPr>
                <w:spacing w:val="-3"/>
                <w:sz w:val="18"/>
              </w:rPr>
              <w:t xml:space="preserve">material </w:t>
            </w:r>
            <w:r>
              <w:rPr>
                <w:sz w:val="18"/>
              </w:rPr>
              <w:t>which deals with academic freedom</w:t>
            </w:r>
          </w:p>
        </w:tc>
        <w:tc>
          <w:tcPr>
            <w:tcW w:w="7151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C23C98">
        <w:trPr>
          <w:trHeight w:val="1336"/>
        </w:trPr>
        <w:tc>
          <w:tcPr>
            <w:tcW w:w="1745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tabs>
                <w:tab w:val="left" w:pos="483"/>
              </w:tabs>
              <w:ind w:left="12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Reports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C23C98" w:rsidRDefault="00B7284B">
            <w:pPr>
              <w:pStyle w:val="TableParagraph"/>
              <w:spacing w:before="16" w:line="259" w:lineRule="auto"/>
              <w:ind w:left="491"/>
              <w:rPr>
                <w:sz w:val="18"/>
              </w:rPr>
            </w:pPr>
            <w:r>
              <w:rPr>
                <w:sz w:val="18"/>
              </w:rPr>
              <w:t>relevant non- confidential reviews</w:t>
            </w:r>
          </w:p>
        </w:tc>
        <w:tc>
          <w:tcPr>
            <w:tcW w:w="7151" w:type="dxa"/>
          </w:tcPr>
          <w:p w:rsidR="00C23C98" w:rsidRDefault="00C23C98">
            <w:pPr>
              <w:pStyle w:val="TableParagraph"/>
              <w:spacing w:before="5"/>
              <w:rPr>
                <w:sz w:val="19"/>
              </w:rPr>
            </w:pPr>
          </w:p>
          <w:p w:rsidR="00C23C98" w:rsidRDefault="00B7284B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C23C98" w:rsidRDefault="00C23C98">
      <w:pPr>
        <w:pStyle w:val="BodyText"/>
        <w:rPr>
          <w:rFonts w:ascii="Arial"/>
          <w:sz w:val="20"/>
        </w:rPr>
      </w:pPr>
    </w:p>
    <w:p w:rsidR="00C23C98" w:rsidRDefault="00B7284B">
      <w:pPr>
        <w:spacing w:line="518" w:lineRule="auto"/>
        <w:ind w:left="105" w:right="330"/>
        <w:rPr>
          <w:rFonts w:ascii="Arial"/>
          <w:sz w:val="18"/>
        </w:rPr>
      </w:pPr>
      <w:r>
        <w:rPr>
          <w:rFonts w:ascii="Arial"/>
          <w:sz w:val="18"/>
        </w:rPr>
        <w:t>Please do not hesitate to contact me if you have any questions or require clarification on any our policies. With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regards,</w:t>
      </w:r>
    </w:p>
    <w:p w:rsidR="00C23C98" w:rsidRDefault="00B7284B">
      <w:pPr>
        <w:ind w:left="104"/>
        <w:rPr>
          <w:rFonts w:ascii="Verdana"/>
          <w:b/>
          <w:sz w:val="17"/>
        </w:rPr>
      </w:pPr>
      <w:bookmarkStart w:id="0" w:name="_GoBack"/>
      <w:bookmarkEnd w:id="0"/>
      <w:r>
        <w:rPr>
          <w:rFonts w:ascii="Verdana"/>
          <w:b/>
          <w:sz w:val="17"/>
        </w:rPr>
        <w:t>Kellie</w:t>
      </w:r>
      <w:r>
        <w:rPr>
          <w:rFonts w:ascii="Verdana"/>
          <w:b/>
          <w:spacing w:val="3"/>
          <w:sz w:val="17"/>
        </w:rPr>
        <w:t xml:space="preserve"> </w:t>
      </w:r>
      <w:r>
        <w:rPr>
          <w:rFonts w:ascii="Verdana"/>
          <w:b/>
          <w:sz w:val="17"/>
        </w:rPr>
        <w:t>Dean</w:t>
      </w:r>
    </w:p>
    <w:p w:rsidR="00C23C98" w:rsidRDefault="00B7284B">
      <w:pPr>
        <w:pStyle w:val="BodyText"/>
        <w:spacing w:before="4"/>
        <w:ind w:left="104"/>
        <w:rPr>
          <w:rFonts w:ascii="Verdana"/>
        </w:rPr>
      </w:pPr>
      <w:r>
        <w:rPr>
          <w:rFonts w:ascii="Verdana"/>
        </w:rPr>
        <w:t>Associate Director, Compliance</w:t>
      </w:r>
    </w:p>
    <w:p w:rsidR="00C23C98" w:rsidRDefault="00B7284B">
      <w:pPr>
        <w:pStyle w:val="BodyText"/>
        <w:spacing w:before="3" w:line="244" w:lineRule="auto"/>
        <w:ind w:left="104" w:right="3865"/>
        <w:rPr>
          <w:rFonts w:ascii="Verdana"/>
        </w:rPr>
      </w:pPr>
      <w:r>
        <w:rPr>
          <w:rFonts w:ascii="Verdana"/>
        </w:rPr>
        <w:t>Legal Services | Division of Chief Operating Officer University of Tasmania</w:t>
      </w:r>
    </w:p>
    <w:p w:rsidR="00C23C98" w:rsidRDefault="00B7284B">
      <w:pPr>
        <w:pStyle w:val="BodyText"/>
        <w:spacing w:after="17" w:line="205" w:lineRule="exact"/>
        <w:ind w:left="104"/>
        <w:rPr>
          <w:rFonts w:ascii="Verdana"/>
        </w:rPr>
      </w:pPr>
      <w:r>
        <w:rPr>
          <w:rFonts w:ascii="Verdana"/>
        </w:rPr>
        <w:t>Private Bag 5</w:t>
      </w:r>
      <w:r>
        <w:rPr>
          <w:rFonts w:ascii="Verdana"/>
        </w:rPr>
        <w:t>1, Hobart TAS 7001</w:t>
      </w:r>
    </w:p>
    <w:p w:rsidR="00C23C98" w:rsidRDefault="00B7284B">
      <w:pPr>
        <w:pStyle w:val="BodyText"/>
        <w:spacing w:line="170" w:lineRule="exact"/>
        <w:ind w:left="1561"/>
        <w:rPr>
          <w:rFonts w:ascii="Verdana"/>
        </w:rPr>
      </w:pPr>
      <w:r>
        <w:rPr>
          <w:rFonts w:ascii="Verdana"/>
          <w:position w:val="-2"/>
        </w:rPr>
      </w:r>
      <w:r>
        <w:rPr>
          <w:rFonts w:ascii="Verdana"/>
          <w:position w:val="-2"/>
        </w:rPr>
        <w:pict>
          <v:group id="_x0000_s1027" style="width:60.4pt;height:8.55pt;mso-position-horizontal-relative:char;mso-position-vertical-relative:line" coordsize="1208,171">
            <v:rect id="_x0000_s1028" style="position:absolute;width:1208;height:171" fillcolor="#f9f9f9" stroked="f"/>
            <w10:wrap type="none"/>
            <w10:anchorlock/>
          </v:group>
        </w:pict>
      </w:r>
    </w:p>
    <w:p w:rsidR="00C23C98" w:rsidRDefault="00C23C98">
      <w:pPr>
        <w:spacing w:line="170" w:lineRule="exact"/>
        <w:rPr>
          <w:rFonts w:ascii="Verdana"/>
        </w:rPr>
        <w:sectPr w:rsidR="00C23C98">
          <w:type w:val="continuous"/>
          <w:pgSz w:w="11900" w:h="16820"/>
          <w:pgMar w:top="1140" w:right="1320" w:bottom="280" w:left="1440" w:header="720" w:footer="720" w:gutter="0"/>
          <w:cols w:space="720"/>
        </w:sectPr>
      </w:pPr>
    </w:p>
    <w:p w:rsidR="00C23C98" w:rsidRDefault="00B7284B">
      <w:pPr>
        <w:pStyle w:val="BodyText"/>
        <w:spacing w:before="82"/>
        <w:ind w:left="104"/>
        <w:rPr>
          <w:rFonts w:ascii="Verdana"/>
        </w:rPr>
      </w:pPr>
      <w:r>
        <w:rPr>
          <w:rFonts w:ascii="Verdana"/>
        </w:rPr>
        <w:lastRenderedPageBreak/>
        <w:t xml:space="preserve">03 6226 2948 | </w:t>
      </w:r>
      <w:r>
        <w:rPr>
          <w:rFonts w:ascii="Verdana"/>
          <w:shd w:val="clear" w:color="auto" w:fill="F9F9F9"/>
        </w:rPr>
        <w:t>0407 359 590</w:t>
      </w:r>
    </w:p>
    <w:p w:rsidR="00C23C98" w:rsidRDefault="00B7284B">
      <w:pPr>
        <w:spacing w:before="19"/>
        <w:ind w:left="104"/>
        <w:rPr>
          <w:sz w:val="19"/>
        </w:rPr>
      </w:pPr>
      <w:hyperlink r:id="rId14">
        <w:r>
          <w:rPr>
            <w:color w:val="0000FF"/>
            <w:w w:val="105"/>
            <w:sz w:val="19"/>
            <w:u w:val="single" w:color="0563C1"/>
          </w:rPr>
          <w:t>www.utas.edu.au/chief-operating-officer/compliance</w:t>
        </w:r>
      </w:hyperlink>
    </w:p>
    <w:p w:rsidR="00C23C98" w:rsidRDefault="00B7284B">
      <w:pPr>
        <w:pStyle w:val="BodyText"/>
        <w:spacing w:before="2"/>
        <w:rPr>
          <w:sz w:val="16"/>
        </w:rPr>
      </w:pPr>
      <w:r>
        <w:rPr>
          <w:noProof/>
          <w:lang w:val="en-AU" w:eastAsia="en-A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1155172</wp:posOffset>
            </wp:positionH>
            <wp:positionV relativeFrom="paragraph">
              <wp:posOffset>150659</wp:posOffset>
            </wp:positionV>
            <wp:extent cx="1351096" cy="13258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96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C98" w:rsidRDefault="00B7284B">
      <w:pPr>
        <w:spacing w:before="137"/>
        <w:ind w:left="104"/>
        <w:rPr>
          <w:rFonts w:ascii="Arial"/>
          <w:sz w:val="13"/>
        </w:rPr>
      </w:pPr>
      <w:r>
        <w:rPr>
          <w:rFonts w:ascii="Arial"/>
          <w:sz w:val="13"/>
        </w:rPr>
        <w:t>CRICOS 00586B</w:t>
      </w:r>
    </w:p>
    <w:p w:rsidR="00C23C98" w:rsidRDefault="00C23C98">
      <w:pPr>
        <w:pStyle w:val="BodyText"/>
        <w:rPr>
          <w:rFonts w:ascii="Arial"/>
          <w:sz w:val="14"/>
        </w:rPr>
      </w:pPr>
    </w:p>
    <w:p w:rsidR="00C23C98" w:rsidRDefault="00B7284B">
      <w:pPr>
        <w:pStyle w:val="BodyText"/>
        <w:spacing w:before="96" w:line="273" w:lineRule="auto"/>
        <w:ind w:left="104" w:right="212"/>
      </w:pPr>
      <w:r>
        <w:t xml:space="preserve">This email is confidential, and is for the intended recipient only. Access, disclosure, copying, distribution, or reliance on any of it by anyone outside the intended recipient </w:t>
      </w:r>
      <w:proofErr w:type="spellStart"/>
      <w:r>
        <w:t>organisation</w:t>
      </w:r>
      <w:proofErr w:type="spellEnd"/>
      <w:r>
        <w:t xml:space="preserve"> </w:t>
      </w:r>
      <w:proofErr w:type="gramStart"/>
      <w:r>
        <w:t>is prohibited</w:t>
      </w:r>
      <w:proofErr w:type="gramEnd"/>
      <w:r>
        <w:t xml:space="preserve"> and may be a criminal offence. Please delete if obta</w:t>
      </w:r>
      <w:r>
        <w:t>ined in error and email confirmation to the sender. The views expressed in this email are not necessarily the views of the University of Tasmania, unless clearly intended otherwise.</w:t>
      </w:r>
    </w:p>
    <w:p w:rsidR="00C23C98" w:rsidRDefault="00B7284B">
      <w:pPr>
        <w:pStyle w:val="BodyText"/>
        <w:spacing w:before="8"/>
        <w:rPr>
          <w:sz w:val="15"/>
        </w:rPr>
      </w:pPr>
      <w:r>
        <w:pict>
          <v:line id="_x0000_s1026" style="position:absolute;z-index:-251658240;mso-wrap-distance-left:0;mso-wrap-distance-right:0;mso-position-horizontal-relative:page" from="77.25pt,11.9pt" to="517.5pt,11.9pt" strokecolor="#e2e2e2" strokeweight=".23142mm">
            <w10:wrap type="topAndBottom" anchorx="page"/>
          </v:line>
        </w:pict>
      </w:r>
    </w:p>
    <w:p w:rsidR="00C23C98" w:rsidRDefault="00B7284B">
      <w:pPr>
        <w:pStyle w:val="Heading1"/>
        <w:spacing w:before="26"/>
      </w:pPr>
      <w:r>
        <w:rPr>
          <w:rFonts w:ascii="Calibri"/>
          <w:b/>
          <w:w w:val="105"/>
        </w:rPr>
        <w:t xml:space="preserve">From: </w:t>
      </w:r>
      <w:r>
        <w:rPr>
          <w:w w:val="105"/>
        </w:rPr>
        <w:t>Education - Freedom of Speech Review &lt;</w:t>
      </w:r>
      <w:hyperlink r:id="rId16">
        <w:r>
          <w:rPr>
            <w:color w:val="0563C1"/>
            <w:w w:val="105"/>
            <w:u w:val="single" w:color="0563C1"/>
          </w:rPr>
          <w:t>freedomofspeechreview@education.gov.au</w:t>
        </w:r>
      </w:hyperlink>
      <w:r>
        <w:rPr>
          <w:w w:val="105"/>
        </w:rPr>
        <w:t>&gt;</w:t>
      </w:r>
    </w:p>
    <w:p w:rsidR="00C23C98" w:rsidRDefault="00B7284B">
      <w:pPr>
        <w:spacing w:before="30"/>
        <w:ind w:left="105"/>
        <w:rPr>
          <w:sz w:val="19"/>
        </w:rPr>
      </w:pPr>
      <w:r>
        <w:rPr>
          <w:rFonts w:ascii="Calibri"/>
          <w:b/>
          <w:w w:val="105"/>
          <w:sz w:val="19"/>
        </w:rPr>
        <w:t xml:space="preserve">Sent: </w:t>
      </w:r>
      <w:r>
        <w:rPr>
          <w:w w:val="105"/>
          <w:sz w:val="19"/>
        </w:rPr>
        <w:t>Friday, 30 November 2018 1:55 PM</w:t>
      </w:r>
    </w:p>
    <w:p w:rsidR="00C23C98" w:rsidRDefault="00B7284B">
      <w:pPr>
        <w:spacing w:before="30"/>
        <w:ind w:left="105"/>
        <w:rPr>
          <w:sz w:val="19"/>
        </w:rPr>
      </w:pPr>
      <w:r>
        <w:rPr>
          <w:rFonts w:ascii="Calibri"/>
          <w:b/>
          <w:w w:val="105"/>
          <w:sz w:val="19"/>
        </w:rPr>
        <w:t xml:space="preserve">To: </w:t>
      </w:r>
      <w:r>
        <w:rPr>
          <w:w w:val="105"/>
          <w:sz w:val="19"/>
        </w:rPr>
        <w:t>Vice Chancellor &lt;</w:t>
      </w:r>
      <w:hyperlink r:id="rId17">
        <w:r>
          <w:rPr>
            <w:color w:val="0563C1"/>
            <w:w w:val="105"/>
            <w:sz w:val="19"/>
            <w:u w:val="single" w:color="0563C1"/>
          </w:rPr>
          <w:t>Vice.Chancellor@utas.edu.au</w:t>
        </w:r>
      </w:hyperlink>
      <w:r>
        <w:rPr>
          <w:w w:val="105"/>
          <w:sz w:val="19"/>
        </w:rPr>
        <w:t>&gt;</w:t>
      </w:r>
    </w:p>
    <w:p w:rsidR="00C23C98" w:rsidRDefault="00B7284B">
      <w:pPr>
        <w:spacing w:before="31"/>
        <w:ind w:left="104"/>
        <w:rPr>
          <w:sz w:val="19"/>
        </w:rPr>
      </w:pPr>
      <w:r>
        <w:rPr>
          <w:rFonts w:ascii="Calibri"/>
          <w:b/>
          <w:w w:val="105"/>
          <w:sz w:val="19"/>
        </w:rPr>
        <w:t xml:space="preserve">Subject: </w:t>
      </w:r>
      <w:r>
        <w:rPr>
          <w:w w:val="105"/>
          <w:sz w:val="19"/>
        </w:rPr>
        <w:t>Review of Freedom of Speec</w:t>
      </w:r>
      <w:r>
        <w:rPr>
          <w:w w:val="105"/>
          <w:sz w:val="19"/>
        </w:rPr>
        <w:t>h [SEC=UNCLASSIFIED]</w:t>
      </w:r>
    </w:p>
    <w:p w:rsidR="00C23C98" w:rsidRDefault="00C23C98">
      <w:pPr>
        <w:pStyle w:val="BodyText"/>
        <w:rPr>
          <w:sz w:val="20"/>
        </w:rPr>
      </w:pPr>
    </w:p>
    <w:p w:rsidR="00C23C98" w:rsidRDefault="00B7284B">
      <w:pPr>
        <w:ind w:left="3712" w:right="3835"/>
        <w:jc w:val="center"/>
        <w:rPr>
          <w:rFonts w:ascii="Arial"/>
          <w:b/>
          <w:sz w:val="21"/>
        </w:rPr>
      </w:pPr>
      <w:r>
        <w:rPr>
          <w:rFonts w:ascii="Arial"/>
          <w:b/>
          <w:color w:val="FF0000"/>
          <w:sz w:val="21"/>
        </w:rPr>
        <w:t>UNCLASSIFIED</w:t>
      </w:r>
    </w:p>
    <w:p w:rsidR="00C23C98" w:rsidRDefault="00C23C98">
      <w:pPr>
        <w:pStyle w:val="BodyText"/>
        <w:spacing w:before="2"/>
        <w:rPr>
          <w:rFonts w:ascii="Arial"/>
          <w:b/>
          <w:sz w:val="19"/>
        </w:rPr>
      </w:pPr>
    </w:p>
    <w:p w:rsidR="00C23C98" w:rsidRDefault="00B7284B">
      <w:pPr>
        <w:pStyle w:val="Heading1"/>
      </w:pPr>
      <w:r>
        <w:rPr>
          <w:w w:val="105"/>
        </w:rPr>
        <w:t>Dear Professor Black</w:t>
      </w:r>
    </w:p>
    <w:p w:rsidR="00C23C98" w:rsidRDefault="00C23C98">
      <w:pPr>
        <w:pStyle w:val="BodyText"/>
        <w:rPr>
          <w:sz w:val="24"/>
        </w:rPr>
      </w:pPr>
    </w:p>
    <w:p w:rsidR="00C23C98" w:rsidRDefault="00B7284B">
      <w:pPr>
        <w:spacing w:line="271" w:lineRule="auto"/>
        <w:ind w:left="104"/>
        <w:rPr>
          <w:sz w:val="19"/>
        </w:rPr>
      </w:pPr>
      <w:r>
        <w:rPr>
          <w:w w:val="105"/>
          <w:sz w:val="19"/>
        </w:rPr>
        <w:t>Please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attached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letter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Hon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Robert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French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relation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Review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Freedom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Speech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in Australian Higher Education, </w:t>
      </w:r>
      <w:hyperlink r:id="rId18">
        <w:r>
          <w:rPr>
            <w:color w:val="0563C1"/>
            <w:w w:val="105"/>
            <w:sz w:val="19"/>
            <w:u w:val="single" w:color="0563C1"/>
          </w:rPr>
          <w:t>announced</w:t>
        </w:r>
        <w:r>
          <w:rPr>
            <w:color w:val="0563C1"/>
            <w:w w:val="105"/>
            <w:sz w:val="19"/>
          </w:rPr>
          <w:t xml:space="preserve"> </w:t>
        </w:r>
      </w:hyperlink>
      <w:r>
        <w:rPr>
          <w:w w:val="105"/>
          <w:sz w:val="19"/>
        </w:rPr>
        <w:t>by the Minister for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Education</w:t>
      </w:r>
    </w:p>
    <w:p w:rsidR="00C23C98" w:rsidRDefault="00B7284B">
      <w:pPr>
        <w:spacing w:before="1"/>
        <w:ind w:left="104"/>
        <w:rPr>
          <w:sz w:val="19"/>
        </w:rPr>
      </w:pPr>
      <w:proofErr w:type="gramStart"/>
      <w:r>
        <w:rPr>
          <w:w w:val="105"/>
          <w:sz w:val="19"/>
        </w:rPr>
        <w:t>the</w:t>
      </w:r>
      <w:proofErr w:type="gramEnd"/>
      <w:r>
        <w:rPr>
          <w:w w:val="105"/>
          <w:sz w:val="19"/>
        </w:rPr>
        <w:t xml:space="preserve"> Hon Dan </w:t>
      </w:r>
      <w:proofErr w:type="spellStart"/>
      <w:r>
        <w:rPr>
          <w:w w:val="105"/>
          <w:sz w:val="19"/>
        </w:rPr>
        <w:t>Tehan</w:t>
      </w:r>
      <w:proofErr w:type="spellEnd"/>
      <w:r>
        <w:rPr>
          <w:w w:val="105"/>
          <w:sz w:val="19"/>
        </w:rPr>
        <w:t xml:space="preserve"> MP on 14 November 2018.</w:t>
      </w:r>
    </w:p>
    <w:p w:rsidR="00C23C98" w:rsidRDefault="00C23C98">
      <w:pPr>
        <w:pStyle w:val="BodyText"/>
        <w:spacing w:before="12"/>
        <w:rPr>
          <w:sz w:val="23"/>
        </w:rPr>
      </w:pPr>
    </w:p>
    <w:p w:rsidR="00C23C98" w:rsidRDefault="00B7284B">
      <w:pPr>
        <w:spacing w:line="271" w:lineRule="auto"/>
        <w:ind w:left="104"/>
        <w:rPr>
          <w:sz w:val="19"/>
        </w:rPr>
      </w:pPr>
      <w:r>
        <w:rPr>
          <w:w w:val="105"/>
          <w:sz w:val="19"/>
        </w:rPr>
        <w:t>If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questions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review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timelines,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please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hesitate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Review Secretariat at</w:t>
      </w:r>
      <w:r>
        <w:rPr>
          <w:spacing w:val="-6"/>
          <w:w w:val="105"/>
          <w:sz w:val="19"/>
        </w:rPr>
        <w:t xml:space="preserve"> </w:t>
      </w:r>
      <w:hyperlink r:id="rId19">
        <w:r>
          <w:rPr>
            <w:color w:val="0563C1"/>
            <w:w w:val="105"/>
            <w:sz w:val="19"/>
            <w:u w:val="single" w:color="0563C1"/>
          </w:rPr>
          <w:t>freedomofspeechreview@education.gov.au</w:t>
        </w:r>
      </w:hyperlink>
    </w:p>
    <w:p w:rsidR="00C23C98" w:rsidRDefault="00C23C98">
      <w:pPr>
        <w:pStyle w:val="BodyText"/>
        <w:spacing w:before="1"/>
        <w:rPr>
          <w:sz w:val="16"/>
        </w:rPr>
      </w:pPr>
    </w:p>
    <w:p w:rsidR="00C23C98" w:rsidRDefault="00B7284B">
      <w:pPr>
        <w:spacing w:before="67"/>
        <w:ind w:left="149"/>
        <w:rPr>
          <w:sz w:val="19"/>
        </w:rPr>
      </w:pPr>
      <w:r>
        <w:rPr>
          <w:w w:val="105"/>
          <w:sz w:val="19"/>
        </w:rPr>
        <w:t>Kind regards</w:t>
      </w:r>
    </w:p>
    <w:p w:rsidR="00C23C98" w:rsidRDefault="00C23C98">
      <w:pPr>
        <w:pStyle w:val="BodyText"/>
        <w:rPr>
          <w:sz w:val="20"/>
        </w:rPr>
      </w:pPr>
    </w:p>
    <w:p w:rsidR="00C23C98" w:rsidRDefault="00B7284B">
      <w:pPr>
        <w:pStyle w:val="BodyText"/>
        <w:spacing w:before="1" w:line="273" w:lineRule="auto"/>
        <w:ind w:left="104" w:right="5964"/>
      </w:pPr>
      <w:r>
        <w:t>Secretariat for Review of Freedom of Speech Quality and Access Branch</w:t>
      </w:r>
    </w:p>
    <w:p w:rsidR="00C23C98" w:rsidRDefault="00B7284B">
      <w:pPr>
        <w:pStyle w:val="BodyText"/>
        <w:spacing w:line="207" w:lineRule="exact"/>
        <w:ind w:left="104"/>
      </w:pPr>
      <w:r>
        <w:t>Higher Education Gr</w:t>
      </w:r>
      <w:r>
        <w:t>oup</w:t>
      </w:r>
    </w:p>
    <w:p w:rsidR="00C23C98" w:rsidRDefault="00B7284B">
      <w:pPr>
        <w:pStyle w:val="BodyText"/>
        <w:spacing w:before="28" w:line="273" w:lineRule="auto"/>
        <w:ind w:left="104" w:right="5672"/>
      </w:pPr>
      <w:r>
        <w:t xml:space="preserve">Australian Department of Education and Training E: </w:t>
      </w:r>
      <w:hyperlink r:id="rId20">
        <w:r>
          <w:rPr>
            <w:color w:val="0563C1"/>
            <w:u w:val="single" w:color="0563C1"/>
          </w:rPr>
          <w:t>freedomofspeechreview@education.gov.au</w:t>
        </w:r>
      </w:hyperlink>
    </w:p>
    <w:p w:rsidR="00C23C98" w:rsidRDefault="00C23C98">
      <w:pPr>
        <w:pStyle w:val="BodyText"/>
        <w:rPr>
          <w:sz w:val="20"/>
        </w:rPr>
      </w:pPr>
    </w:p>
    <w:p w:rsidR="00C23C98" w:rsidRDefault="00B7284B">
      <w:pPr>
        <w:pStyle w:val="Heading1"/>
        <w:spacing w:before="67"/>
      </w:pPr>
      <w:r>
        <w:rPr>
          <w:w w:val="105"/>
        </w:rPr>
        <w:t>Notice:</w:t>
      </w:r>
    </w:p>
    <w:p w:rsidR="00C23C98" w:rsidRDefault="00B7284B">
      <w:pPr>
        <w:spacing w:before="30" w:line="271" w:lineRule="auto"/>
        <w:ind w:left="104" w:right="212"/>
        <w:rPr>
          <w:sz w:val="19"/>
        </w:rPr>
      </w:pPr>
      <w:r>
        <w:rPr>
          <w:w w:val="105"/>
          <w:sz w:val="19"/>
        </w:rPr>
        <w:t>The information contained in this email message and any attached files may be confident</w:t>
      </w:r>
      <w:r>
        <w:rPr>
          <w:w w:val="105"/>
          <w:sz w:val="19"/>
        </w:rPr>
        <w:t xml:space="preserve">ial information, and </w:t>
      </w:r>
      <w:proofErr w:type="gramStart"/>
      <w:r>
        <w:rPr>
          <w:w w:val="105"/>
          <w:sz w:val="19"/>
        </w:rPr>
        <w:t>may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also</w:t>
      </w:r>
      <w:proofErr w:type="gramEnd"/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subject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professional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privilege.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intended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recipient,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use,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disclosure or copying of this email is </w:t>
      </w:r>
      <w:proofErr w:type="spellStart"/>
      <w:r>
        <w:rPr>
          <w:w w:val="105"/>
          <w:sz w:val="19"/>
        </w:rPr>
        <w:t>unauthorised</w:t>
      </w:r>
      <w:proofErr w:type="spellEnd"/>
      <w:r>
        <w:rPr>
          <w:w w:val="105"/>
          <w:sz w:val="19"/>
        </w:rPr>
        <w:t>. If you received this email in error, please notify the sender by contacting the department's switchboard on 1300 566 046 during business hours (8:30am - 5pm Canberra time) and delete all copies of this t</w:t>
      </w:r>
      <w:r>
        <w:rPr>
          <w:w w:val="105"/>
          <w:sz w:val="19"/>
        </w:rPr>
        <w:t>ransmission together with any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attachments.</w:t>
      </w:r>
    </w:p>
    <w:p w:rsidR="00C23C98" w:rsidRDefault="00C23C98">
      <w:pPr>
        <w:pStyle w:val="BodyText"/>
        <w:rPr>
          <w:sz w:val="20"/>
        </w:rPr>
      </w:pPr>
    </w:p>
    <w:p w:rsidR="00C23C98" w:rsidRDefault="00B7284B">
      <w:pPr>
        <w:pStyle w:val="BodyText"/>
        <w:spacing w:line="183" w:lineRule="exact"/>
        <w:ind w:left="104"/>
        <w:rPr>
          <w:rFonts w:ascii="Times New Roman"/>
        </w:rPr>
      </w:pPr>
      <w:r>
        <w:rPr>
          <w:rFonts w:ascii="Times New Roman"/>
        </w:rPr>
        <w:t>University of Tasmania Electronic Communications Policy (</w:t>
      </w:r>
      <w:proofErr w:type="gramStart"/>
      <w:r>
        <w:rPr>
          <w:rFonts w:ascii="Times New Roman"/>
        </w:rPr>
        <w:t>December,</w:t>
      </w:r>
      <w:proofErr w:type="gramEnd"/>
      <w:r>
        <w:rPr>
          <w:rFonts w:ascii="Times New Roman"/>
        </w:rPr>
        <w:t xml:space="preserve"> 2014).</w:t>
      </w:r>
    </w:p>
    <w:p w:rsidR="00C23C98" w:rsidRDefault="00B7284B">
      <w:pPr>
        <w:pStyle w:val="BodyText"/>
        <w:spacing w:before="8" w:line="208" w:lineRule="auto"/>
        <w:ind w:left="104" w:right="307"/>
        <w:rPr>
          <w:rFonts w:ascii="Times New Roman"/>
        </w:rPr>
      </w:pPr>
      <w:r>
        <w:rPr>
          <w:rFonts w:ascii="Times New Roman"/>
        </w:rPr>
        <w:t xml:space="preserve">This email is confidential, and is for the intended recipient only. Access, disclosure, copying, distribution, or reliance on any of it by anyone outside the intended recipient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is prohibited</w:t>
      </w:r>
      <w:proofErr w:type="gramEnd"/>
      <w:r>
        <w:rPr>
          <w:rFonts w:ascii="Times New Roman"/>
        </w:rPr>
        <w:t xml:space="preserve"> and may be a criminal offence. Please delete if obta</w:t>
      </w:r>
      <w:r>
        <w:rPr>
          <w:rFonts w:ascii="Times New Roman"/>
        </w:rPr>
        <w:t>ined in</w:t>
      </w:r>
    </w:p>
    <w:p w:rsidR="00C23C98" w:rsidRDefault="00C23C98">
      <w:pPr>
        <w:spacing w:line="208" w:lineRule="auto"/>
        <w:rPr>
          <w:rFonts w:ascii="Times New Roman"/>
        </w:rPr>
        <w:sectPr w:rsidR="00C23C98">
          <w:pgSz w:w="11900" w:h="16820"/>
          <w:pgMar w:top="1000" w:right="1320" w:bottom="280" w:left="1440" w:header="720" w:footer="720" w:gutter="0"/>
          <w:cols w:space="720"/>
        </w:sectPr>
      </w:pPr>
    </w:p>
    <w:p w:rsidR="00C23C98" w:rsidRDefault="00B7284B">
      <w:pPr>
        <w:pStyle w:val="BodyText"/>
        <w:spacing w:before="102" w:line="208" w:lineRule="auto"/>
        <w:ind w:left="104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error</w:t>
      </w:r>
      <w:proofErr w:type="gramEnd"/>
      <w:r>
        <w:rPr>
          <w:rFonts w:ascii="Times New Roman"/>
        </w:rPr>
        <w:t xml:space="preserve"> and email confirmation to the sender. The views expressed in this email are not necessarily the views of the University of Tasmania, unless clearly intended otherwise.</w:t>
      </w:r>
    </w:p>
    <w:sectPr w:rsidR="00C23C98">
      <w:pgSz w:w="11900" w:h="16820"/>
      <w:pgMar w:top="100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3C98"/>
    <w:rsid w:val="00B7284B"/>
    <w:rsid w:val="00C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1D1C3E30-4D7B-45ED-BA88-05A2949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sz w:val="19"/>
      <w:szCs w:val="19"/>
    </w:rPr>
  </w:style>
  <w:style w:type="paragraph" w:styleId="Heading2">
    <w:name w:val="heading 2"/>
    <w:basedOn w:val="Normal"/>
    <w:uiPriority w:val="1"/>
    <w:qFormat/>
    <w:pPr>
      <w:ind w:left="104" w:right="330"/>
      <w:outlineLvl w:val="1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s.edu.au/__data/assets/pdf_file/0003/30936/Freedom-of-Inquiry-and-the-Responsibility-to-Publish-Policy.pdf" TargetMode="External"/><Relationship Id="rId13" Type="http://schemas.openxmlformats.org/officeDocument/2006/relationships/hyperlink" Target="http://www.utas.edu.au/__data/assets/pdf_file/0006/1181985/University-Behaviour-Policy.pdf" TargetMode="External"/><Relationship Id="rId18" Type="http://schemas.openxmlformats.org/officeDocument/2006/relationships/hyperlink" Target="https://ministers.education.gov.au/tehan/review-university-freedom-speec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tas.edu.au/university-council/university-governance/governance-level-principles/academic-freedom-glp14" TargetMode="External"/><Relationship Id="rId12" Type="http://schemas.openxmlformats.org/officeDocument/2006/relationships/hyperlink" Target="http://www.utas.edu.au/__data/assets/pdf_file/0006/1181985/University-Behaviour-Policy.pdf" TargetMode="External"/><Relationship Id="rId17" Type="http://schemas.openxmlformats.org/officeDocument/2006/relationships/hyperlink" Target="mailto:Vice.Chancellor@utas.edu.au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freedomofspeechreview@education.gov.au" TargetMode="External"/><Relationship Id="rId20" Type="http://schemas.openxmlformats.org/officeDocument/2006/relationships/hyperlink" Target="mailto:freedomofspeechreview@education.gov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tas.edu.au/university-council/university-governance/governance-level-principles/academic-freedom-glp14" TargetMode="External"/><Relationship Id="rId11" Type="http://schemas.openxmlformats.org/officeDocument/2006/relationships/hyperlink" Target="https://universitytasmania.sharepoint.com/sites/people/Shared%20Documents/UTAS-Staff-Agreement.pdf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mailto:COO.Office@utas.edu.au" TargetMode="External"/><Relationship Id="rId15" Type="http://schemas.openxmlformats.org/officeDocument/2006/relationships/image" Target="media/image1.jpeg"/><Relationship Id="rId23" Type="http://schemas.openxmlformats.org/officeDocument/2006/relationships/customXml" Target="../customXml/item1.xml"/><Relationship Id="rId10" Type="http://schemas.openxmlformats.org/officeDocument/2006/relationships/hyperlink" Target="https://universitytasmania.sharepoint.com/sites/people/Shared%20Documents/UTAS-Staff-Agreement.pdf" TargetMode="External"/><Relationship Id="rId19" Type="http://schemas.openxmlformats.org/officeDocument/2006/relationships/hyperlink" Target="mailto:freedomofspeechreview@education.gov.au" TargetMode="External"/><Relationship Id="rId4" Type="http://schemas.openxmlformats.org/officeDocument/2006/relationships/hyperlink" Target="mailto:freedomofspeechreview@education.gov.au" TargetMode="External"/><Relationship Id="rId9" Type="http://schemas.openxmlformats.org/officeDocument/2006/relationships/hyperlink" Target="http://www.utas.edu.au/__data/assets/pdf_file/0003/30936/Freedom-of-Inquiry-and-the-Responsibility-to-Publish-Policy.pdf" TargetMode="External"/><Relationship Id="rId14" Type="http://schemas.openxmlformats.org/officeDocument/2006/relationships/hyperlink" Target="http://www.utas.edu.au/chief-operating-officer/compli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24F-A689-471D-B38D-310D4F802E36}"/>
</file>

<file path=customXml/itemProps2.xml><?xml version="1.0" encoding="utf-8"?>
<ds:datastoreItem xmlns:ds="http://schemas.openxmlformats.org/officeDocument/2006/customXml" ds:itemID="{88C7C76C-A068-47C3-A913-35BCF2D90B71}"/>
</file>

<file path=customXml/itemProps3.xml><?xml version="1.0" encoding="utf-8"?>
<ds:datastoreItem xmlns:ds="http://schemas.openxmlformats.org/officeDocument/2006/customXml" ds:itemID="{57F183A9-2E6E-47DB-8BD5-4098A5CAFE21}"/>
</file>

<file path=docProps/app.xml><?xml version="1.0" encoding="utf-8"?>
<Properties xmlns="http://schemas.openxmlformats.org/officeDocument/2006/extended-properties" xmlns:vt="http://schemas.openxmlformats.org/officeDocument/2006/docPropsVTypes">
  <Template>E99C2991.dotm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>Australian Government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YU,Ping</cp:lastModifiedBy>
  <cp:revision>2</cp:revision>
  <dcterms:created xsi:type="dcterms:W3CDTF">2019-03-14T05:25:00Z</dcterms:created>
  <dcterms:modified xsi:type="dcterms:W3CDTF">2019-03-27T04:47:00Z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Acrobat PDFMaker 18 for Microsoft Outlook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