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33" w:rsidRPr="008F7BC0" w:rsidRDefault="00B54933" w:rsidP="008F7BC0">
      <w:pPr>
        <w:pStyle w:val="Heading1"/>
        <w:rPr>
          <w:color w:val="auto"/>
        </w:rPr>
      </w:pPr>
      <w:r w:rsidRPr="008F7BC0">
        <w:rPr>
          <w:color w:val="auto"/>
        </w:rPr>
        <w:t>Recipient Details</w:t>
      </w:r>
    </w:p>
    <w:p w:rsidR="00B54933" w:rsidRPr="008F7BC0" w:rsidRDefault="00B54933">
      <w:r w:rsidRPr="008F7BC0">
        <w:t>Name of organisation or individual</w:t>
      </w:r>
      <w:r>
        <w:t xml:space="preserve">: </w:t>
      </w:r>
      <w:r>
        <w:rPr>
          <w:noProof/>
        </w:rPr>
        <w:t xml:space="preserve">[O] </w:t>
      </w:r>
      <w:bookmarkStart w:id="0" w:name="_GoBack"/>
      <w:r>
        <w:rPr>
          <w:noProof/>
        </w:rPr>
        <w:t>Gwydir Shire Council</w:t>
      </w:r>
      <w:bookmarkEnd w:id="0"/>
    </w:p>
    <w:p w:rsidR="00B54933" w:rsidRPr="008F7BC0" w:rsidRDefault="00B54933">
      <w:r w:rsidRPr="008F7BC0">
        <w:t>Reference Type</w:t>
      </w:r>
      <w:r>
        <w:t xml:space="preserve">: </w:t>
      </w:r>
      <w:r>
        <w:rPr>
          <w:noProof/>
        </w:rPr>
        <w:t>Government</w:t>
      </w:r>
    </w:p>
    <w:p w:rsidR="00B54933" w:rsidRPr="008F7BC0" w:rsidRDefault="00B54933">
      <w:r w:rsidRPr="008F7BC0">
        <w:t>State or territory</w:t>
      </w:r>
      <w:r>
        <w:t xml:space="preserve">: </w:t>
      </w:r>
      <w:r>
        <w:rPr>
          <w:noProof/>
        </w:rPr>
        <w:t>NSW</w:t>
      </w:r>
      <w:r w:rsidRPr="008F7BC0">
        <w:t xml:space="preserve"> </w:t>
      </w:r>
    </w:p>
    <w:p w:rsidR="00B54933" w:rsidRPr="008F7BC0" w:rsidRDefault="00B54933">
      <w:r>
        <w:t xml:space="preserve">Serial Identification Number: </w:t>
      </w:r>
      <w:r>
        <w:rPr>
          <w:noProof/>
        </w:rPr>
        <w:t>478181</w:t>
      </w:r>
    </w:p>
    <w:p w:rsidR="00B54933" w:rsidRPr="008F7BC0" w:rsidRDefault="00B54933" w:rsidP="008F7BC0">
      <w:pPr>
        <w:pStyle w:val="Heading1"/>
        <w:rPr>
          <w:color w:val="auto"/>
        </w:rPr>
      </w:pPr>
      <w:r w:rsidRPr="008F7BC0">
        <w:rPr>
          <w:color w:val="auto"/>
        </w:rPr>
        <w:t>Responses</w:t>
      </w:r>
    </w:p>
    <w:p w:rsidR="00B54933" w:rsidRDefault="00B54933" w:rsidP="008F7BC0">
      <w:pPr>
        <w:pStyle w:val="Heading2"/>
        <w:rPr>
          <w:color w:val="auto"/>
        </w:rPr>
      </w:pPr>
      <w:r w:rsidRPr="008F7BC0">
        <w:rPr>
          <w:color w:val="auto"/>
        </w:rPr>
        <w:t>Curriculum and assessment</w:t>
      </w:r>
    </w:p>
    <w:p w:rsidR="00B54933" w:rsidRPr="008F7BC0" w:rsidRDefault="00B54933">
      <w:r w:rsidRPr="008F7BC0">
        <w:t>Rating</w:t>
      </w:r>
      <w:r>
        <w:t xml:space="preserve">: </w:t>
      </w:r>
      <w:r>
        <w:rPr>
          <w:noProof/>
        </w:rPr>
        <w:t>5</w:t>
      </w:r>
    </w:p>
    <w:p w:rsidR="00B54933" w:rsidRDefault="00B54933" w:rsidP="008F7BC0">
      <w:pPr>
        <w:pStyle w:val="Heading2"/>
        <w:rPr>
          <w:color w:val="auto"/>
        </w:rPr>
      </w:pPr>
      <w:r w:rsidRPr="008F7BC0">
        <w:rPr>
          <w:color w:val="auto"/>
        </w:rPr>
        <w:t>Teachers and teaching</w:t>
      </w:r>
    </w:p>
    <w:p w:rsidR="00B54933" w:rsidRPr="008F7BC0" w:rsidRDefault="00B54933">
      <w:r w:rsidRPr="008F7BC0">
        <w:t>Rating</w:t>
      </w:r>
      <w:r>
        <w:t xml:space="preserve">: </w:t>
      </w:r>
      <w:r>
        <w:rPr>
          <w:noProof/>
        </w:rPr>
        <w:t>7</w:t>
      </w:r>
    </w:p>
    <w:p w:rsidR="00B54933" w:rsidRDefault="00B54933" w:rsidP="008F7BC0">
      <w:pPr>
        <w:pStyle w:val="Heading2"/>
        <w:rPr>
          <w:color w:val="auto"/>
        </w:rPr>
      </w:pPr>
      <w:r w:rsidRPr="008F7BC0">
        <w:rPr>
          <w:color w:val="auto"/>
        </w:rPr>
        <w:t>Leaders and leadership</w:t>
      </w:r>
    </w:p>
    <w:p w:rsidR="00B54933" w:rsidRPr="008F7BC0" w:rsidRDefault="00B54933">
      <w:r w:rsidRPr="008F7BC0">
        <w:t>Rating</w:t>
      </w:r>
      <w:r>
        <w:t xml:space="preserve">: </w:t>
      </w:r>
      <w:r>
        <w:rPr>
          <w:noProof/>
        </w:rPr>
        <w:t>7</w:t>
      </w:r>
    </w:p>
    <w:p w:rsidR="00B54933" w:rsidRDefault="00B54933" w:rsidP="008F7BC0">
      <w:pPr>
        <w:pStyle w:val="Heading2"/>
        <w:rPr>
          <w:color w:val="auto"/>
        </w:rPr>
      </w:pPr>
      <w:r w:rsidRPr="008F7BC0">
        <w:rPr>
          <w:color w:val="auto"/>
        </w:rPr>
        <w:t>School and Community</w:t>
      </w:r>
    </w:p>
    <w:p w:rsidR="00B54933" w:rsidRDefault="00B54933" w:rsidP="008843A4">
      <w:pPr>
        <w:rPr>
          <w:noProof/>
        </w:rPr>
      </w:pPr>
      <w:r>
        <w:rPr>
          <w:noProof/>
        </w:rPr>
        <w:t>The comments attributed to George Otero in the Discussion Paper are extremely relevant to rural education. The Gwydir Learning Region is an example of what can be achieved when the local Council, TAFE and schools work co-operatively towards common goals. However it requires the continuing support from all sectors and participation should encouraged despite changes in key stakeholders.</w:t>
      </w:r>
    </w:p>
    <w:p w:rsidR="00B54933" w:rsidRDefault="00B54933" w:rsidP="008843A4">
      <w:pPr>
        <w:rPr>
          <w:noProof/>
        </w:rPr>
      </w:pPr>
      <w:r>
        <w:rPr>
          <w:noProof/>
        </w:rPr>
        <w:t>A defined structure of respective roles, responsibilities and obligations between the stakeholders is required.</w:t>
      </w:r>
    </w:p>
    <w:p w:rsidR="00B54933" w:rsidRPr="00AD11C2" w:rsidRDefault="00B54933" w:rsidP="00AD11C2">
      <w:r>
        <w:rPr>
          <w:noProof/>
        </w:rPr>
        <w:t>.</w:t>
      </w:r>
    </w:p>
    <w:p w:rsidR="00B54933" w:rsidRPr="008F7BC0" w:rsidRDefault="00B54933">
      <w:r w:rsidRPr="008F7BC0">
        <w:t>Rating</w:t>
      </w:r>
      <w:r>
        <w:t xml:space="preserve">: </w:t>
      </w:r>
      <w:r>
        <w:rPr>
          <w:noProof/>
        </w:rPr>
        <w:t>7</w:t>
      </w:r>
    </w:p>
    <w:p w:rsidR="00B54933" w:rsidRDefault="00B54933" w:rsidP="008F7BC0">
      <w:pPr>
        <w:pStyle w:val="Heading2"/>
        <w:rPr>
          <w:color w:val="auto"/>
        </w:rPr>
      </w:pPr>
      <w:r w:rsidRPr="008F7BC0">
        <w:rPr>
          <w:color w:val="auto"/>
        </w:rPr>
        <w:t>Information and Communication Technology</w:t>
      </w:r>
    </w:p>
    <w:p w:rsidR="00B54933" w:rsidRPr="008F7BC0" w:rsidRDefault="00B54933">
      <w:r w:rsidRPr="008F7BC0">
        <w:t>Rating</w:t>
      </w:r>
      <w:r>
        <w:t xml:space="preserve">: </w:t>
      </w:r>
      <w:r>
        <w:rPr>
          <w:noProof/>
        </w:rPr>
        <w:t>5</w:t>
      </w:r>
    </w:p>
    <w:p w:rsidR="00B54933" w:rsidRDefault="00B54933" w:rsidP="008F7BC0">
      <w:pPr>
        <w:pStyle w:val="Heading2"/>
        <w:rPr>
          <w:color w:val="auto"/>
        </w:rPr>
      </w:pPr>
      <w:r w:rsidRPr="008F7BC0">
        <w:rPr>
          <w:color w:val="auto"/>
        </w:rPr>
        <w:t>Entrepreneurship and schools</w:t>
      </w:r>
    </w:p>
    <w:p w:rsidR="00B54933" w:rsidRDefault="00B54933" w:rsidP="008843A4">
      <w:pPr>
        <w:rPr>
          <w:noProof/>
        </w:rPr>
      </w:pPr>
      <w:r>
        <w:rPr>
          <w:noProof/>
        </w:rPr>
        <w:t>A focus on this area would definitely benefit from greater connection with community representatives.</w:t>
      </w:r>
    </w:p>
    <w:p w:rsidR="00B54933" w:rsidRPr="00AD11C2" w:rsidRDefault="00B54933" w:rsidP="00AD11C2">
      <w:r>
        <w:rPr>
          <w:noProof/>
        </w:rPr>
        <w:t>There are definite entrepreneurial opportunities within regional areas that remain untapped and these opportunities should be explored with students.</w:t>
      </w:r>
    </w:p>
    <w:p w:rsidR="00B54933" w:rsidRPr="008F7BC0" w:rsidRDefault="00B54933">
      <w:r w:rsidRPr="008F7BC0">
        <w:t>Rating</w:t>
      </w:r>
      <w:r>
        <w:t xml:space="preserve">: </w:t>
      </w:r>
      <w:r>
        <w:rPr>
          <w:noProof/>
        </w:rPr>
        <w:t>7</w:t>
      </w:r>
    </w:p>
    <w:p w:rsidR="00B54933" w:rsidRDefault="00B54933" w:rsidP="008F7BC0">
      <w:pPr>
        <w:pStyle w:val="Heading2"/>
        <w:rPr>
          <w:color w:val="auto"/>
        </w:rPr>
      </w:pPr>
      <w:r w:rsidRPr="008F7BC0">
        <w:rPr>
          <w:color w:val="auto"/>
        </w:rPr>
        <w:t>Improving access – enrolments, clusters, distance education and boarding</w:t>
      </w:r>
    </w:p>
    <w:p w:rsidR="00B54933" w:rsidRPr="008F7BC0" w:rsidRDefault="00B54933">
      <w:r w:rsidRPr="008F7BC0">
        <w:t>Rating for enrolments</w:t>
      </w:r>
      <w:r>
        <w:t xml:space="preserve">: </w:t>
      </w:r>
      <w:r>
        <w:rPr>
          <w:noProof/>
        </w:rPr>
        <w:t>6</w:t>
      </w:r>
    </w:p>
    <w:p w:rsidR="00B54933" w:rsidRPr="008F7BC0" w:rsidRDefault="00B54933">
      <w:r w:rsidRPr="008F7BC0">
        <w:t>Rating for clusters</w:t>
      </w:r>
      <w:r>
        <w:t xml:space="preserve">: </w:t>
      </w:r>
      <w:r>
        <w:rPr>
          <w:noProof/>
        </w:rPr>
        <w:t>4</w:t>
      </w:r>
    </w:p>
    <w:p w:rsidR="00B54933" w:rsidRPr="008F7BC0" w:rsidRDefault="00B54933">
      <w:r w:rsidRPr="008F7BC0">
        <w:t>Rating for distance education</w:t>
      </w:r>
      <w:r>
        <w:t xml:space="preserve">: </w:t>
      </w:r>
      <w:r>
        <w:rPr>
          <w:noProof/>
        </w:rPr>
        <w:t>4</w:t>
      </w:r>
    </w:p>
    <w:p w:rsidR="00B54933" w:rsidRPr="008F7BC0" w:rsidRDefault="00B54933">
      <w:r w:rsidRPr="008F7BC0">
        <w:lastRenderedPageBreak/>
        <w:t>Rating for boarding</w:t>
      </w:r>
      <w:r>
        <w:t xml:space="preserve">: </w:t>
      </w:r>
      <w:r>
        <w:rPr>
          <w:noProof/>
        </w:rPr>
        <w:t>4</w:t>
      </w:r>
    </w:p>
    <w:p w:rsidR="00B54933" w:rsidRDefault="00B54933" w:rsidP="008F7BC0">
      <w:pPr>
        <w:pStyle w:val="Heading2"/>
        <w:rPr>
          <w:color w:val="auto"/>
        </w:rPr>
      </w:pPr>
      <w:r w:rsidRPr="008F7BC0">
        <w:rPr>
          <w:color w:val="auto"/>
        </w:rPr>
        <w:t>Diversity</w:t>
      </w:r>
    </w:p>
    <w:p w:rsidR="00B54933" w:rsidRPr="008F7BC0" w:rsidRDefault="00B54933">
      <w:r w:rsidRPr="008F7BC0">
        <w:t>Rating</w:t>
      </w:r>
      <w:r>
        <w:t xml:space="preserve">: </w:t>
      </w:r>
      <w:r>
        <w:rPr>
          <w:noProof/>
        </w:rPr>
        <w:t>4</w:t>
      </w:r>
    </w:p>
    <w:p w:rsidR="00B54933" w:rsidRDefault="00B54933" w:rsidP="008F7BC0">
      <w:pPr>
        <w:pStyle w:val="Heading2"/>
        <w:rPr>
          <w:color w:val="auto"/>
        </w:rPr>
      </w:pPr>
      <w:r w:rsidRPr="008F7BC0">
        <w:rPr>
          <w:color w:val="auto"/>
        </w:rPr>
        <w:t>Transitioning beyond school</w:t>
      </w:r>
    </w:p>
    <w:p w:rsidR="00B54933" w:rsidRPr="008F7BC0" w:rsidRDefault="00B54933">
      <w:r w:rsidRPr="008F7BC0">
        <w:t>Rating</w:t>
      </w:r>
      <w:r>
        <w:t xml:space="preserve">: </w:t>
      </w:r>
      <w:r>
        <w:rPr>
          <w:noProof/>
        </w:rPr>
        <w:t>7</w:t>
      </w:r>
    </w:p>
    <w:p w:rsidR="00B54933" w:rsidRDefault="00B54933" w:rsidP="008F7BC0">
      <w:pPr>
        <w:pStyle w:val="Heading2"/>
        <w:rPr>
          <w:color w:val="auto"/>
        </w:rPr>
      </w:pPr>
      <w:r w:rsidRPr="008F7BC0">
        <w:rPr>
          <w:color w:val="auto"/>
        </w:rPr>
        <w:t>Additional Comments</w:t>
      </w:r>
    </w:p>
    <w:p w:rsidR="00B54933" w:rsidRDefault="00B54933" w:rsidP="00AD11C2">
      <w:pPr>
        <w:sectPr w:rsidR="00B54933" w:rsidSect="00B54933">
          <w:pgSz w:w="11906" w:h="16838"/>
          <w:pgMar w:top="1440" w:right="1440" w:bottom="1440" w:left="1440" w:header="708" w:footer="708" w:gutter="0"/>
          <w:pgNumType w:start="1"/>
          <w:cols w:space="708"/>
          <w:docGrid w:linePitch="360"/>
        </w:sectPr>
      </w:pPr>
      <w:r>
        <w:rPr>
          <w:noProof/>
        </w:rPr>
        <w:t>The Gwydir Learning Region is an example of something that has worked successfully but requires the ongoing commitment of all the stakeholders (see 2006 independent assessment report by Dr John Mitchell).</w:t>
      </w:r>
    </w:p>
    <w:p w:rsidR="00B54933" w:rsidRPr="00AD11C2" w:rsidRDefault="00B54933" w:rsidP="00AD11C2"/>
    <w:sectPr w:rsidR="00B54933" w:rsidRPr="00AD11C2" w:rsidSect="00B5493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54933"/>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5AC3F4-F986-41D2-8505-D89392FF29BB}"/>
</file>

<file path=customXml/itemProps2.xml><?xml version="1.0" encoding="utf-8"?>
<ds:datastoreItem xmlns:ds="http://schemas.openxmlformats.org/officeDocument/2006/customXml" ds:itemID="{DE15E7C0-2540-4381-96CD-9D2B5912F8BA}"/>
</file>

<file path=customXml/itemProps3.xml><?xml version="1.0" encoding="utf-8"?>
<ds:datastoreItem xmlns:ds="http://schemas.openxmlformats.org/officeDocument/2006/customXml" ds:itemID="{20992804-03C9-4938-8AA1-9DF0246F1E03}"/>
</file>

<file path=docProps/app.xml><?xml version="1.0" encoding="utf-8"?>
<Properties xmlns="http://schemas.openxmlformats.org/officeDocument/2006/extended-properties" xmlns:vt="http://schemas.openxmlformats.org/officeDocument/2006/docPropsVTypes">
  <Template>D641C8BA.dotm</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2018-02-08T05:49:00Z</dcterms:created>
  <dcterms:modified xsi:type="dcterms:W3CDTF">2018-02-08T05:49:00Z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