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CFB65" w14:textId="77777777" w:rsidR="007774AC" w:rsidRPr="00A92D59" w:rsidRDefault="007774AC" w:rsidP="007774AC">
      <w:pPr>
        <w:jc w:val="both"/>
        <w:rPr>
          <w:rFonts w:ascii="Arial" w:hAnsi="Arial" w:cs="Arial"/>
        </w:rPr>
      </w:pPr>
      <w:r w:rsidRPr="00A92D59">
        <w:rPr>
          <w:rFonts w:ascii="Arial" w:hAnsi="Arial" w:cs="Arial"/>
          <w:noProof/>
          <w:lang w:val="en-AU" w:eastAsia="en-AU"/>
        </w:rPr>
        <w:drawing>
          <wp:anchor distT="0" distB="0" distL="114300" distR="114300" simplePos="0" relativeHeight="251660288" behindDoc="0" locked="0" layoutInCell="1" allowOverlap="1" wp14:anchorId="5A4CFD1F" wp14:editId="0FEB29CE">
            <wp:simplePos x="0" y="0"/>
            <wp:positionH relativeFrom="margin">
              <wp:posOffset>3937635</wp:posOffset>
            </wp:positionH>
            <wp:positionV relativeFrom="margin">
              <wp:posOffset>-379730</wp:posOffset>
            </wp:positionV>
            <wp:extent cx="1673860" cy="1014095"/>
            <wp:effectExtent l="0" t="0" r="2540" b="0"/>
            <wp:wrapSquare wrapText="bothSides"/>
            <wp:docPr id="1" name="Picture 1" descr="Corporate logo in blue and green" title="Logo of Centre for International Finance and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IFR\Marketing\Logos\CIFR Logos\Screen Saver\5.CIFR_color_logo_acronym_tag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3860" cy="10140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4CFB66" w14:textId="77777777" w:rsidR="007774AC" w:rsidRPr="00A92D59" w:rsidRDefault="007774AC" w:rsidP="007774AC">
      <w:pPr>
        <w:jc w:val="both"/>
        <w:rPr>
          <w:rFonts w:ascii="Arial" w:hAnsi="Arial" w:cs="Arial"/>
        </w:rPr>
      </w:pPr>
    </w:p>
    <w:p w14:paraId="5A4CFB67" w14:textId="77777777" w:rsidR="007774AC" w:rsidRPr="00A92D59" w:rsidRDefault="007774AC" w:rsidP="007774AC">
      <w:pPr>
        <w:jc w:val="both"/>
        <w:rPr>
          <w:rFonts w:ascii="Arial" w:hAnsi="Arial" w:cs="Arial"/>
        </w:rPr>
      </w:pPr>
    </w:p>
    <w:p w14:paraId="5A4CFB68" w14:textId="77777777" w:rsidR="007774AC" w:rsidRPr="00A92D59" w:rsidRDefault="007774AC" w:rsidP="007774AC">
      <w:pPr>
        <w:jc w:val="both"/>
        <w:rPr>
          <w:rFonts w:ascii="Arial" w:hAnsi="Arial" w:cs="Arial"/>
        </w:rPr>
      </w:pPr>
    </w:p>
    <w:p w14:paraId="5A4CFB69" w14:textId="77777777" w:rsidR="007774AC" w:rsidRPr="00A92D59" w:rsidRDefault="007774AC" w:rsidP="007774AC">
      <w:pPr>
        <w:jc w:val="both"/>
        <w:rPr>
          <w:rFonts w:ascii="Arial" w:hAnsi="Arial" w:cs="Arial"/>
          <w:noProof/>
          <w:color w:val="4F81BD" w:themeColor="accent1"/>
          <w:sz w:val="28"/>
          <w:lang w:val="en-AU" w:eastAsia="en-AU"/>
        </w:rPr>
      </w:pPr>
    </w:p>
    <w:p w14:paraId="5A4CFB6A" w14:textId="77777777" w:rsidR="007774AC" w:rsidRPr="00A92D59" w:rsidRDefault="007774AC" w:rsidP="007774AC">
      <w:pPr>
        <w:jc w:val="both"/>
        <w:rPr>
          <w:rFonts w:ascii="Arial" w:hAnsi="Arial" w:cs="Arial"/>
        </w:rPr>
      </w:pPr>
      <w:r w:rsidRPr="00A92D59">
        <w:rPr>
          <w:rFonts w:ascii="Arial" w:hAnsi="Arial" w:cs="Arial"/>
          <w:noProof/>
          <w:color w:val="4F81BD" w:themeColor="accent1"/>
          <w:sz w:val="28"/>
          <w:lang w:val="en-AU" w:eastAsia="en-AU"/>
        </w:rPr>
        <w:drawing>
          <wp:anchor distT="0" distB="0" distL="114300" distR="114300" simplePos="0" relativeHeight="251659264" behindDoc="1" locked="0" layoutInCell="1" allowOverlap="1" wp14:anchorId="5A4CFD21" wp14:editId="390F0A84">
            <wp:simplePos x="0" y="0"/>
            <wp:positionH relativeFrom="column">
              <wp:posOffset>-128270</wp:posOffset>
            </wp:positionH>
            <wp:positionV relativeFrom="paragraph">
              <wp:posOffset>62548</wp:posOffset>
            </wp:positionV>
            <wp:extent cx="5850890" cy="7458075"/>
            <wp:effectExtent l="0" t="0" r="0" b="9525"/>
            <wp:wrapNone/>
            <wp:docPr id="4" name="Picture 4" title="title page for submission on boosting the commercial returns from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CIFR\Marketing\Brand\CIFR Branding devices\CIFR_graphic_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850890" cy="7458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4CFB6B" w14:textId="77777777" w:rsidR="007774AC" w:rsidRPr="00A92D59" w:rsidRDefault="007774AC" w:rsidP="007774AC">
      <w:pPr>
        <w:jc w:val="both"/>
        <w:rPr>
          <w:rFonts w:ascii="Arial" w:hAnsi="Arial" w:cs="Arial"/>
        </w:rPr>
      </w:pPr>
    </w:p>
    <w:p w14:paraId="5A4CFB6C" w14:textId="77777777" w:rsidR="007774AC" w:rsidRPr="00A92D59" w:rsidRDefault="007774AC" w:rsidP="007774AC">
      <w:pPr>
        <w:jc w:val="both"/>
        <w:rPr>
          <w:rFonts w:ascii="Arial" w:hAnsi="Arial" w:cs="Arial"/>
        </w:rPr>
      </w:pPr>
    </w:p>
    <w:p w14:paraId="5A4CFB6D" w14:textId="77777777" w:rsidR="007774AC" w:rsidRPr="00A92D59" w:rsidRDefault="007774AC" w:rsidP="007774AC">
      <w:pPr>
        <w:jc w:val="both"/>
        <w:rPr>
          <w:rFonts w:ascii="Arial" w:hAnsi="Arial" w:cs="Arial"/>
        </w:rPr>
      </w:pPr>
    </w:p>
    <w:p w14:paraId="5A4CFB6E" w14:textId="77777777" w:rsidR="007774AC" w:rsidRPr="00A92D59" w:rsidRDefault="007774AC" w:rsidP="007774AC">
      <w:pPr>
        <w:jc w:val="both"/>
        <w:rPr>
          <w:rFonts w:ascii="Arial" w:hAnsi="Arial" w:cs="Arial"/>
        </w:rPr>
      </w:pPr>
    </w:p>
    <w:p w14:paraId="5A4CFB6F" w14:textId="77777777" w:rsidR="007774AC" w:rsidRPr="00A92D59" w:rsidRDefault="007774AC" w:rsidP="007774AC">
      <w:pPr>
        <w:jc w:val="both"/>
        <w:rPr>
          <w:rFonts w:ascii="Arial" w:hAnsi="Arial" w:cs="Arial"/>
        </w:rPr>
      </w:pPr>
    </w:p>
    <w:p w14:paraId="5A4CFB70" w14:textId="77777777" w:rsidR="007774AC" w:rsidRPr="00A92D59" w:rsidRDefault="007774AC" w:rsidP="007774AC">
      <w:pPr>
        <w:jc w:val="both"/>
        <w:rPr>
          <w:rFonts w:ascii="Arial" w:hAnsi="Arial" w:cs="Arial"/>
        </w:rPr>
      </w:pPr>
    </w:p>
    <w:p w14:paraId="5A4CFB71" w14:textId="77777777" w:rsidR="007774AC" w:rsidRPr="00A92D59" w:rsidRDefault="007774AC" w:rsidP="007774AC">
      <w:pPr>
        <w:jc w:val="both"/>
        <w:rPr>
          <w:rFonts w:ascii="Arial" w:hAnsi="Arial" w:cs="Arial"/>
          <w:color w:val="365F91" w:themeColor="accent1" w:themeShade="BF"/>
        </w:rPr>
      </w:pPr>
    </w:p>
    <w:p w14:paraId="5A4CFB72" w14:textId="77777777" w:rsidR="007774AC" w:rsidRPr="00A92D59" w:rsidRDefault="007774AC" w:rsidP="007774AC">
      <w:pPr>
        <w:jc w:val="both"/>
        <w:rPr>
          <w:rFonts w:ascii="Arial" w:hAnsi="Arial" w:cs="Arial"/>
          <w:color w:val="FFFFFF" w:themeColor="background1"/>
          <w:sz w:val="36"/>
        </w:rPr>
      </w:pPr>
    </w:p>
    <w:p w14:paraId="5A4CFB73" w14:textId="77777777" w:rsidR="007774AC" w:rsidRPr="00A92D59" w:rsidRDefault="007774AC" w:rsidP="007774AC">
      <w:pPr>
        <w:rPr>
          <w:rFonts w:ascii="Arial" w:hAnsi="Arial" w:cs="Arial"/>
          <w:color w:val="FFFFFF" w:themeColor="background1"/>
          <w:sz w:val="36"/>
        </w:rPr>
      </w:pPr>
      <w:r w:rsidRPr="00A92D59">
        <w:rPr>
          <w:rFonts w:ascii="Arial" w:hAnsi="Arial" w:cs="Arial"/>
          <w:color w:val="FFFFFF" w:themeColor="background1"/>
          <w:sz w:val="36"/>
        </w:rPr>
        <w:t>Centre for International Finance</w:t>
      </w:r>
    </w:p>
    <w:p w14:paraId="5A4CFB74" w14:textId="77777777" w:rsidR="007774AC" w:rsidRPr="00A92D59" w:rsidRDefault="007774AC" w:rsidP="007774AC">
      <w:pPr>
        <w:rPr>
          <w:rFonts w:ascii="Arial" w:hAnsi="Arial" w:cs="Arial"/>
          <w:color w:val="FFFFFF" w:themeColor="background1"/>
          <w:sz w:val="36"/>
        </w:rPr>
      </w:pPr>
      <w:proofErr w:type="gramStart"/>
      <w:r w:rsidRPr="00A92D59">
        <w:rPr>
          <w:rFonts w:ascii="Arial" w:hAnsi="Arial" w:cs="Arial"/>
          <w:color w:val="FFFFFF" w:themeColor="background1"/>
          <w:sz w:val="36"/>
        </w:rPr>
        <w:t>and</w:t>
      </w:r>
      <w:proofErr w:type="gramEnd"/>
      <w:r w:rsidRPr="00A92D59">
        <w:rPr>
          <w:rFonts w:ascii="Arial" w:hAnsi="Arial" w:cs="Arial"/>
          <w:color w:val="FFFFFF" w:themeColor="background1"/>
          <w:sz w:val="36"/>
        </w:rPr>
        <w:t xml:space="preserve"> Regulation</w:t>
      </w:r>
    </w:p>
    <w:p w14:paraId="5A4CFB75" w14:textId="77777777" w:rsidR="007774AC" w:rsidRPr="00A92D59" w:rsidRDefault="007774AC" w:rsidP="007774AC">
      <w:pPr>
        <w:rPr>
          <w:rFonts w:ascii="Arial" w:hAnsi="Arial" w:cs="Arial"/>
          <w:color w:val="FFFFFF" w:themeColor="background1"/>
          <w:sz w:val="36"/>
          <w:szCs w:val="36"/>
        </w:rPr>
      </w:pPr>
    </w:p>
    <w:p w14:paraId="5A4CFB76" w14:textId="77777777" w:rsidR="007774AC" w:rsidRDefault="007774AC" w:rsidP="007774AC">
      <w:pPr>
        <w:rPr>
          <w:rFonts w:ascii="Arial" w:hAnsi="Arial" w:cs="Arial"/>
          <w:color w:val="FFFFFF" w:themeColor="background1"/>
          <w:sz w:val="36"/>
          <w:szCs w:val="36"/>
        </w:rPr>
      </w:pPr>
    </w:p>
    <w:p w14:paraId="5A4CFB77" w14:textId="77777777" w:rsidR="007774AC" w:rsidRDefault="007774AC" w:rsidP="007774AC">
      <w:pPr>
        <w:jc w:val="both"/>
        <w:rPr>
          <w:rFonts w:ascii="Arial" w:hAnsi="Arial" w:cs="Arial"/>
          <w:color w:val="FFFFFF" w:themeColor="background1"/>
          <w:sz w:val="36"/>
          <w:szCs w:val="36"/>
        </w:rPr>
      </w:pPr>
    </w:p>
    <w:p w14:paraId="5A4CFB78" w14:textId="77777777" w:rsidR="007774AC" w:rsidRDefault="007774AC" w:rsidP="007774AC">
      <w:pPr>
        <w:jc w:val="both"/>
        <w:rPr>
          <w:rFonts w:ascii="Arial" w:hAnsi="Arial" w:cs="Arial"/>
          <w:color w:val="FFFFFF" w:themeColor="background1"/>
          <w:sz w:val="36"/>
          <w:szCs w:val="36"/>
        </w:rPr>
      </w:pPr>
    </w:p>
    <w:p w14:paraId="5A4CFB79" w14:textId="77777777" w:rsidR="007774AC" w:rsidRPr="00A92D59" w:rsidRDefault="007774AC" w:rsidP="007774AC">
      <w:pPr>
        <w:jc w:val="both"/>
        <w:rPr>
          <w:rFonts w:ascii="Arial" w:hAnsi="Arial" w:cs="Arial"/>
          <w:color w:val="FFFFFF" w:themeColor="background1"/>
          <w:sz w:val="36"/>
          <w:szCs w:val="36"/>
        </w:rPr>
      </w:pPr>
    </w:p>
    <w:p w14:paraId="5A4CFB7A" w14:textId="77777777" w:rsidR="007774AC" w:rsidRPr="00A92D59" w:rsidRDefault="007774AC" w:rsidP="007774AC">
      <w:pPr>
        <w:rPr>
          <w:rFonts w:ascii="Arial" w:hAnsi="Arial" w:cs="Arial"/>
          <w:b/>
          <w:color w:val="FFFFFF" w:themeColor="background1"/>
          <w:sz w:val="48"/>
        </w:rPr>
      </w:pPr>
      <w:r w:rsidRPr="00A92D59">
        <w:rPr>
          <w:rFonts w:ascii="Arial" w:hAnsi="Arial" w:cs="Arial"/>
          <w:b/>
          <w:color w:val="FFFFFF" w:themeColor="background1"/>
          <w:sz w:val="48"/>
        </w:rPr>
        <w:t>Submission on ‘Boosting the commercial returns from research’</w:t>
      </w:r>
    </w:p>
    <w:p w14:paraId="5A4CFB7B" w14:textId="77777777" w:rsidR="007774AC" w:rsidRPr="00A92D59" w:rsidRDefault="007774AC" w:rsidP="007774AC">
      <w:pPr>
        <w:rPr>
          <w:rFonts w:ascii="Arial" w:hAnsi="Arial" w:cs="Arial"/>
          <w:color w:val="FFFFFF" w:themeColor="background1"/>
          <w:sz w:val="36"/>
          <w:szCs w:val="36"/>
        </w:rPr>
      </w:pPr>
    </w:p>
    <w:p w14:paraId="5A4CFB7C" w14:textId="77777777" w:rsidR="007774AC" w:rsidRDefault="007774AC" w:rsidP="007774AC">
      <w:pPr>
        <w:rPr>
          <w:rFonts w:ascii="Arial" w:hAnsi="Arial" w:cs="Arial"/>
          <w:color w:val="FFFFFF" w:themeColor="background1"/>
          <w:sz w:val="36"/>
          <w:szCs w:val="36"/>
        </w:rPr>
      </w:pPr>
    </w:p>
    <w:p w14:paraId="5A4CFB7D" w14:textId="77777777" w:rsidR="007774AC" w:rsidRDefault="007774AC" w:rsidP="007774AC">
      <w:pPr>
        <w:jc w:val="both"/>
        <w:rPr>
          <w:rFonts w:ascii="Arial" w:hAnsi="Arial" w:cs="Arial"/>
          <w:color w:val="FFFFFF" w:themeColor="background1"/>
          <w:sz w:val="36"/>
          <w:szCs w:val="36"/>
        </w:rPr>
      </w:pPr>
    </w:p>
    <w:p w14:paraId="5A4CFB7E" w14:textId="77777777" w:rsidR="007774AC" w:rsidRDefault="007774AC" w:rsidP="007774AC">
      <w:pPr>
        <w:jc w:val="both"/>
        <w:rPr>
          <w:rFonts w:ascii="Arial" w:hAnsi="Arial" w:cs="Arial"/>
          <w:color w:val="FFFFFF" w:themeColor="background1"/>
          <w:sz w:val="36"/>
          <w:szCs w:val="36"/>
        </w:rPr>
      </w:pPr>
    </w:p>
    <w:p w14:paraId="5A4CFB7F" w14:textId="77777777" w:rsidR="007774AC" w:rsidRPr="00A92D59" w:rsidRDefault="007774AC" w:rsidP="007774AC">
      <w:pPr>
        <w:jc w:val="both"/>
        <w:rPr>
          <w:rFonts w:ascii="Arial" w:hAnsi="Arial" w:cs="Arial"/>
          <w:color w:val="FFFFFF" w:themeColor="background1"/>
          <w:sz w:val="36"/>
          <w:szCs w:val="36"/>
        </w:rPr>
      </w:pPr>
    </w:p>
    <w:p w14:paraId="5A4CFB80" w14:textId="77777777" w:rsidR="007774AC" w:rsidRPr="00A92D59" w:rsidRDefault="007774AC" w:rsidP="007774AC">
      <w:pPr>
        <w:jc w:val="both"/>
        <w:rPr>
          <w:rFonts w:ascii="Arial" w:hAnsi="Arial" w:cs="Arial"/>
          <w:color w:val="FFFFFF" w:themeColor="background1"/>
          <w:sz w:val="36"/>
          <w:szCs w:val="36"/>
        </w:rPr>
      </w:pPr>
      <w:r w:rsidRPr="00A92D59">
        <w:rPr>
          <w:rFonts w:ascii="Arial" w:hAnsi="Arial" w:cs="Arial"/>
          <w:color w:val="FFFFFF" w:themeColor="background1"/>
          <w:sz w:val="36"/>
          <w:szCs w:val="36"/>
        </w:rPr>
        <w:t>December 2014</w:t>
      </w:r>
    </w:p>
    <w:p w14:paraId="5A4CFB81" w14:textId="77777777" w:rsidR="007774AC" w:rsidRPr="00A92D59" w:rsidRDefault="007774AC" w:rsidP="007774AC">
      <w:pPr>
        <w:jc w:val="both"/>
        <w:rPr>
          <w:rFonts w:ascii="Arial" w:hAnsi="Arial" w:cs="Arial"/>
          <w:color w:val="FFFFFF" w:themeColor="background1"/>
          <w:sz w:val="28"/>
        </w:rPr>
      </w:pPr>
    </w:p>
    <w:p w14:paraId="5A4CFB82" w14:textId="77777777" w:rsidR="007774AC" w:rsidRPr="00A92D59" w:rsidRDefault="007774AC" w:rsidP="007774AC">
      <w:pPr>
        <w:jc w:val="both"/>
        <w:rPr>
          <w:rFonts w:ascii="Arial" w:hAnsi="Arial" w:cs="Arial"/>
          <w:color w:val="FFFFFF" w:themeColor="background1"/>
          <w:sz w:val="22"/>
        </w:rPr>
      </w:pPr>
      <w:r w:rsidRPr="00A92D59">
        <w:rPr>
          <w:rFonts w:ascii="Arial" w:hAnsi="Arial" w:cs="Arial"/>
          <w:color w:val="FFFFFF" w:themeColor="background1"/>
          <w:sz w:val="22"/>
        </w:rPr>
        <w:tab/>
      </w:r>
    </w:p>
    <w:p w14:paraId="5A4CFB83" w14:textId="77777777" w:rsidR="007774AC" w:rsidRPr="00A92D59" w:rsidRDefault="007774AC" w:rsidP="007774AC">
      <w:pPr>
        <w:jc w:val="both"/>
        <w:rPr>
          <w:rFonts w:ascii="Arial" w:hAnsi="Arial" w:cs="Arial"/>
          <w:color w:val="365F91" w:themeColor="accent1" w:themeShade="BF"/>
        </w:rPr>
      </w:pPr>
    </w:p>
    <w:p w14:paraId="5A4CFB84" w14:textId="77777777" w:rsidR="007774AC" w:rsidRPr="00A92D59" w:rsidRDefault="007774AC" w:rsidP="007774AC">
      <w:pPr>
        <w:jc w:val="both"/>
        <w:rPr>
          <w:rFonts w:ascii="Arial" w:hAnsi="Arial" w:cs="Arial"/>
          <w:color w:val="365F91" w:themeColor="accent1" w:themeShade="BF"/>
        </w:rPr>
      </w:pPr>
    </w:p>
    <w:p w14:paraId="5A4CFB85" w14:textId="77777777" w:rsidR="007774AC" w:rsidRPr="00A92D59" w:rsidRDefault="007774AC" w:rsidP="007774AC">
      <w:pPr>
        <w:jc w:val="both"/>
        <w:rPr>
          <w:rFonts w:ascii="Arial" w:hAnsi="Arial" w:cs="Arial"/>
        </w:rPr>
      </w:pPr>
    </w:p>
    <w:p w14:paraId="5A4CFB86" w14:textId="77777777" w:rsidR="007774AC" w:rsidRDefault="007774AC" w:rsidP="007774AC">
      <w:pPr>
        <w:rPr>
          <w:rFonts w:ascii="Arial" w:hAnsi="Arial" w:cs="Arial"/>
        </w:rPr>
      </w:pPr>
      <w:r w:rsidRPr="00A92D59">
        <w:rPr>
          <w:rFonts w:ascii="Arial" w:hAnsi="Arial" w:cs="Arial"/>
        </w:rPr>
        <w:br w:type="page"/>
      </w:r>
    </w:p>
    <w:p w14:paraId="5A4CFB87" w14:textId="77777777" w:rsidR="007774AC" w:rsidRPr="00A92D59" w:rsidRDefault="007774AC" w:rsidP="007774AC">
      <w:pPr>
        <w:jc w:val="both"/>
        <w:rPr>
          <w:rFonts w:ascii="Arial" w:hAnsi="Arial" w:cs="Arial"/>
          <w:b/>
        </w:rPr>
      </w:pPr>
    </w:p>
    <w:sdt>
      <w:sdtPr>
        <w:rPr>
          <w:rFonts w:asciiTheme="minorHAnsi" w:eastAsiaTheme="minorEastAsia" w:hAnsiTheme="minorHAnsi" w:cstheme="minorBidi"/>
          <w:b w:val="0"/>
          <w:bCs w:val="0"/>
          <w:color w:val="auto"/>
          <w:sz w:val="24"/>
          <w:szCs w:val="24"/>
          <w:lang w:eastAsia="en-US"/>
        </w:rPr>
        <w:id w:val="995691731"/>
        <w:docPartObj>
          <w:docPartGallery w:val="Table of Contents"/>
          <w:docPartUnique/>
        </w:docPartObj>
      </w:sdtPr>
      <w:sdtEndPr>
        <w:rPr>
          <w:noProof/>
        </w:rPr>
      </w:sdtEndPr>
      <w:sdtContent>
        <w:p w14:paraId="5A4CFB88" w14:textId="77777777" w:rsidR="007774AC" w:rsidRPr="00A92D59" w:rsidRDefault="007774AC" w:rsidP="007774AC">
          <w:pPr>
            <w:pStyle w:val="TOCHeading"/>
            <w:jc w:val="both"/>
            <w:rPr>
              <w:rStyle w:val="Heading1Char"/>
              <w:rFonts w:ascii="Arial" w:hAnsi="Arial" w:cs="Arial"/>
              <w:b/>
              <w:bCs/>
              <w:lang w:eastAsia="en-US"/>
            </w:rPr>
          </w:pPr>
          <w:r w:rsidRPr="00A92D59">
            <w:rPr>
              <w:rStyle w:val="Heading1Char"/>
              <w:rFonts w:ascii="Arial" w:hAnsi="Arial" w:cs="Arial"/>
            </w:rPr>
            <w:t>Table of Contents</w:t>
          </w:r>
        </w:p>
        <w:p w14:paraId="5A4CFB89" w14:textId="77777777" w:rsidR="007774AC" w:rsidRDefault="007774AC" w:rsidP="007774AC">
          <w:pPr>
            <w:jc w:val="both"/>
            <w:rPr>
              <w:rFonts w:ascii="Arial" w:hAnsi="Arial" w:cs="Arial"/>
              <w:sz w:val="20"/>
              <w:szCs w:val="20"/>
            </w:rPr>
          </w:pPr>
        </w:p>
        <w:p w14:paraId="5A4CFB8A" w14:textId="77777777" w:rsidR="007774AC" w:rsidRDefault="007774AC" w:rsidP="007774AC">
          <w:pPr>
            <w:jc w:val="both"/>
            <w:rPr>
              <w:rFonts w:ascii="Arial" w:hAnsi="Arial" w:cs="Arial"/>
              <w:sz w:val="20"/>
              <w:szCs w:val="20"/>
            </w:rPr>
          </w:pPr>
        </w:p>
        <w:p w14:paraId="5A4CFB8B" w14:textId="77777777" w:rsidR="007774AC" w:rsidRPr="00A92D59" w:rsidRDefault="007774AC" w:rsidP="007774AC">
          <w:pPr>
            <w:spacing w:line="480" w:lineRule="auto"/>
            <w:jc w:val="both"/>
            <w:rPr>
              <w:rFonts w:ascii="Arial" w:hAnsi="Arial" w:cs="Arial"/>
              <w:sz w:val="20"/>
              <w:szCs w:val="20"/>
            </w:rPr>
          </w:pPr>
        </w:p>
        <w:p w14:paraId="5A4CFB8C" w14:textId="77777777" w:rsidR="007774AC" w:rsidRPr="008003F2" w:rsidRDefault="007774AC" w:rsidP="007774AC">
          <w:pPr>
            <w:spacing w:line="480" w:lineRule="auto"/>
            <w:jc w:val="both"/>
            <w:rPr>
              <w:rFonts w:ascii="Arial" w:hAnsi="Arial" w:cs="Arial"/>
              <w:sz w:val="20"/>
              <w:szCs w:val="20"/>
            </w:rPr>
          </w:pPr>
        </w:p>
        <w:p w14:paraId="5A4CFB8D" w14:textId="77777777" w:rsidR="007774AC" w:rsidRPr="008003F2" w:rsidRDefault="007774AC" w:rsidP="007774AC">
          <w:pPr>
            <w:pStyle w:val="TOC1"/>
            <w:rPr>
              <w:rFonts w:ascii="Arial" w:hAnsi="Arial" w:cs="Arial"/>
              <w:noProof/>
              <w:sz w:val="20"/>
              <w:szCs w:val="20"/>
              <w:lang w:val="en-AU" w:eastAsia="en-AU"/>
            </w:rPr>
          </w:pPr>
          <w:r w:rsidRPr="008003F2">
            <w:rPr>
              <w:rFonts w:ascii="Arial" w:hAnsi="Arial" w:cs="Arial"/>
              <w:sz w:val="20"/>
              <w:szCs w:val="20"/>
            </w:rPr>
            <w:fldChar w:fldCharType="begin"/>
          </w:r>
          <w:r w:rsidRPr="008003F2">
            <w:rPr>
              <w:rFonts w:ascii="Arial" w:hAnsi="Arial" w:cs="Arial"/>
              <w:sz w:val="20"/>
              <w:szCs w:val="20"/>
            </w:rPr>
            <w:instrText xml:space="preserve"> TOC \o "1-3" \h \z \u </w:instrText>
          </w:r>
          <w:r w:rsidRPr="008003F2">
            <w:rPr>
              <w:rFonts w:ascii="Arial" w:hAnsi="Arial" w:cs="Arial"/>
              <w:sz w:val="20"/>
              <w:szCs w:val="20"/>
            </w:rPr>
            <w:fldChar w:fldCharType="separate"/>
          </w:r>
          <w:hyperlink w:anchor="_Toc405906874" w:history="1">
            <w:r w:rsidRPr="008003F2">
              <w:rPr>
                <w:rStyle w:val="Hyperlink"/>
                <w:rFonts w:ascii="Arial" w:hAnsi="Arial" w:cs="Arial"/>
                <w:noProof/>
                <w:sz w:val="20"/>
                <w:szCs w:val="20"/>
              </w:rPr>
              <w:t>Authors</w:t>
            </w:r>
            <w:r w:rsidRPr="008003F2">
              <w:rPr>
                <w:rFonts w:ascii="Arial" w:hAnsi="Arial" w:cs="Arial"/>
                <w:noProof/>
                <w:webHidden/>
                <w:sz w:val="20"/>
                <w:szCs w:val="20"/>
              </w:rPr>
              <w:tab/>
            </w:r>
            <w:r w:rsidRPr="008003F2">
              <w:rPr>
                <w:rFonts w:ascii="Arial" w:hAnsi="Arial" w:cs="Arial"/>
                <w:noProof/>
                <w:webHidden/>
                <w:sz w:val="20"/>
                <w:szCs w:val="20"/>
              </w:rPr>
              <w:fldChar w:fldCharType="begin"/>
            </w:r>
            <w:r w:rsidRPr="008003F2">
              <w:rPr>
                <w:rFonts w:ascii="Arial" w:hAnsi="Arial" w:cs="Arial"/>
                <w:noProof/>
                <w:webHidden/>
                <w:sz w:val="20"/>
                <w:szCs w:val="20"/>
              </w:rPr>
              <w:instrText xml:space="preserve"> PAGEREF _Toc405906874 \h </w:instrText>
            </w:r>
            <w:r w:rsidRPr="008003F2">
              <w:rPr>
                <w:rFonts w:ascii="Arial" w:hAnsi="Arial" w:cs="Arial"/>
                <w:noProof/>
                <w:webHidden/>
                <w:sz w:val="20"/>
                <w:szCs w:val="20"/>
              </w:rPr>
            </w:r>
            <w:r w:rsidRPr="008003F2">
              <w:rPr>
                <w:rFonts w:ascii="Arial" w:hAnsi="Arial" w:cs="Arial"/>
                <w:noProof/>
                <w:webHidden/>
                <w:sz w:val="20"/>
                <w:szCs w:val="20"/>
              </w:rPr>
              <w:fldChar w:fldCharType="separate"/>
            </w:r>
            <w:r>
              <w:rPr>
                <w:rFonts w:ascii="Arial" w:hAnsi="Arial" w:cs="Arial"/>
                <w:noProof/>
                <w:webHidden/>
                <w:sz w:val="20"/>
                <w:szCs w:val="20"/>
              </w:rPr>
              <w:t>3</w:t>
            </w:r>
            <w:r w:rsidRPr="008003F2">
              <w:rPr>
                <w:rFonts w:ascii="Arial" w:hAnsi="Arial" w:cs="Arial"/>
                <w:noProof/>
                <w:webHidden/>
                <w:sz w:val="20"/>
                <w:szCs w:val="20"/>
              </w:rPr>
              <w:fldChar w:fldCharType="end"/>
            </w:r>
          </w:hyperlink>
        </w:p>
        <w:p w14:paraId="5A4CFB8E" w14:textId="77777777" w:rsidR="007774AC" w:rsidRPr="008003F2" w:rsidRDefault="007A36AE" w:rsidP="007774AC">
          <w:pPr>
            <w:pStyle w:val="TOC1"/>
            <w:rPr>
              <w:rFonts w:ascii="Arial" w:hAnsi="Arial" w:cs="Arial"/>
              <w:noProof/>
              <w:sz w:val="20"/>
              <w:szCs w:val="20"/>
              <w:lang w:val="en-AU" w:eastAsia="en-AU"/>
            </w:rPr>
          </w:pPr>
          <w:hyperlink w:anchor="_Toc405906875" w:history="1">
            <w:r w:rsidR="007774AC" w:rsidRPr="008003F2">
              <w:rPr>
                <w:rStyle w:val="Hyperlink"/>
                <w:rFonts w:ascii="Arial" w:hAnsi="Arial" w:cs="Arial"/>
                <w:noProof/>
                <w:sz w:val="20"/>
                <w:szCs w:val="20"/>
              </w:rPr>
              <w:t>Foreword</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_Toc405906875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4</w:t>
            </w:r>
            <w:r w:rsidR="007774AC" w:rsidRPr="008003F2">
              <w:rPr>
                <w:rFonts w:ascii="Arial" w:hAnsi="Arial" w:cs="Arial"/>
                <w:noProof/>
                <w:webHidden/>
                <w:sz w:val="20"/>
                <w:szCs w:val="20"/>
              </w:rPr>
              <w:fldChar w:fldCharType="end"/>
            </w:r>
          </w:hyperlink>
        </w:p>
        <w:p w14:paraId="5A4CFB8F" w14:textId="77777777" w:rsidR="007774AC" w:rsidRPr="008003F2" w:rsidRDefault="007A36AE" w:rsidP="007774AC">
          <w:pPr>
            <w:pStyle w:val="TOC1"/>
            <w:rPr>
              <w:rFonts w:ascii="Arial" w:hAnsi="Arial" w:cs="Arial"/>
              <w:noProof/>
              <w:sz w:val="20"/>
              <w:szCs w:val="20"/>
              <w:lang w:val="en-AU" w:eastAsia="en-AU"/>
            </w:rPr>
          </w:pPr>
          <w:hyperlink w:anchor="_Toc405906876" w:history="1">
            <w:r w:rsidR="007774AC" w:rsidRPr="008003F2">
              <w:rPr>
                <w:rStyle w:val="Hyperlink"/>
                <w:rFonts w:ascii="Arial" w:hAnsi="Arial" w:cs="Arial"/>
                <w:noProof/>
                <w:sz w:val="20"/>
                <w:szCs w:val="20"/>
              </w:rPr>
              <w:t>1.</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Introduction and Summary</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_Toc405906876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5</w:t>
            </w:r>
            <w:r w:rsidR="007774AC" w:rsidRPr="008003F2">
              <w:rPr>
                <w:rFonts w:ascii="Arial" w:hAnsi="Arial" w:cs="Arial"/>
                <w:noProof/>
                <w:webHidden/>
                <w:sz w:val="20"/>
                <w:szCs w:val="20"/>
              </w:rPr>
              <w:fldChar w:fldCharType="end"/>
            </w:r>
          </w:hyperlink>
        </w:p>
        <w:p w14:paraId="5A4CFB90" w14:textId="77777777" w:rsidR="007774AC" w:rsidRPr="008003F2" w:rsidRDefault="007A36AE" w:rsidP="007774AC">
          <w:pPr>
            <w:pStyle w:val="TOC1"/>
            <w:rPr>
              <w:rFonts w:ascii="Arial" w:hAnsi="Arial" w:cs="Arial"/>
              <w:noProof/>
              <w:sz w:val="20"/>
              <w:szCs w:val="20"/>
              <w:lang w:val="en-AU" w:eastAsia="en-AU"/>
            </w:rPr>
          </w:pPr>
          <w:hyperlink w:anchor="_Toc405906883" w:history="1">
            <w:r w:rsidR="007774AC" w:rsidRPr="008003F2">
              <w:rPr>
                <w:rStyle w:val="Hyperlink"/>
                <w:rFonts w:ascii="Arial" w:hAnsi="Arial" w:cs="Arial"/>
                <w:noProof/>
                <w:sz w:val="20"/>
                <w:szCs w:val="20"/>
              </w:rPr>
              <w:t>2.</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Significance of Financial Services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_Toc405906883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7</w:t>
            </w:r>
            <w:r w:rsidR="007774AC" w:rsidRPr="008003F2">
              <w:rPr>
                <w:rFonts w:ascii="Arial" w:hAnsi="Arial" w:cs="Arial"/>
                <w:noProof/>
                <w:webHidden/>
                <w:sz w:val="20"/>
                <w:szCs w:val="20"/>
              </w:rPr>
              <w:fldChar w:fldCharType="end"/>
            </w:r>
          </w:hyperlink>
        </w:p>
        <w:p w14:paraId="5A4CFB91" w14:textId="77777777" w:rsidR="007774AC" w:rsidRPr="008003F2" w:rsidRDefault="007A36AE" w:rsidP="007774AC">
          <w:pPr>
            <w:pStyle w:val="TOC1"/>
            <w:rPr>
              <w:rFonts w:ascii="Arial" w:hAnsi="Arial" w:cs="Arial"/>
              <w:noProof/>
              <w:sz w:val="20"/>
              <w:szCs w:val="20"/>
              <w:lang w:val="en-AU" w:eastAsia="en-AU"/>
            </w:rPr>
          </w:pPr>
          <w:hyperlink w:anchor="_Toc405906884" w:history="1">
            <w:r w:rsidR="007774AC" w:rsidRPr="008003F2">
              <w:rPr>
                <w:rStyle w:val="Hyperlink"/>
                <w:rFonts w:ascii="Arial" w:hAnsi="Arial" w:cs="Arial"/>
                <w:noProof/>
                <w:sz w:val="20"/>
                <w:szCs w:val="20"/>
              </w:rPr>
              <w:t>3.</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R&amp;D in Financial Services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_Toc405906884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9</w:t>
            </w:r>
            <w:r w:rsidR="007774AC" w:rsidRPr="008003F2">
              <w:rPr>
                <w:rFonts w:ascii="Arial" w:hAnsi="Arial" w:cs="Arial"/>
                <w:noProof/>
                <w:webHidden/>
                <w:sz w:val="20"/>
                <w:szCs w:val="20"/>
              </w:rPr>
              <w:fldChar w:fldCharType="end"/>
            </w:r>
          </w:hyperlink>
        </w:p>
        <w:p w14:paraId="5A4CFB92" w14:textId="77777777" w:rsidR="007774AC" w:rsidRPr="008003F2" w:rsidRDefault="007A36AE" w:rsidP="007774AC">
          <w:pPr>
            <w:pStyle w:val="TOC1"/>
            <w:rPr>
              <w:rFonts w:ascii="Arial" w:hAnsi="Arial" w:cs="Arial"/>
              <w:noProof/>
              <w:sz w:val="20"/>
              <w:szCs w:val="20"/>
              <w:lang w:val="en-AU" w:eastAsia="en-AU"/>
            </w:rPr>
          </w:pPr>
          <w:hyperlink w:anchor="_Toc405906885" w:history="1">
            <w:r w:rsidR="007774AC" w:rsidRPr="008003F2">
              <w:rPr>
                <w:rStyle w:val="Hyperlink"/>
                <w:rFonts w:ascii="Arial" w:hAnsi="Arial" w:cs="Arial"/>
                <w:noProof/>
                <w:sz w:val="20"/>
                <w:szCs w:val="20"/>
              </w:rPr>
              <w:t>4.</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What is the evidence as to the efficacy of Research Funding and the R&amp;D Tax  Incentive?</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_Toc405906885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10</w:t>
            </w:r>
            <w:r w:rsidR="007774AC" w:rsidRPr="008003F2">
              <w:rPr>
                <w:rFonts w:ascii="Arial" w:hAnsi="Arial" w:cs="Arial"/>
                <w:noProof/>
                <w:webHidden/>
                <w:sz w:val="20"/>
                <w:szCs w:val="20"/>
              </w:rPr>
              <w:fldChar w:fldCharType="end"/>
            </w:r>
          </w:hyperlink>
        </w:p>
        <w:p w14:paraId="5A4CFB93" w14:textId="77777777" w:rsidR="007774AC" w:rsidRPr="008003F2" w:rsidRDefault="007A36AE" w:rsidP="007774AC">
          <w:pPr>
            <w:pStyle w:val="TOC1"/>
            <w:rPr>
              <w:rFonts w:ascii="Arial" w:hAnsi="Arial" w:cs="Arial"/>
              <w:noProof/>
              <w:sz w:val="20"/>
              <w:szCs w:val="20"/>
              <w:lang w:val="en-AU" w:eastAsia="en-AU"/>
            </w:rPr>
          </w:pPr>
          <w:hyperlink w:anchor="_Toc405906886" w:history="1">
            <w:r w:rsidR="007774AC" w:rsidRPr="008003F2">
              <w:rPr>
                <w:rStyle w:val="Hyperlink"/>
                <w:rFonts w:ascii="Arial" w:hAnsi="Arial" w:cs="Arial"/>
                <w:noProof/>
                <w:sz w:val="20"/>
                <w:szCs w:val="20"/>
              </w:rPr>
              <w:t>5.</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Incentives in Universities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_Toc405906886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11</w:t>
            </w:r>
            <w:r w:rsidR="007774AC" w:rsidRPr="008003F2">
              <w:rPr>
                <w:rFonts w:ascii="Arial" w:hAnsi="Arial" w:cs="Arial"/>
                <w:noProof/>
                <w:webHidden/>
                <w:sz w:val="20"/>
                <w:szCs w:val="20"/>
              </w:rPr>
              <w:fldChar w:fldCharType="end"/>
            </w:r>
          </w:hyperlink>
        </w:p>
        <w:p w14:paraId="5A4CFB94" w14:textId="77777777" w:rsidR="007774AC" w:rsidRPr="008003F2" w:rsidRDefault="007A36AE" w:rsidP="007774AC">
          <w:pPr>
            <w:pStyle w:val="TOC1"/>
            <w:rPr>
              <w:rFonts w:ascii="Arial" w:hAnsi="Arial" w:cs="Arial"/>
              <w:noProof/>
              <w:sz w:val="20"/>
              <w:szCs w:val="20"/>
              <w:lang w:val="en-AU" w:eastAsia="en-AU"/>
            </w:rPr>
          </w:pPr>
          <w:hyperlink w:anchor="_Toc405906887" w:history="1">
            <w:r w:rsidR="007774AC" w:rsidRPr="008003F2">
              <w:rPr>
                <w:rStyle w:val="Hyperlink"/>
                <w:rFonts w:ascii="Arial" w:hAnsi="Arial" w:cs="Arial"/>
                <w:noProof/>
                <w:sz w:val="20"/>
                <w:szCs w:val="20"/>
              </w:rPr>
              <w:t>6.</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Research in Financial Services: is there a problem to be addressed?</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_Toc405906887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12</w:t>
            </w:r>
            <w:r w:rsidR="007774AC" w:rsidRPr="008003F2">
              <w:rPr>
                <w:rFonts w:ascii="Arial" w:hAnsi="Arial" w:cs="Arial"/>
                <w:noProof/>
                <w:webHidden/>
                <w:sz w:val="20"/>
                <w:szCs w:val="20"/>
              </w:rPr>
              <w:fldChar w:fldCharType="end"/>
            </w:r>
          </w:hyperlink>
        </w:p>
        <w:p w14:paraId="5A4CFB95" w14:textId="77777777" w:rsidR="007774AC" w:rsidRPr="008003F2" w:rsidRDefault="007A36AE" w:rsidP="007774AC">
          <w:pPr>
            <w:pStyle w:val="TOC2"/>
            <w:tabs>
              <w:tab w:val="right" w:leader="dot" w:pos="8931"/>
              <w:tab w:val="right" w:leader="dot" w:pos="9010"/>
            </w:tabs>
            <w:rPr>
              <w:rFonts w:ascii="Arial" w:hAnsi="Arial" w:cs="Arial"/>
              <w:noProof/>
              <w:sz w:val="20"/>
              <w:szCs w:val="20"/>
              <w:lang w:val="en-AU" w:eastAsia="en-AU"/>
            </w:rPr>
          </w:pPr>
          <w:hyperlink w:anchor="_Toc405906889" w:history="1">
            <w:r w:rsidR="007774AC" w:rsidRPr="008003F2">
              <w:rPr>
                <w:rStyle w:val="Hyperlink"/>
                <w:rFonts w:ascii="Arial" w:hAnsi="Arial" w:cs="Arial"/>
                <w:noProof/>
                <w:sz w:val="20"/>
                <w:szCs w:val="20"/>
              </w:rPr>
              <w:t>Figure 1: Ecosystem in Financial Services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_Toc405906889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13</w:t>
            </w:r>
            <w:r w:rsidR="007774AC" w:rsidRPr="008003F2">
              <w:rPr>
                <w:rFonts w:ascii="Arial" w:hAnsi="Arial" w:cs="Arial"/>
                <w:noProof/>
                <w:webHidden/>
                <w:sz w:val="20"/>
                <w:szCs w:val="20"/>
              </w:rPr>
              <w:fldChar w:fldCharType="end"/>
            </w:r>
          </w:hyperlink>
        </w:p>
        <w:p w14:paraId="5A4CFB96" w14:textId="77777777" w:rsidR="007774AC" w:rsidRPr="008003F2" w:rsidRDefault="007A36AE" w:rsidP="007774AC">
          <w:pPr>
            <w:pStyle w:val="TOC1"/>
            <w:rPr>
              <w:rFonts w:ascii="Arial" w:hAnsi="Arial" w:cs="Arial"/>
              <w:noProof/>
              <w:sz w:val="20"/>
              <w:szCs w:val="20"/>
              <w:lang w:val="en-AU" w:eastAsia="en-AU"/>
            </w:rPr>
          </w:pPr>
          <w:hyperlink w:anchor="_Toc405906893" w:history="1">
            <w:r w:rsidR="007774AC" w:rsidRPr="008003F2">
              <w:rPr>
                <w:rStyle w:val="Hyperlink"/>
                <w:rFonts w:ascii="Arial" w:hAnsi="Arial" w:cs="Arial"/>
                <w:noProof/>
                <w:sz w:val="20"/>
                <w:szCs w:val="20"/>
              </w:rPr>
              <w:t>7.</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A Collaborative Model in Financial Services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_Toc405906893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14</w:t>
            </w:r>
            <w:r w:rsidR="007774AC" w:rsidRPr="008003F2">
              <w:rPr>
                <w:rFonts w:ascii="Arial" w:hAnsi="Arial" w:cs="Arial"/>
                <w:noProof/>
                <w:webHidden/>
                <w:sz w:val="20"/>
                <w:szCs w:val="20"/>
              </w:rPr>
              <w:fldChar w:fldCharType="end"/>
            </w:r>
          </w:hyperlink>
        </w:p>
        <w:p w14:paraId="5A4CFB97" w14:textId="77777777" w:rsidR="007774AC" w:rsidRPr="008003F2" w:rsidRDefault="007A36AE" w:rsidP="007774AC">
          <w:pPr>
            <w:pStyle w:val="TOC2"/>
            <w:tabs>
              <w:tab w:val="right" w:leader="dot" w:pos="8931"/>
              <w:tab w:val="right" w:leader="dot" w:pos="9010"/>
            </w:tabs>
            <w:rPr>
              <w:rFonts w:ascii="Arial" w:hAnsi="Arial" w:cs="Arial"/>
              <w:noProof/>
              <w:sz w:val="20"/>
              <w:szCs w:val="20"/>
              <w:lang w:val="en-AU" w:eastAsia="en-AU"/>
            </w:rPr>
          </w:pPr>
          <w:hyperlink w:anchor="_Toc405906894" w:history="1">
            <w:r w:rsidR="007774AC" w:rsidRPr="008003F2">
              <w:rPr>
                <w:rStyle w:val="Hyperlink"/>
                <w:rFonts w:ascii="Arial" w:hAnsi="Arial" w:cs="Arial"/>
                <w:noProof/>
                <w:sz w:val="20"/>
                <w:szCs w:val="20"/>
              </w:rPr>
              <w:t>Figure 2: Research &amp; Related Solutions in Financial Services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_Toc405906894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17</w:t>
            </w:r>
            <w:r w:rsidR="007774AC" w:rsidRPr="008003F2">
              <w:rPr>
                <w:rFonts w:ascii="Arial" w:hAnsi="Arial" w:cs="Arial"/>
                <w:noProof/>
                <w:webHidden/>
                <w:sz w:val="20"/>
                <w:szCs w:val="20"/>
              </w:rPr>
              <w:fldChar w:fldCharType="end"/>
            </w:r>
          </w:hyperlink>
        </w:p>
        <w:p w14:paraId="5A4CFB98" w14:textId="77777777" w:rsidR="007774AC" w:rsidRPr="008003F2" w:rsidRDefault="007A36AE" w:rsidP="007774AC">
          <w:pPr>
            <w:pStyle w:val="TOC1"/>
            <w:rPr>
              <w:rFonts w:ascii="Arial" w:hAnsi="Arial" w:cs="Arial"/>
              <w:noProof/>
              <w:sz w:val="20"/>
              <w:szCs w:val="20"/>
              <w:lang w:val="en-AU" w:eastAsia="en-AU"/>
            </w:rPr>
          </w:pPr>
          <w:hyperlink w:anchor="_Toc405906896" w:history="1">
            <w:r w:rsidR="007774AC" w:rsidRPr="008003F2">
              <w:rPr>
                <w:rStyle w:val="Hyperlink"/>
                <w:rFonts w:ascii="Arial" w:hAnsi="Arial" w:cs="Arial"/>
                <w:noProof/>
                <w:sz w:val="20"/>
                <w:szCs w:val="20"/>
              </w:rPr>
              <w:t>8.</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Recommendations on Proposals set out in the Consultation Paper</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_Toc405906896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18</w:t>
            </w:r>
            <w:r w:rsidR="007774AC" w:rsidRPr="008003F2">
              <w:rPr>
                <w:rFonts w:ascii="Arial" w:hAnsi="Arial" w:cs="Arial"/>
                <w:noProof/>
                <w:webHidden/>
                <w:sz w:val="20"/>
                <w:szCs w:val="20"/>
              </w:rPr>
              <w:fldChar w:fldCharType="end"/>
            </w:r>
          </w:hyperlink>
        </w:p>
        <w:p w14:paraId="5A4CFB99" w14:textId="77777777" w:rsidR="007774AC" w:rsidRPr="008003F2" w:rsidRDefault="007A36AE" w:rsidP="007774AC">
          <w:pPr>
            <w:pStyle w:val="TOC1"/>
            <w:rPr>
              <w:rFonts w:ascii="Arial" w:hAnsi="Arial" w:cs="Arial"/>
              <w:noProof/>
              <w:sz w:val="20"/>
              <w:szCs w:val="20"/>
              <w:lang w:val="en-AU" w:eastAsia="en-AU"/>
            </w:rPr>
          </w:pPr>
          <w:hyperlink w:anchor="_Toc405906903" w:history="1">
            <w:r w:rsidR="007774AC" w:rsidRPr="008003F2">
              <w:rPr>
                <w:rStyle w:val="Hyperlink"/>
                <w:rFonts w:ascii="Arial" w:hAnsi="Arial" w:cs="Arial"/>
                <w:noProof/>
                <w:sz w:val="20"/>
                <w:szCs w:val="20"/>
              </w:rPr>
              <w:t>9.</w:t>
            </w:r>
            <w:r w:rsidR="007774AC" w:rsidRPr="008003F2">
              <w:rPr>
                <w:rFonts w:ascii="Arial" w:hAnsi="Arial" w:cs="Arial"/>
                <w:noProof/>
                <w:sz w:val="20"/>
                <w:szCs w:val="20"/>
                <w:lang w:val="en-AU" w:eastAsia="en-AU"/>
              </w:rPr>
              <w:tab/>
            </w:r>
            <w:r w:rsidR="007774AC" w:rsidRPr="008003F2">
              <w:rPr>
                <w:rStyle w:val="Hyperlink"/>
                <w:rFonts w:ascii="Arial" w:hAnsi="Arial" w:cs="Arial"/>
                <w:noProof/>
                <w:sz w:val="20"/>
                <w:szCs w:val="20"/>
              </w:rPr>
              <w:t>Conclusion</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_Toc405906903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21</w:t>
            </w:r>
            <w:r w:rsidR="007774AC" w:rsidRPr="008003F2">
              <w:rPr>
                <w:rFonts w:ascii="Arial" w:hAnsi="Arial" w:cs="Arial"/>
                <w:noProof/>
                <w:webHidden/>
                <w:sz w:val="20"/>
                <w:szCs w:val="20"/>
              </w:rPr>
              <w:fldChar w:fldCharType="end"/>
            </w:r>
          </w:hyperlink>
        </w:p>
        <w:p w14:paraId="5A4CFB9A" w14:textId="77777777" w:rsidR="007774AC" w:rsidRPr="008003F2" w:rsidRDefault="007A36AE" w:rsidP="007774AC">
          <w:pPr>
            <w:pStyle w:val="TOC1"/>
            <w:rPr>
              <w:rFonts w:ascii="Arial" w:hAnsi="Arial" w:cs="Arial"/>
              <w:noProof/>
              <w:sz w:val="20"/>
              <w:szCs w:val="20"/>
              <w:lang w:val="en-AU" w:eastAsia="en-AU"/>
            </w:rPr>
          </w:pPr>
          <w:hyperlink w:anchor="_Toc405906904" w:history="1">
            <w:r w:rsidR="007774AC" w:rsidRPr="008003F2">
              <w:rPr>
                <w:rStyle w:val="Hyperlink"/>
                <w:rFonts w:ascii="Arial" w:hAnsi="Arial" w:cs="Arial"/>
                <w:noProof/>
                <w:sz w:val="20"/>
                <w:szCs w:val="20"/>
              </w:rPr>
              <w:t>Appendix 1:  Academic Representation on Boards</w:t>
            </w:r>
            <w:r w:rsidR="007774AC" w:rsidRPr="008003F2">
              <w:rPr>
                <w:rFonts w:ascii="Arial" w:hAnsi="Arial" w:cs="Arial"/>
                <w:noProof/>
                <w:webHidden/>
                <w:sz w:val="20"/>
                <w:szCs w:val="20"/>
              </w:rPr>
              <w:tab/>
            </w:r>
            <w:r w:rsidR="007774AC" w:rsidRPr="008003F2">
              <w:rPr>
                <w:rFonts w:ascii="Arial" w:hAnsi="Arial" w:cs="Arial"/>
                <w:noProof/>
                <w:webHidden/>
                <w:sz w:val="20"/>
                <w:szCs w:val="20"/>
              </w:rPr>
              <w:fldChar w:fldCharType="begin"/>
            </w:r>
            <w:r w:rsidR="007774AC" w:rsidRPr="008003F2">
              <w:rPr>
                <w:rFonts w:ascii="Arial" w:hAnsi="Arial" w:cs="Arial"/>
                <w:noProof/>
                <w:webHidden/>
                <w:sz w:val="20"/>
                <w:szCs w:val="20"/>
              </w:rPr>
              <w:instrText xml:space="preserve"> PAGEREF _Toc405906904 \h </w:instrText>
            </w:r>
            <w:r w:rsidR="007774AC" w:rsidRPr="008003F2">
              <w:rPr>
                <w:rFonts w:ascii="Arial" w:hAnsi="Arial" w:cs="Arial"/>
                <w:noProof/>
                <w:webHidden/>
                <w:sz w:val="20"/>
                <w:szCs w:val="20"/>
              </w:rPr>
            </w:r>
            <w:r w:rsidR="007774AC" w:rsidRPr="008003F2">
              <w:rPr>
                <w:rFonts w:ascii="Arial" w:hAnsi="Arial" w:cs="Arial"/>
                <w:noProof/>
                <w:webHidden/>
                <w:sz w:val="20"/>
                <w:szCs w:val="20"/>
              </w:rPr>
              <w:fldChar w:fldCharType="separate"/>
            </w:r>
            <w:r w:rsidR="007774AC">
              <w:rPr>
                <w:rFonts w:ascii="Arial" w:hAnsi="Arial" w:cs="Arial"/>
                <w:noProof/>
                <w:webHidden/>
                <w:sz w:val="20"/>
                <w:szCs w:val="20"/>
              </w:rPr>
              <w:t>22</w:t>
            </w:r>
            <w:r w:rsidR="007774AC" w:rsidRPr="008003F2">
              <w:rPr>
                <w:rFonts w:ascii="Arial" w:hAnsi="Arial" w:cs="Arial"/>
                <w:noProof/>
                <w:webHidden/>
                <w:sz w:val="20"/>
                <w:szCs w:val="20"/>
              </w:rPr>
              <w:fldChar w:fldCharType="end"/>
            </w:r>
          </w:hyperlink>
        </w:p>
        <w:p w14:paraId="5A4CFB9B" w14:textId="77777777" w:rsidR="007774AC" w:rsidRDefault="007774AC" w:rsidP="007774AC">
          <w:pPr>
            <w:spacing w:line="480" w:lineRule="auto"/>
            <w:jc w:val="both"/>
          </w:pPr>
          <w:r w:rsidRPr="008003F2">
            <w:rPr>
              <w:rFonts w:ascii="Arial" w:hAnsi="Arial" w:cs="Arial"/>
              <w:b/>
              <w:bCs/>
              <w:noProof/>
              <w:sz w:val="20"/>
              <w:szCs w:val="20"/>
            </w:rPr>
            <w:fldChar w:fldCharType="end"/>
          </w:r>
        </w:p>
      </w:sdtContent>
    </w:sdt>
    <w:p w14:paraId="5A4CFB9C" w14:textId="77777777" w:rsidR="007774AC" w:rsidRDefault="007774AC" w:rsidP="007774AC">
      <w:pPr>
        <w:rPr>
          <w:rFonts w:ascii="Arial" w:hAnsi="Arial" w:cs="Arial"/>
          <w:b/>
        </w:rPr>
      </w:pPr>
    </w:p>
    <w:p w14:paraId="5A4CFB9D" w14:textId="77777777" w:rsidR="007774AC" w:rsidRDefault="007774AC" w:rsidP="007774AC">
      <w:pPr>
        <w:rPr>
          <w:rFonts w:ascii="Arial" w:hAnsi="Arial" w:cs="Arial"/>
          <w:b/>
        </w:rPr>
      </w:pPr>
    </w:p>
    <w:p w14:paraId="5A4CFB9E" w14:textId="77777777" w:rsidR="007774AC" w:rsidRDefault="007774AC" w:rsidP="007774AC">
      <w:pPr>
        <w:rPr>
          <w:rFonts w:ascii="Arial" w:hAnsi="Arial" w:cs="Arial"/>
          <w:b/>
        </w:rPr>
      </w:pPr>
    </w:p>
    <w:p w14:paraId="5A4CFB9F" w14:textId="77777777" w:rsidR="007774AC" w:rsidRDefault="007774AC" w:rsidP="007774AC">
      <w:pPr>
        <w:jc w:val="center"/>
        <w:rPr>
          <w:rFonts w:ascii="Arial" w:hAnsi="Arial" w:cs="Arial"/>
          <w:b/>
        </w:rPr>
      </w:pPr>
    </w:p>
    <w:p w14:paraId="5A4CFBA0" w14:textId="77777777" w:rsidR="007774AC" w:rsidRDefault="007774AC" w:rsidP="007774AC">
      <w:pPr>
        <w:jc w:val="center"/>
      </w:pPr>
      <w:r>
        <w:rPr>
          <w:rFonts w:ascii="Arial" w:hAnsi="Arial" w:cs="Arial"/>
          <w:i/>
          <w:iCs/>
          <w:sz w:val="19"/>
          <w:szCs w:val="19"/>
        </w:rPr>
        <w:t>Disclaimer: The views in this submission represent views of staff of the Centre for International Finance and Regulation (</w:t>
      </w:r>
      <w:proofErr w:type="spellStart"/>
      <w:r>
        <w:rPr>
          <w:rFonts w:ascii="Arial" w:hAnsi="Arial" w:cs="Arial"/>
          <w:i/>
          <w:iCs/>
          <w:sz w:val="19"/>
          <w:szCs w:val="19"/>
        </w:rPr>
        <w:t>CIFR</w:t>
      </w:r>
      <w:proofErr w:type="spellEnd"/>
      <w:r>
        <w:rPr>
          <w:rFonts w:ascii="Arial" w:hAnsi="Arial" w:cs="Arial"/>
          <w:i/>
          <w:iCs/>
          <w:sz w:val="19"/>
          <w:szCs w:val="19"/>
        </w:rPr>
        <w:t xml:space="preserve">). They do not include or represent the views of any member of the Consortium that funds and supports </w:t>
      </w:r>
      <w:proofErr w:type="spellStart"/>
      <w:r>
        <w:rPr>
          <w:rFonts w:ascii="Arial" w:hAnsi="Arial" w:cs="Arial"/>
          <w:i/>
          <w:iCs/>
          <w:sz w:val="19"/>
          <w:szCs w:val="19"/>
        </w:rPr>
        <w:t>CIFR</w:t>
      </w:r>
      <w:proofErr w:type="spellEnd"/>
      <w:r>
        <w:rPr>
          <w:rFonts w:ascii="Arial" w:hAnsi="Arial" w:cs="Arial"/>
          <w:i/>
          <w:iCs/>
          <w:sz w:val="19"/>
          <w:szCs w:val="19"/>
        </w:rPr>
        <w:t>.</w:t>
      </w:r>
    </w:p>
    <w:p w14:paraId="5A4CFBA1" w14:textId="77777777" w:rsidR="007774AC" w:rsidRDefault="007774AC" w:rsidP="007774AC">
      <w:pPr>
        <w:rPr>
          <w:rFonts w:ascii="Arial" w:hAnsi="Arial" w:cs="Arial"/>
          <w:b/>
        </w:rPr>
      </w:pPr>
      <w:r>
        <w:rPr>
          <w:rFonts w:ascii="Arial" w:hAnsi="Arial" w:cs="Arial"/>
          <w:b/>
        </w:rPr>
        <w:br w:type="page"/>
      </w:r>
    </w:p>
    <w:p w14:paraId="5A4CFBA2" w14:textId="77777777" w:rsidR="007774AC" w:rsidRDefault="007774AC" w:rsidP="007774AC">
      <w:pPr>
        <w:pStyle w:val="Heading1"/>
        <w:jc w:val="both"/>
      </w:pPr>
      <w:bookmarkStart w:id="0" w:name="_Toc405906874"/>
    </w:p>
    <w:p w14:paraId="5A4CFBB4" w14:textId="77777777" w:rsidR="007774AC" w:rsidRDefault="007774AC" w:rsidP="007774AC">
      <w:pPr>
        <w:pStyle w:val="Heading1"/>
        <w:jc w:val="both"/>
      </w:pPr>
      <w:bookmarkStart w:id="1" w:name="_Toc405906875"/>
      <w:bookmarkEnd w:id="0"/>
      <w:r>
        <w:t>Foreword</w:t>
      </w:r>
      <w:bookmarkEnd w:id="1"/>
    </w:p>
    <w:p w14:paraId="5A4CFBB5" w14:textId="77777777" w:rsidR="007774AC" w:rsidRPr="001D17CC" w:rsidRDefault="007774AC" w:rsidP="007774AC">
      <w:pPr>
        <w:jc w:val="both"/>
        <w:rPr>
          <w:rFonts w:ascii="Arial" w:hAnsi="Arial" w:cs="Arial"/>
        </w:rPr>
      </w:pPr>
    </w:p>
    <w:p w14:paraId="5A4CFBB6" w14:textId="77777777" w:rsidR="007774AC" w:rsidRPr="001D17CC" w:rsidRDefault="007774AC" w:rsidP="007774AC">
      <w:pPr>
        <w:jc w:val="both"/>
        <w:rPr>
          <w:rFonts w:ascii="Arial" w:hAnsi="Arial" w:cs="Arial"/>
        </w:rPr>
      </w:pPr>
      <w:r w:rsidRPr="001D17CC">
        <w:rPr>
          <w:rFonts w:ascii="Arial" w:hAnsi="Arial" w:cs="Arial"/>
        </w:rPr>
        <w:t>The Centre for International Finance and Regulation (</w:t>
      </w:r>
      <w:proofErr w:type="spellStart"/>
      <w:r w:rsidRPr="001D17CC">
        <w:rPr>
          <w:rFonts w:ascii="Arial" w:hAnsi="Arial" w:cs="Arial"/>
        </w:rPr>
        <w:t>CIFR</w:t>
      </w:r>
      <w:proofErr w:type="spellEnd"/>
      <w:r w:rsidRPr="001D17CC">
        <w:rPr>
          <w:rFonts w:ascii="Arial" w:hAnsi="Arial" w:cs="Arial"/>
        </w:rPr>
        <w:t>) is pleased to provide input to the Inquiry titled “Boosting the comm</w:t>
      </w:r>
      <w:r>
        <w:rPr>
          <w:rFonts w:ascii="Arial" w:hAnsi="Arial" w:cs="Arial"/>
        </w:rPr>
        <w:t>ercial returns from research.”</w:t>
      </w:r>
    </w:p>
    <w:p w14:paraId="5A4CFBB7" w14:textId="77777777" w:rsidR="007774AC" w:rsidRPr="001D17CC" w:rsidRDefault="007774AC" w:rsidP="007774AC">
      <w:pPr>
        <w:pStyle w:val="NormalWeb"/>
        <w:jc w:val="both"/>
        <w:rPr>
          <w:rFonts w:ascii="Arial" w:eastAsiaTheme="minorHAnsi" w:hAnsi="Arial" w:cs="Arial"/>
          <w:sz w:val="24"/>
          <w:szCs w:val="24"/>
        </w:rPr>
      </w:pPr>
      <w:proofErr w:type="spellStart"/>
      <w:r w:rsidRPr="001D17CC">
        <w:rPr>
          <w:rFonts w:ascii="Arial" w:eastAsiaTheme="minorHAnsi" w:hAnsi="Arial" w:cs="Arial"/>
          <w:sz w:val="24"/>
          <w:szCs w:val="24"/>
        </w:rPr>
        <w:t>CIFR</w:t>
      </w:r>
      <w:proofErr w:type="spellEnd"/>
      <w:r w:rsidRPr="001D17CC">
        <w:rPr>
          <w:rFonts w:ascii="Arial" w:eastAsiaTheme="minorHAnsi" w:hAnsi="Arial" w:cs="Arial"/>
          <w:sz w:val="24"/>
          <w:szCs w:val="24"/>
        </w:rPr>
        <w:t xml:space="preserve"> represents a strategic link between academia, financial regulators, policy makers and industry, promoting financial sector vibrancy, resiliency and integrity, through leading research and education. </w:t>
      </w:r>
      <w:proofErr w:type="spellStart"/>
      <w:r w:rsidRPr="001D17CC">
        <w:rPr>
          <w:rFonts w:ascii="Arial" w:eastAsiaTheme="minorHAnsi" w:hAnsi="Arial" w:cs="Arial"/>
          <w:sz w:val="24"/>
          <w:szCs w:val="24"/>
        </w:rPr>
        <w:t>CIFR</w:t>
      </w:r>
      <w:proofErr w:type="spellEnd"/>
      <w:r w:rsidRPr="001D17CC">
        <w:rPr>
          <w:rFonts w:ascii="Arial" w:eastAsiaTheme="minorHAnsi" w:hAnsi="Arial" w:cs="Arial"/>
          <w:sz w:val="24"/>
          <w:szCs w:val="24"/>
        </w:rPr>
        <w:t xml:space="preserve"> receives funding and support from both the Commonwealth and NSW Governments, and its industry, university and research centre partners.</w:t>
      </w:r>
    </w:p>
    <w:p w14:paraId="5A4CFBB8" w14:textId="77777777" w:rsidR="007774AC" w:rsidRPr="001D17CC" w:rsidRDefault="007774AC" w:rsidP="007774AC">
      <w:pPr>
        <w:pStyle w:val="NormalWeb"/>
        <w:jc w:val="both"/>
        <w:rPr>
          <w:rFonts w:ascii="Arial" w:hAnsi="Arial" w:cs="Arial"/>
          <w:sz w:val="24"/>
          <w:szCs w:val="24"/>
        </w:rPr>
      </w:pPr>
      <w:proofErr w:type="spellStart"/>
      <w:r w:rsidRPr="001D17CC">
        <w:rPr>
          <w:rFonts w:ascii="Arial" w:hAnsi="Arial" w:cs="Arial"/>
          <w:sz w:val="24"/>
          <w:szCs w:val="24"/>
        </w:rPr>
        <w:t>CIFR</w:t>
      </w:r>
      <w:proofErr w:type="spellEnd"/>
      <w:r w:rsidRPr="001D17CC">
        <w:rPr>
          <w:rFonts w:ascii="Arial" w:hAnsi="Arial" w:cs="Arial"/>
          <w:sz w:val="24"/>
          <w:szCs w:val="24"/>
        </w:rPr>
        <w:t xml:space="preserve"> has extensive experience in bridging the gaps between academia, regulators and the private sector in the financial domain, both domestically and internationally.  </w:t>
      </w:r>
    </w:p>
    <w:p w14:paraId="5A4CFBB9" w14:textId="77777777" w:rsidR="007774AC" w:rsidRPr="001D17CC" w:rsidRDefault="007774AC" w:rsidP="007774AC">
      <w:pPr>
        <w:jc w:val="both"/>
        <w:rPr>
          <w:rFonts w:ascii="Arial" w:hAnsi="Arial" w:cs="Arial"/>
        </w:rPr>
      </w:pPr>
      <w:proofErr w:type="spellStart"/>
      <w:r w:rsidRPr="001D17CC">
        <w:rPr>
          <w:rFonts w:ascii="Arial" w:hAnsi="Arial" w:cs="Arial"/>
        </w:rPr>
        <w:t>CIFR</w:t>
      </w:r>
      <w:proofErr w:type="spellEnd"/>
      <w:r w:rsidRPr="001D17CC">
        <w:rPr>
          <w:rFonts w:ascii="Arial" w:hAnsi="Arial" w:cs="Arial"/>
        </w:rPr>
        <w:t xml:space="preserve"> has a core competency in engaging scholars to collaborate with financial regulators and business to achieve outcomes to meet </w:t>
      </w:r>
      <w:proofErr w:type="spellStart"/>
      <w:r w:rsidRPr="001D17CC">
        <w:rPr>
          <w:rFonts w:ascii="Arial" w:hAnsi="Arial" w:cs="Arial"/>
        </w:rPr>
        <w:t>prioritised</w:t>
      </w:r>
      <w:proofErr w:type="spellEnd"/>
      <w:r w:rsidRPr="001D17CC">
        <w:rPr>
          <w:rFonts w:ascii="Arial" w:hAnsi="Arial" w:cs="Arial"/>
        </w:rPr>
        <w:t xml:space="preserve"> needs determined under a highly targeted program of investment that it administers.  Since 2012 </w:t>
      </w:r>
      <w:proofErr w:type="spellStart"/>
      <w:r w:rsidRPr="001D17CC">
        <w:rPr>
          <w:rFonts w:ascii="Arial" w:hAnsi="Arial" w:cs="Arial"/>
        </w:rPr>
        <w:t>CIFR</w:t>
      </w:r>
      <w:proofErr w:type="spellEnd"/>
      <w:r w:rsidRPr="001D17CC">
        <w:rPr>
          <w:rFonts w:ascii="Arial" w:hAnsi="Arial" w:cs="Arial"/>
        </w:rPr>
        <w:t xml:space="preserve"> has funded 63 research projects, involving over 100 researchers, with combined cash and in-kind funding from </w:t>
      </w:r>
      <w:proofErr w:type="spellStart"/>
      <w:r w:rsidRPr="001D17CC">
        <w:rPr>
          <w:rFonts w:ascii="Arial" w:hAnsi="Arial" w:cs="Arial"/>
        </w:rPr>
        <w:t>CIFR</w:t>
      </w:r>
      <w:proofErr w:type="spellEnd"/>
      <w:r w:rsidRPr="001D17CC">
        <w:rPr>
          <w:rFonts w:ascii="Arial" w:hAnsi="Arial" w:cs="Arial"/>
        </w:rPr>
        <w:t xml:space="preserve"> and its consortium members of around $19 million.  </w:t>
      </w:r>
    </w:p>
    <w:p w14:paraId="5A4CFBBA" w14:textId="77777777" w:rsidR="007774AC" w:rsidRPr="001D17CC" w:rsidRDefault="007774AC" w:rsidP="007774AC">
      <w:pPr>
        <w:jc w:val="both"/>
        <w:rPr>
          <w:rFonts w:ascii="Arial" w:hAnsi="Arial" w:cs="Arial"/>
        </w:rPr>
      </w:pPr>
    </w:p>
    <w:p w14:paraId="5A4CFBBB" w14:textId="77777777" w:rsidR="007774AC" w:rsidRPr="001D17CC" w:rsidRDefault="007774AC" w:rsidP="007774AC">
      <w:pPr>
        <w:jc w:val="both"/>
        <w:rPr>
          <w:rFonts w:ascii="Arial" w:hAnsi="Arial" w:cs="Arial"/>
        </w:rPr>
      </w:pPr>
      <w:r w:rsidRPr="001D17CC">
        <w:rPr>
          <w:rFonts w:ascii="Arial" w:hAnsi="Arial" w:cs="Arial"/>
        </w:rPr>
        <w:t xml:space="preserve">This Inquiry is timely. In this Submission, we have drawn on </w:t>
      </w:r>
      <w:proofErr w:type="spellStart"/>
      <w:r w:rsidRPr="001D17CC">
        <w:rPr>
          <w:rFonts w:ascii="Arial" w:hAnsi="Arial" w:cs="Arial"/>
        </w:rPr>
        <w:t>CIFR’s</w:t>
      </w:r>
      <w:proofErr w:type="spellEnd"/>
      <w:r w:rsidRPr="001D17CC">
        <w:rPr>
          <w:rFonts w:ascii="Arial" w:hAnsi="Arial" w:cs="Arial"/>
        </w:rPr>
        <w:t xml:space="preserve"> experience to provide evidence, observations and recommendations on how the Commonwealth Government can best pursue its </w:t>
      </w:r>
      <w:r>
        <w:rPr>
          <w:rFonts w:ascii="Arial" w:hAnsi="Arial" w:cs="Arial"/>
        </w:rPr>
        <w:t xml:space="preserve">Industry Innovation and Competiveness </w:t>
      </w:r>
      <w:r w:rsidRPr="001D17CC">
        <w:rPr>
          <w:rFonts w:ascii="Arial" w:hAnsi="Arial" w:cs="Arial"/>
        </w:rPr>
        <w:t xml:space="preserve">Agenda and related ambitions for the benefit of society. </w:t>
      </w:r>
    </w:p>
    <w:p w14:paraId="5A4CFBBC" w14:textId="77777777" w:rsidR="007774AC" w:rsidRPr="001D17CC" w:rsidRDefault="007774AC" w:rsidP="007774AC">
      <w:pPr>
        <w:jc w:val="both"/>
        <w:rPr>
          <w:rFonts w:ascii="Arial" w:hAnsi="Arial" w:cs="Arial"/>
        </w:rPr>
      </w:pPr>
    </w:p>
    <w:p w14:paraId="5A4CFBC6" w14:textId="77777777" w:rsidR="007774AC" w:rsidRPr="001D17CC" w:rsidRDefault="007774AC" w:rsidP="007774AC">
      <w:pPr>
        <w:jc w:val="both"/>
        <w:rPr>
          <w:rFonts w:ascii="Arial" w:hAnsi="Arial" w:cs="Arial"/>
          <w:b/>
        </w:rPr>
      </w:pPr>
    </w:p>
    <w:p w14:paraId="5A4CFBC7" w14:textId="77777777" w:rsidR="007774AC" w:rsidRDefault="007774AC" w:rsidP="007774AC">
      <w:pPr>
        <w:jc w:val="both"/>
        <w:rPr>
          <w:rFonts w:ascii="Arial" w:hAnsi="Arial" w:cs="Arial"/>
          <w:b/>
        </w:rPr>
      </w:pPr>
      <w:r>
        <w:rPr>
          <w:rFonts w:ascii="Arial" w:hAnsi="Arial" w:cs="Arial"/>
          <w:b/>
        </w:rPr>
        <w:br w:type="page"/>
      </w:r>
    </w:p>
    <w:p w14:paraId="5A4CFBC8" w14:textId="77777777" w:rsidR="007774AC" w:rsidRPr="00A92D59" w:rsidRDefault="007774AC" w:rsidP="007774AC">
      <w:pPr>
        <w:pStyle w:val="Heading1"/>
        <w:numPr>
          <w:ilvl w:val="0"/>
          <w:numId w:val="34"/>
        </w:numPr>
        <w:jc w:val="both"/>
        <w:rPr>
          <w:b w:val="0"/>
        </w:rPr>
      </w:pPr>
      <w:bookmarkStart w:id="2" w:name="_Toc405906876"/>
      <w:r w:rsidRPr="009C5385">
        <w:lastRenderedPageBreak/>
        <w:t>Introduction</w:t>
      </w:r>
      <w:r>
        <w:t xml:space="preserve"> and Summary</w:t>
      </w:r>
      <w:bookmarkEnd w:id="2"/>
    </w:p>
    <w:p w14:paraId="5A4CFBC9" w14:textId="77777777" w:rsidR="007774AC" w:rsidRDefault="007774AC" w:rsidP="007774AC">
      <w:pPr>
        <w:jc w:val="both"/>
        <w:rPr>
          <w:rFonts w:ascii="Arial" w:hAnsi="Arial" w:cs="Arial"/>
        </w:rPr>
      </w:pPr>
    </w:p>
    <w:p w14:paraId="5A4CFBCA" w14:textId="77777777" w:rsidR="007774AC" w:rsidRPr="00A44BDC" w:rsidRDefault="007774AC" w:rsidP="007774AC">
      <w:pPr>
        <w:jc w:val="both"/>
        <w:rPr>
          <w:rFonts w:ascii="Arial" w:hAnsi="Arial" w:cs="Arial"/>
        </w:rPr>
      </w:pPr>
      <w:r w:rsidRPr="00A44BDC">
        <w:rPr>
          <w:rFonts w:ascii="Arial" w:hAnsi="Arial" w:cs="Arial"/>
        </w:rPr>
        <w:t>The Government has invited submissions on its Consultation Paper about how it might best achieve improved outcomes from its public investment in research activities.</w:t>
      </w:r>
    </w:p>
    <w:p w14:paraId="5A4CFBCB" w14:textId="77777777" w:rsidR="007774AC" w:rsidRPr="00A44BDC" w:rsidRDefault="007774AC" w:rsidP="007774AC">
      <w:pPr>
        <w:jc w:val="both"/>
        <w:rPr>
          <w:rFonts w:ascii="Arial" w:hAnsi="Arial" w:cs="Arial"/>
        </w:rPr>
      </w:pPr>
    </w:p>
    <w:p w14:paraId="5A4CFBCC" w14:textId="77777777" w:rsidR="007774AC" w:rsidRPr="00A44BDC" w:rsidRDefault="007774AC" w:rsidP="007774AC">
      <w:pPr>
        <w:jc w:val="both"/>
        <w:rPr>
          <w:rFonts w:ascii="Arial" w:hAnsi="Arial" w:cs="Arial"/>
          <w:szCs w:val="20"/>
        </w:rPr>
      </w:pPr>
      <w:r w:rsidRPr="00A44BDC">
        <w:rPr>
          <w:rFonts w:ascii="Arial" w:hAnsi="Arial" w:cs="Arial"/>
        </w:rPr>
        <w:t xml:space="preserve">The Centre for International Finance and Regulation </w:t>
      </w:r>
      <w:r w:rsidRPr="00A44BDC">
        <w:rPr>
          <w:rFonts w:ascii="Arial" w:hAnsi="Arial" w:cs="Arial"/>
          <w:szCs w:val="20"/>
        </w:rPr>
        <w:t>(</w:t>
      </w:r>
      <w:proofErr w:type="spellStart"/>
      <w:r w:rsidRPr="00A44BDC">
        <w:rPr>
          <w:rFonts w:ascii="Arial" w:hAnsi="Arial" w:cs="Arial"/>
          <w:szCs w:val="20"/>
        </w:rPr>
        <w:t>CIFR</w:t>
      </w:r>
      <w:proofErr w:type="spellEnd"/>
      <w:r w:rsidRPr="00A44BDC">
        <w:rPr>
          <w:rFonts w:ascii="Arial" w:hAnsi="Arial" w:cs="Arial"/>
          <w:szCs w:val="20"/>
        </w:rPr>
        <w:t xml:space="preserve">) is funded by the Commonwealth Treasury and the NSW Government and it serves the national interest by providing independent research and promoting financial sector vibrancy, resiliency and integrity, through policy-oriented research and education. </w:t>
      </w:r>
    </w:p>
    <w:p w14:paraId="5A4CFBCD" w14:textId="77777777" w:rsidR="007774AC" w:rsidRPr="00A44BDC" w:rsidRDefault="007774AC" w:rsidP="007774AC">
      <w:pPr>
        <w:jc w:val="both"/>
        <w:rPr>
          <w:rFonts w:ascii="Arial" w:hAnsi="Arial" w:cs="Arial"/>
          <w:szCs w:val="20"/>
        </w:rPr>
      </w:pPr>
    </w:p>
    <w:p w14:paraId="5A4CFBCE" w14:textId="77777777" w:rsidR="007774AC" w:rsidRPr="00A44BDC" w:rsidRDefault="007774AC" w:rsidP="007774AC">
      <w:pPr>
        <w:jc w:val="both"/>
        <w:rPr>
          <w:rFonts w:ascii="Arial" w:hAnsi="Arial" w:cs="Arial"/>
          <w:szCs w:val="20"/>
        </w:rPr>
      </w:pPr>
      <w:proofErr w:type="spellStart"/>
      <w:r w:rsidRPr="00A44BDC">
        <w:rPr>
          <w:rFonts w:ascii="Arial" w:hAnsi="Arial" w:cs="Arial"/>
          <w:szCs w:val="20"/>
        </w:rPr>
        <w:t>CIFR</w:t>
      </w:r>
      <w:proofErr w:type="spellEnd"/>
      <w:r w:rsidRPr="00A44BDC">
        <w:rPr>
          <w:rFonts w:ascii="Arial" w:hAnsi="Arial" w:cs="Arial"/>
          <w:szCs w:val="20"/>
        </w:rPr>
        <w:t xml:space="preserve"> is an intermediary of the kind referred to in the Consultation Paper.</w:t>
      </w:r>
      <w:r w:rsidRPr="00A44BDC">
        <w:rPr>
          <w:rStyle w:val="FootnoteReference"/>
          <w:rFonts w:ascii="Arial" w:hAnsi="Arial" w:cs="Arial"/>
          <w:szCs w:val="20"/>
        </w:rPr>
        <w:footnoteReference w:id="1"/>
      </w:r>
      <w:r w:rsidRPr="00A44BDC">
        <w:rPr>
          <w:rFonts w:ascii="Arial" w:hAnsi="Arial" w:cs="Arial"/>
          <w:szCs w:val="20"/>
        </w:rPr>
        <w:t xml:space="preserve">  It brings together leading universities, research </w:t>
      </w:r>
      <w:proofErr w:type="spellStart"/>
      <w:r w:rsidRPr="00A44BDC">
        <w:rPr>
          <w:rFonts w:ascii="Arial" w:hAnsi="Arial" w:cs="Arial"/>
          <w:szCs w:val="20"/>
        </w:rPr>
        <w:t>centres</w:t>
      </w:r>
      <w:proofErr w:type="spellEnd"/>
      <w:r w:rsidRPr="00A44BDC">
        <w:rPr>
          <w:rFonts w:ascii="Arial" w:hAnsi="Arial" w:cs="Arial"/>
          <w:szCs w:val="20"/>
        </w:rPr>
        <w:t xml:space="preserve"> and the private sector to assist government, regulators and other industry participants </w:t>
      </w:r>
      <w:r>
        <w:rPr>
          <w:rFonts w:ascii="Arial" w:hAnsi="Arial" w:cs="Arial"/>
          <w:szCs w:val="20"/>
        </w:rPr>
        <w:t xml:space="preserve">to </w:t>
      </w:r>
      <w:r w:rsidRPr="00A44BDC">
        <w:rPr>
          <w:rFonts w:ascii="Arial" w:hAnsi="Arial" w:cs="Arial"/>
          <w:szCs w:val="20"/>
        </w:rPr>
        <w:t xml:space="preserve">meet challenges and pursue opportunities in the financial system.  Our university partners are </w:t>
      </w:r>
      <w:proofErr w:type="spellStart"/>
      <w:r w:rsidRPr="00A44BDC">
        <w:rPr>
          <w:rFonts w:ascii="Arial" w:hAnsi="Arial" w:cs="Arial"/>
          <w:szCs w:val="20"/>
        </w:rPr>
        <w:t>UNSW</w:t>
      </w:r>
      <w:proofErr w:type="spellEnd"/>
      <w:r w:rsidRPr="00A44BDC">
        <w:rPr>
          <w:rFonts w:ascii="Arial" w:hAnsi="Arial" w:cs="Arial"/>
          <w:szCs w:val="20"/>
        </w:rPr>
        <w:t xml:space="preserve"> Australia, Macquarie University, The University of Sydney, University of Technology, Sydney, Australian National University and The University of Melbourne. The Capital Markets Cooperative Research Centre (</w:t>
      </w:r>
      <w:proofErr w:type="spellStart"/>
      <w:r w:rsidRPr="00A44BDC">
        <w:rPr>
          <w:rFonts w:ascii="Arial" w:hAnsi="Arial" w:cs="Arial"/>
          <w:szCs w:val="20"/>
        </w:rPr>
        <w:t>CRC</w:t>
      </w:r>
      <w:proofErr w:type="spellEnd"/>
      <w:r w:rsidRPr="00A44BDC">
        <w:rPr>
          <w:rFonts w:ascii="Arial" w:hAnsi="Arial" w:cs="Arial"/>
          <w:szCs w:val="20"/>
        </w:rPr>
        <w:t xml:space="preserve">) Limited and </w:t>
      </w:r>
      <w:proofErr w:type="spellStart"/>
      <w:r w:rsidRPr="00A44BDC">
        <w:rPr>
          <w:rFonts w:ascii="Arial" w:hAnsi="Arial" w:cs="Arial"/>
          <w:szCs w:val="20"/>
        </w:rPr>
        <w:t>Sirca</w:t>
      </w:r>
      <w:proofErr w:type="spellEnd"/>
      <w:r w:rsidRPr="00A44BDC">
        <w:rPr>
          <w:rFonts w:ascii="Arial" w:hAnsi="Arial" w:cs="Arial"/>
          <w:szCs w:val="20"/>
        </w:rPr>
        <w:t xml:space="preserve"> Limited are research </w:t>
      </w:r>
      <w:proofErr w:type="spellStart"/>
      <w:r w:rsidRPr="00A44BDC">
        <w:rPr>
          <w:rFonts w:ascii="Arial" w:hAnsi="Arial" w:cs="Arial"/>
          <w:szCs w:val="20"/>
        </w:rPr>
        <w:t>centres</w:t>
      </w:r>
      <w:proofErr w:type="spellEnd"/>
      <w:r w:rsidRPr="00A44BDC">
        <w:rPr>
          <w:rFonts w:ascii="Arial" w:hAnsi="Arial" w:cs="Arial"/>
          <w:szCs w:val="20"/>
        </w:rPr>
        <w:t xml:space="preserve"> we collaborate with</w:t>
      </w:r>
      <w:r>
        <w:rPr>
          <w:rFonts w:ascii="Arial" w:hAnsi="Arial" w:cs="Arial"/>
          <w:szCs w:val="20"/>
        </w:rPr>
        <w:t>,</w:t>
      </w:r>
      <w:r w:rsidRPr="00A44BDC">
        <w:rPr>
          <w:rFonts w:ascii="Arial" w:hAnsi="Arial" w:cs="Arial"/>
          <w:szCs w:val="20"/>
        </w:rPr>
        <w:t xml:space="preserve"> and private sector partners include Commonwealth Bank, KPMG, King &amp; Wood </w:t>
      </w:r>
      <w:proofErr w:type="spellStart"/>
      <w:r w:rsidRPr="00A44BDC">
        <w:rPr>
          <w:rFonts w:ascii="Arial" w:hAnsi="Arial" w:cs="Arial"/>
          <w:szCs w:val="20"/>
        </w:rPr>
        <w:t>Mallesons</w:t>
      </w:r>
      <w:proofErr w:type="spellEnd"/>
      <w:r w:rsidRPr="00A44BDC">
        <w:rPr>
          <w:rFonts w:ascii="Arial" w:hAnsi="Arial" w:cs="Arial"/>
          <w:szCs w:val="20"/>
        </w:rPr>
        <w:t xml:space="preserve"> and Macquarie Group. </w:t>
      </w:r>
      <w:proofErr w:type="spellStart"/>
      <w:r w:rsidRPr="00A44BDC">
        <w:rPr>
          <w:rFonts w:ascii="Arial" w:hAnsi="Arial" w:cs="Arial"/>
          <w:szCs w:val="20"/>
        </w:rPr>
        <w:t>CIFR</w:t>
      </w:r>
      <w:proofErr w:type="spellEnd"/>
      <w:r w:rsidRPr="00A44BDC">
        <w:rPr>
          <w:rFonts w:ascii="Arial" w:hAnsi="Arial" w:cs="Arial"/>
          <w:szCs w:val="20"/>
        </w:rPr>
        <w:t xml:space="preserve"> works closely with Commonwealth Treasury and key regulators </w:t>
      </w:r>
      <w:r>
        <w:rPr>
          <w:rFonts w:ascii="Arial" w:hAnsi="Arial" w:cs="Arial"/>
          <w:szCs w:val="20"/>
        </w:rPr>
        <w:t xml:space="preserve">the </w:t>
      </w:r>
      <w:r w:rsidRPr="00A44BDC">
        <w:rPr>
          <w:rFonts w:ascii="Arial" w:hAnsi="Arial" w:cs="Arial"/>
          <w:szCs w:val="20"/>
        </w:rPr>
        <w:t>Australian Securities and Investment Commission, Australian Prudential Regulatory Authority and the Reserve Bank of Australia.</w:t>
      </w:r>
    </w:p>
    <w:p w14:paraId="5A4CFBCF" w14:textId="77777777" w:rsidR="007774AC" w:rsidRPr="00A44BDC" w:rsidRDefault="007774AC" w:rsidP="007774AC">
      <w:pPr>
        <w:jc w:val="both"/>
        <w:rPr>
          <w:rFonts w:ascii="Arial" w:hAnsi="Arial" w:cs="Arial"/>
          <w:szCs w:val="20"/>
        </w:rPr>
      </w:pPr>
    </w:p>
    <w:p w14:paraId="5A4CFBD0" w14:textId="77777777" w:rsidR="007774AC" w:rsidRPr="00A44BDC" w:rsidRDefault="007774AC" w:rsidP="007774AC">
      <w:pPr>
        <w:jc w:val="both"/>
        <w:rPr>
          <w:rFonts w:ascii="Arial" w:hAnsi="Arial" w:cs="Arial"/>
          <w:szCs w:val="20"/>
        </w:rPr>
      </w:pPr>
      <w:r w:rsidRPr="00A44BDC">
        <w:rPr>
          <w:rFonts w:ascii="Arial" w:hAnsi="Arial" w:cs="Arial"/>
          <w:szCs w:val="20"/>
        </w:rPr>
        <w:t xml:space="preserve">In 2014, </w:t>
      </w:r>
      <w:proofErr w:type="spellStart"/>
      <w:r w:rsidRPr="00A44BDC">
        <w:rPr>
          <w:rFonts w:ascii="Arial" w:hAnsi="Arial" w:cs="Arial"/>
          <w:szCs w:val="20"/>
        </w:rPr>
        <w:t>CIFR</w:t>
      </w:r>
      <w:proofErr w:type="spellEnd"/>
      <w:r w:rsidRPr="00A44BDC">
        <w:rPr>
          <w:rFonts w:ascii="Arial" w:hAnsi="Arial" w:cs="Arial"/>
          <w:szCs w:val="20"/>
        </w:rPr>
        <w:t xml:space="preserve"> has supported the Financial System Inquiry and the Competition Policy Review by conducting public conferences to facilitate consultation with industry, and by completing targeted research and data analytics assignments.</w:t>
      </w:r>
      <w:r w:rsidRPr="00A44BDC">
        <w:rPr>
          <w:rStyle w:val="FootnoteReference"/>
          <w:rFonts w:ascii="Arial" w:hAnsi="Arial" w:cs="Arial"/>
          <w:szCs w:val="20"/>
        </w:rPr>
        <w:footnoteReference w:id="2"/>
      </w:r>
    </w:p>
    <w:p w14:paraId="5A4CFBD1" w14:textId="77777777" w:rsidR="007774AC" w:rsidRPr="00A44BDC" w:rsidRDefault="007774AC" w:rsidP="007774AC">
      <w:pPr>
        <w:jc w:val="both"/>
        <w:rPr>
          <w:rFonts w:ascii="Arial" w:hAnsi="Arial" w:cs="Arial"/>
        </w:rPr>
      </w:pPr>
    </w:p>
    <w:p w14:paraId="5A4CFBD2" w14:textId="77777777" w:rsidR="007774AC" w:rsidRPr="00A44BDC" w:rsidRDefault="007774AC" w:rsidP="007774AC">
      <w:pPr>
        <w:jc w:val="both"/>
        <w:rPr>
          <w:rFonts w:ascii="Arial" w:hAnsi="Arial" w:cs="Arial"/>
        </w:rPr>
      </w:pPr>
      <w:r w:rsidRPr="00A44BDC">
        <w:rPr>
          <w:rFonts w:ascii="Arial" w:hAnsi="Arial" w:cs="Arial"/>
        </w:rPr>
        <w:t xml:space="preserve">This submission focuses on the financial system and the financial services sector (‘Financial Services’).  It is acknowledged that certain sectors, such as health and medical sciences, rightly command greater attention in relation to </w:t>
      </w:r>
      <w:proofErr w:type="spellStart"/>
      <w:r w:rsidRPr="00A44BDC">
        <w:rPr>
          <w:rFonts w:ascii="Arial" w:hAnsi="Arial" w:cs="Arial"/>
        </w:rPr>
        <w:t>commerciali</w:t>
      </w:r>
      <w:r>
        <w:rPr>
          <w:rFonts w:ascii="Arial" w:hAnsi="Arial" w:cs="Arial"/>
        </w:rPr>
        <w:t>s</w:t>
      </w:r>
      <w:r w:rsidRPr="00A44BDC">
        <w:rPr>
          <w:rFonts w:ascii="Arial" w:hAnsi="Arial" w:cs="Arial"/>
        </w:rPr>
        <w:t>ation</w:t>
      </w:r>
      <w:proofErr w:type="spellEnd"/>
      <w:r w:rsidRPr="00A44BDC">
        <w:rPr>
          <w:rFonts w:ascii="Arial" w:hAnsi="Arial" w:cs="Arial"/>
        </w:rPr>
        <w:t xml:space="preserve"> of research and very significant funding.  Nevertheless, </w:t>
      </w:r>
      <w:proofErr w:type="spellStart"/>
      <w:r w:rsidRPr="00A44BDC">
        <w:rPr>
          <w:rFonts w:ascii="Arial" w:hAnsi="Arial" w:cs="Arial"/>
        </w:rPr>
        <w:t>CIFR</w:t>
      </w:r>
      <w:proofErr w:type="spellEnd"/>
      <w:r w:rsidRPr="00A44BDC">
        <w:rPr>
          <w:rFonts w:ascii="Arial" w:hAnsi="Arial" w:cs="Arial"/>
        </w:rPr>
        <w:t xml:space="preserve"> submits there has been </w:t>
      </w:r>
      <w:r w:rsidRPr="00A44BDC">
        <w:rPr>
          <w:rFonts w:ascii="Arial" w:hAnsi="Arial" w:cs="Arial"/>
          <w:i/>
        </w:rPr>
        <w:t>inadequate</w:t>
      </w:r>
      <w:r w:rsidRPr="00A44BDC">
        <w:rPr>
          <w:rFonts w:ascii="Arial" w:hAnsi="Arial" w:cs="Arial"/>
        </w:rPr>
        <w:t xml:space="preserve"> attention given to the public funding of activities that would accelerate development in Financial Services.</w:t>
      </w:r>
    </w:p>
    <w:p w14:paraId="5A4CFBD3" w14:textId="77777777" w:rsidR="007774AC" w:rsidRPr="00A44BDC" w:rsidRDefault="007774AC" w:rsidP="007774AC">
      <w:pPr>
        <w:jc w:val="both"/>
        <w:rPr>
          <w:rFonts w:ascii="Arial" w:hAnsi="Arial" w:cs="Arial"/>
        </w:rPr>
      </w:pPr>
    </w:p>
    <w:p w14:paraId="5A4CFBD4" w14:textId="77777777" w:rsidR="007774AC" w:rsidRPr="00A44BDC" w:rsidRDefault="007774AC" w:rsidP="007774AC">
      <w:pPr>
        <w:jc w:val="both"/>
        <w:rPr>
          <w:rFonts w:ascii="Arial" w:hAnsi="Arial" w:cs="Arial"/>
        </w:rPr>
      </w:pPr>
      <w:r w:rsidRPr="00A44BDC">
        <w:rPr>
          <w:rFonts w:ascii="Arial" w:hAnsi="Arial" w:cs="Arial"/>
        </w:rPr>
        <w:t>The Government’s Industry Innovation and Competitiveness Agenda (the ‘Agenda’) seeks to make the most of Australia’s strengths and business opportunities. The focus of the Consultation Paper is on translation of research into commercial outcomes, to drive innovation, grow businesses and research capacity, and boost productivity and exports.</w:t>
      </w:r>
    </w:p>
    <w:p w14:paraId="5A4CFBD5" w14:textId="77777777" w:rsidR="007774AC" w:rsidRPr="00A44BDC" w:rsidRDefault="007774AC" w:rsidP="007774AC">
      <w:pPr>
        <w:jc w:val="both"/>
        <w:rPr>
          <w:rFonts w:ascii="Arial" w:hAnsi="Arial" w:cs="Arial"/>
        </w:rPr>
      </w:pPr>
    </w:p>
    <w:p w14:paraId="5A4CFBD6" w14:textId="77777777" w:rsidR="007774AC" w:rsidRPr="00A44BDC" w:rsidRDefault="007774AC" w:rsidP="007774AC">
      <w:pPr>
        <w:jc w:val="both"/>
        <w:rPr>
          <w:rFonts w:ascii="Arial" w:hAnsi="Arial" w:cs="Arial"/>
        </w:rPr>
      </w:pPr>
      <w:r w:rsidRPr="00A44BDC">
        <w:rPr>
          <w:rFonts w:ascii="Arial" w:hAnsi="Arial" w:cs="Arial"/>
        </w:rPr>
        <w:t xml:space="preserve">The first-listed ambition under the Agenda is to achieve ‘a lower cost, business friendly environment with </w:t>
      </w:r>
      <w:r w:rsidRPr="00A44BDC">
        <w:rPr>
          <w:rFonts w:ascii="Arial" w:hAnsi="Arial" w:cs="Arial"/>
          <w:i/>
        </w:rPr>
        <w:t>less regulation</w:t>
      </w:r>
      <w:r w:rsidRPr="00A44BDC">
        <w:rPr>
          <w:rFonts w:ascii="Arial" w:hAnsi="Arial" w:cs="Arial"/>
        </w:rPr>
        <w:t xml:space="preserve">, lower taxes and </w:t>
      </w:r>
      <w:r w:rsidRPr="00A44BDC">
        <w:rPr>
          <w:rFonts w:ascii="Arial" w:hAnsi="Arial" w:cs="Arial"/>
          <w:i/>
        </w:rPr>
        <w:t>more competitive markets</w:t>
      </w:r>
      <w:r w:rsidRPr="00A44BDC">
        <w:rPr>
          <w:rFonts w:ascii="Arial" w:hAnsi="Arial" w:cs="Arial"/>
        </w:rPr>
        <w:t>’</w:t>
      </w:r>
      <w:r w:rsidRPr="00A44BDC">
        <w:rPr>
          <w:rStyle w:val="FootnoteReference"/>
          <w:rFonts w:ascii="Arial" w:hAnsi="Arial" w:cs="Arial"/>
        </w:rPr>
        <w:footnoteReference w:id="3"/>
      </w:r>
      <w:r w:rsidRPr="00A44BDC">
        <w:rPr>
          <w:rFonts w:ascii="Arial" w:hAnsi="Arial" w:cs="Arial"/>
        </w:rPr>
        <w:t xml:space="preserve"> (emphasis added) (the ‘Ambition’). </w:t>
      </w:r>
    </w:p>
    <w:p w14:paraId="5A4CFBD7" w14:textId="77777777" w:rsidR="007774AC" w:rsidRDefault="007774AC" w:rsidP="007774AC">
      <w:pPr>
        <w:jc w:val="both"/>
        <w:rPr>
          <w:rFonts w:ascii="Arial" w:hAnsi="Arial" w:cs="Arial"/>
        </w:rPr>
      </w:pPr>
    </w:p>
    <w:p w14:paraId="5A4CFBD8" w14:textId="77777777" w:rsidR="007774AC" w:rsidRDefault="007774AC" w:rsidP="007774AC">
      <w:pPr>
        <w:jc w:val="both"/>
        <w:rPr>
          <w:rFonts w:ascii="Arial" w:hAnsi="Arial" w:cs="Arial"/>
        </w:rPr>
      </w:pPr>
      <w:r>
        <w:rPr>
          <w:rFonts w:ascii="Arial" w:hAnsi="Arial" w:cs="Arial"/>
        </w:rPr>
        <w:lastRenderedPageBreak/>
        <w:t>At the outset, we express our broad agreement with the Departments’ assessment of the system of incentives within which Universities operate.  It serves a purpose, and certainly motivates behavior, but it does not sufficiently promote good collaboration and activities that directly contribute to achievement of the desirable outcomes identified in the Consultation Paper. We elaborate on our views in this submission.</w:t>
      </w:r>
    </w:p>
    <w:p w14:paraId="5A4CFBD9" w14:textId="77777777" w:rsidR="007774AC" w:rsidRDefault="007774AC" w:rsidP="007774AC">
      <w:pPr>
        <w:jc w:val="both"/>
        <w:rPr>
          <w:rFonts w:ascii="Arial" w:hAnsi="Arial" w:cs="Arial"/>
        </w:rPr>
      </w:pPr>
    </w:p>
    <w:p w14:paraId="5A4CFBDA" w14:textId="77777777" w:rsidR="007774AC" w:rsidRDefault="007774AC" w:rsidP="007774AC">
      <w:pPr>
        <w:jc w:val="both"/>
        <w:rPr>
          <w:rFonts w:ascii="Arial" w:hAnsi="Arial" w:cs="Arial"/>
        </w:rPr>
      </w:pPr>
      <w:r>
        <w:rPr>
          <w:rFonts w:ascii="Arial" w:hAnsi="Arial" w:cs="Arial"/>
        </w:rPr>
        <w:t>This submission serves to:</w:t>
      </w:r>
    </w:p>
    <w:p w14:paraId="5A4CFBDB" w14:textId="77777777" w:rsidR="007774AC" w:rsidRDefault="007774AC" w:rsidP="007774AC">
      <w:pPr>
        <w:jc w:val="both"/>
        <w:rPr>
          <w:rFonts w:ascii="Arial" w:hAnsi="Arial" w:cs="Arial"/>
        </w:rPr>
      </w:pPr>
    </w:p>
    <w:p w14:paraId="5A4CFBDC" w14:textId="77777777" w:rsidR="007774AC" w:rsidRPr="00DD7FA4" w:rsidRDefault="007774AC" w:rsidP="007774AC">
      <w:pPr>
        <w:pStyle w:val="ListParagraph"/>
        <w:numPr>
          <w:ilvl w:val="0"/>
          <w:numId w:val="11"/>
        </w:numPr>
        <w:jc w:val="both"/>
        <w:rPr>
          <w:rFonts w:ascii="Arial" w:hAnsi="Arial" w:cs="Arial"/>
        </w:rPr>
      </w:pPr>
      <w:r w:rsidRPr="00DD7FA4">
        <w:rPr>
          <w:rFonts w:ascii="Arial" w:hAnsi="Arial" w:cs="Arial"/>
        </w:rPr>
        <w:t xml:space="preserve">review evidence regarding the </w:t>
      </w:r>
      <w:r>
        <w:rPr>
          <w:rFonts w:ascii="Arial" w:hAnsi="Arial" w:cs="Arial"/>
        </w:rPr>
        <w:t>value</w:t>
      </w:r>
      <w:r w:rsidRPr="00DD7FA4">
        <w:rPr>
          <w:rFonts w:ascii="Arial" w:hAnsi="Arial" w:cs="Arial"/>
        </w:rPr>
        <w:t xml:space="preserve"> of public investment in research</w:t>
      </w:r>
      <w:r>
        <w:rPr>
          <w:rFonts w:ascii="Arial" w:hAnsi="Arial" w:cs="Arial"/>
        </w:rPr>
        <w:t xml:space="preserve">-oriented institutions/agencies </w:t>
      </w:r>
      <w:r w:rsidRPr="00DD7FA4">
        <w:rPr>
          <w:rFonts w:ascii="Arial" w:hAnsi="Arial" w:cs="Arial"/>
        </w:rPr>
        <w:t>and the R&amp;D tax concession</w:t>
      </w:r>
      <w:r>
        <w:rPr>
          <w:rFonts w:ascii="Arial" w:hAnsi="Arial" w:cs="Arial"/>
        </w:rPr>
        <w:t>;</w:t>
      </w:r>
    </w:p>
    <w:p w14:paraId="5A4CFBDD" w14:textId="77777777" w:rsidR="007774AC" w:rsidRDefault="007774AC" w:rsidP="007774AC">
      <w:pPr>
        <w:pStyle w:val="ListParagraph"/>
        <w:numPr>
          <w:ilvl w:val="0"/>
          <w:numId w:val="11"/>
        </w:numPr>
        <w:jc w:val="both"/>
        <w:rPr>
          <w:rFonts w:ascii="Arial" w:hAnsi="Arial" w:cs="Arial"/>
        </w:rPr>
      </w:pPr>
      <w:r>
        <w:rPr>
          <w:rFonts w:ascii="Arial" w:hAnsi="Arial" w:cs="Arial"/>
        </w:rPr>
        <w:t xml:space="preserve">outline a collaborative model for consideration, focused on improving the targeting of public investment in research and the implementation of reform necessary to accelerate development of the sector; and </w:t>
      </w:r>
    </w:p>
    <w:p w14:paraId="5A4CFBDE" w14:textId="77777777" w:rsidR="007774AC" w:rsidRPr="00A92D59" w:rsidRDefault="007774AC" w:rsidP="007774AC">
      <w:pPr>
        <w:pStyle w:val="ListParagraph"/>
        <w:numPr>
          <w:ilvl w:val="0"/>
          <w:numId w:val="11"/>
        </w:numPr>
        <w:jc w:val="both"/>
        <w:rPr>
          <w:rFonts w:ascii="Arial" w:hAnsi="Arial" w:cs="Arial"/>
        </w:rPr>
      </w:pPr>
      <w:proofErr w:type="gramStart"/>
      <w:r>
        <w:rPr>
          <w:rFonts w:ascii="Arial" w:hAnsi="Arial" w:cs="Arial"/>
        </w:rPr>
        <w:t>provide</w:t>
      </w:r>
      <w:proofErr w:type="gramEnd"/>
      <w:r>
        <w:rPr>
          <w:rFonts w:ascii="Arial" w:hAnsi="Arial" w:cs="Arial"/>
        </w:rPr>
        <w:t xml:space="preserve"> recommendations on the proposals in the Consultation Paper.</w:t>
      </w:r>
    </w:p>
    <w:p w14:paraId="5A4CFBDF" w14:textId="77777777" w:rsidR="007774AC" w:rsidRDefault="007774AC" w:rsidP="007774AC">
      <w:pPr>
        <w:jc w:val="both"/>
        <w:rPr>
          <w:rFonts w:ascii="Arial" w:hAnsi="Arial" w:cs="Arial"/>
        </w:rPr>
      </w:pPr>
    </w:p>
    <w:p w14:paraId="5A4CFBE0" w14:textId="77777777" w:rsidR="007774AC" w:rsidRPr="00A92D59" w:rsidRDefault="007774AC" w:rsidP="007774AC">
      <w:pPr>
        <w:jc w:val="both"/>
        <w:rPr>
          <w:rFonts w:ascii="Arial" w:hAnsi="Arial" w:cs="Arial"/>
        </w:rPr>
      </w:pPr>
      <w:r>
        <w:rPr>
          <w:rFonts w:ascii="Arial" w:hAnsi="Arial" w:cs="Arial"/>
        </w:rPr>
        <w:t xml:space="preserve">Our </w:t>
      </w:r>
      <w:r w:rsidRPr="00A92D59">
        <w:rPr>
          <w:rFonts w:ascii="Arial" w:hAnsi="Arial" w:cs="Arial"/>
        </w:rPr>
        <w:t>recommendations</w:t>
      </w:r>
      <w:r>
        <w:rPr>
          <w:rFonts w:ascii="Arial" w:hAnsi="Arial" w:cs="Arial"/>
        </w:rPr>
        <w:t xml:space="preserve"> reflect </w:t>
      </w:r>
      <w:proofErr w:type="spellStart"/>
      <w:r>
        <w:rPr>
          <w:rFonts w:ascii="Arial" w:hAnsi="Arial" w:cs="Arial"/>
        </w:rPr>
        <w:t>CIFR’s</w:t>
      </w:r>
      <w:proofErr w:type="spellEnd"/>
      <w:r>
        <w:rPr>
          <w:rFonts w:ascii="Arial" w:hAnsi="Arial" w:cs="Arial"/>
        </w:rPr>
        <w:t xml:space="preserve"> experience in 2013-2014 as an intermediary focused on strengthening collaboration and improving the targeting of public investment in research and solutions.</w:t>
      </w:r>
    </w:p>
    <w:p w14:paraId="5A4CFBE1" w14:textId="77777777" w:rsidR="007774AC" w:rsidRPr="001D17CC" w:rsidRDefault="007774AC" w:rsidP="007774AC">
      <w:pPr>
        <w:jc w:val="both"/>
        <w:rPr>
          <w:rFonts w:ascii="Arial" w:hAnsi="Arial" w:cs="Arial"/>
        </w:rPr>
      </w:pPr>
    </w:p>
    <w:p w14:paraId="5A4CFBE2" w14:textId="77777777" w:rsidR="007774AC" w:rsidRPr="001D17CC" w:rsidRDefault="007774AC" w:rsidP="007774AC">
      <w:pPr>
        <w:jc w:val="both"/>
        <w:rPr>
          <w:rFonts w:ascii="Arial" w:hAnsi="Arial" w:cs="Arial"/>
        </w:rPr>
      </w:pPr>
      <w:r>
        <w:rPr>
          <w:rFonts w:ascii="Arial" w:hAnsi="Arial" w:cs="Arial"/>
        </w:rPr>
        <w:t>The</w:t>
      </w:r>
      <w:r w:rsidRPr="001D17CC">
        <w:rPr>
          <w:rFonts w:ascii="Arial" w:hAnsi="Arial" w:cs="Arial"/>
        </w:rPr>
        <w:t xml:space="preserve"> recommendations </w:t>
      </w:r>
      <w:r>
        <w:rPr>
          <w:rFonts w:ascii="Arial" w:hAnsi="Arial" w:cs="Arial"/>
        </w:rPr>
        <w:t xml:space="preserve">relate to the proposals in the Consultation Paper as they apply to Financial Services.  They </w:t>
      </w:r>
      <w:r w:rsidRPr="001D17CC">
        <w:rPr>
          <w:rFonts w:ascii="Arial" w:hAnsi="Arial" w:cs="Arial"/>
        </w:rPr>
        <w:t>are detailed in Section 8 of this submis</w:t>
      </w:r>
      <w:r>
        <w:rPr>
          <w:rFonts w:ascii="Arial" w:hAnsi="Arial" w:cs="Arial"/>
        </w:rPr>
        <w:t>sion and are restated in brief here:</w:t>
      </w:r>
    </w:p>
    <w:p w14:paraId="5A4CFBE3" w14:textId="77777777" w:rsidR="007774AC" w:rsidRPr="001D17CC" w:rsidRDefault="007774AC" w:rsidP="007774AC">
      <w:pPr>
        <w:jc w:val="both"/>
        <w:rPr>
          <w:rFonts w:ascii="Arial" w:hAnsi="Arial" w:cs="Arial"/>
        </w:rPr>
      </w:pPr>
    </w:p>
    <w:p w14:paraId="5A4CFBE4" w14:textId="77777777" w:rsidR="007774AC" w:rsidRPr="00411F29" w:rsidRDefault="007774AC" w:rsidP="007774AC">
      <w:pPr>
        <w:pStyle w:val="Heading3"/>
        <w:jc w:val="both"/>
        <w:rPr>
          <w:rFonts w:ascii="Arial" w:hAnsi="Arial" w:cs="Arial"/>
          <w:i/>
        </w:rPr>
      </w:pPr>
      <w:bookmarkStart w:id="3" w:name="_Toc405889643"/>
      <w:bookmarkStart w:id="4" w:name="_Toc405906877"/>
      <w:r w:rsidRPr="00411F29">
        <w:rPr>
          <w:rFonts w:ascii="Arial" w:hAnsi="Arial" w:cs="Arial"/>
          <w:i/>
        </w:rPr>
        <w:t>Proposal: creating stronger incentives for research-industry collaboration</w:t>
      </w:r>
      <w:bookmarkEnd w:id="3"/>
      <w:bookmarkEnd w:id="4"/>
    </w:p>
    <w:p w14:paraId="5A4CFBE5" w14:textId="77777777" w:rsidR="007774AC" w:rsidRPr="00B42233" w:rsidRDefault="007774AC" w:rsidP="007774AC">
      <w:pPr>
        <w:jc w:val="both"/>
        <w:rPr>
          <w:rFonts w:ascii="Arial" w:hAnsi="Arial" w:cs="Arial"/>
          <w:i/>
        </w:rPr>
      </w:pPr>
    </w:p>
    <w:p w14:paraId="5A4CFBE6"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Take into account recent research by Fox and </w:t>
      </w:r>
      <w:proofErr w:type="spellStart"/>
      <w:r w:rsidRPr="00B42233">
        <w:rPr>
          <w:rFonts w:ascii="Arial" w:hAnsi="Arial" w:cs="Arial"/>
          <w:i/>
        </w:rPr>
        <w:t>Elnasri</w:t>
      </w:r>
      <w:proofErr w:type="spellEnd"/>
      <w:r w:rsidRPr="00B42233">
        <w:rPr>
          <w:rFonts w:ascii="Arial" w:hAnsi="Arial" w:cs="Arial"/>
          <w:i/>
        </w:rPr>
        <w:t xml:space="preserve"> (2014) in considering efficacy of programs to fund research and allocate funding (their paper </w:t>
      </w:r>
      <w:r>
        <w:rPr>
          <w:rFonts w:ascii="Arial" w:hAnsi="Arial" w:cs="Arial"/>
          <w:i/>
        </w:rPr>
        <w:t xml:space="preserve">is </w:t>
      </w:r>
      <w:r w:rsidRPr="00B42233">
        <w:rPr>
          <w:rFonts w:ascii="Arial" w:hAnsi="Arial" w:cs="Arial"/>
          <w:i/>
        </w:rPr>
        <w:t>titled: ‘The Contribution of Research and Innovation to Productivity and Economic Growth’)</w:t>
      </w:r>
      <w:r>
        <w:rPr>
          <w:rFonts w:ascii="Arial" w:hAnsi="Arial" w:cs="Arial"/>
          <w:i/>
        </w:rPr>
        <w:t>.</w:t>
      </w:r>
    </w:p>
    <w:p w14:paraId="5A4CFBE7" w14:textId="77777777" w:rsidR="007774AC" w:rsidRPr="00B42233" w:rsidRDefault="007774AC" w:rsidP="007774AC">
      <w:pPr>
        <w:pStyle w:val="ListParagraph"/>
        <w:ind w:left="360"/>
        <w:jc w:val="both"/>
        <w:rPr>
          <w:rFonts w:ascii="Arial" w:hAnsi="Arial" w:cs="Arial"/>
          <w:i/>
        </w:rPr>
      </w:pPr>
    </w:p>
    <w:p w14:paraId="5A4CFBE8"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Further examine relative merits of </w:t>
      </w:r>
      <w:r>
        <w:rPr>
          <w:rFonts w:ascii="Arial" w:hAnsi="Arial" w:cs="Arial"/>
          <w:i/>
        </w:rPr>
        <w:t>directly</w:t>
      </w:r>
      <w:r w:rsidRPr="00B42233">
        <w:rPr>
          <w:rFonts w:ascii="Arial" w:hAnsi="Arial" w:cs="Arial"/>
          <w:i/>
        </w:rPr>
        <w:t xml:space="preserve"> funding</w:t>
      </w:r>
      <w:r>
        <w:rPr>
          <w:rFonts w:ascii="Arial" w:hAnsi="Arial" w:cs="Arial"/>
          <w:i/>
        </w:rPr>
        <w:t xml:space="preserve"> research and the R&amp;D tax concession in light of evidence that directly funding research is more effective.</w:t>
      </w:r>
    </w:p>
    <w:p w14:paraId="5A4CFBE9" w14:textId="77777777" w:rsidR="007774AC" w:rsidRPr="00B42233" w:rsidRDefault="007774AC" w:rsidP="007774AC">
      <w:pPr>
        <w:jc w:val="both"/>
        <w:rPr>
          <w:rFonts w:ascii="Arial" w:hAnsi="Arial" w:cs="Arial"/>
          <w:i/>
        </w:rPr>
      </w:pPr>
    </w:p>
    <w:p w14:paraId="5A4CFBEA"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In considering how best to strengthen collaboration, adopt a broad definition of what needs to be addressed to encompass challenges, problems and</w:t>
      </w:r>
      <w:r>
        <w:rPr>
          <w:rFonts w:ascii="Arial" w:hAnsi="Arial" w:cs="Arial"/>
          <w:i/>
        </w:rPr>
        <w:t>, importantly,</w:t>
      </w:r>
      <w:r w:rsidRPr="00B42233">
        <w:rPr>
          <w:rFonts w:ascii="Arial" w:hAnsi="Arial" w:cs="Arial"/>
          <w:i/>
        </w:rPr>
        <w:t xml:space="preserve"> tasks and outcomes required to implement </w:t>
      </w:r>
      <w:r>
        <w:rPr>
          <w:rFonts w:ascii="Arial" w:hAnsi="Arial" w:cs="Arial"/>
          <w:i/>
        </w:rPr>
        <w:t xml:space="preserve">regulatory </w:t>
      </w:r>
      <w:r w:rsidRPr="00B42233">
        <w:rPr>
          <w:rFonts w:ascii="Arial" w:hAnsi="Arial" w:cs="Arial"/>
          <w:i/>
        </w:rPr>
        <w:t>change.</w:t>
      </w:r>
    </w:p>
    <w:p w14:paraId="5A4CFBEB" w14:textId="77777777" w:rsidR="007774AC" w:rsidRPr="00B42233" w:rsidRDefault="007774AC" w:rsidP="007774AC">
      <w:pPr>
        <w:jc w:val="both"/>
        <w:rPr>
          <w:rFonts w:ascii="Arial" w:hAnsi="Arial" w:cs="Arial"/>
          <w:i/>
        </w:rPr>
      </w:pPr>
    </w:p>
    <w:p w14:paraId="5A4CFBEC"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Consider adopting a collaborative </w:t>
      </w:r>
      <w:r>
        <w:rPr>
          <w:rFonts w:ascii="Arial" w:hAnsi="Arial" w:cs="Arial"/>
          <w:i/>
        </w:rPr>
        <w:t xml:space="preserve">governance </w:t>
      </w:r>
      <w:r w:rsidRPr="00B42233">
        <w:rPr>
          <w:rFonts w:ascii="Arial" w:hAnsi="Arial" w:cs="Arial"/>
          <w:i/>
        </w:rPr>
        <w:t>model to facilitate more effective collaboration and implementation of change</w:t>
      </w:r>
      <w:r>
        <w:rPr>
          <w:rFonts w:ascii="Arial" w:hAnsi="Arial" w:cs="Arial"/>
          <w:i/>
        </w:rPr>
        <w:t>, such as the model outlined in Figure 2 (page 17)</w:t>
      </w:r>
      <w:r w:rsidRPr="00B42233">
        <w:rPr>
          <w:rFonts w:ascii="Arial" w:hAnsi="Arial" w:cs="Arial"/>
          <w:i/>
        </w:rPr>
        <w:t>.</w:t>
      </w:r>
    </w:p>
    <w:p w14:paraId="5A4CFBED" w14:textId="77777777" w:rsidR="007774AC" w:rsidRPr="00B42233" w:rsidRDefault="007774AC" w:rsidP="007774AC">
      <w:pPr>
        <w:jc w:val="both"/>
        <w:rPr>
          <w:rFonts w:ascii="Arial" w:hAnsi="Arial" w:cs="Arial"/>
          <w:i/>
        </w:rPr>
      </w:pPr>
    </w:p>
    <w:p w14:paraId="5A4CFBEE"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Revisit incentive-setting for Universities including by considering creation of an </w:t>
      </w:r>
      <w:proofErr w:type="spellStart"/>
      <w:r w:rsidRPr="00B42233">
        <w:rPr>
          <w:rFonts w:ascii="Arial" w:hAnsi="Arial" w:cs="Arial"/>
          <w:i/>
        </w:rPr>
        <w:t>organi</w:t>
      </w:r>
      <w:r>
        <w:rPr>
          <w:rFonts w:ascii="Arial" w:hAnsi="Arial" w:cs="Arial"/>
          <w:i/>
        </w:rPr>
        <w:t>s</w:t>
      </w:r>
      <w:r w:rsidRPr="00B42233">
        <w:rPr>
          <w:rFonts w:ascii="Arial" w:hAnsi="Arial" w:cs="Arial"/>
          <w:i/>
        </w:rPr>
        <w:t>ation</w:t>
      </w:r>
      <w:proofErr w:type="spellEnd"/>
      <w:r w:rsidRPr="00B42233">
        <w:rPr>
          <w:rFonts w:ascii="Arial" w:hAnsi="Arial" w:cs="Arial"/>
          <w:i/>
        </w:rPr>
        <w:t xml:space="preserve"> / initiative to allow the pooling of academic talent and capacity from across the University sector for deployment on projects under a </w:t>
      </w:r>
      <w:proofErr w:type="spellStart"/>
      <w:r w:rsidRPr="00B42233">
        <w:rPr>
          <w:rFonts w:ascii="Arial" w:hAnsi="Arial" w:cs="Arial"/>
          <w:i/>
        </w:rPr>
        <w:t>prioriti</w:t>
      </w:r>
      <w:r>
        <w:rPr>
          <w:rFonts w:ascii="Arial" w:hAnsi="Arial" w:cs="Arial"/>
          <w:i/>
        </w:rPr>
        <w:t>s</w:t>
      </w:r>
      <w:r w:rsidRPr="00B42233">
        <w:rPr>
          <w:rFonts w:ascii="Arial" w:hAnsi="Arial" w:cs="Arial"/>
          <w:i/>
        </w:rPr>
        <w:t>ed</w:t>
      </w:r>
      <w:proofErr w:type="spellEnd"/>
      <w:r w:rsidRPr="00B42233">
        <w:rPr>
          <w:rFonts w:ascii="Arial" w:hAnsi="Arial" w:cs="Arial"/>
          <w:i/>
        </w:rPr>
        <w:t xml:space="preserve"> and targeted program agenda.</w:t>
      </w:r>
    </w:p>
    <w:p w14:paraId="5A4CFBEF" w14:textId="77777777" w:rsidR="007774AC" w:rsidRPr="00B42233" w:rsidRDefault="007774AC" w:rsidP="007774AC">
      <w:pPr>
        <w:jc w:val="both"/>
        <w:rPr>
          <w:rFonts w:ascii="Arial" w:hAnsi="Arial" w:cs="Arial"/>
          <w:i/>
        </w:rPr>
      </w:pPr>
    </w:p>
    <w:p w14:paraId="5A4CFBF0"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Consider a number of ideas we put forward to better </w:t>
      </w:r>
      <w:proofErr w:type="spellStart"/>
      <w:r w:rsidRPr="00B42233">
        <w:rPr>
          <w:rFonts w:ascii="Arial" w:hAnsi="Arial" w:cs="Arial"/>
          <w:i/>
        </w:rPr>
        <w:t>incentivi</w:t>
      </w:r>
      <w:r>
        <w:rPr>
          <w:rFonts w:ascii="Arial" w:hAnsi="Arial" w:cs="Arial"/>
          <w:i/>
        </w:rPr>
        <w:t>s</w:t>
      </w:r>
      <w:r w:rsidRPr="00B42233">
        <w:rPr>
          <w:rFonts w:ascii="Arial" w:hAnsi="Arial" w:cs="Arial"/>
          <w:i/>
        </w:rPr>
        <w:t>e</w:t>
      </w:r>
      <w:proofErr w:type="spellEnd"/>
      <w:r w:rsidRPr="00B42233">
        <w:rPr>
          <w:rFonts w:ascii="Arial" w:hAnsi="Arial" w:cs="Arial"/>
          <w:i/>
        </w:rPr>
        <w:t xml:space="preserve"> Universities to encourage academics to be involved in collaborative initiatives with business.</w:t>
      </w:r>
    </w:p>
    <w:p w14:paraId="5A4CFBF1" w14:textId="77777777" w:rsidR="007774AC" w:rsidRPr="00B42233" w:rsidRDefault="007774AC" w:rsidP="007774AC">
      <w:pPr>
        <w:jc w:val="both"/>
        <w:rPr>
          <w:rFonts w:ascii="Arial" w:hAnsi="Arial" w:cs="Arial"/>
          <w:i/>
        </w:rPr>
      </w:pPr>
    </w:p>
    <w:p w14:paraId="5A4CFBF2" w14:textId="77777777" w:rsidR="007774AC" w:rsidRPr="00411F29" w:rsidRDefault="007774AC" w:rsidP="007774AC">
      <w:pPr>
        <w:pStyle w:val="Heading3"/>
        <w:jc w:val="both"/>
        <w:rPr>
          <w:rFonts w:ascii="Arial" w:hAnsi="Arial" w:cs="Arial"/>
          <w:i/>
        </w:rPr>
      </w:pPr>
      <w:bookmarkStart w:id="5" w:name="_Toc405889644"/>
      <w:bookmarkStart w:id="6" w:name="_Toc405906878"/>
      <w:r w:rsidRPr="00411F29">
        <w:rPr>
          <w:rFonts w:ascii="Arial" w:hAnsi="Arial" w:cs="Arial"/>
          <w:i/>
        </w:rPr>
        <w:lastRenderedPageBreak/>
        <w:t>Proposal: supporting research infrastructure</w:t>
      </w:r>
      <w:bookmarkEnd w:id="5"/>
      <w:bookmarkEnd w:id="6"/>
    </w:p>
    <w:p w14:paraId="5A4CFBF3" w14:textId="77777777" w:rsidR="007774AC" w:rsidRPr="00B42233" w:rsidRDefault="007774AC" w:rsidP="007774AC">
      <w:pPr>
        <w:jc w:val="both"/>
        <w:rPr>
          <w:rFonts w:ascii="Arial" w:hAnsi="Arial" w:cs="Arial"/>
          <w:i/>
        </w:rPr>
      </w:pPr>
    </w:p>
    <w:p w14:paraId="5A4CFBF4"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Reassess existing research infrastructure provision and requirements </w:t>
      </w:r>
      <w:r>
        <w:rPr>
          <w:rFonts w:ascii="Arial" w:hAnsi="Arial" w:cs="Arial"/>
          <w:i/>
        </w:rPr>
        <w:t>and examine</w:t>
      </w:r>
      <w:r w:rsidRPr="00B42233">
        <w:rPr>
          <w:rFonts w:ascii="Arial" w:hAnsi="Arial" w:cs="Arial"/>
          <w:i/>
        </w:rPr>
        <w:t xml:space="preserve"> the models outlined in this submission</w:t>
      </w:r>
      <w:r>
        <w:rPr>
          <w:rFonts w:ascii="Arial" w:hAnsi="Arial" w:cs="Arial"/>
          <w:i/>
        </w:rPr>
        <w:t xml:space="preserve"> (refer to Figures 1 and 2 on page 13 and 17)</w:t>
      </w:r>
      <w:r w:rsidRPr="00B42233">
        <w:rPr>
          <w:rFonts w:ascii="Arial" w:hAnsi="Arial" w:cs="Arial"/>
          <w:i/>
        </w:rPr>
        <w:t>.</w:t>
      </w:r>
    </w:p>
    <w:p w14:paraId="5A4CFBF5" w14:textId="77777777" w:rsidR="007774AC" w:rsidRPr="00B42233" w:rsidRDefault="007774AC" w:rsidP="007774AC">
      <w:pPr>
        <w:jc w:val="both"/>
        <w:rPr>
          <w:rFonts w:ascii="Arial" w:hAnsi="Arial" w:cs="Arial"/>
          <w:i/>
        </w:rPr>
      </w:pPr>
    </w:p>
    <w:p w14:paraId="5A4CFBF6" w14:textId="77777777" w:rsidR="007774AC" w:rsidRPr="00411F29" w:rsidRDefault="007774AC" w:rsidP="007774AC">
      <w:pPr>
        <w:pStyle w:val="Heading3"/>
        <w:jc w:val="both"/>
        <w:rPr>
          <w:rFonts w:ascii="Arial" w:hAnsi="Arial" w:cs="Arial"/>
          <w:i/>
        </w:rPr>
      </w:pPr>
      <w:bookmarkStart w:id="7" w:name="_Toc405889645"/>
      <w:bookmarkStart w:id="8" w:name="_Toc405906879"/>
      <w:r w:rsidRPr="00411F29">
        <w:rPr>
          <w:rFonts w:ascii="Arial" w:hAnsi="Arial" w:cs="Arial"/>
          <w:i/>
        </w:rPr>
        <w:t>Proposal: providing better access to research</w:t>
      </w:r>
      <w:bookmarkEnd w:id="7"/>
      <w:bookmarkEnd w:id="8"/>
    </w:p>
    <w:p w14:paraId="5A4CFBF7" w14:textId="77777777" w:rsidR="007774AC" w:rsidRPr="00B42233" w:rsidRDefault="007774AC" w:rsidP="007774AC">
      <w:pPr>
        <w:jc w:val="both"/>
        <w:rPr>
          <w:rFonts w:ascii="Arial" w:hAnsi="Arial" w:cs="Arial"/>
          <w:i/>
        </w:rPr>
      </w:pPr>
    </w:p>
    <w:p w14:paraId="5A4CFBF8"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Consider the relative merit of research funding and the R&amp;D tax concession as regards pursuit of the goal of providing industry and other end-users with better access to research.</w:t>
      </w:r>
    </w:p>
    <w:p w14:paraId="5A4CFBF9" w14:textId="77777777" w:rsidR="007774AC" w:rsidRPr="00B42233" w:rsidRDefault="007774AC" w:rsidP="007774AC">
      <w:pPr>
        <w:jc w:val="both"/>
        <w:rPr>
          <w:rFonts w:ascii="Arial" w:hAnsi="Arial" w:cs="Arial"/>
          <w:i/>
        </w:rPr>
      </w:pPr>
    </w:p>
    <w:p w14:paraId="5A4CFBFA" w14:textId="77777777" w:rsidR="007774AC" w:rsidRPr="00411F29" w:rsidRDefault="007774AC" w:rsidP="007774AC">
      <w:pPr>
        <w:pStyle w:val="Heading3"/>
        <w:jc w:val="both"/>
        <w:rPr>
          <w:rFonts w:ascii="Arial" w:hAnsi="Arial" w:cs="Arial"/>
          <w:i/>
        </w:rPr>
      </w:pPr>
      <w:bookmarkStart w:id="9" w:name="_Toc405889646"/>
      <w:bookmarkStart w:id="10" w:name="_Toc405906880"/>
      <w:r>
        <w:rPr>
          <w:rFonts w:ascii="Arial" w:hAnsi="Arial" w:cs="Arial"/>
          <w:i/>
        </w:rPr>
        <w:t>Proposal: i</w:t>
      </w:r>
      <w:r w:rsidRPr="00411F29">
        <w:rPr>
          <w:rFonts w:ascii="Arial" w:hAnsi="Arial" w:cs="Arial"/>
          <w:i/>
        </w:rPr>
        <w:t>ncreasing industry relevant research training</w:t>
      </w:r>
      <w:bookmarkEnd w:id="9"/>
      <w:bookmarkEnd w:id="10"/>
    </w:p>
    <w:p w14:paraId="5A4CFBFB" w14:textId="77777777" w:rsidR="007774AC" w:rsidRPr="00B42233" w:rsidRDefault="007774AC" w:rsidP="007774AC">
      <w:pPr>
        <w:jc w:val="both"/>
        <w:rPr>
          <w:rFonts w:ascii="Arial" w:hAnsi="Arial" w:cs="Arial"/>
          <w:i/>
        </w:rPr>
      </w:pPr>
    </w:p>
    <w:p w14:paraId="5A4CFBFC"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 xml:space="preserve">Consider </w:t>
      </w:r>
      <w:proofErr w:type="spellStart"/>
      <w:r w:rsidRPr="00B42233">
        <w:rPr>
          <w:rFonts w:ascii="Arial" w:hAnsi="Arial" w:cs="Arial"/>
          <w:i/>
        </w:rPr>
        <w:t>incentivising</w:t>
      </w:r>
      <w:proofErr w:type="spellEnd"/>
      <w:r w:rsidRPr="00B42233">
        <w:rPr>
          <w:rFonts w:ascii="Arial" w:hAnsi="Arial" w:cs="Arial"/>
          <w:i/>
        </w:rPr>
        <w:t xml:space="preserve"> training </w:t>
      </w:r>
      <w:proofErr w:type="spellStart"/>
      <w:r w:rsidRPr="00B42233">
        <w:rPr>
          <w:rFonts w:ascii="Arial" w:hAnsi="Arial" w:cs="Arial"/>
          <w:i/>
        </w:rPr>
        <w:t>organisations</w:t>
      </w:r>
      <w:proofErr w:type="spellEnd"/>
      <w:r w:rsidRPr="00B42233">
        <w:rPr>
          <w:rFonts w:ascii="Arial" w:hAnsi="Arial" w:cs="Arial"/>
          <w:i/>
        </w:rPr>
        <w:t xml:space="preserve"> to draw on talent from business in delivering programs and concentrating on Universities and other </w:t>
      </w:r>
      <w:r>
        <w:rPr>
          <w:rFonts w:ascii="Arial" w:hAnsi="Arial" w:cs="Arial"/>
          <w:i/>
        </w:rPr>
        <w:t xml:space="preserve">dedicated </w:t>
      </w:r>
      <w:r w:rsidRPr="00B42233">
        <w:rPr>
          <w:rFonts w:ascii="Arial" w:hAnsi="Arial" w:cs="Arial"/>
          <w:i/>
        </w:rPr>
        <w:t xml:space="preserve">training </w:t>
      </w:r>
      <w:proofErr w:type="spellStart"/>
      <w:r w:rsidRPr="00B42233">
        <w:rPr>
          <w:rFonts w:ascii="Arial" w:hAnsi="Arial" w:cs="Arial"/>
          <w:i/>
        </w:rPr>
        <w:t>organisations</w:t>
      </w:r>
      <w:proofErr w:type="spellEnd"/>
      <w:r w:rsidRPr="00B42233">
        <w:rPr>
          <w:rFonts w:ascii="Arial" w:hAnsi="Arial" w:cs="Arial"/>
          <w:i/>
        </w:rPr>
        <w:t xml:space="preserve"> as the primary channel for industry-relevant programs.</w:t>
      </w:r>
    </w:p>
    <w:p w14:paraId="5A4CFBFD" w14:textId="77777777" w:rsidR="007774AC" w:rsidRPr="00B42233" w:rsidRDefault="007774AC" w:rsidP="007774AC">
      <w:pPr>
        <w:jc w:val="both"/>
        <w:rPr>
          <w:rFonts w:ascii="Arial" w:hAnsi="Arial" w:cs="Arial"/>
          <w:i/>
        </w:rPr>
      </w:pPr>
    </w:p>
    <w:p w14:paraId="5A4CFBFE" w14:textId="77777777" w:rsidR="007774AC" w:rsidRPr="00411F29" w:rsidRDefault="007774AC" w:rsidP="007774AC">
      <w:pPr>
        <w:pStyle w:val="Heading3"/>
        <w:jc w:val="both"/>
        <w:rPr>
          <w:rFonts w:ascii="Arial" w:hAnsi="Arial" w:cs="Arial"/>
          <w:i/>
        </w:rPr>
      </w:pPr>
      <w:bookmarkStart w:id="11" w:name="_Toc405889647"/>
      <w:bookmarkStart w:id="12" w:name="_Toc405906881"/>
      <w:r>
        <w:rPr>
          <w:rFonts w:ascii="Arial" w:hAnsi="Arial" w:cs="Arial"/>
          <w:i/>
        </w:rPr>
        <w:t>Proposal: m</w:t>
      </w:r>
      <w:r w:rsidRPr="00411F29">
        <w:rPr>
          <w:rFonts w:ascii="Arial" w:hAnsi="Arial" w:cs="Arial"/>
          <w:i/>
        </w:rPr>
        <w:t>easurement of outcomes</w:t>
      </w:r>
      <w:bookmarkEnd w:id="11"/>
      <w:bookmarkEnd w:id="12"/>
    </w:p>
    <w:p w14:paraId="5A4CFBFF" w14:textId="77777777" w:rsidR="007774AC" w:rsidRPr="00B42233" w:rsidRDefault="007774AC" w:rsidP="007774AC">
      <w:pPr>
        <w:jc w:val="both"/>
        <w:rPr>
          <w:rFonts w:ascii="Arial" w:hAnsi="Arial" w:cs="Arial"/>
          <w:i/>
        </w:rPr>
      </w:pPr>
    </w:p>
    <w:p w14:paraId="5A4CFC00"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Consider a number of ideas we provide for better measuring outcomes from public investment in research.</w:t>
      </w:r>
    </w:p>
    <w:p w14:paraId="5A4CFC01" w14:textId="77777777" w:rsidR="007774AC" w:rsidRPr="00B42233" w:rsidRDefault="007774AC" w:rsidP="007774AC">
      <w:pPr>
        <w:jc w:val="both"/>
        <w:rPr>
          <w:rFonts w:ascii="Arial" w:hAnsi="Arial" w:cs="Arial"/>
          <w:i/>
        </w:rPr>
      </w:pPr>
    </w:p>
    <w:p w14:paraId="5A4CFC02" w14:textId="77777777" w:rsidR="007774AC" w:rsidRPr="00411F29" w:rsidRDefault="007774AC" w:rsidP="007774AC">
      <w:pPr>
        <w:pStyle w:val="Heading3"/>
        <w:jc w:val="both"/>
        <w:rPr>
          <w:rFonts w:ascii="Arial" w:hAnsi="Arial" w:cs="Arial"/>
          <w:i/>
        </w:rPr>
      </w:pPr>
      <w:bookmarkStart w:id="13" w:name="_Toc405889648"/>
      <w:bookmarkStart w:id="14" w:name="_Toc405906882"/>
      <w:r>
        <w:rPr>
          <w:rFonts w:ascii="Arial" w:hAnsi="Arial" w:cs="Arial"/>
          <w:i/>
        </w:rPr>
        <w:t xml:space="preserve">Proposal:  </w:t>
      </w:r>
      <w:proofErr w:type="spellStart"/>
      <w:r>
        <w:rPr>
          <w:rFonts w:ascii="Arial" w:hAnsi="Arial" w:cs="Arial"/>
          <w:i/>
        </w:rPr>
        <w:t>c</w:t>
      </w:r>
      <w:r w:rsidRPr="00411F29">
        <w:rPr>
          <w:rFonts w:ascii="Arial" w:hAnsi="Arial" w:cs="Arial"/>
          <w:i/>
        </w:rPr>
        <w:t>apitalising</w:t>
      </w:r>
      <w:proofErr w:type="spellEnd"/>
      <w:r w:rsidRPr="00411F29">
        <w:rPr>
          <w:rFonts w:ascii="Arial" w:hAnsi="Arial" w:cs="Arial"/>
          <w:i/>
        </w:rPr>
        <w:t xml:space="preserve"> on the Medical Research Future Fund</w:t>
      </w:r>
      <w:bookmarkEnd w:id="13"/>
      <w:bookmarkEnd w:id="14"/>
    </w:p>
    <w:p w14:paraId="5A4CFC03" w14:textId="77777777" w:rsidR="007774AC" w:rsidRPr="00B42233" w:rsidRDefault="007774AC" w:rsidP="007774AC">
      <w:pPr>
        <w:jc w:val="both"/>
        <w:rPr>
          <w:rFonts w:ascii="Arial" w:hAnsi="Arial" w:cs="Arial"/>
          <w:i/>
        </w:rPr>
      </w:pPr>
    </w:p>
    <w:p w14:paraId="5A4CFC04" w14:textId="77777777" w:rsidR="007774AC" w:rsidRPr="00B42233" w:rsidRDefault="007774AC" w:rsidP="007774AC">
      <w:pPr>
        <w:pStyle w:val="ListParagraph"/>
        <w:numPr>
          <w:ilvl w:val="0"/>
          <w:numId w:val="43"/>
        </w:numPr>
        <w:ind w:left="360"/>
        <w:jc w:val="both"/>
        <w:rPr>
          <w:rFonts w:ascii="Arial" w:hAnsi="Arial" w:cs="Arial"/>
          <w:i/>
        </w:rPr>
      </w:pPr>
      <w:r w:rsidRPr="00B42233">
        <w:rPr>
          <w:rFonts w:ascii="Arial" w:hAnsi="Arial" w:cs="Arial"/>
          <w:i/>
        </w:rPr>
        <w:t>Consider best practices from across sectors (for example, governance arrangements) in devising how best to achieve the Agenda and Ambition in Financial Services.</w:t>
      </w:r>
    </w:p>
    <w:p w14:paraId="5A4CFC05" w14:textId="77777777" w:rsidR="007774AC" w:rsidRPr="001D17CC" w:rsidRDefault="007774AC" w:rsidP="007774AC">
      <w:pPr>
        <w:jc w:val="both"/>
        <w:rPr>
          <w:rFonts w:ascii="Arial" w:hAnsi="Arial" w:cs="Arial"/>
        </w:rPr>
      </w:pPr>
    </w:p>
    <w:p w14:paraId="5A4CFC06" w14:textId="77777777" w:rsidR="007774AC" w:rsidRPr="00C827D8" w:rsidRDefault="007774AC" w:rsidP="007774AC">
      <w:pPr>
        <w:pStyle w:val="Heading1"/>
        <w:numPr>
          <w:ilvl w:val="0"/>
          <w:numId w:val="34"/>
        </w:numPr>
        <w:jc w:val="both"/>
      </w:pPr>
      <w:bookmarkStart w:id="15" w:name="_Toc405906883"/>
      <w:r w:rsidRPr="009C5385">
        <w:t>Significance of Financial Services</w:t>
      </w:r>
      <w:bookmarkEnd w:id="15"/>
    </w:p>
    <w:p w14:paraId="5A4CFC07" w14:textId="77777777" w:rsidR="007774AC" w:rsidRPr="00A92D59" w:rsidRDefault="007774AC" w:rsidP="007774AC">
      <w:pPr>
        <w:jc w:val="both"/>
        <w:rPr>
          <w:rFonts w:ascii="Arial" w:hAnsi="Arial" w:cs="Arial"/>
        </w:rPr>
      </w:pPr>
    </w:p>
    <w:p w14:paraId="5A4CFC08" w14:textId="77777777" w:rsidR="007774AC" w:rsidRPr="00A92D59" w:rsidRDefault="007774AC" w:rsidP="007774AC">
      <w:pPr>
        <w:jc w:val="both"/>
        <w:rPr>
          <w:rFonts w:ascii="Arial" w:hAnsi="Arial" w:cs="Arial"/>
        </w:rPr>
      </w:pPr>
      <w:r w:rsidRPr="00A92D59">
        <w:rPr>
          <w:rFonts w:ascii="Arial" w:hAnsi="Arial" w:cs="Arial"/>
        </w:rPr>
        <w:t>Financial Services is a large, and growing, sector.  A snapshot of it can be found in the ‘State of the Industry 2014’ report produced by the Financial Services Council and UBS Global Asset Management (‘</w:t>
      </w:r>
      <w:proofErr w:type="spellStart"/>
      <w:r w:rsidRPr="00A92D59">
        <w:rPr>
          <w:rFonts w:ascii="Arial" w:hAnsi="Arial" w:cs="Arial"/>
        </w:rPr>
        <w:t>FSC</w:t>
      </w:r>
      <w:proofErr w:type="spellEnd"/>
      <w:r w:rsidRPr="00A92D59">
        <w:rPr>
          <w:rFonts w:ascii="Arial" w:hAnsi="Arial" w:cs="Arial"/>
        </w:rPr>
        <w:t xml:space="preserve"> State of the Industry Report’)</w:t>
      </w:r>
      <w:r w:rsidRPr="00A92D59">
        <w:rPr>
          <w:rStyle w:val="FootnoteReference"/>
          <w:rFonts w:ascii="Arial" w:hAnsi="Arial" w:cs="Arial"/>
        </w:rPr>
        <w:footnoteReference w:id="4"/>
      </w:r>
      <w:r>
        <w:rPr>
          <w:rFonts w:ascii="Arial" w:hAnsi="Arial" w:cs="Arial"/>
        </w:rPr>
        <w:t>.</w:t>
      </w:r>
      <w:r w:rsidRPr="00A92D59">
        <w:rPr>
          <w:rFonts w:ascii="Arial" w:hAnsi="Arial" w:cs="Arial"/>
        </w:rPr>
        <w:t xml:space="preserve">   It states that the sector contributes:</w:t>
      </w:r>
    </w:p>
    <w:p w14:paraId="5A4CFC09" w14:textId="77777777" w:rsidR="007774AC" w:rsidRPr="00A92D59" w:rsidRDefault="007774AC" w:rsidP="007774AC">
      <w:pPr>
        <w:jc w:val="both"/>
        <w:rPr>
          <w:rFonts w:ascii="Arial" w:hAnsi="Arial" w:cs="Arial"/>
        </w:rPr>
      </w:pPr>
    </w:p>
    <w:p w14:paraId="5A4CFC0A" w14:textId="77777777" w:rsidR="007774AC" w:rsidRPr="00A92D59" w:rsidRDefault="007774AC" w:rsidP="007774AC">
      <w:pPr>
        <w:pStyle w:val="ListParagraph"/>
        <w:numPr>
          <w:ilvl w:val="0"/>
          <w:numId w:val="8"/>
        </w:numPr>
        <w:jc w:val="both"/>
        <w:rPr>
          <w:rFonts w:ascii="Arial" w:hAnsi="Arial" w:cs="Arial"/>
        </w:rPr>
      </w:pPr>
      <w:r w:rsidRPr="00A92D59">
        <w:rPr>
          <w:rFonts w:ascii="Arial" w:hAnsi="Arial" w:cs="Arial"/>
        </w:rPr>
        <w:t>over $130 billion to the nation’s GDP each year</w:t>
      </w:r>
    </w:p>
    <w:p w14:paraId="5A4CFC0B" w14:textId="77777777" w:rsidR="007774AC" w:rsidRPr="00A92D59" w:rsidRDefault="007774AC" w:rsidP="007774AC">
      <w:pPr>
        <w:pStyle w:val="ListParagraph"/>
        <w:numPr>
          <w:ilvl w:val="0"/>
          <w:numId w:val="8"/>
        </w:numPr>
        <w:jc w:val="both"/>
        <w:rPr>
          <w:rFonts w:ascii="Arial" w:hAnsi="Arial" w:cs="Arial"/>
        </w:rPr>
      </w:pPr>
      <w:r w:rsidRPr="00A92D59">
        <w:rPr>
          <w:rFonts w:ascii="Arial" w:hAnsi="Arial" w:cs="Arial"/>
        </w:rPr>
        <w:t>11.15% of the Gross State Product for New South Wales</w:t>
      </w:r>
    </w:p>
    <w:p w14:paraId="5A4CFC0C" w14:textId="77777777" w:rsidR="007774AC" w:rsidRPr="00A92D59" w:rsidRDefault="007774AC" w:rsidP="007774AC">
      <w:pPr>
        <w:pStyle w:val="ListParagraph"/>
        <w:numPr>
          <w:ilvl w:val="0"/>
          <w:numId w:val="8"/>
        </w:numPr>
        <w:jc w:val="both"/>
        <w:rPr>
          <w:rFonts w:ascii="Arial" w:hAnsi="Arial" w:cs="Arial"/>
        </w:rPr>
      </w:pPr>
      <w:r w:rsidRPr="00A92D59">
        <w:rPr>
          <w:rFonts w:ascii="Arial" w:hAnsi="Arial" w:cs="Arial"/>
        </w:rPr>
        <w:t>employment for over 400,000 people</w:t>
      </w:r>
    </w:p>
    <w:p w14:paraId="5A4CFC0D" w14:textId="77777777" w:rsidR="007774AC" w:rsidRPr="00A92D59" w:rsidRDefault="007774AC" w:rsidP="007774AC">
      <w:pPr>
        <w:pStyle w:val="ListParagraph"/>
        <w:numPr>
          <w:ilvl w:val="0"/>
          <w:numId w:val="8"/>
        </w:numPr>
        <w:jc w:val="both"/>
        <w:rPr>
          <w:rFonts w:ascii="Arial" w:hAnsi="Arial" w:cs="Arial"/>
        </w:rPr>
      </w:pPr>
      <w:r w:rsidRPr="00A92D59">
        <w:rPr>
          <w:rFonts w:ascii="Arial" w:hAnsi="Arial" w:cs="Arial"/>
        </w:rPr>
        <w:t>more tax than any other sector – c. $20 billion per annum</w:t>
      </w:r>
      <w:r w:rsidRPr="00A92D59">
        <w:rPr>
          <w:rStyle w:val="FootnoteReference"/>
          <w:rFonts w:ascii="Arial" w:hAnsi="Arial" w:cs="Arial"/>
        </w:rPr>
        <w:footnoteReference w:id="5"/>
      </w:r>
    </w:p>
    <w:p w14:paraId="5A4CFC0E" w14:textId="77777777" w:rsidR="007774AC" w:rsidRPr="00A92D59" w:rsidRDefault="007774AC" w:rsidP="007774AC">
      <w:pPr>
        <w:pStyle w:val="ListParagraph"/>
        <w:jc w:val="both"/>
        <w:rPr>
          <w:rFonts w:ascii="Arial" w:hAnsi="Arial" w:cs="Arial"/>
        </w:rPr>
      </w:pPr>
    </w:p>
    <w:p w14:paraId="5A4CFC0F" w14:textId="77777777" w:rsidR="007774AC" w:rsidRPr="00A92D59" w:rsidRDefault="007774AC" w:rsidP="007774AC">
      <w:pPr>
        <w:jc w:val="both"/>
        <w:rPr>
          <w:rFonts w:ascii="Arial" w:hAnsi="Arial" w:cs="Arial"/>
        </w:rPr>
      </w:pPr>
      <w:r w:rsidRPr="00A92D59">
        <w:rPr>
          <w:rFonts w:ascii="Arial" w:hAnsi="Arial" w:cs="Arial"/>
        </w:rPr>
        <w:lastRenderedPageBreak/>
        <w:t xml:space="preserve">An account of </w:t>
      </w:r>
      <w:r>
        <w:rPr>
          <w:rFonts w:ascii="Arial" w:hAnsi="Arial" w:cs="Arial"/>
        </w:rPr>
        <w:t xml:space="preserve">the role of </w:t>
      </w:r>
      <w:r w:rsidRPr="00A92D59">
        <w:rPr>
          <w:rFonts w:ascii="Arial" w:hAnsi="Arial" w:cs="Arial"/>
        </w:rPr>
        <w:t>Financial Services</w:t>
      </w:r>
      <w:r>
        <w:rPr>
          <w:rFonts w:ascii="Arial" w:hAnsi="Arial" w:cs="Arial"/>
        </w:rPr>
        <w:t xml:space="preserve"> in contributing </w:t>
      </w:r>
      <w:r w:rsidRPr="00A92D59">
        <w:rPr>
          <w:rFonts w:ascii="Arial" w:hAnsi="Arial" w:cs="Arial"/>
        </w:rPr>
        <w:t>to the wellbeing of society is available in the Executive Summary of the Financial System Inquiry</w:t>
      </w:r>
      <w:r>
        <w:rPr>
          <w:rFonts w:ascii="Arial" w:hAnsi="Arial" w:cs="Arial"/>
        </w:rPr>
        <w:t xml:space="preserve"> (</w:t>
      </w:r>
      <w:proofErr w:type="spellStart"/>
      <w:r>
        <w:rPr>
          <w:rFonts w:ascii="Arial" w:hAnsi="Arial" w:cs="Arial"/>
        </w:rPr>
        <w:t>FSI</w:t>
      </w:r>
      <w:proofErr w:type="spellEnd"/>
      <w:r>
        <w:rPr>
          <w:rFonts w:ascii="Arial" w:hAnsi="Arial" w:cs="Arial"/>
        </w:rPr>
        <w:t>) Interim Report</w:t>
      </w:r>
      <w:r w:rsidRPr="00A92D59">
        <w:rPr>
          <w:rStyle w:val="FootnoteReference"/>
          <w:rFonts w:ascii="Arial" w:hAnsi="Arial" w:cs="Arial"/>
        </w:rPr>
        <w:footnoteReference w:id="6"/>
      </w:r>
      <w:r>
        <w:rPr>
          <w:rFonts w:ascii="Arial" w:hAnsi="Arial" w:cs="Arial"/>
        </w:rPr>
        <w:t xml:space="preserve"> and the Overview in the </w:t>
      </w:r>
      <w:proofErr w:type="spellStart"/>
      <w:r>
        <w:rPr>
          <w:rFonts w:ascii="Arial" w:hAnsi="Arial" w:cs="Arial"/>
        </w:rPr>
        <w:t>FSI</w:t>
      </w:r>
      <w:proofErr w:type="spellEnd"/>
      <w:r>
        <w:rPr>
          <w:rFonts w:ascii="Arial" w:hAnsi="Arial" w:cs="Arial"/>
        </w:rPr>
        <w:t xml:space="preserve"> Final Report</w:t>
      </w:r>
      <w:r w:rsidRPr="00A92D59">
        <w:rPr>
          <w:rFonts w:ascii="Arial" w:hAnsi="Arial" w:cs="Arial"/>
        </w:rPr>
        <w:t>.</w:t>
      </w:r>
      <w:r>
        <w:rPr>
          <w:rStyle w:val="FootnoteReference"/>
          <w:rFonts w:ascii="Arial" w:hAnsi="Arial" w:cs="Arial"/>
        </w:rPr>
        <w:footnoteReference w:id="7"/>
      </w:r>
      <w:r w:rsidRPr="00A92D59">
        <w:rPr>
          <w:rFonts w:ascii="Arial" w:hAnsi="Arial" w:cs="Arial"/>
        </w:rPr>
        <w:t xml:space="preserve"> </w:t>
      </w:r>
    </w:p>
    <w:p w14:paraId="5A4CFC10" w14:textId="77777777" w:rsidR="007774AC" w:rsidRPr="00A92D59" w:rsidRDefault="007774AC" w:rsidP="007774AC">
      <w:pPr>
        <w:jc w:val="both"/>
        <w:rPr>
          <w:rFonts w:ascii="Arial" w:hAnsi="Arial" w:cs="Arial"/>
        </w:rPr>
      </w:pPr>
    </w:p>
    <w:p w14:paraId="5A4CFC11" w14:textId="77777777" w:rsidR="007774AC" w:rsidRPr="00A92D59" w:rsidRDefault="007774AC" w:rsidP="007774AC">
      <w:pPr>
        <w:jc w:val="both"/>
        <w:rPr>
          <w:rFonts w:ascii="Arial" w:hAnsi="Arial" w:cs="Arial"/>
        </w:rPr>
      </w:pPr>
      <w:r w:rsidRPr="00A92D59">
        <w:rPr>
          <w:rFonts w:ascii="Arial" w:hAnsi="Arial" w:cs="Arial"/>
        </w:rPr>
        <w:t>The report ‘Building Australia’s Comparative Advantages’</w:t>
      </w:r>
      <w:r w:rsidRPr="00A92D59">
        <w:rPr>
          <w:rStyle w:val="FootnoteReference"/>
          <w:rFonts w:ascii="Arial" w:hAnsi="Arial" w:cs="Arial"/>
        </w:rPr>
        <w:footnoteReference w:id="8"/>
      </w:r>
      <w:r w:rsidRPr="00A92D59">
        <w:rPr>
          <w:rFonts w:ascii="Arial" w:hAnsi="Arial" w:cs="Arial"/>
        </w:rPr>
        <w:t xml:space="preserve"> prepared by the Business Council of Australia in conjunction with McKinsey, adopted </w:t>
      </w:r>
      <w:r>
        <w:rPr>
          <w:rFonts w:ascii="Arial" w:hAnsi="Arial" w:cs="Arial"/>
        </w:rPr>
        <w:t>particular measures to assess competitiveness of sectors</w:t>
      </w:r>
      <w:r w:rsidRPr="00A92D59">
        <w:rPr>
          <w:rFonts w:ascii="Arial" w:hAnsi="Arial" w:cs="Arial"/>
        </w:rPr>
        <w:t>: ‘…</w:t>
      </w:r>
      <w:r>
        <w:rPr>
          <w:rFonts w:ascii="Arial" w:hAnsi="Arial" w:cs="Arial"/>
        </w:rPr>
        <w:t xml:space="preserve">(the) </w:t>
      </w:r>
      <w:r w:rsidRPr="00A92D59">
        <w:rPr>
          <w:rFonts w:ascii="Arial" w:hAnsi="Arial" w:cs="Arial"/>
        </w:rPr>
        <w:t xml:space="preserve">measures (used) seek to identify the efficiency </w:t>
      </w:r>
      <w:r>
        <w:rPr>
          <w:rFonts w:ascii="Arial" w:hAnsi="Arial" w:cs="Arial"/>
        </w:rPr>
        <w:t xml:space="preserve">with </w:t>
      </w:r>
      <w:r w:rsidRPr="00A92D59">
        <w:rPr>
          <w:rFonts w:ascii="Arial" w:hAnsi="Arial" w:cs="Arial"/>
        </w:rPr>
        <w:t>which a sector produces outputs, and any cost advantages or disadvantages due to the costs of inputs from other sectors’.</w:t>
      </w:r>
      <w:r w:rsidRPr="00A92D59">
        <w:rPr>
          <w:rStyle w:val="FootnoteReference"/>
          <w:rFonts w:ascii="Arial" w:hAnsi="Arial" w:cs="Arial"/>
        </w:rPr>
        <w:footnoteReference w:id="9"/>
      </w:r>
      <w:r w:rsidRPr="00A92D59">
        <w:rPr>
          <w:rFonts w:ascii="Arial" w:hAnsi="Arial" w:cs="Arial"/>
        </w:rPr>
        <w:t xml:space="preserve"> The report indicates that, under the adopted methodology, only three of 12 industry sectors are competitive – agriculture, mining (including LNG), and finance. This evidence </w:t>
      </w:r>
      <w:r>
        <w:rPr>
          <w:rFonts w:ascii="Arial" w:hAnsi="Arial" w:cs="Arial"/>
        </w:rPr>
        <w:t>supports the contention that Financial Services</w:t>
      </w:r>
      <w:r w:rsidRPr="00A92D59">
        <w:rPr>
          <w:rFonts w:ascii="Arial" w:hAnsi="Arial" w:cs="Arial"/>
        </w:rPr>
        <w:t xml:space="preserve"> represents a real strength for the nation.</w:t>
      </w:r>
    </w:p>
    <w:p w14:paraId="5A4CFC12" w14:textId="77777777" w:rsidR="007774AC" w:rsidRPr="00A92D59" w:rsidRDefault="007774AC" w:rsidP="007774AC">
      <w:pPr>
        <w:jc w:val="both"/>
        <w:rPr>
          <w:rFonts w:ascii="Arial" w:hAnsi="Arial" w:cs="Arial"/>
        </w:rPr>
      </w:pPr>
    </w:p>
    <w:p w14:paraId="5A4CFC13" w14:textId="77777777" w:rsidR="007774AC" w:rsidRDefault="007774AC" w:rsidP="007774AC">
      <w:pPr>
        <w:jc w:val="both"/>
        <w:rPr>
          <w:rFonts w:ascii="Arial" w:hAnsi="Arial" w:cs="Arial"/>
        </w:rPr>
      </w:pPr>
      <w:r w:rsidRPr="00A92D59">
        <w:rPr>
          <w:rFonts w:ascii="Arial" w:hAnsi="Arial" w:cs="Arial"/>
        </w:rPr>
        <w:t>In recent years there has been much discussion about the opportunity for Australia to become a leading provider of financial services on the international scene.</w:t>
      </w:r>
      <w:r w:rsidRPr="00A92D59">
        <w:rPr>
          <w:rStyle w:val="FootnoteReference"/>
          <w:rFonts w:ascii="Arial" w:hAnsi="Arial" w:cs="Arial"/>
        </w:rPr>
        <w:footnoteReference w:id="10"/>
      </w:r>
      <w:r w:rsidRPr="00A92D59">
        <w:rPr>
          <w:rFonts w:ascii="Arial" w:hAnsi="Arial" w:cs="Arial"/>
        </w:rPr>
        <w:t xml:space="preserve">  For example, in 2014 the NSW Government has been very active in pursuit of its ambition to expand the sector and raise Sydney’s standing as a global financial </w:t>
      </w:r>
      <w:proofErr w:type="spellStart"/>
      <w:r w:rsidRPr="00A92D59">
        <w:rPr>
          <w:rFonts w:ascii="Arial" w:hAnsi="Arial" w:cs="Arial"/>
        </w:rPr>
        <w:t>centre</w:t>
      </w:r>
      <w:proofErr w:type="spellEnd"/>
      <w:r w:rsidRPr="00A92D59">
        <w:rPr>
          <w:rFonts w:ascii="Arial" w:hAnsi="Arial" w:cs="Arial"/>
        </w:rPr>
        <w:t xml:space="preserve">.  Such ambitions and related initiatives appear to be incongruent with the level of public funding and attention that the sector receives.  </w:t>
      </w:r>
    </w:p>
    <w:p w14:paraId="5A4CFC14" w14:textId="77777777" w:rsidR="007774AC" w:rsidRPr="00A92D59" w:rsidRDefault="007774AC" w:rsidP="007774AC">
      <w:pPr>
        <w:jc w:val="both"/>
        <w:rPr>
          <w:rFonts w:ascii="Arial" w:hAnsi="Arial" w:cs="Arial"/>
        </w:rPr>
      </w:pPr>
    </w:p>
    <w:p w14:paraId="5A4CFC15" w14:textId="77777777" w:rsidR="007774AC" w:rsidRDefault="007774AC" w:rsidP="007774AC">
      <w:pPr>
        <w:jc w:val="both"/>
        <w:rPr>
          <w:rFonts w:ascii="Arial" w:hAnsi="Arial" w:cs="Arial"/>
        </w:rPr>
      </w:pPr>
      <w:r w:rsidRPr="00A92D59">
        <w:rPr>
          <w:rFonts w:ascii="Arial" w:hAnsi="Arial" w:cs="Arial"/>
        </w:rPr>
        <w:t>Given the significance of Financial Services to the domestic economy, it is notable that the export of services remains low in relative and absolute terms.  In 2013, exports of financial and insurance services represented only 5.4% of the total of the country’s services exports.</w:t>
      </w:r>
      <w:r w:rsidRPr="00A92D59">
        <w:rPr>
          <w:rStyle w:val="FootnoteReference"/>
          <w:rFonts w:ascii="Arial" w:hAnsi="Arial" w:cs="Arial"/>
        </w:rPr>
        <w:footnoteReference w:id="11"/>
      </w:r>
      <w:r w:rsidRPr="00A92D59">
        <w:rPr>
          <w:rFonts w:ascii="Arial" w:hAnsi="Arial" w:cs="Arial"/>
        </w:rPr>
        <w:t xml:space="preserve">  An example of a sub-sector with good export growth prospects is funds management, being services related to investment management of assets within and outside the superannuation system.  A Deloitte Access Economics report</w:t>
      </w:r>
      <w:r w:rsidRPr="00A92D59">
        <w:rPr>
          <w:rStyle w:val="FootnoteReference"/>
          <w:rFonts w:ascii="Arial" w:hAnsi="Arial" w:cs="Arial"/>
        </w:rPr>
        <w:footnoteReference w:id="12"/>
      </w:r>
      <w:r w:rsidRPr="00A92D59">
        <w:rPr>
          <w:rFonts w:ascii="Arial" w:hAnsi="Arial" w:cs="Arial"/>
        </w:rPr>
        <w:t xml:space="preserve"> states that, of a total of $2.3 trillion in funds under management as at </w:t>
      </w:r>
      <w:r w:rsidRPr="00420304">
        <w:rPr>
          <w:rFonts w:ascii="Arial" w:hAnsi="Arial" w:cs="Arial"/>
        </w:rPr>
        <w:t xml:space="preserve">December </w:t>
      </w:r>
      <w:r w:rsidRPr="00A92D59">
        <w:rPr>
          <w:rFonts w:ascii="Arial" w:hAnsi="Arial" w:cs="Arial"/>
        </w:rPr>
        <w:t>2013, only $79.1 billion, or 3.5% of the total, represents funds managed by Australian investment managers on behalf of overseas investors</w:t>
      </w:r>
      <w:r>
        <w:rPr>
          <w:rFonts w:ascii="Arial" w:hAnsi="Arial" w:cs="Arial"/>
        </w:rPr>
        <w:t xml:space="preserve"> (data referenced was from the Australian Bureau of Statistics)</w:t>
      </w:r>
      <w:r w:rsidRPr="00A92D59">
        <w:rPr>
          <w:rFonts w:ascii="Arial" w:hAnsi="Arial" w:cs="Arial"/>
        </w:rPr>
        <w:t>. This level is surprisingly low given that Australia has the third largest pool of investment fund assets in the world.</w:t>
      </w:r>
      <w:r w:rsidRPr="00A92D59">
        <w:rPr>
          <w:rStyle w:val="FootnoteReference"/>
          <w:rFonts w:ascii="Arial" w:hAnsi="Arial" w:cs="Arial"/>
        </w:rPr>
        <w:footnoteReference w:id="13"/>
      </w:r>
      <w:r w:rsidRPr="00A92D59">
        <w:rPr>
          <w:rFonts w:ascii="Arial" w:hAnsi="Arial" w:cs="Arial"/>
        </w:rPr>
        <w:t xml:space="preserve"> </w:t>
      </w:r>
      <w:r>
        <w:rPr>
          <w:rFonts w:ascii="Arial" w:hAnsi="Arial" w:cs="Arial"/>
        </w:rPr>
        <w:t xml:space="preserve"> Reasons for this include issues with tax legislation and regulation of managed investment schemes. </w:t>
      </w:r>
    </w:p>
    <w:p w14:paraId="5A4CFC16" w14:textId="77777777" w:rsidR="007774AC" w:rsidRPr="00A92D59" w:rsidRDefault="007774AC" w:rsidP="007774AC">
      <w:pPr>
        <w:jc w:val="both"/>
        <w:rPr>
          <w:rFonts w:ascii="Arial" w:hAnsi="Arial" w:cs="Arial"/>
        </w:rPr>
      </w:pPr>
    </w:p>
    <w:p w14:paraId="5A4CFC17" w14:textId="77777777" w:rsidR="007774AC" w:rsidRPr="00A92D59" w:rsidRDefault="007774AC" w:rsidP="007774AC">
      <w:pPr>
        <w:jc w:val="both"/>
        <w:rPr>
          <w:rFonts w:ascii="Arial" w:hAnsi="Arial" w:cs="Arial"/>
        </w:rPr>
      </w:pPr>
      <w:r w:rsidRPr="00A92D59">
        <w:rPr>
          <w:rFonts w:ascii="Arial" w:hAnsi="Arial" w:cs="Arial"/>
        </w:rPr>
        <w:t xml:space="preserve">Opportunities in the funds management and other sub-sectors were articulated in the report commissioned by the Government ‘Australia as a Financial Centre – Building on Our Strengths’, by </w:t>
      </w:r>
      <w:r>
        <w:rPr>
          <w:rFonts w:ascii="Arial" w:hAnsi="Arial" w:cs="Arial"/>
        </w:rPr>
        <w:t xml:space="preserve">the </w:t>
      </w:r>
      <w:r w:rsidRPr="00A92D59">
        <w:rPr>
          <w:rFonts w:ascii="Arial" w:hAnsi="Arial" w:cs="Arial"/>
        </w:rPr>
        <w:t xml:space="preserve">Australian Financial Centre Forum, November 2009 (‘Johnson Report’). The Johnson </w:t>
      </w:r>
      <w:r>
        <w:rPr>
          <w:rFonts w:ascii="Arial" w:hAnsi="Arial" w:cs="Arial"/>
        </w:rPr>
        <w:t>R</w:t>
      </w:r>
      <w:r w:rsidRPr="00A92D59">
        <w:rPr>
          <w:rFonts w:ascii="Arial" w:hAnsi="Arial" w:cs="Arial"/>
        </w:rPr>
        <w:t xml:space="preserve">eport identified a number of policy initiatives </w:t>
      </w:r>
      <w:r w:rsidRPr="00A92D59">
        <w:rPr>
          <w:rFonts w:ascii="Arial" w:hAnsi="Arial" w:cs="Arial"/>
        </w:rPr>
        <w:lastRenderedPageBreak/>
        <w:t>which would assist Australia’s financial services sector to become the premier financial services sector within the Asia-Pacific region.  The main opportunities identified were:</w:t>
      </w:r>
    </w:p>
    <w:p w14:paraId="5A4CFC18" w14:textId="77777777" w:rsidR="007774AC" w:rsidRPr="00A92D59" w:rsidRDefault="007774AC" w:rsidP="007774AC">
      <w:pPr>
        <w:jc w:val="both"/>
        <w:rPr>
          <w:rFonts w:ascii="Arial" w:hAnsi="Arial" w:cs="Arial"/>
        </w:rPr>
      </w:pPr>
    </w:p>
    <w:p w14:paraId="5A4CFC19" w14:textId="77777777" w:rsidR="007774AC" w:rsidRPr="00A92D59" w:rsidRDefault="007774AC" w:rsidP="007774AC">
      <w:pPr>
        <w:pStyle w:val="ListParagraph"/>
        <w:numPr>
          <w:ilvl w:val="0"/>
          <w:numId w:val="5"/>
        </w:numPr>
        <w:jc w:val="both"/>
        <w:rPr>
          <w:rFonts w:ascii="Arial" w:hAnsi="Arial" w:cs="Arial"/>
        </w:rPr>
      </w:pPr>
      <w:r w:rsidRPr="00A92D59">
        <w:rPr>
          <w:rFonts w:ascii="Arial" w:hAnsi="Arial" w:cs="Arial"/>
        </w:rPr>
        <w:t xml:space="preserve">Increasing the size of the market e.g. via offshore banking units and </w:t>
      </w:r>
      <w:r>
        <w:rPr>
          <w:rFonts w:ascii="Arial" w:hAnsi="Arial" w:cs="Arial"/>
        </w:rPr>
        <w:t>improvement to the managed investment scheme regime and regulation</w:t>
      </w:r>
      <w:r w:rsidRPr="00A92D59">
        <w:rPr>
          <w:rFonts w:ascii="Arial" w:hAnsi="Arial" w:cs="Arial"/>
        </w:rPr>
        <w:t>;</w:t>
      </w:r>
    </w:p>
    <w:p w14:paraId="5A4CFC1A" w14:textId="77777777" w:rsidR="007774AC" w:rsidRPr="00A92D59" w:rsidRDefault="007774AC" w:rsidP="007774AC">
      <w:pPr>
        <w:pStyle w:val="ListParagraph"/>
        <w:numPr>
          <w:ilvl w:val="0"/>
          <w:numId w:val="5"/>
        </w:numPr>
        <w:jc w:val="both"/>
        <w:rPr>
          <w:rFonts w:ascii="Arial" w:hAnsi="Arial" w:cs="Arial"/>
        </w:rPr>
      </w:pPr>
      <w:r w:rsidRPr="00A92D59">
        <w:rPr>
          <w:rFonts w:ascii="Arial" w:hAnsi="Arial" w:cs="Arial"/>
        </w:rPr>
        <w:t>Improving access to capital e.g. by removing withholding tax on offshore borrowing and removing the LIBOR cap;</w:t>
      </w:r>
    </w:p>
    <w:p w14:paraId="5A4CFC1B" w14:textId="77777777" w:rsidR="007774AC" w:rsidRPr="00A92D59" w:rsidRDefault="007774AC" w:rsidP="007774AC">
      <w:pPr>
        <w:pStyle w:val="ListParagraph"/>
        <w:numPr>
          <w:ilvl w:val="0"/>
          <w:numId w:val="5"/>
        </w:numPr>
        <w:jc w:val="both"/>
        <w:rPr>
          <w:rFonts w:ascii="Arial" w:hAnsi="Arial" w:cs="Arial"/>
        </w:rPr>
      </w:pPr>
      <w:r w:rsidRPr="00A92D59">
        <w:rPr>
          <w:rFonts w:ascii="Arial" w:hAnsi="Arial" w:cs="Arial"/>
        </w:rPr>
        <w:t>Enhancing competition and efficiency using a range of initiatives to lower costs and increase choice for consumers and businesses;</w:t>
      </w:r>
    </w:p>
    <w:p w14:paraId="5A4CFC1C" w14:textId="77777777" w:rsidR="007774AC" w:rsidRPr="00A92D59" w:rsidRDefault="007774AC" w:rsidP="007774AC">
      <w:pPr>
        <w:pStyle w:val="ListParagraph"/>
        <w:numPr>
          <w:ilvl w:val="0"/>
          <w:numId w:val="5"/>
        </w:numPr>
        <w:jc w:val="both"/>
        <w:rPr>
          <w:rFonts w:ascii="Arial" w:hAnsi="Arial" w:cs="Arial"/>
        </w:rPr>
      </w:pPr>
      <w:r w:rsidRPr="00A92D59">
        <w:rPr>
          <w:rFonts w:ascii="Arial" w:hAnsi="Arial" w:cs="Arial"/>
        </w:rPr>
        <w:t>Maintaining best practice regulation;</w:t>
      </w:r>
    </w:p>
    <w:p w14:paraId="5A4CFC1D" w14:textId="77777777" w:rsidR="007774AC" w:rsidRPr="00A92D59" w:rsidRDefault="007774AC" w:rsidP="007774AC">
      <w:pPr>
        <w:pStyle w:val="ListParagraph"/>
        <w:numPr>
          <w:ilvl w:val="0"/>
          <w:numId w:val="5"/>
        </w:numPr>
        <w:jc w:val="both"/>
        <w:rPr>
          <w:rFonts w:ascii="Arial" w:hAnsi="Arial" w:cs="Arial"/>
        </w:rPr>
      </w:pPr>
      <w:r>
        <w:rPr>
          <w:rFonts w:ascii="Arial" w:hAnsi="Arial" w:cs="Arial"/>
        </w:rPr>
        <w:t>P</w:t>
      </w:r>
      <w:r w:rsidRPr="00A92D59">
        <w:rPr>
          <w:rFonts w:ascii="Arial" w:hAnsi="Arial" w:cs="Arial"/>
        </w:rPr>
        <w:t>ro</w:t>
      </w:r>
      <w:r>
        <w:rPr>
          <w:rFonts w:ascii="Arial" w:hAnsi="Arial" w:cs="Arial"/>
        </w:rPr>
        <w:t xml:space="preserve">moting Australia as a financial </w:t>
      </w:r>
      <w:proofErr w:type="spellStart"/>
      <w:r w:rsidRPr="00A92D59">
        <w:rPr>
          <w:rFonts w:ascii="Arial" w:hAnsi="Arial" w:cs="Arial"/>
        </w:rPr>
        <w:t>centre</w:t>
      </w:r>
      <w:proofErr w:type="spellEnd"/>
      <w:r w:rsidRPr="00A92D59">
        <w:rPr>
          <w:rFonts w:ascii="Arial" w:hAnsi="Arial" w:cs="Arial"/>
        </w:rPr>
        <w:t>;</w:t>
      </w:r>
    </w:p>
    <w:p w14:paraId="5A4CFC1E" w14:textId="77777777" w:rsidR="007774AC" w:rsidRPr="00A92D59" w:rsidRDefault="007774AC" w:rsidP="007774AC">
      <w:pPr>
        <w:pStyle w:val="ListParagraph"/>
        <w:numPr>
          <w:ilvl w:val="0"/>
          <w:numId w:val="5"/>
        </w:numPr>
        <w:jc w:val="both"/>
        <w:rPr>
          <w:rFonts w:ascii="Arial" w:hAnsi="Arial" w:cs="Arial"/>
        </w:rPr>
      </w:pPr>
      <w:r w:rsidRPr="00A92D59">
        <w:rPr>
          <w:rFonts w:ascii="Arial" w:hAnsi="Arial" w:cs="Arial"/>
        </w:rPr>
        <w:t>Strengthening government</w:t>
      </w:r>
      <w:r>
        <w:rPr>
          <w:rFonts w:ascii="Arial" w:hAnsi="Arial" w:cs="Arial"/>
        </w:rPr>
        <w:t xml:space="preserve"> </w:t>
      </w:r>
      <w:r w:rsidRPr="00A92D59">
        <w:rPr>
          <w:rFonts w:ascii="Arial" w:hAnsi="Arial" w:cs="Arial"/>
        </w:rPr>
        <w:t>- business partnership through the creation of a Financial Centre Task Force.</w:t>
      </w:r>
    </w:p>
    <w:p w14:paraId="5A4CFC1F" w14:textId="77777777" w:rsidR="007774AC" w:rsidRDefault="007774AC" w:rsidP="007774AC">
      <w:pPr>
        <w:jc w:val="both"/>
        <w:rPr>
          <w:rFonts w:ascii="Arial" w:hAnsi="Arial" w:cs="Arial"/>
        </w:rPr>
      </w:pPr>
    </w:p>
    <w:p w14:paraId="5A4CFC20" w14:textId="77777777" w:rsidR="007774AC" w:rsidRPr="00A92D59" w:rsidRDefault="007774AC" w:rsidP="007774AC">
      <w:pPr>
        <w:jc w:val="both"/>
        <w:rPr>
          <w:rFonts w:ascii="Arial" w:hAnsi="Arial" w:cs="Arial"/>
        </w:rPr>
      </w:pPr>
      <w:r>
        <w:rPr>
          <w:rFonts w:ascii="Arial" w:hAnsi="Arial" w:cs="Arial"/>
        </w:rPr>
        <w:t>Regarding the</w:t>
      </w:r>
      <w:r w:rsidRPr="00A92D59">
        <w:rPr>
          <w:rFonts w:ascii="Arial" w:hAnsi="Arial" w:cs="Arial"/>
        </w:rPr>
        <w:t xml:space="preserve"> opportunity </w:t>
      </w:r>
      <w:r>
        <w:rPr>
          <w:rFonts w:ascii="Arial" w:hAnsi="Arial" w:cs="Arial"/>
        </w:rPr>
        <w:t xml:space="preserve">to export </w:t>
      </w:r>
      <w:r w:rsidRPr="00A92D59">
        <w:rPr>
          <w:rFonts w:ascii="Arial" w:hAnsi="Arial" w:cs="Arial"/>
        </w:rPr>
        <w:t>funds management se</w:t>
      </w:r>
      <w:r>
        <w:rPr>
          <w:rFonts w:ascii="Arial" w:hAnsi="Arial" w:cs="Arial"/>
        </w:rPr>
        <w:t>rvices, an increase in i</w:t>
      </w:r>
      <w:r w:rsidRPr="00A92D59">
        <w:rPr>
          <w:rFonts w:ascii="Arial" w:hAnsi="Arial" w:cs="Arial"/>
        </w:rPr>
        <w:t xml:space="preserve">nvestment by overseas investors in Australian investment schemes expands domestically operated businesses </w:t>
      </w:r>
      <w:r>
        <w:rPr>
          <w:rFonts w:ascii="Arial" w:hAnsi="Arial" w:cs="Arial"/>
        </w:rPr>
        <w:t xml:space="preserve">and so </w:t>
      </w:r>
      <w:r w:rsidRPr="00A92D59">
        <w:rPr>
          <w:rFonts w:ascii="Arial" w:hAnsi="Arial" w:cs="Arial"/>
        </w:rPr>
        <w:t>helps to generate employment and tax revenue</w:t>
      </w:r>
      <w:r>
        <w:rPr>
          <w:rFonts w:ascii="Arial" w:hAnsi="Arial" w:cs="Arial"/>
        </w:rPr>
        <w:t xml:space="preserve">.  Although there is evidence of growth, there remain regulatory </w:t>
      </w:r>
      <w:r w:rsidRPr="00A92D59">
        <w:rPr>
          <w:rFonts w:ascii="Arial" w:hAnsi="Arial" w:cs="Arial"/>
        </w:rPr>
        <w:t>impediments</w:t>
      </w:r>
      <w:r>
        <w:rPr>
          <w:rFonts w:ascii="Arial" w:hAnsi="Arial" w:cs="Arial"/>
        </w:rPr>
        <w:t xml:space="preserve"> impeding expansion.</w:t>
      </w:r>
      <w:r>
        <w:rPr>
          <w:rStyle w:val="FootnoteReference"/>
          <w:rFonts w:ascii="Arial" w:hAnsi="Arial" w:cs="Arial"/>
        </w:rPr>
        <w:footnoteReference w:id="14"/>
      </w:r>
    </w:p>
    <w:p w14:paraId="5A4CFC21" w14:textId="77777777" w:rsidR="007774AC" w:rsidRDefault="007774AC" w:rsidP="007774AC">
      <w:pPr>
        <w:jc w:val="both"/>
        <w:rPr>
          <w:rFonts w:ascii="Arial" w:hAnsi="Arial" w:cs="Arial"/>
          <w:b/>
        </w:rPr>
      </w:pPr>
    </w:p>
    <w:p w14:paraId="5A4CFC22" w14:textId="77777777" w:rsidR="007774AC" w:rsidRDefault="007774AC" w:rsidP="007774AC">
      <w:pPr>
        <w:jc w:val="both"/>
        <w:rPr>
          <w:rFonts w:ascii="Arial" w:hAnsi="Arial" w:cs="Arial"/>
        </w:rPr>
      </w:pPr>
      <w:r>
        <w:rPr>
          <w:rFonts w:ascii="Arial" w:hAnsi="Arial" w:cs="Arial"/>
        </w:rPr>
        <w:t xml:space="preserve">To take advantage of opportunities in Financial Services requires collaborative effort between the government and private sectors including by implementing the necessary regulatory reform. Performance in this regard is widely regarded to have been poor. </w:t>
      </w:r>
    </w:p>
    <w:p w14:paraId="5A4CFC23" w14:textId="77777777" w:rsidR="007774AC" w:rsidRDefault="007774AC" w:rsidP="007774AC">
      <w:pPr>
        <w:jc w:val="both"/>
        <w:rPr>
          <w:rFonts w:ascii="Arial" w:hAnsi="Arial" w:cs="Arial"/>
        </w:rPr>
      </w:pPr>
    </w:p>
    <w:p w14:paraId="5A4CFC24" w14:textId="77777777" w:rsidR="007774AC" w:rsidRPr="00C827D8" w:rsidRDefault="007774AC" w:rsidP="007774AC">
      <w:pPr>
        <w:pStyle w:val="Heading1"/>
        <w:numPr>
          <w:ilvl w:val="0"/>
          <w:numId w:val="34"/>
        </w:numPr>
        <w:jc w:val="both"/>
      </w:pPr>
      <w:bookmarkStart w:id="16" w:name="_Toc405906884"/>
      <w:r w:rsidRPr="009C5385">
        <w:t>R</w:t>
      </w:r>
      <w:r w:rsidRPr="00DD7FA4">
        <w:t>&amp;D in Financial Services</w:t>
      </w:r>
      <w:bookmarkEnd w:id="16"/>
    </w:p>
    <w:p w14:paraId="5A4CFC25" w14:textId="77777777" w:rsidR="007774AC" w:rsidRPr="00A92D59" w:rsidRDefault="007774AC" w:rsidP="007774AC">
      <w:pPr>
        <w:jc w:val="both"/>
        <w:rPr>
          <w:rFonts w:ascii="Arial" w:hAnsi="Arial" w:cs="Arial"/>
        </w:rPr>
      </w:pPr>
    </w:p>
    <w:p w14:paraId="5A4CFC26" w14:textId="77777777" w:rsidR="007774AC" w:rsidRPr="00A92D59" w:rsidRDefault="007774AC" w:rsidP="007774AC">
      <w:pPr>
        <w:jc w:val="both"/>
        <w:rPr>
          <w:rFonts w:ascii="Arial" w:hAnsi="Arial" w:cs="Arial"/>
        </w:rPr>
      </w:pPr>
      <w:r w:rsidRPr="00A92D59">
        <w:rPr>
          <w:rFonts w:ascii="Arial" w:hAnsi="Arial" w:cs="Arial"/>
        </w:rPr>
        <w:t xml:space="preserve">As noted in the </w:t>
      </w:r>
      <w:r>
        <w:rPr>
          <w:rFonts w:ascii="Arial" w:hAnsi="Arial" w:cs="Arial"/>
        </w:rPr>
        <w:t xml:space="preserve">Consultation </w:t>
      </w:r>
      <w:r w:rsidRPr="00A92D59">
        <w:rPr>
          <w:rFonts w:ascii="Arial" w:hAnsi="Arial" w:cs="Arial"/>
        </w:rPr>
        <w:t>Paper, countries use a variety of measures to promote entrepreneurial activity and innovation.</w:t>
      </w:r>
      <w:r w:rsidRPr="00A92D59">
        <w:rPr>
          <w:rStyle w:val="FootnoteReference"/>
          <w:rFonts w:ascii="Arial" w:hAnsi="Arial" w:cs="Arial"/>
        </w:rPr>
        <w:footnoteReference w:id="15"/>
      </w:r>
      <w:r w:rsidRPr="00A92D59">
        <w:rPr>
          <w:rFonts w:ascii="Arial" w:hAnsi="Arial" w:cs="Arial"/>
        </w:rPr>
        <w:t xml:space="preserve"> In broad terms, public funding assistance to promote R&amp;D can be categorized as:</w:t>
      </w:r>
    </w:p>
    <w:p w14:paraId="5A4CFC27" w14:textId="77777777" w:rsidR="007774AC" w:rsidRPr="00A92D59" w:rsidRDefault="007774AC" w:rsidP="007774AC">
      <w:pPr>
        <w:jc w:val="both"/>
        <w:rPr>
          <w:rFonts w:ascii="Arial" w:hAnsi="Arial" w:cs="Arial"/>
        </w:rPr>
      </w:pPr>
    </w:p>
    <w:p w14:paraId="5A4CFC28" w14:textId="77777777" w:rsidR="007774AC" w:rsidRPr="00A92D59" w:rsidRDefault="007774AC" w:rsidP="007774AC">
      <w:pPr>
        <w:pStyle w:val="ListParagraph"/>
        <w:numPr>
          <w:ilvl w:val="0"/>
          <w:numId w:val="2"/>
        </w:numPr>
        <w:jc w:val="both"/>
        <w:rPr>
          <w:rFonts w:ascii="Arial" w:hAnsi="Arial" w:cs="Arial"/>
        </w:rPr>
      </w:pPr>
      <w:r w:rsidRPr="00A92D59">
        <w:rPr>
          <w:rFonts w:ascii="Arial" w:hAnsi="Arial" w:cs="Arial"/>
        </w:rPr>
        <w:t xml:space="preserve">direct funding, such as funding of </w:t>
      </w:r>
      <w:r>
        <w:rPr>
          <w:rFonts w:ascii="Arial" w:hAnsi="Arial" w:cs="Arial"/>
        </w:rPr>
        <w:t xml:space="preserve">research-oriented </w:t>
      </w:r>
      <w:proofErr w:type="spellStart"/>
      <w:r>
        <w:rPr>
          <w:rFonts w:ascii="Arial" w:hAnsi="Arial" w:cs="Arial"/>
        </w:rPr>
        <w:t>organisations</w:t>
      </w:r>
      <w:proofErr w:type="spellEnd"/>
      <w:r w:rsidRPr="00A92D59">
        <w:rPr>
          <w:rFonts w:ascii="Arial" w:hAnsi="Arial" w:cs="Arial"/>
        </w:rPr>
        <w:t xml:space="preserve"> </w:t>
      </w:r>
      <w:r>
        <w:rPr>
          <w:rFonts w:ascii="Arial" w:hAnsi="Arial" w:cs="Arial"/>
        </w:rPr>
        <w:t>(‘Research</w:t>
      </w:r>
      <w:r w:rsidRPr="00A92D59">
        <w:rPr>
          <w:rFonts w:ascii="Arial" w:hAnsi="Arial" w:cs="Arial"/>
        </w:rPr>
        <w:t xml:space="preserve"> Funding’)</w:t>
      </w:r>
    </w:p>
    <w:p w14:paraId="5A4CFC29" w14:textId="77777777" w:rsidR="007774AC" w:rsidRPr="00A92D59" w:rsidRDefault="007774AC" w:rsidP="007774AC">
      <w:pPr>
        <w:pStyle w:val="ListParagraph"/>
        <w:numPr>
          <w:ilvl w:val="0"/>
          <w:numId w:val="2"/>
        </w:numPr>
        <w:jc w:val="both"/>
        <w:rPr>
          <w:rFonts w:ascii="Arial" w:hAnsi="Arial" w:cs="Arial"/>
        </w:rPr>
      </w:pPr>
      <w:r w:rsidRPr="00A92D59">
        <w:rPr>
          <w:rFonts w:ascii="Arial" w:hAnsi="Arial" w:cs="Arial"/>
        </w:rPr>
        <w:t>the R&amp;D Tax Incentive available to the private sector</w:t>
      </w:r>
      <w:r>
        <w:rPr>
          <w:rFonts w:ascii="Arial" w:hAnsi="Arial" w:cs="Arial"/>
        </w:rPr>
        <w:t xml:space="preserve"> (‘R&amp;D Tax Incentive</w:t>
      </w:r>
      <w:r w:rsidRPr="00A92D59">
        <w:rPr>
          <w:rFonts w:ascii="Arial" w:hAnsi="Arial" w:cs="Arial"/>
        </w:rPr>
        <w:t>’)</w:t>
      </w:r>
    </w:p>
    <w:p w14:paraId="5A4CFC2A" w14:textId="77777777" w:rsidR="007774AC" w:rsidRDefault="007774AC" w:rsidP="007774AC">
      <w:pPr>
        <w:jc w:val="both"/>
        <w:rPr>
          <w:rFonts w:ascii="Arial" w:hAnsi="Arial" w:cs="Arial"/>
        </w:rPr>
      </w:pPr>
    </w:p>
    <w:p w14:paraId="5A4CFC2B" w14:textId="77777777" w:rsidR="007774AC" w:rsidRPr="00A92D59" w:rsidRDefault="007774AC" w:rsidP="007774AC">
      <w:pPr>
        <w:jc w:val="both"/>
        <w:rPr>
          <w:rFonts w:ascii="Arial" w:hAnsi="Arial" w:cs="Arial"/>
        </w:rPr>
      </w:pPr>
      <w:r w:rsidRPr="00A92D59">
        <w:rPr>
          <w:rFonts w:ascii="Arial" w:hAnsi="Arial" w:cs="Arial"/>
        </w:rPr>
        <w:t xml:space="preserve">The R&amp;D Tax Incentive is, according to the </w:t>
      </w:r>
      <w:r>
        <w:rPr>
          <w:rFonts w:ascii="Arial" w:hAnsi="Arial" w:cs="Arial"/>
        </w:rPr>
        <w:t xml:space="preserve">Consultation </w:t>
      </w:r>
      <w:r w:rsidRPr="00A92D59">
        <w:rPr>
          <w:rFonts w:ascii="Arial" w:hAnsi="Arial" w:cs="Arial"/>
        </w:rPr>
        <w:t xml:space="preserve">Paper, the </w:t>
      </w:r>
      <w:r w:rsidRPr="00A92D59">
        <w:rPr>
          <w:rFonts w:ascii="Arial" w:hAnsi="Arial" w:cs="Arial"/>
          <w:i/>
        </w:rPr>
        <w:t xml:space="preserve">only </w:t>
      </w:r>
      <w:r w:rsidRPr="00A92D59">
        <w:rPr>
          <w:rFonts w:ascii="Arial" w:hAnsi="Arial" w:cs="Arial"/>
        </w:rPr>
        <w:t>‘business innovation program’ of significant size</w:t>
      </w:r>
      <w:r w:rsidRPr="00A92D59">
        <w:rPr>
          <w:rStyle w:val="FootnoteReference"/>
          <w:rFonts w:ascii="Arial" w:hAnsi="Arial" w:cs="Arial"/>
        </w:rPr>
        <w:footnoteReference w:id="16"/>
      </w:r>
      <w:r w:rsidRPr="00A92D59">
        <w:rPr>
          <w:rFonts w:ascii="Arial" w:hAnsi="Arial" w:cs="Arial"/>
        </w:rPr>
        <w:t>.  The Paper notes that publicly funded research agencies mostly focus on medical and health sciences, engineering and biological sciences (together, representing 45% of the funding).</w:t>
      </w:r>
      <w:r w:rsidRPr="00A92D59">
        <w:rPr>
          <w:rStyle w:val="FootnoteReference"/>
          <w:rFonts w:ascii="Arial" w:hAnsi="Arial" w:cs="Arial"/>
        </w:rPr>
        <w:footnoteReference w:id="17"/>
      </w:r>
      <w:r w:rsidRPr="00A92D59">
        <w:rPr>
          <w:rFonts w:ascii="Arial" w:hAnsi="Arial" w:cs="Arial"/>
        </w:rPr>
        <w:t xml:space="preserve">  Following the same computation approach to that used in the </w:t>
      </w:r>
      <w:r>
        <w:rPr>
          <w:rFonts w:ascii="Arial" w:hAnsi="Arial" w:cs="Arial"/>
        </w:rPr>
        <w:t xml:space="preserve">Consultation </w:t>
      </w:r>
      <w:r w:rsidRPr="00A92D59">
        <w:rPr>
          <w:rFonts w:ascii="Arial" w:hAnsi="Arial" w:cs="Arial"/>
        </w:rPr>
        <w:t xml:space="preserve">Paper, it is determined </w:t>
      </w:r>
      <w:r w:rsidRPr="00A92D59">
        <w:rPr>
          <w:rFonts w:ascii="Arial" w:hAnsi="Arial" w:cs="Arial"/>
        </w:rPr>
        <w:lastRenderedPageBreak/>
        <w:t>that the field of Research, ‘Commerce, Management, Tourism and Services’, which comprises Financial Services, receives only 3% of public funding</w:t>
      </w:r>
      <w:r w:rsidRPr="00A92D59">
        <w:rPr>
          <w:rStyle w:val="FootnoteReference"/>
          <w:rFonts w:ascii="Arial" w:hAnsi="Arial" w:cs="Arial"/>
        </w:rPr>
        <w:footnoteReference w:id="18"/>
      </w:r>
      <w:r w:rsidRPr="00A92D59">
        <w:rPr>
          <w:rFonts w:ascii="Arial" w:hAnsi="Arial" w:cs="Arial"/>
        </w:rPr>
        <w:t>. It is unclear exactly what the level of publicly funded research is in the Financial Services sub-division; however it is believed to be very low in absolute and relative terms.  For example, the Australian Research Council received $</w:t>
      </w:r>
      <w:proofErr w:type="spellStart"/>
      <w:r w:rsidRPr="00A92D59">
        <w:rPr>
          <w:rFonts w:ascii="Arial" w:hAnsi="Arial" w:cs="Arial"/>
        </w:rPr>
        <w:t>879m</w:t>
      </w:r>
      <w:proofErr w:type="spellEnd"/>
      <w:r w:rsidRPr="00A92D59">
        <w:rPr>
          <w:rFonts w:ascii="Arial" w:hAnsi="Arial" w:cs="Arial"/>
        </w:rPr>
        <w:t xml:space="preserve"> (32%) of Higher Education funding in 2012-13, of which only 0.12% was awarded to projects relating to Banking, Finance and Investment.</w:t>
      </w:r>
    </w:p>
    <w:p w14:paraId="5A4CFC2C" w14:textId="77777777" w:rsidR="007774AC" w:rsidRPr="00A92D59" w:rsidRDefault="007774AC" w:rsidP="007774AC">
      <w:pPr>
        <w:jc w:val="both"/>
        <w:rPr>
          <w:rFonts w:ascii="Arial" w:hAnsi="Arial" w:cs="Arial"/>
        </w:rPr>
      </w:pPr>
    </w:p>
    <w:p w14:paraId="5A4CFC2D" w14:textId="77777777" w:rsidR="007774AC" w:rsidRPr="00A92D59" w:rsidRDefault="007774AC" w:rsidP="007774AC">
      <w:pPr>
        <w:jc w:val="both"/>
        <w:rPr>
          <w:rFonts w:ascii="Arial" w:hAnsi="Arial" w:cs="Arial"/>
        </w:rPr>
      </w:pPr>
      <w:r w:rsidRPr="00A92D59">
        <w:rPr>
          <w:rFonts w:ascii="Arial" w:hAnsi="Arial" w:cs="Arial"/>
        </w:rPr>
        <w:t xml:space="preserve">The </w:t>
      </w:r>
      <w:r>
        <w:rPr>
          <w:rFonts w:ascii="Arial" w:hAnsi="Arial" w:cs="Arial"/>
        </w:rPr>
        <w:t xml:space="preserve">Consultation </w:t>
      </w:r>
      <w:r w:rsidRPr="00A92D59">
        <w:rPr>
          <w:rFonts w:ascii="Arial" w:hAnsi="Arial" w:cs="Arial"/>
        </w:rPr>
        <w:t xml:space="preserve">Paper also refers to the government’s </w:t>
      </w:r>
      <w:proofErr w:type="spellStart"/>
      <w:r w:rsidRPr="00A92D59">
        <w:rPr>
          <w:rFonts w:ascii="Arial" w:hAnsi="Arial" w:cs="Arial"/>
        </w:rPr>
        <w:t>CRC</w:t>
      </w:r>
      <w:proofErr w:type="spellEnd"/>
      <w:r w:rsidRPr="00A92D59">
        <w:rPr>
          <w:rFonts w:ascii="Arial" w:hAnsi="Arial" w:cs="Arial"/>
        </w:rPr>
        <w:t xml:space="preserve"> program. Currently there are 36 active </w:t>
      </w:r>
      <w:proofErr w:type="spellStart"/>
      <w:r w:rsidRPr="00A92D59">
        <w:rPr>
          <w:rFonts w:ascii="Arial" w:hAnsi="Arial" w:cs="Arial"/>
        </w:rPr>
        <w:t>CRCs</w:t>
      </w:r>
      <w:proofErr w:type="spellEnd"/>
      <w:r w:rsidRPr="00A92D59">
        <w:rPr>
          <w:rFonts w:ascii="Arial" w:hAnsi="Arial" w:cs="Arial"/>
        </w:rPr>
        <w:t xml:space="preserve"> within four industries: Agriculture, Forestry and Fishing; Mining; Manufacturing; Services. In 2012-13 </w:t>
      </w:r>
      <w:proofErr w:type="spellStart"/>
      <w:r w:rsidRPr="00A92D59">
        <w:rPr>
          <w:rFonts w:ascii="Arial" w:hAnsi="Arial" w:cs="Arial"/>
        </w:rPr>
        <w:t>CRCs</w:t>
      </w:r>
      <w:proofErr w:type="spellEnd"/>
      <w:r w:rsidRPr="00A92D59">
        <w:rPr>
          <w:rFonts w:ascii="Arial" w:hAnsi="Arial" w:cs="Arial"/>
        </w:rPr>
        <w:t xml:space="preserve"> received $</w:t>
      </w:r>
      <w:proofErr w:type="spellStart"/>
      <w:r w:rsidRPr="00A92D59">
        <w:rPr>
          <w:rFonts w:ascii="Arial" w:hAnsi="Arial" w:cs="Arial"/>
        </w:rPr>
        <w:t>155.6m</w:t>
      </w:r>
      <w:proofErr w:type="spellEnd"/>
      <w:r w:rsidRPr="00A92D59">
        <w:rPr>
          <w:rFonts w:ascii="Arial" w:hAnsi="Arial" w:cs="Arial"/>
        </w:rPr>
        <w:t xml:space="preserve"> in funding, equivalent to only 1.6% of total support for research and innovation spending.</w:t>
      </w:r>
    </w:p>
    <w:p w14:paraId="5A4CFC2E" w14:textId="77777777" w:rsidR="007774AC" w:rsidRPr="00A92D59" w:rsidRDefault="007774AC" w:rsidP="007774AC">
      <w:pPr>
        <w:jc w:val="both"/>
        <w:rPr>
          <w:rFonts w:ascii="Arial" w:hAnsi="Arial" w:cs="Arial"/>
        </w:rPr>
      </w:pPr>
    </w:p>
    <w:p w14:paraId="5A4CFC2F" w14:textId="77777777" w:rsidR="007774AC" w:rsidRPr="00A92D59" w:rsidRDefault="007774AC" w:rsidP="007774AC">
      <w:pPr>
        <w:jc w:val="both"/>
        <w:rPr>
          <w:rFonts w:ascii="Arial" w:hAnsi="Arial" w:cs="Arial"/>
        </w:rPr>
      </w:pPr>
      <w:r w:rsidRPr="00A92D59">
        <w:rPr>
          <w:rFonts w:ascii="Arial" w:hAnsi="Arial" w:cs="Arial"/>
        </w:rPr>
        <w:t xml:space="preserve">There is only one </w:t>
      </w:r>
      <w:proofErr w:type="spellStart"/>
      <w:r w:rsidRPr="00A92D59">
        <w:rPr>
          <w:rFonts w:ascii="Arial" w:hAnsi="Arial" w:cs="Arial"/>
        </w:rPr>
        <w:t>CRC</w:t>
      </w:r>
      <w:proofErr w:type="spellEnd"/>
      <w:r w:rsidRPr="00A92D59">
        <w:rPr>
          <w:rFonts w:ascii="Arial" w:hAnsi="Arial" w:cs="Arial"/>
        </w:rPr>
        <w:t xml:space="preserve"> in Financial Services - the Capital Markets </w:t>
      </w:r>
      <w:proofErr w:type="spellStart"/>
      <w:r w:rsidRPr="00A92D59">
        <w:rPr>
          <w:rFonts w:ascii="Arial" w:hAnsi="Arial" w:cs="Arial"/>
        </w:rPr>
        <w:t>CRC</w:t>
      </w:r>
      <w:proofErr w:type="spellEnd"/>
      <w:r w:rsidRPr="00A92D59">
        <w:rPr>
          <w:rFonts w:ascii="Arial" w:hAnsi="Arial" w:cs="Arial"/>
        </w:rPr>
        <w:t xml:space="preserve"> (‘</w:t>
      </w:r>
      <w:proofErr w:type="spellStart"/>
      <w:r w:rsidRPr="00A92D59">
        <w:rPr>
          <w:rFonts w:ascii="Arial" w:hAnsi="Arial" w:cs="Arial"/>
        </w:rPr>
        <w:t>CMCRC</w:t>
      </w:r>
      <w:proofErr w:type="spellEnd"/>
      <w:r w:rsidRPr="00A92D59">
        <w:rPr>
          <w:rFonts w:ascii="Arial" w:hAnsi="Arial" w:cs="Arial"/>
        </w:rPr>
        <w:t xml:space="preserve">’). The </w:t>
      </w:r>
      <w:proofErr w:type="spellStart"/>
      <w:r w:rsidRPr="00A92D59">
        <w:rPr>
          <w:rFonts w:ascii="Arial" w:hAnsi="Arial" w:cs="Arial"/>
        </w:rPr>
        <w:t>CMCRC</w:t>
      </w:r>
      <w:proofErr w:type="spellEnd"/>
      <w:r w:rsidRPr="00A92D59">
        <w:rPr>
          <w:rFonts w:ascii="Arial" w:hAnsi="Arial" w:cs="Arial"/>
        </w:rPr>
        <w:t xml:space="preserve"> focuses on the quality and integrity of financial markets and recently has expanded into examining the health market. The </w:t>
      </w:r>
      <w:proofErr w:type="spellStart"/>
      <w:r w:rsidRPr="00A92D59">
        <w:rPr>
          <w:rFonts w:ascii="Arial" w:hAnsi="Arial" w:cs="Arial"/>
        </w:rPr>
        <w:t>CMCRC</w:t>
      </w:r>
      <w:proofErr w:type="spellEnd"/>
      <w:r w:rsidRPr="00A92D59">
        <w:rPr>
          <w:rFonts w:ascii="Arial" w:hAnsi="Arial" w:cs="Arial"/>
        </w:rPr>
        <w:t xml:space="preserve"> is widely regarded as being one of the most successful </w:t>
      </w:r>
      <w:proofErr w:type="spellStart"/>
      <w:r w:rsidRPr="00A92D59">
        <w:rPr>
          <w:rFonts w:ascii="Arial" w:hAnsi="Arial" w:cs="Arial"/>
        </w:rPr>
        <w:t>CRCs</w:t>
      </w:r>
      <w:proofErr w:type="spellEnd"/>
      <w:r w:rsidRPr="00A92D59">
        <w:rPr>
          <w:rFonts w:ascii="Arial" w:hAnsi="Arial" w:cs="Arial"/>
        </w:rPr>
        <w:t>.</w:t>
      </w:r>
      <w:r w:rsidRPr="00A92D59">
        <w:rPr>
          <w:rStyle w:val="FootnoteReference"/>
          <w:rFonts w:ascii="Arial" w:hAnsi="Arial" w:cs="Arial"/>
        </w:rPr>
        <w:footnoteReference w:id="19"/>
      </w:r>
      <w:r w:rsidRPr="00A92D59">
        <w:rPr>
          <w:rFonts w:ascii="Arial" w:hAnsi="Arial" w:cs="Arial"/>
        </w:rPr>
        <w:t xml:space="preserve"> </w:t>
      </w:r>
    </w:p>
    <w:p w14:paraId="5A4CFC30" w14:textId="77777777" w:rsidR="007774AC" w:rsidRPr="00A92D59" w:rsidRDefault="007774AC" w:rsidP="007774AC">
      <w:pPr>
        <w:jc w:val="both"/>
        <w:rPr>
          <w:rFonts w:ascii="Arial" w:hAnsi="Arial" w:cs="Arial"/>
        </w:rPr>
      </w:pPr>
    </w:p>
    <w:p w14:paraId="5A4CFC31" w14:textId="77777777" w:rsidR="007774AC" w:rsidRPr="00A92D59" w:rsidRDefault="007774AC" w:rsidP="007774AC">
      <w:pPr>
        <w:jc w:val="both"/>
        <w:rPr>
          <w:rFonts w:ascii="Arial" w:hAnsi="Arial" w:cs="Arial"/>
        </w:rPr>
      </w:pPr>
      <w:r w:rsidRPr="00A92D59">
        <w:rPr>
          <w:rFonts w:ascii="Arial" w:hAnsi="Arial" w:cs="Arial"/>
        </w:rPr>
        <w:t xml:space="preserve">The </w:t>
      </w:r>
      <w:r>
        <w:rPr>
          <w:rFonts w:ascii="Arial" w:hAnsi="Arial" w:cs="Arial"/>
        </w:rPr>
        <w:t xml:space="preserve">Consultation </w:t>
      </w:r>
      <w:r w:rsidRPr="00A92D59">
        <w:rPr>
          <w:rFonts w:ascii="Arial" w:hAnsi="Arial" w:cs="Arial"/>
        </w:rPr>
        <w:t>Paper refers to the financial and insurance services sector being one of the largest contributors to business R&amp;D expenditure in 2011/2012.</w:t>
      </w:r>
      <w:r w:rsidRPr="00A92D59">
        <w:rPr>
          <w:rStyle w:val="FootnoteReference"/>
          <w:rFonts w:ascii="Arial" w:hAnsi="Arial" w:cs="Arial"/>
        </w:rPr>
        <w:footnoteReference w:id="20"/>
      </w:r>
      <w:r w:rsidRPr="00A92D59">
        <w:rPr>
          <w:rFonts w:ascii="Arial" w:hAnsi="Arial" w:cs="Arial"/>
        </w:rPr>
        <w:t xml:space="preserve"> Various studies confirm the positive impact of business R&amp;D on productivity, such as those by </w:t>
      </w:r>
      <w:proofErr w:type="spellStart"/>
      <w:r w:rsidRPr="00A92D59">
        <w:rPr>
          <w:rFonts w:ascii="Arial" w:hAnsi="Arial" w:cs="Arial"/>
        </w:rPr>
        <w:t>Griliches</w:t>
      </w:r>
      <w:proofErr w:type="spellEnd"/>
      <w:r w:rsidRPr="00A92D59">
        <w:rPr>
          <w:rFonts w:ascii="Arial" w:hAnsi="Arial" w:cs="Arial"/>
        </w:rPr>
        <w:t xml:space="preserve"> (1998) and </w:t>
      </w:r>
      <w:proofErr w:type="spellStart"/>
      <w:r w:rsidRPr="00A92D59">
        <w:rPr>
          <w:rFonts w:ascii="Arial" w:hAnsi="Arial" w:cs="Arial"/>
        </w:rPr>
        <w:t>Nadiri</w:t>
      </w:r>
      <w:proofErr w:type="spellEnd"/>
      <w:r w:rsidRPr="00A92D59">
        <w:rPr>
          <w:rFonts w:ascii="Arial" w:hAnsi="Arial" w:cs="Arial"/>
        </w:rPr>
        <w:t xml:space="preserve"> (1993), however to our knowledge no study has been carried out in Australia with a focus on Financial Services.</w:t>
      </w:r>
      <w:r w:rsidRPr="00A92D59">
        <w:t xml:space="preserve"> </w:t>
      </w:r>
      <w:r w:rsidRPr="00A92D59">
        <w:rPr>
          <w:rStyle w:val="FootnoteReference"/>
        </w:rPr>
        <w:footnoteReference w:id="21"/>
      </w:r>
      <w:r w:rsidRPr="00A92D59">
        <w:t xml:space="preserve">  </w:t>
      </w:r>
    </w:p>
    <w:p w14:paraId="5A4CFC32" w14:textId="77777777" w:rsidR="007774AC" w:rsidRPr="00A92D59" w:rsidRDefault="007774AC" w:rsidP="007774AC">
      <w:pPr>
        <w:jc w:val="both"/>
        <w:rPr>
          <w:rFonts w:ascii="Arial" w:hAnsi="Arial" w:cs="Arial"/>
        </w:rPr>
      </w:pPr>
    </w:p>
    <w:p w14:paraId="5A4CFC33" w14:textId="77777777" w:rsidR="007774AC" w:rsidRPr="00C827D8" w:rsidRDefault="007774AC" w:rsidP="007774AC">
      <w:pPr>
        <w:pStyle w:val="Heading1"/>
        <w:numPr>
          <w:ilvl w:val="0"/>
          <w:numId w:val="34"/>
        </w:numPr>
        <w:jc w:val="both"/>
      </w:pPr>
      <w:bookmarkStart w:id="17" w:name="_Toc405906885"/>
      <w:r w:rsidRPr="009C5385">
        <w:t xml:space="preserve">What is the evidence as to </w:t>
      </w:r>
      <w:r w:rsidRPr="00DD7FA4">
        <w:t xml:space="preserve">the efficacy of </w:t>
      </w:r>
      <w:r>
        <w:t>Research Funding and the R&amp;D Tax Incentive</w:t>
      </w:r>
      <w:r w:rsidRPr="00DD7FA4">
        <w:t>?</w:t>
      </w:r>
      <w:bookmarkEnd w:id="17"/>
    </w:p>
    <w:p w14:paraId="5A4CFC34" w14:textId="77777777" w:rsidR="007774AC" w:rsidRPr="00A92D59" w:rsidRDefault="007774AC" w:rsidP="007774AC">
      <w:pPr>
        <w:jc w:val="both"/>
        <w:rPr>
          <w:rFonts w:ascii="Arial" w:hAnsi="Arial" w:cs="Arial"/>
          <w:b/>
        </w:rPr>
      </w:pPr>
    </w:p>
    <w:p w14:paraId="5A4CFC35" w14:textId="77777777" w:rsidR="007774AC" w:rsidRPr="00A92D59" w:rsidRDefault="007774AC" w:rsidP="007774AC">
      <w:pPr>
        <w:jc w:val="both"/>
        <w:rPr>
          <w:rFonts w:ascii="Arial" w:hAnsi="Arial" w:cs="Arial"/>
        </w:rPr>
      </w:pPr>
      <w:r w:rsidRPr="00A92D59">
        <w:rPr>
          <w:rFonts w:ascii="Arial" w:hAnsi="Arial" w:cs="Arial"/>
        </w:rPr>
        <w:t xml:space="preserve">In evaluating policy settings, evidence of the efficacy of the </w:t>
      </w:r>
      <w:r>
        <w:rPr>
          <w:rFonts w:ascii="Arial" w:hAnsi="Arial" w:cs="Arial"/>
        </w:rPr>
        <w:t xml:space="preserve">existing funding mechanisms </w:t>
      </w:r>
      <w:r w:rsidRPr="00A92D59">
        <w:rPr>
          <w:rFonts w:ascii="Arial" w:hAnsi="Arial" w:cs="Arial"/>
        </w:rPr>
        <w:t>ought to be fully considered.</w:t>
      </w:r>
    </w:p>
    <w:p w14:paraId="5A4CFC36" w14:textId="77777777" w:rsidR="007774AC" w:rsidRPr="00A92D59" w:rsidRDefault="007774AC" w:rsidP="007774AC">
      <w:pPr>
        <w:jc w:val="both"/>
        <w:rPr>
          <w:rFonts w:ascii="Arial" w:hAnsi="Arial" w:cs="Arial"/>
        </w:rPr>
      </w:pPr>
    </w:p>
    <w:p w14:paraId="5A4CFC37" w14:textId="77777777" w:rsidR="007774AC" w:rsidRPr="00A92D59" w:rsidRDefault="007774AC" w:rsidP="007774AC">
      <w:pPr>
        <w:jc w:val="both"/>
        <w:rPr>
          <w:rFonts w:ascii="Arial" w:hAnsi="Arial" w:cs="Arial"/>
        </w:rPr>
      </w:pPr>
      <w:r w:rsidRPr="00A92D59">
        <w:rPr>
          <w:rFonts w:ascii="Arial" w:hAnsi="Arial" w:cs="Arial"/>
        </w:rPr>
        <w:t>A comprehensive study has been undertaken in 2014 to examine</w:t>
      </w:r>
      <w:r>
        <w:rPr>
          <w:rFonts w:ascii="Arial" w:hAnsi="Arial" w:cs="Arial"/>
        </w:rPr>
        <w:t xml:space="preserve"> this topic.</w:t>
      </w:r>
      <w:r w:rsidRPr="00A92D59">
        <w:rPr>
          <w:rFonts w:ascii="Arial" w:hAnsi="Arial" w:cs="Arial"/>
        </w:rPr>
        <w:t xml:space="preserve"> Academics Kevin Fox and Amani </w:t>
      </w:r>
      <w:proofErr w:type="spellStart"/>
      <w:r w:rsidRPr="00A92D59">
        <w:rPr>
          <w:rFonts w:ascii="Arial" w:hAnsi="Arial" w:cs="Arial"/>
        </w:rPr>
        <w:t>Elnasri</w:t>
      </w:r>
      <w:proofErr w:type="spellEnd"/>
      <w:r w:rsidRPr="00A92D59">
        <w:rPr>
          <w:rFonts w:ascii="Arial" w:hAnsi="Arial" w:cs="Arial"/>
        </w:rPr>
        <w:t xml:space="preserve"> of </w:t>
      </w:r>
      <w:proofErr w:type="spellStart"/>
      <w:r w:rsidRPr="00A92D59">
        <w:rPr>
          <w:rFonts w:ascii="Arial" w:hAnsi="Arial" w:cs="Arial"/>
        </w:rPr>
        <w:t>UNSW</w:t>
      </w:r>
      <w:proofErr w:type="spellEnd"/>
      <w:r w:rsidRPr="00A92D59">
        <w:rPr>
          <w:rFonts w:ascii="Arial" w:hAnsi="Arial" w:cs="Arial"/>
        </w:rPr>
        <w:t xml:space="preserve"> Australia</w:t>
      </w:r>
      <w:r>
        <w:rPr>
          <w:rFonts w:ascii="Arial" w:hAnsi="Arial" w:cs="Arial"/>
        </w:rPr>
        <w:t xml:space="preserve"> completed a study titled ‘The Contribution of Research and Innovation to Productivity and Economic Growth’</w:t>
      </w:r>
      <w:r w:rsidRPr="00A92D59">
        <w:rPr>
          <w:rStyle w:val="FootnoteReference"/>
          <w:rFonts w:ascii="Arial" w:hAnsi="Arial" w:cs="Arial"/>
        </w:rPr>
        <w:footnoteReference w:id="22"/>
      </w:r>
      <w:r w:rsidRPr="00A92D59">
        <w:rPr>
          <w:rFonts w:ascii="Arial" w:hAnsi="Arial" w:cs="Arial"/>
        </w:rPr>
        <w:t xml:space="preserve"> </w:t>
      </w:r>
      <w:r>
        <w:rPr>
          <w:rFonts w:ascii="Arial" w:hAnsi="Arial" w:cs="Arial"/>
        </w:rPr>
        <w:t xml:space="preserve">(the ‘Fox and </w:t>
      </w:r>
      <w:proofErr w:type="spellStart"/>
      <w:r w:rsidRPr="00A92D59">
        <w:rPr>
          <w:rFonts w:ascii="Arial" w:hAnsi="Arial" w:cs="Arial"/>
        </w:rPr>
        <w:t>Elnasri</w:t>
      </w:r>
      <w:proofErr w:type="spellEnd"/>
      <w:r w:rsidRPr="005F501E">
        <w:t xml:space="preserve"> </w:t>
      </w:r>
      <w:r>
        <w:rPr>
          <w:rFonts w:ascii="Arial" w:hAnsi="Arial" w:cs="Arial"/>
        </w:rPr>
        <w:t xml:space="preserve">Paper’) </w:t>
      </w:r>
      <w:r w:rsidRPr="00A92D59">
        <w:rPr>
          <w:rFonts w:ascii="Arial" w:hAnsi="Arial" w:cs="Arial"/>
        </w:rPr>
        <w:t>as part of a program of work undertaken by the Australian Council of the Learned Academies to examine ‘The Role of Science, Research and Technology in Lifting Australia’s Productivity</w:t>
      </w:r>
      <w:r>
        <w:rPr>
          <w:rFonts w:ascii="Arial" w:hAnsi="Arial" w:cs="Arial"/>
        </w:rPr>
        <w:t>’</w:t>
      </w:r>
      <w:r w:rsidRPr="00A92D59">
        <w:rPr>
          <w:rStyle w:val="FootnoteReference"/>
          <w:rFonts w:ascii="Arial" w:hAnsi="Arial" w:cs="Arial"/>
        </w:rPr>
        <w:footnoteReference w:id="23"/>
      </w:r>
      <w:r w:rsidRPr="00A92D59">
        <w:rPr>
          <w:rFonts w:ascii="Arial" w:hAnsi="Arial" w:cs="Arial"/>
        </w:rPr>
        <w:t xml:space="preserve"> The authors relied on </w:t>
      </w:r>
      <w:r w:rsidRPr="00A92D59">
        <w:rPr>
          <w:rFonts w:ascii="Arial" w:hAnsi="Arial" w:cs="Arial"/>
        </w:rPr>
        <w:lastRenderedPageBreak/>
        <w:t>data on intangible investment provided by the Productivity Commission and the Melbourne Institute.</w:t>
      </w:r>
    </w:p>
    <w:p w14:paraId="5A4CFC38" w14:textId="77777777" w:rsidR="007774AC" w:rsidRPr="00A92D59" w:rsidRDefault="007774AC" w:rsidP="007774AC">
      <w:pPr>
        <w:jc w:val="both"/>
        <w:rPr>
          <w:rFonts w:ascii="Arial" w:hAnsi="Arial" w:cs="Arial"/>
        </w:rPr>
      </w:pPr>
    </w:p>
    <w:p w14:paraId="5A4CFC39" w14:textId="77777777" w:rsidR="007774AC" w:rsidRPr="00A92D59" w:rsidRDefault="007774AC" w:rsidP="007774AC">
      <w:pPr>
        <w:jc w:val="both"/>
        <w:rPr>
          <w:rFonts w:ascii="Arial" w:hAnsi="Arial" w:cs="Arial"/>
        </w:rPr>
      </w:pPr>
      <w:r w:rsidRPr="00A92D59">
        <w:rPr>
          <w:rFonts w:ascii="Arial" w:hAnsi="Arial" w:cs="Arial"/>
        </w:rPr>
        <w:t xml:space="preserve">Fox and </w:t>
      </w:r>
      <w:proofErr w:type="spellStart"/>
      <w:r w:rsidRPr="003207BF">
        <w:rPr>
          <w:rFonts w:ascii="Arial" w:hAnsi="Arial" w:cs="Arial"/>
        </w:rPr>
        <w:t>Elnasri</w:t>
      </w:r>
      <w:proofErr w:type="spellEnd"/>
      <w:r w:rsidRPr="003207BF">
        <w:rPr>
          <w:rFonts w:ascii="Arial" w:hAnsi="Arial" w:cs="Arial"/>
        </w:rPr>
        <w:t xml:space="preserve"> </w:t>
      </w:r>
      <w:r w:rsidRPr="00A92D59">
        <w:rPr>
          <w:rFonts w:ascii="Arial" w:hAnsi="Arial" w:cs="Arial"/>
        </w:rPr>
        <w:t>examined the role of public support for research and innovation</w:t>
      </w:r>
      <w:r>
        <w:rPr>
          <w:rFonts w:ascii="Arial" w:hAnsi="Arial" w:cs="Arial"/>
        </w:rPr>
        <w:t xml:space="preserve"> and concluded</w:t>
      </w:r>
      <w:r w:rsidRPr="00A92D59">
        <w:rPr>
          <w:rFonts w:ascii="Arial" w:hAnsi="Arial" w:cs="Arial"/>
        </w:rPr>
        <w:t xml:space="preserve"> that:</w:t>
      </w:r>
    </w:p>
    <w:p w14:paraId="5A4CFC3A" w14:textId="77777777" w:rsidR="007774AC" w:rsidRPr="00A92D59" w:rsidRDefault="007774AC" w:rsidP="007774AC">
      <w:pPr>
        <w:jc w:val="both"/>
        <w:rPr>
          <w:rFonts w:ascii="Arial" w:hAnsi="Arial" w:cs="Arial"/>
        </w:rPr>
      </w:pPr>
    </w:p>
    <w:p w14:paraId="5A4CFC3B" w14:textId="77777777" w:rsidR="007774AC" w:rsidRPr="00A92D59" w:rsidRDefault="007774AC" w:rsidP="007774AC">
      <w:pPr>
        <w:pStyle w:val="ListParagraph"/>
        <w:numPr>
          <w:ilvl w:val="0"/>
          <w:numId w:val="1"/>
        </w:numPr>
        <w:jc w:val="both"/>
        <w:rPr>
          <w:rFonts w:ascii="Arial" w:hAnsi="Arial" w:cs="Arial"/>
        </w:rPr>
      </w:pPr>
      <w:r w:rsidRPr="00A92D59">
        <w:rPr>
          <w:rFonts w:ascii="Arial" w:hAnsi="Arial" w:cs="Arial"/>
        </w:rPr>
        <w:t xml:space="preserve">there is empirical evidence indicating </w:t>
      </w:r>
      <w:r>
        <w:rPr>
          <w:rFonts w:ascii="Arial" w:hAnsi="Arial" w:cs="Arial"/>
        </w:rPr>
        <w:t xml:space="preserve">that </w:t>
      </w:r>
      <w:r w:rsidRPr="00A92D59">
        <w:rPr>
          <w:rFonts w:ascii="Arial" w:hAnsi="Arial" w:cs="Arial"/>
        </w:rPr>
        <w:t>there are significant benefits to productivity from public spending on research agencies and higher education</w:t>
      </w:r>
      <w:r>
        <w:rPr>
          <w:rFonts w:ascii="Arial" w:hAnsi="Arial" w:cs="Arial"/>
        </w:rPr>
        <w:t xml:space="preserve"> (</w:t>
      </w:r>
      <w:proofErr w:type="spellStart"/>
      <w:r w:rsidRPr="003207BF">
        <w:rPr>
          <w:rFonts w:ascii="Arial" w:hAnsi="Arial" w:cs="Arial"/>
        </w:rPr>
        <w:t>Elnasri</w:t>
      </w:r>
      <w:proofErr w:type="spellEnd"/>
      <w:r w:rsidRPr="003207BF">
        <w:rPr>
          <w:rFonts w:ascii="Arial" w:hAnsi="Arial" w:cs="Arial"/>
        </w:rPr>
        <w:t xml:space="preserve"> </w:t>
      </w:r>
      <w:r>
        <w:rPr>
          <w:rFonts w:ascii="Arial" w:hAnsi="Arial" w:cs="Arial"/>
        </w:rPr>
        <w:t>and Fox use the term ‘research agencies’ to mean public sector research agencies such as the CSIRO); and</w:t>
      </w:r>
    </w:p>
    <w:p w14:paraId="5A4CFC3C" w14:textId="77777777" w:rsidR="007774AC" w:rsidRPr="00A92D59" w:rsidRDefault="007774AC" w:rsidP="007774AC">
      <w:pPr>
        <w:pStyle w:val="ListParagraph"/>
        <w:numPr>
          <w:ilvl w:val="0"/>
          <w:numId w:val="1"/>
        </w:numPr>
        <w:jc w:val="both"/>
        <w:rPr>
          <w:rFonts w:ascii="Arial" w:hAnsi="Arial" w:cs="Arial"/>
        </w:rPr>
      </w:pPr>
      <w:proofErr w:type="gramStart"/>
      <w:r w:rsidRPr="00A92D59">
        <w:rPr>
          <w:rFonts w:ascii="Arial" w:hAnsi="Arial" w:cs="Arial"/>
        </w:rPr>
        <w:t>no</w:t>
      </w:r>
      <w:proofErr w:type="gramEnd"/>
      <w:r w:rsidRPr="00A92D59">
        <w:rPr>
          <w:rFonts w:ascii="Arial" w:hAnsi="Arial" w:cs="Arial"/>
        </w:rPr>
        <w:t xml:space="preserve"> evidence was found to indicate </w:t>
      </w:r>
      <w:r>
        <w:rPr>
          <w:rFonts w:ascii="Arial" w:hAnsi="Arial" w:cs="Arial"/>
        </w:rPr>
        <w:t xml:space="preserve">that </w:t>
      </w:r>
      <w:r w:rsidRPr="00A92D59">
        <w:rPr>
          <w:rFonts w:ascii="Arial" w:hAnsi="Arial" w:cs="Arial"/>
        </w:rPr>
        <w:t>there are significant benefits from the</w:t>
      </w:r>
      <w:r>
        <w:rPr>
          <w:rFonts w:ascii="Arial" w:hAnsi="Arial" w:cs="Arial"/>
        </w:rPr>
        <w:t xml:space="preserve"> R&amp;D Tax Incentive.</w:t>
      </w:r>
    </w:p>
    <w:p w14:paraId="5A4CFC3D" w14:textId="77777777" w:rsidR="007774AC" w:rsidRPr="00A92D59" w:rsidRDefault="007774AC" w:rsidP="007774AC">
      <w:pPr>
        <w:jc w:val="both"/>
        <w:rPr>
          <w:rFonts w:ascii="Arial" w:hAnsi="Arial" w:cs="Arial"/>
        </w:rPr>
      </w:pPr>
    </w:p>
    <w:p w14:paraId="5A4CFC3E" w14:textId="77777777" w:rsidR="007774AC" w:rsidRPr="00A92D59" w:rsidRDefault="007774AC" w:rsidP="007774AC">
      <w:pPr>
        <w:jc w:val="both"/>
        <w:rPr>
          <w:rFonts w:ascii="Arial" w:hAnsi="Arial" w:cs="Arial"/>
        </w:rPr>
      </w:pPr>
      <w:r w:rsidRPr="00A92D59">
        <w:rPr>
          <w:rFonts w:ascii="Arial" w:hAnsi="Arial" w:cs="Arial"/>
        </w:rPr>
        <w:t>The authors also examined the evidence available in relation to the United Kingdom and concluded that it suggests that ‘…for maximum productivity impact in the U.K., government innovation policy should support direct spending on research councils rather than tax breaks, such as the R&amp;D tax credit, to firms.’</w:t>
      </w:r>
      <w:r w:rsidRPr="00A92D59">
        <w:rPr>
          <w:rStyle w:val="FootnoteReference"/>
          <w:rFonts w:ascii="Arial" w:hAnsi="Arial" w:cs="Arial"/>
        </w:rPr>
        <w:footnoteReference w:id="24"/>
      </w:r>
    </w:p>
    <w:p w14:paraId="5A4CFC3F" w14:textId="77777777" w:rsidR="007774AC" w:rsidRPr="00A92D59" w:rsidRDefault="007774AC" w:rsidP="007774AC">
      <w:pPr>
        <w:jc w:val="both"/>
        <w:rPr>
          <w:rFonts w:ascii="Arial" w:hAnsi="Arial" w:cs="Arial"/>
        </w:rPr>
      </w:pPr>
    </w:p>
    <w:p w14:paraId="5A4CFC40" w14:textId="77777777" w:rsidR="007774AC" w:rsidRPr="00A92D59" w:rsidRDefault="007774AC" w:rsidP="007774AC">
      <w:pPr>
        <w:jc w:val="both"/>
        <w:rPr>
          <w:rFonts w:ascii="Arial" w:hAnsi="Arial" w:cs="Arial"/>
        </w:rPr>
      </w:pPr>
      <w:r w:rsidRPr="00A92D59">
        <w:rPr>
          <w:rFonts w:ascii="Arial" w:hAnsi="Arial" w:cs="Arial"/>
        </w:rPr>
        <w:t>The authors note that ‘whether or not public support for research and innovation should focus on direct spending on public research institutions…funding of higher education…or provide indirect support to the business sector…is crucial to informing and designing effective policy.’</w:t>
      </w:r>
      <w:r w:rsidRPr="00A92D59">
        <w:rPr>
          <w:rStyle w:val="FootnoteReference"/>
          <w:rFonts w:ascii="Arial" w:hAnsi="Arial" w:cs="Arial"/>
        </w:rPr>
        <w:footnoteReference w:id="25"/>
      </w:r>
      <w:r w:rsidRPr="00A92D59">
        <w:rPr>
          <w:rFonts w:ascii="Arial" w:hAnsi="Arial" w:cs="Arial"/>
        </w:rPr>
        <w:t xml:space="preserve"> </w:t>
      </w:r>
    </w:p>
    <w:p w14:paraId="5A4CFC41" w14:textId="77777777" w:rsidR="007774AC" w:rsidRPr="00A92D59" w:rsidRDefault="007774AC" w:rsidP="007774AC">
      <w:pPr>
        <w:jc w:val="both"/>
        <w:rPr>
          <w:rFonts w:ascii="Arial" w:hAnsi="Arial" w:cs="Arial"/>
        </w:rPr>
      </w:pPr>
    </w:p>
    <w:p w14:paraId="5A4CFC42" w14:textId="77777777" w:rsidR="007774AC" w:rsidRPr="00A92D59" w:rsidRDefault="007774AC" w:rsidP="007774AC">
      <w:pPr>
        <w:jc w:val="both"/>
        <w:rPr>
          <w:rFonts w:ascii="Arial" w:hAnsi="Arial" w:cs="Arial"/>
        </w:rPr>
      </w:pPr>
      <w:r w:rsidRPr="00A92D59">
        <w:rPr>
          <w:rFonts w:ascii="Arial" w:hAnsi="Arial" w:cs="Arial"/>
        </w:rPr>
        <w:t xml:space="preserve">Whilst we acknowledge that </w:t>
      </w:r>
      <w:r>
        <w:rPr>
          <w:rFonts w:ascii="Arial" w:hAnsi="Arial" w:cs="Arial"/>
        </w:rPr>
        <w:t xml:space="preserve">it is challenging to assess the efficacy </w:t>
      </w:r>
      <w:r w:rsidRPr="00A92D59">
        <w:rPr>
          <w:rFonts w:ascii="Arial" w:hAnsi="Arial" w:cs="Arial"/>
        </w:rPr>
        <w:t xml:space="preserve">of a </w:t>
      </w:r>
      <w:r>
        <w:rPr>
          <w:rFonts w:ascii="Arial" w:hAnsi="Arial" w:cs="Arial"/>
        </w:rPr>
        <w:t>funding</w:t>
      </w:r>
      <w:r w:rsidRPr="00A92D59">
        <w:rPr>
          <w:rFonts w:ascii="Arial" w:hAnsi="Arial" w:cs="Arial"/>
        </w:rPr>
        <w:t xml:space="preserve"> program </w:t>
      </w:r>
      <w:r>
        <w:rPr>
          <w:rFonts w:ascii="Arial" w:hAnsi="Arial" w:cs="Arial"/>
        </w:rPr>
        <w:t xml:space="preserve">/ mechanism, </w:t>
      </w:r>
      <w:r w:rsidRPr="00A92D59">
        <w:rPr>
          <w:rFonts w:ascii="Arial" w:hAnsi="Arial" w:cs="Arial"/>
        </w:rPr>
        <w:t xml:space="preserve">the evidence does point to </w:t>
      </w:r>
      <w:r>
        <w:rPr>
          <w:rFonts w:ascii="Arial" w:hAnsi="Arial" w:cs="Arial"/>
        </w:rPr>
        <w:t xml:space="preserve">Research </w:t>
      </w:r>
      <w:r w:rsidRPr="00A92D59">
        <w:rPr>
          <w:rFonts w:ascii="Arial" w:hAnsi="Arial" w:cs="Arial"/>
        </w:rPr>
        <w:t xml:space="preserve">Funding having a </w:t>
      </w:r>
      <w:r>
        <w:rPr>
          <w:rFonts w:ascii="Arial" w:hAnsi="Arial" w:cs="Arial"/>
        </w:rPr>
        <w:t xml:space="preserve">much </w:t>
      </w:r>
      <w:r w:rsidRPr="00A92D59">
        <w:rPr>
          <w:rFonts w:ascii="Arial" w:hAnsi="Arial" w:cs="Arial"/>
        </w:rPr>
        <w:t xml:space="preserve">greater impact on productivity than </w:t>
      </w:r>
      <w:r>
        <w:rPr>
          <w:rFonts w:ascii="Arial" w:hAnsi="Arial" w:cs="Arial"/>
        </w:rPr>
        <w:t>the R&amp;D Tax Incentive.</w:t>
      </w:r>
      <w:r w:rsidRPr="00A92D59">
        <w:rPr>
          <w:rFonts w:ascii="Arial" w:hAnsi="Arial" w:cs="Arial"/>
        </w:rPr>
        <w:t xml:space="preserve"> </w:t>
      </w:r>
    </w:p>
    <w:p w14:paraId="5A4CFC43" w14:textId="77777777" w:rsidR="007774AC" w:rsidRPr="00A92D59" w:rsidRDefault="007774AC" w:rsidP="007774AC">
      <w:pPr>
        <w:jc w:val="both"/>
        <w:rPr>
          <w:rFonts w:ascii="Arial" w:hAnsi="Arial" w:cs="Arial"/>
        </w:rPr>
      </w:pPr>
    </w:p>
    <w:p w14:paraId="5A4CFC44" w14:textId="77777777" w:rsidR="007774AC" w:rsidRPr="00A92D59" w:rsidRDefault="007774AC" w:rsidP="007774AC">
      <w:pPr>
        <w:jc w:val="both"/>
        <w:rPr>
          <w:rFonts w:ascii="Arial" w:hAnsi="Arial" w:cs="Arial"/>
        </w:rPr>
      </w:pPr>
      <w:r w:rsidRPr="00A92D59">
        <w:rPr>
          <w:rFonts w:ascii="Arial" w:hAnsi="Arial" w:cs="Arial"/>
        </w:rPr>
        <w:t xml:space="preserve">Further, in our experience in the private sector, </w:t>
      </w:r>
      <w:r>
        <w:rPr>
          <w:rFonts w:ascii="Arial" w:hAnsi="Arial" w:cs="Arial"/>
        </w:rPr>
        <w:t>the R&amp;D Tax Incentive</w:t>
      </w:r>
      <w:r w:rsidRPr="00A92D59">
        <w:rPr>
          <w:rFonts w:ascii="Arial" w:hAnsi="Arial" w:cs="Arial"/>
        </w:rPr>
        <w:t xml:space="preserve"> is not effective as a stimulant or driver of desirable activity that generates productivity and other benefits.  This is because</w:t>
      </w:r>
      <w:r>
        <w:rPr>
          <w:rFonts w:ascii="Arial" w:hAnsi="Arial" w:cs="Arial"/>
        </w:rPr>
        <w:t xml:space="preserve"> it is typical in the professional services sector for</w:t>
      </w:r>
      <w:r w:rsidRPr="00A92D59">
        <w:rPr>
          <w:rFonts w:ascii="Arial" w:hAnsi="Arial" w:cs="Arial"/>
        </w:rPr>
        <w:t xml:space="preserve"> commercial self-interest </w:t>
      </w:r>
      <w:r>
        <w:rPr>
          <w:rFonts w:ascii="Arial" w:hAnsi="Arial" w:cs="Arial"/>
        </w:rPr>
        <w:t xml:space="preserve">to be the driver </w:t>
      </w:r>
      <w:r w:rsidRPr="00A92D59">
        <w:rPr>
          <w:rFonts w:ascii="Arial" w:hAnsi="Arial" w:cs="Arial"/>
        </w:rPr>
        <w:t xml:space="preserve">of R&amp;D activity and the </w:t>
      </w:r>
      <w:r>
        <w:rPr>
          <w:rFonts w:ascii="Arial" w:hAnsi="Arial" w:cs="Arial"/>
        </w:rPr>
        <w:t xml:space="preserve">tax concession to be </w:t>
      </w:r>
      <w:r w:rsidRPr="00A92D59">
        <w:rPr>
          <w:rFonts w:ascii="Arial" w:hAnsi="Arial" w:cs="Arial"/>
        </w:rPr>
        <w:t xml:space="preserve">regarded as an incidental benefit </w:t>
      </w:r>
      <w:r>
        <w:rPr>
          <w:rFonts w:ascii="Arial" w:hAnsi="Arial" w:cs="Arial"/>
        </w:rPr>
        <w:t>available to be claimed.</w:t>
      </w:r>
    </w:p>
    <w:p w14:paraId="5A4CFC45" w14:textId="77777777" w:rsidR="007774AC" w:rsidRDefault="007774AC" w:rsidP="007774AC">
      <w:pPr>
        <w:pStyle w:val="Heading1"/>
        <w:numPr>
          <w:ilvl w:val="0"/>
          <w:numId w:val="34"/>
        </w:numPr>
        <w:jc w:val="both"/>
      </w:pPr>
      <w:bookmarkStart w:id="18" w:name="_Toc405906886"/>
      <w:r>
        <w:t>Incentives in Universities</w:t>
      </w:r>
      <w:bookmarkEnd w:id="18"/>
    </w:p>
    <w:p w14:paraId="5A4CFC46" w14:textId="77777777" w:rsidR="007774AC" w:rsidRDefault="007774AC" w:rsidP="007774AC">
      <w:pPr>
        <w:jc w:val="both"/>
      </w:pPr>
    </w:p>
    <w:p w14:paraId="5A4CFC47" w14:textId="77777777" w:rsidR="007774AC" w:rsidRDefault="007774AC" w:rsidP="007774AC">
      <w:pPr>
        <w:jc w:val="both"/>
        <w:rPr>
          <w:rFonts w:ascii="Arial" w:hAnsi="Arial" w:cs="Arial"/>
        </w:rPr>
      </w:pPr>
      <w:r w:rsidRPr="00A92D59">
        <w:rPr>
          <w:rFonts w:ascii="Arial" w:hAnsi="Arial" w:cs="Arial"/>
        </w:rPr>
        <w:t xml:space="preserve">The </w:t>
      </w:r>
      <w:r>
        <w:rPr>
          <w:rFonts w:ascii="Arial" w:hAnsi="Arial" w:cs="Arial"/>
        </w:rPr>
        <w:t>Consultation</w:t>
      </w:r>
      <w:r w:rsidRPr="00A92D59">
        <w:rPr>
          <w:rFonts w:ascii="Arial" w:hAnsi="Arial" w:cs="Arial"/>
        </w:rPr>
        <w:t xml:space="preserve"> Paper includes an assessment of the</w:t>
      </w:r>
      <w:r w:rsidRPr="00A92D59">
        <w:rPr>
          <w:rFonts w:ascii="Arial" w:hAnsi="Arial" w:cs="Arial"/>
          <w:b/>
        </w:rPr>
        <w:t xml:space="preserve"> </w:t>
      </w:r>
      <w:r w:rsidRPr="00A92D59">
        <w:rPr>
          <w:rFonts w:ascii="Arial" w:hAnsi="Arial" w:cs="Arial"/>
        </w:rPr>
        <w:t>incentives that</w:t>
      </w:r>
      <w:r w:rsidRPr="00A92D59">
        <w:rPr>
          <w:rFonts w:ascii="Arial" w:hAnsi="Arial" w:cs="Arial"/>
          <w:b/>
        </w:rPr>
        <w:t xml:space="preserve"> </w:t>
      </w:r>
      <w:r w:rsidRPr="00A92D59">
        <w:rPr>
          <w:rFonts w:ascii="Arial" w:hAnsi="Arial" w:cs="Arial"/>
        </w:rPr>
        <w:t xml:space="preserve">motivate </w:t>
      </w:r>
      <w:proofErr w:type="spellStart"/>
      <w:r w:rsidRPr="00A92D59">
        <w:rPr>
          <w:rFonts w:ascii="Arial" w:hAnsi="Arial" w:cs="Arial"/>
        </w:rPr>
        <w:t>behavio</w:t>
      </w:r>
      <w:r>
        <w:rPr>
          <w:rFonts w:ascii="Arial" w:hAnsi="Arial" w:cs="Arial"/>
        </w:rPr>
        <w:t>u</w:t>
      </w:r>
      <w:r w:rsidRPr="00A92D59">
        <w:rPr>
          <w:rFonts w:ascii="Arial" w:hAnsi="Arial" w:cs="Arial"/>
        </w:rPr>
        <w:t>r</w:t>
      </w:r>
      <w:proofErr w:type="spellEnd"/>
      <w:r w:rsidRPr="00A92D59">
        <w:rPr>
          <w:rFonts w:ascii="Arial" w:hAnsi="Arial" w:cs="Arial"/>
        </w:rPr>
        <w:t xml:space="preserve"> in the University sector, a</w:t>
      </w:r>
      <w:r>
        <w:rPr>
          <w:rFonts w:ascii="Arial" w:hAnsi="Arial" w:cs="Arial"/>
        </w:rPr>
        <w:t>nd it is a</w:t>
      </w:r>
      <w:r w:rsidRPr="00A92D59">
        <w:rPr>
          <w:rFonts w:ascii="Arial" w:hAnsi="Arial" w:cs="Arial"/>
        </w:rPr>
        <w:t xml:space="preserve">n assessment </w:t>
      </w:r>
      <w:proofErr w:type="spellStart"/>
      <w:r w:rsidRPr="00A92D59">
        <w:rPr>
          <w:rFonts w:ascii="Arial" w:hAnsi="Arial" w:cs="Arial"/>
        </w:rPr>
        <w:t>CIFR</w:t>
      </w:r>
      <w:proofErr w:type="spellEnd"/>
      <w:r w:rsidRPr="00A92D59">
        <w:rPr>
          <w:rFonts w:ascii="Arial" w:hAnsi="Arial" w:cs="Arial"/>
        </w:rPr>
        <w:t xml:space="preserve"> agrees with. </w:t>
      </w:r>
    </w:p>
    <w:p w14:paraId="5A4CFC48" w14:textId="77777777" w:rsidR="007774AC" w:rsidRDefault="007774AC" w:rsidP="007774AC">
      <w:pPr>
        <w:jc w:val="both"/>
        <w:rPr>
          <w:rFonts w:ascii="Arial" w:hAnsi="Arial" w:cs="Arial"/>
        </w:rPr>
      </w:pPr>
    </w:p>
    <w:p w14:paraId="5A4CFC49" w14:textId="77777777" w:rsidR="007774AC" w:rsidRPr="00A92D59" w:rsidRDefault="007774AC" w:rsidP="007774AC">
      <w:pPr>
        <w:jc w:val="both"/>
        <w:rPr>
          <w:rFonts w:ascii="Arial" w:hAnsi="Arial" w:cs="Arial"/>
        </w:rPr>
      </w:pPr>
      <w:proofErr w:type="spellStart"/>
      <w:r w:rsidRPr="00A92D59">
        <w:rPr>
          <w:rFonts w:ascii="Arial" w:hAnsi="Arial" w:cs="Arial"/>
        </w:rPr>
        <w:t>CIFR</w:t>
      </w:r>
      <w:proofErr w:type="spellEnd"/>
      <w:r w:rsidRPr="00A92D59">
        <w:rPr>
          <w:rFonts w:ascii="Arial" w:hAnsi="Arial" w:cs="Arial"/>
        </w:rPr>
        <w:t xml:space="preserve"> endorses the view expressed that ‘…the best minds from across research, industry and government should formulate a set of high level priorities and corresponding important research challenges…(and that)…these challenges should be practical problems that capture the imagination of our research and business communities.’</w:t>
      </w:r>
      <w:r w:rsidRPr="00A92D59">
        <w:rPr>
          <w:rStyle w:val="FootnoteReference"/>
          <w:rFonts w:ascii="Arial" w:hAnsi="Arial" w:cs="Arial"/>
        </w:rPr>
        <w:footnoteReference w:id="26"/>
      </w:r>
    </w:p>
    <w:p w14:paraId="5A4CFC4A" w14:textId="77777777" w:rsidR="007774AC" w:rsidRDefault="007774AC" w:rsidP="007774AC">
      <w:pPr>
        <w:jc w:val="both"/>
        <w:rPr>
          <w:rFonts w:ascii="Arial" w:hAnsi="Arial" w:cs="Arial"/>
        </w:rPr>
      </w:pPr>
    </w:p>
    <w:p w14:paraId="5A4CFC4B" w14:textId="77777777" w:rsidR="007774AC" w:rsidRDefault="007774AC" w:rsidP="007774AC">
      <w:pPr>
        <w:jc w:val="both"/>
        <w:rPr>
          <w:rFonts w:ascii="Arial" w:hAnsi="Arial" w:cs="Arial"/>
        </w:rPr>
      </w:pPr>
      <w:r>
        <w:rPr>
          <w:rFonts w:ascii="Arial" w:hAnsi="Arial" w:cs="Arial"/>
        </w:rPr>
        <w:t>Issues impeding effective collaboration between the academic and private sectors include:</w:t>
      </w:r>
    </w:p>
    <w:p w14:paraId="5A4CFC4C" w14:textId="77777777" w:rsidR="007774AC" w:rsidRDefault="007774AC" w:rsidP="007774AC">
      <w:pPr>
        <w:jc w:val="both"/>
        <w:rPr>
          <w:rFonts w:ascii="Arial" w:hAnsi="Arial" w:cs="Arial"/>
        </w:rPr>
      </w:pPr>
    </w:p>
    <w:p w14:paraId="5A4CFC4D" w14:textId="77777777" w:rsidR="007774AC" w:rsidRPr="007C24EB" w:rsidRDefault="007774AC" w:rsidP="007774AC">
      <w:pPr>
        <w:pStyle w:val="ListParagraph"/>
        <w:numPr>
          <w:ilvl w:val="0"/>
          <w:numId w:val="1"/>
        </w:numPr>
        <w:jc w:val="both"/>
        <w:rPr>
          <w:rFonts w:ascii="Arial" w:hAnsi="Arial" w:cs="Arial"/>
        </w:rPr>
      </w:pPr>
      <w:r w:rsidRPr="007C24EB">
        <w:rPr>
          <w:rFonts w:ascii="Arial" w:hAnsi="Arial" w:cs="Arial"/>
        </w:rPr>
        <w:t>The existing system of measuring performances and contributions of Universities has its positive attributes</w:t>
      </w:r>
      <w:r>
        <w:rPr>
          <w:rFonts w:ascii="Arial" w:hAnsi="Arial" w:cs="Arial"/>
        </w:rPr>
        <w:t>,</w:t>
      </w:r>
      <w:r w:rsidRPr="007C24EB">
        <w:rPr>
          <w:rFonts w:ascii="Arial" w:hAnsi="Arial" w:cs="Arial"/>
        </w:rPr>
        <w:t xml:space="preserve"> however it does not capture any assessment of the extent of, or value of, collaboration by academics and business</w:t>
      </w:r>
      <w:r>
        <w:rPr>
          <w:rFonts w:ascii="Arial" w:hAnsi="Arial" w:cs="Arial"/>
        </w:rPr>
        <w:t xml:space="preserve"> and progress towards achievement of the desirable outcomes articulated in the Consultation Paper.</w:t>
      </w:r>
    </w:p>
    <w:p w14:paraId="5A4CFC4E" w14:textId="77777777" w:rsidR="007774AC" w:rsidRDefault="007774AC" w:rsidP="007774AC">
      <w:pPr>
        <w:pStyle w:val="ListParagraph"/>
        <w:numPr>
          <w:ilvl w:val="0"/>
          <w:numId w:val="1"/>
        </w:numPr>
        <w:jc w:val="both"/>
        <w:rPr>
          <w:rFonts w:ascii="Arial" w:hAnsi="Arial" w:cs="Arial"/>
        </w:rPr>
      </w:pPr>
      <w:r>
        <w:rPr>
          <w:rFonts w:ascii="Arial" w:hAnsi="Arial" w:cs="Arial"/>
        </w:rPr>
        <w:t>The system results in emphasis on performances in league tables and in Tier 1 journal publications, and neither includes any incentive for an academic to combine with business to deliver an outcome that serves to make progress on priority projects.</w:t>
      </w:r>
    </w:p>
    <w:p w14:paraId="5A4CFC4F" w14:textId="77777777" w:rsidR="007774AC" w:rsidRDefault="007774AC" w:rsidP="007774AC">
      <w:pPr>
        <w:pStyle w:val="ListParagraph"/>
        <w:numPr>
          <w:ilvl w:val="0"/>
          <w:numId w:val="1"/>
        </w:numPr>
        <w:jc w:val="both"/>
        <w:rPr>
          <w:rFonts w:ascii="Arial" w:hAnsi="Arial" w:cs="Arial"/>
        </w:rPr>
      </w:pPr>
      <w:r>
        <w:rPr>
          <w:rFonts w:ascii="Arial" w:hAnsi="Arial" w:cs="Arial"/>
        </w:rPr>
        <w:t xml:space="preserve">Having 39 Universities, each endeavoring to promote its own interest, and representative bodies such as Universities Australia and the </w:t>
      </w:r>
      <w:proofErr w:type="spellStart"/>
      <w:r>
        <w:rPr>
          <w:rFonts w:ascii="Arial" w:hAnsi="Arial" w:cs="Arial"/>
        </w:rPr>
        <w:t>Go8</w:t>
      </w:r>
      <w:proofErr w:type="spellEnd"/>
      <w:r>
        <w:rPr>
          <w:rFonts w:ascii="Arial" w:hAnsi="Arial" w:cs="Arial"/>
        </w:rPr>
        <w:t>, has resulted in a diffusion of the research talent and funding budgets available in Australia – we have, in many areas including Financial Services, sub-scale capabilities that are inefficient and largely operating independently.</w:t>
      </w:r>
    </w:p>
    <w:p w14:paraId="5A4CFC50" w14:textId="77777777" w:rsidR="007774AC" w:rsidRPr="007C24EB" w:rsidRDefault="007774AC" w:rsidP="007774AC">
      <w:pPr>
        <w:pStyle w:val="ListParagraph"/>
        <w:numPr>
          <w:ilvl w:val="0"/>
          <w:numId w:val="1"/>
        </w:numPr>
        <w:jc w:val="both"/>
        <w:rPr>
          <w:rFonts w:ascii="Arial" w:hAnsi="Arial" w:cs="Arial"/>
        </w:rPr>
      </w:pPr>
      <w:r>
        <w:rPr>
          <w:rFonts w:ascii="Arial" w:hAnsi="Arial" w:cs="Arial"/>
        </w:rPr>
        <w:t xml:space="preserve">Universities have not demonstrated an ability to overcome sectional interests to achieve a critical mass of expertise and scale that would be in the best interest of all stakeholders. For example, the joint venture between </w:t>
      </w:r>
      <w:proofErr w:type="spellStart"/>
      <w:r>
        <w:rPr>
          <w:rFonts w:ascii="Arial" w:hAnsi="Arial" w:cs="Arial"/>
        </w:rPr>
        <w:t>UNSW</w:t>
      </w:r>
      <w:proofErr w:type="spellEnd"/>
      <w:r>
        <w:rPr>
          <w:rFonts w:ascii="Arial" w:hAnsi="Arial" w:cs="Arial"/>
        </w:rPr>
        <w:t xml:space="preserve"> Australia and The University of Sydney to operate the Australian Graduate School of Management ceased in 2005.</w:t>
      </w:r>
    </w:p>
    <w:p w14:paraId="5A4CFC51" w14:textId="77777777" w:rsidR="007774AC" w:rsidRDefault="007774AC" w:rsidP="007774AC">
      <w:pPr>
        <w:jc w:val="both"/>
        <w:rPr>
          <w:rFonts w:ascii="Arial" w:hAnsi="Arial" w:cs="Arial"/>
        </w:rPr>
      </w:pPr>
    </w:p>
    <w:p w14:paraId="5A4CFC52" w14:textId="77777777" w:rsidR="007774AC" w:rsidRDefault="007774AC" w:rsidP="007774AC">
      <w:pPr>
        <w:jc w:val="both"/>
        <w:rPr>
          <w:rFonts w:ascii="Arial" w:hAnsi="Arial" w:cs="Arial"/>
        </w:rPr>
      </w:pPr>
    </w:p>
    <w:p w14:paraId="5A4CFC53" w14:textId="77777777" w:rsidR="007774AC" w:rsidRDefault="007774AC" w:rsidP="007774AC">
      <w:pPr>
        <w:jc w:val="both"/>
        <w:rPr>
          <w:rFonts w:ascii="Arial" w:hAnsi="Arial" w:cs="Arial"/>
        </w:rPr>
      </w:pPr>
      <w:proofErr w:type="spellStart"/>
      <w:r w:rsidRPr="00A92D59">
        <w:rPr>
          <w:rFonts w:ascii="Arial" w:hAnsi="Arial" w:cs="Arial"/>
        </w:rPr>
        <w:t>CIFR</w:t>
      </w:r>
      <w:proofErr w:type="spellEnd"/>
      <w:r>
        <w:rPr>
          <w:rFonts w:ascii="Arial" w:hAnsi="Arial" w:cs="Arial"/>
        </w:rPr>
        <w:t xml:space="preserve"> has elaborated on its</w:t>
      </w:r>
      <w:r w:rsidRPr="00A92D59">
        <w:rPr>
          <w:rFonts w:ascii="Arial" w:hAnsi="Arial" w:cs="Arial"/>
        </w:rPr>
        <w:t xml:space="preserve"> views on incentives as they relate to academe and business collaboration in the article contained in Appendix 1.</w:t>
      </w:r>
    </w:p>
    <w:p w14:paraId="5A4CFC54" w14:textId="77777777" w:rsidR="007774AC" w:rsidRDefault="007774AC" w:rsidP="007774AC">
      <w:pPr>
        <w:jc w:val="both"/>
        <w:rPr>
          <w:rFonts w:ascii="Arial" w:hAnsi="Arial" w:cs="Arial"/>
        </w:rPr>
      </w:pPr>
    </w:p>
    <w:p w14:paraId="5A4CFC55" w14:textId="77777777" w:rsidR="007774AC" w:rsidRPr="00A92D59" w:rsidRDefault="007774AC" w:rsidP="007774AC">
      <w:pPr>
        <w:jc w:val="both"/>
        <w:rPr>
          <w:rFonts w:ascii="Arial" w:hAnsi="Arial" w:cs="Arial"/>
        </w:rPr>
      </w:pPr>
      <w:proofErr w:type="spellStart"/>
      <w:r w:rsidRPr="00A92D59">
        <w:rPr>
          <w:rFonts w:ascii="Arial" w:hAnsi="Arial" w:cs="Arial"/>
        </w:rPr>
        <w:t>CIFR</w:t>
      </w:r>
      <w:proofErr w:type="spellEnd"/>
      <w:r w:rsidRPr="00A92D59">
        <w:rPr>
          <w:rFonts w:ascii="Arial" w:hAnsi="Arial" w:cs="Arial"/>
        </w:rPr>
        <w:t xml:space="preserve"> supports the revisiting of incentive-setting for Universities to encourage them to better collaborate with both the private sector and other key industry participants such as the regulators.  </w:t>
      </w:r>
    </w:p>
    <w:p w14:paraId="5A4CFC57" w14:textId="77777777" w:rsidR="007774AC" w:rsidRPr="00C827D8" w:rsidRDefault="007774AC" w:rsidP="007774AC">
      <w:pPr>
        <w:pStyle w:val="Heading1"/>
        <w:numPr>
          <w:ilvl w:val="0"/>
          <w:numId w:val="34"/>
        </w:numPr>
        <w:jc w:val="both"/>
      </w:pPr>
      <w:bookmarkStart w:id="19" w:name="_Toc405906887"/>
      <w:r>
        <w:t>R</w:t>
      </w:r>
      <w:r w:rsidRPr="009C5385">
        <w:t>esearch in Financial Services</w:t>
      </w:r>
      <w:r>
        <w:t>: i</w:t>
      </w:r>
      <w:r w:rsidRPr="00DD7FA4">
        <w:t>s there a problem to be addressed?</w:t>
      </w:r>
      <w:bookmarkEnd w:id="19"/>
    </w:p>
    <w:p w14:paraId="5A4CFC58" w14:textId="77777777" w:rsidR="007774AC" w:rsidRPr="00A92D59" w:rsidRDefault="007774AC" w:rsidP="007774AC">
      <w:pPr>
        <w:jc w:val="both"/>
        <w:rPr>
          <w:rFonts w:ascii="Arial" w:hAnsi="Arial" w:cs="Arial"/>
        </w:rPr>
      </w:pPr>
    </w:p>
    <w:p w14:paraId="5A4CFC59" w14:textId="77777777" w:rsidR="007774AC" w:rsidRPr="00A92D59" w:rsidRDefault="007774AC" w:rsidP="007774AC">
      <w:pPr>
        <w:jc w:val="both"/>
        <w:rPr>
          <w:rFonts w:ascii="Arial" w:hAnsi="Arial" w:cs="Arial"/>
        </w:rPr>
      </w:pPr>
      <w:r w:rsidRPr="00A92D59">
        <w:rPr>
          <w:rFonts w:ascii="Arial" w:hAnsi="Arial" w:cs="Arial"/>
        </w:rPr>
        <w:t xml:space="preserve">The </w:t>
      </w:r>
      <w:r>
        <w:rPr>
          <w:rFonts w:ascii="Arial" w:hAnsi="Arial" w:cs="Arial"/>
        </w:rPr>
        <w:t xml:space="preserve">Consultation </w:t>
      </w:r>
      <w:r w:rsidRPr="00A92D59">
        <w:rPr>
          <w:rFonts w:ascii="Arial" w:hAnsi="Arial" w:cs="Arial"/>
        </w:rPr>
        <w:t xml:space="preserve">Paper refers to Australia suffering from poor engagement between researchers and business, particularly regarding transmission of ideas and insights and application of them in the commercial context.  The </w:t>
      </w:r>
      <w:r>
        <w:rPr>
          <w:rFonts w:ascii="Arial" w:hAnsi="Arial" w:cs="Arial"/>
        </w:rPr>
        <w:t xml:space="preserve">Consultation </w:t>
      </w:r>
      <w:r w:rsidRPr="00A92D59">
        <w:rPr>
          <w:rFonts w:ascii="Arial" w:hAnsi="Arial" w:cs="Arial"/>
        </w:rPr>
        <w:t>Paper also refers to the question of whether research activities are sufficiently focused on, and responsive to, the most pressing questions including Australia’s economic imperatives.</w:t>
      </w:r>
      <w:r w:rsidRPr="00A92D59">
        <w:rPr>
          <w:rStyle w:val="FootnoteReference"/>
          <w:rFonts w:ascii="Arial" w:hAnsi="Arial" w:cs="Arial"/>
        </w:rPr>
        <w:footnoteReference w:id="27"/>
      </w:r>
      <w:r w:rsidRPr="00A92D59">
        <w:rPr>
          <w:rFonts w:ascii="Arial" w:hAnsi="Arial" w:cs="Arial"/>
        </w:rPr>
        <w:t xml:space="preserve"> </w:t>
      </w:r>
    </w:p>
    <w:p w14:paraId="5A4CFC5A" w14:textId="77777777" w:rsidR="007774AC" w:rsidRPr="00A92D59" w:rsidRDefault="007774AC" w:rsidP="007774AC">
      <w:pPr>
        <w:jc w:val="both"/>
        <w:rPr>
          <w:rFonts w:ascii="Arial" w:hAnsi="Arial" w:cs="Arial"/>
          <w:b/>
        </w:rPr>
      </w:pPr>
    </w:p>
    <w:p w14:paraId="5A4CFC5B" w14:textId="77777777" w:rsidR="007774AC" w:rsidRPr="00A92D59" w:rsidRDefault="007774AC" w:rsidP="007774AC">
      <w:pPr>
        <w:jc w:val="both"/>
        <w:rPr>
          <w:rFonts w:ascii="Arial" w:hAnsi="Arial" w:cs="Arial"/>
        </w:rPr>
      </w:pPr>
      <w:r w:rsidRPr="00A92D59">
        <w:rPr>
          <w:rFonts w:ascii="Arial" w:hAnsi="Arial" w:cs="Arial"/>
        </w:rPr>
        <w:t xml:space="preserve">The current ecosystem of </w:t>
      </w:r>
      <w:r>
        <w:rPr>
          <w:rFonts w:ascii="Arial" w:hAnsi="Arial" w:cs="Arial"/>
        </w:rPr>
        <w:t>relevant</w:t>
      </w:r>
      <w:r w:rsidRPr="00A92D59">
        <w:rPr>
          <w:rFonts w:ascii="Arial" w:hAnsi="Arial" w:cs="Arial"/>
        </w:rPr>
        <w:t xml:space="preserve"> </w:t>
      </w:r>
      <w:proofErr w:type="spellStart"/>
      <w:r w:rsidRPr="00A92D59">
        <w:rPr>
          <w:rFonts w:ascii="Arial" w:hAnsi="Arial" w:cs="Arial"/>
        </w:rPr>
        <w:t>organisations</w:t>
      </w:r>
      <w:proofErr w:type="spellEnd"/>
      <w:r w:rsidRPr="00A92D59">
        <w:rPr>
          <w:rFonts w:ascii="Arial" w:hAnsi="Arial" w:cs="Arial"/>
        </w:rPr>
        <w:t xml:space="preserve"> operating in Financial Services is depicted below:</w:t>
      </w:r>
    </w:p>
    <w:p w14:paraId="5A4CFC5C" w14:textId="77777777" w:rsidR="007774AC" w:rsidRDefault="007774AC" w:rsidP="007774AC">
      <w:pPr>
        <w:pStyle w:val="Heading2"/>
        <w:jc w:val="center"/>
      </w:pPr>
      <w:bookmarkStart w:id="20" w:name="_Toc405889654"/>
      <w:bookmarkStart w:id="21" w:name="_Toc405906888"/>
      <w:r>
        <w:rPr>
          <w:noProof/>
          <w:lang w:val="en-AU" w:eastAsia="en-AU"/>
        </w:rPr>
        <w:lastRenderedPageBreak/>
        <w:drawing>
          <wp:inline distT="0" distB="0" distL="0" distR="0" wp14:anchorId="5A4CFD25" wp14:editId="46B09ADC">
            <wp:extent cx="4490332" cy="3848100"/>
            <wp:effectExtent l="0" t="0" r="0" b="0"/>
            <wp:docPr id="3" name="Picture 3" descr="Shows intersection between research infrastructure, education/commercialisation of research and research policy" title="Venn diagram of financial services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2336" r="22265"/>
                    <a:stretch/>
                  </pic:blipFill>
                  <pic:spPr bwMode="auto">
                    <a:xfrm>
                      <a:off x="0" y="0"/>
                      <a:ext cx="4505701" cy="3861271"/>
                    </a:xfrm>
                    <a:prstGeom prst="rect">
                      <a:avLst/>
                    </a:prstGeom>
                    <a:noFill/>
                    <a:ln>
                      <a:noFill/>
                    </a:ln>
                    <a:extLst>
                      <a:ext uri="{53640926-AAD7-44D8-BBD7-CCE9431645EC}">
                        <a14:shadowObscured xmlns:a14="http://schemas.microsoft.com/office/drawing/2010/main"/>
                      </a:ext>
                    </a:extLst>
                  </pic:spPr>
                </pic:pic>
              </a:graphicData>
            </a:graphic>
          </wp:inline>
        </w:drawing>
      </w:r>
      <w:bookmarkEnd w:id="20"/>
      <w:bookmarkEnd w:id="21"/>
    </w:p>
    <w:p w14:paraId="5A4CFC5D" w14:textId="77777777" w:rsidR="007774AC" w:rsidRPr="00DD7FA4" w:rsidRDefault="007774AC" w:rsidP="007774AC">
      <w:pPr>
        <w:pStyle w:val="Heading2"/>
        <w:jc w:val="center"/>
      </w:pPr>
      <w:bookmarkStart w:id="22" w:name="_Toc405822935"/>
      <w:bookmarkStart w:id="23" w:name="_Toc405889655"/>
      <w:bookmarkStart w:id="24" w:name="_Toc405906889"/>
      <w:r w:rsidRPr="009C5385">
        <w:t>Figure 1</w:t>
      </w:r>
      <w:bookmarkEnd w:id="22"/>
      <w:r>
        <w:t>: Ecosystem in Financial Services</w:t>
      </w:r>
      <w:bookmarkEnd w:id="23"/>
      <w:bookmarkEnd w:id="24"/>
    </w:p>
    <w:p w14:paraId="5A4CFC5E" w14:textId="77777777" w:rsidR="007774AC" w:rsidRDefault="007774AC" w:rsidP="007774AC">
      <w:pPr>
        <w:jc w:val="both"/>
        <w:rPr>
          <w:rFonts w:ascii="Arial" w:hAnsi="Arial" w:cs="Arial"/>
          <w:highlight w:val="yellow"/>
        </w:rPr>
      </w:pPr>
    </w:p>
    <w:p w14:paraId="5A4CFC5F" w14:textId="77777777" w:rsidR="007774AC" w:rsidRPr="00A92D59" w:rsidRDefault="007774AC" w:rsidP="007774AC">
      <w:pPr>
        <w:jc w:val="both"/>
        <w:rPr>
          <w:rFonts w:ascii="Arial" w:hAnsi="Arial" w:cs="Arial"/>
        </w:rPr>
      </w:pPr>
      <w:r w:rsidRPr="00A92D59">
        <w:rPr>
          <w:rFonts w:ascii="Arial" w:hAnsi="Arial" w:cs="Arial"/>
        </w:rPr>
        <w:t xml:space="preserve">The above diagram shows the three types of </w:t>
      </w:r>
      <w:proofErr w:type="spellStart"/>
      <w:r w:rsidRPr="00A92D59">
        <w:rPr>
          <w:rFonts w:ascii="Arial" w:hAnsi="Arial" w:cs="Arial"/>
        </w:rPr>
        <w:t>organisations</w:t>
      </w:r>
      <w:proofErr w:type="spellEnd"/>
      <w:r w:rsidRPr="00A92D59">
        <w:rPr>
          <w:rFonts w:ascii="Arial" w:hAnsi="Arial" w:cs="Arial"/>
        </w:rPr>
        <w:t xml:space="preserve"> that exist today. Each has valuable capabilities and these capabilities are complementary. </w:t>
      </w:r>
    </w:p>
    <w:p w14:paraId="5A4CFC60" w14:textId="77777777" w:rsidR="007774AC" w:rsidRPr="00A92D59" w:rsidRDefault="007774AC" w:rsidP="007774AC">
      <w:pPr>
        <w:jc w:val="both"/>
        <w:rPr>
          <w:rFonts w:ascii="Arial" w:hAnsi="Arial" w:cs="Arial"/>
        </w:rPr>
      </w:pPr>
    </w:p>
    <w:p w14:paraId="5A4CFC61" w14:textId="77777777" w:rsidR="007774AC" w:rsidRDefault="007774AC" w:rsidP="007774AC">
      <w:pPr>
        <w:jc w:val="both"/>
        <w:rPr>
          <w:rFonts w:ascii="Arial" w:hAnsi="Arial" w:cs="Arial"/>
        </w:rPr>
      </w:pPr>
      <w:bookmarkStart w:id="25" w:name="_Toc405822936"/>
      <w:bookmarkStart w:id="26" w:name="_Toc405889656"/>
      <w:bookmarkStart w:id="27" w:name="_Toc405906890"/>
      <w:r w:rsidRPr="00A92D59">
        <w:rPr>
          <w:rStyle w:val="Heading2Char"/>
        </w:rPr>
        <w:t>Research Infrastructure</w:t>
      </w:r>
      <w:bookmarkEnd w:id="25"/>
      <w:bookmarkEnd w:id="26"/>
      <w:bookmarkEnd w:id="27"/>
      <w:r w:rsidRPr="00A92D59">
        <w:rPr>
          <w:rStyle w:val="FootnoteReference"/>
          <w:rFonts w:ascii="Arial" w:hAnsi="Arial" w:cs="Arial"/>
        </w:rPr>
        <w:footnoteReference w:id="28"/>
      </w:r>
    </w:p>
    <w:p w14:paraId="5A4CFC62" w14:textId="77777777" w:rsidR="007774AC" w:rsidRPr="00A92D59" w:rsidRDefault="007774AC" w:rsidP="007774AC">
      <w:pPr>
        <w:jc w:val="both"/>
        <w:rPr>
          <w:rFonts w:ascii="Arial" w:hAnsi="Arial" w:cs="Arial"/>
        </w:rPr>
      </w:pPr>
      <w:r>
        <w:rPr>
          <w:rFonts w:ascii="Arial" w:hAnsi="Arial" w:cs="Arial"/>
        </w:rPr>
        <w:t>I</w:t>
      </w:r>
      <w:r w:rsidRPr="00A92D59">
        <w:rPr>
          <w:rFonts w:ascii="Arial" w:hAnsi="Arial" w:cs="Arial"/>
        </w:rPr>
        <w:t>t is essential to have the data resources and information technology tools necessary to allow insightful analysis to be undertake</w:t>
      </w:r>
      <w:r>
        <w:rPr>
          <w:rFonts w:ascii="Arial" w:hAnsi="Arial" w:cs="Arial"/>
        </w:rPr>
        <w:t>n which leads to innovation.  For example,</w:t>
      </w:r>
      <w:r w:rsidRPr="00A92D59">
        <w:rPr>
          <w:rFonts w:ascii="Arial" w:hAnsi="Arial" w:cs="Arial"/>
        </w:rPr>
        <w:t xml:space="preserve"> through the discovery of new knowledge/ideas, more efficient examination of existing interactions, and development of better products, services, processes/systems. </w:t>
      </w:r>
    </w:p>
    <w:p w14:paraId="5A4CFC63" w14:textId="77777777" w:rsidR="007774AC" w:rsidRPr="00A92D59" w:rsidRDefault="007774AC" w:rsidP="007774AC">
      <w:pPr>
        <w:jc w:val="both"/>
        <w:rPr>
          <w:rFonts w:ascii="Arial" w:hAnsi="Arial" w:cs="Arial"/>
        </w:rPr>
      </w:pPr>
    </w:p>
    <w:p w14:paraId="5A4CFC64" w14:textId="77777777" w:rsidR="007774AC" w:rsidRDefault="007774AC" w:rsidP="007774AC">
      <w:pPr>
        <w:jc w:val="both"/>
        <w:rPr>
          <w:rFonts w:ascii="Arial" w:hAnsi="Arial" w:cs="Arial"/>
        </w:rPr>
      </w:pPr>
      <w:bookmarkStart w:id="28" w:name="_Toc405822937"/>
      <w:bookmarkStart w:id="29" w:name="_Toc405889657"/>
      <w:bookmarkStart w:id="30" w:name="_Toc405906891"/>
      <w:r w:rsidRPr="00A92D59">
        <w:rPr>
          <w:rStyle w:val="Heading2Char"/>
        </w:rPr>
        <w:t xml:space="preserve">Education / </w:t>
      </w:r>
      <w:proofErr w:type="spellStart"/>
      <w:r w:rsidRPr="00A92D59">
        <w:rPr>
          <w:rStyle w:val="Heading2Char"/>
        </w:rPr>
        <w:t>Commercialisation</w:t>
      </w:r>
      <w:proofErr w:type="spellEnd"/>
      <w:r w:rsidRPr="00A92D59">
        <w:rPr>
          <w:rStyle w:val="Heading2Char"/>
        </w:rPr>
        <w:t xml:space="preserve"> of Research</w:t>
      </w:r>
      <w:bookmarkEnd w:id="28"/>
      <w:bookmarkEnd w:id="29"/>
      <w:bookmarkEnd w:id="30"/>
      <w:r w:rsidRPr="00A92D59">
        <w:rPr>
          <w:rStyle w:val="FootnoteReference"/>
          <w:rFonts w:ascii="Arial" w:hAnsi="Arial" w:cs="Arial"/>
        </w:rPr>
        <w:footnoteReference w:id="29"/>
      </w:r>
    </w:p>
    <w:p w14:paraId="5A4CFC65" w14:textId="77777777" w:rsidR="007774AC" w:rsidRPr="00A92D59" w:rsidRDefault="007774AC" w:rsidP="007774AC">
      <w:pPr>
        <w:jc w:val="both"/>
        <w:rPr>
          <w:rFonts w:ascii="Arial" w:hAnsi="Arial" w:cs="Arial"/>
        </w:rPr>
      </w:pPr>
      <w:r>
        <w:rPr>
          <w:rFonts w:ascii="Arial" w:hAnsi="Arial" w:cs="Arial"/>
        </w:rPr>
        <w:t>E</w:t>
      </w:r>
      <w:r w:rsidRPr="00A92D59">
        <w:rPr>
          <w:rFonts w:ascii="Arial" w:hAnsi="Arial" w:cs="Arial"/>
        </w:rPr>
        <w:t>ducation is crucial to ensure that there is a constant stream of individuals entering the community (academe/industry) with a high level of academic skill (i.e. PhD qualification) resulting in rigorous analysis of critical issues impacting industry, government, regulators</w:t>
      </w:r>
      <w:r>
        <w:rPr>
          <w:rFonts w:ascii="Arial" w:hAnsi="Arial" w:cs="Arial"/>
        </w:rPr>
        <w:t xml:space="preserve"> and</w:t>
      </w:r>
      <w:r w:rsidRPr="00A92D59">
        <w:rPr>
          <w:rFonts w:ascii="Arial" w:hAnsi="Arial" w:cs="Arial"/>
        </w:rPr>
        <w:t xml:space="preserve"> scholars. It is essential that these researchers interact and collaborate with industry so that the research undertaken has real-world applicability. It follows that the preeminent research solutions developed will have commercial potential given their development with industry engagement.</w:t>
      </w:r>
    </w:p>
    <w:p w14:paraId="5A4CFC66" w14:textId="77777777" w:rsidR="007774AC" w:rsidRPr="00A92D59" w:rsidRDefault="007774AC" w:rsidP="007774AC">
      <w:pPr>
        <w:jc w:val="both"/>
        <w:rPr>
          <w:rFonts w:ascii="Arial" w:hAnsi="Arial" w:cs="Arial"/>
        </w:rPr>
      </w:pPr>
    </w:p>
    <w:p w14:paraId="5A4CFC67" w14:textId="77777777" w:rsidR="007774AC" w:rsidRDefault="007774AC" w:rsidP="007774AC">
      <w:pPr>
        <w:jc w:val="both"/>
        <w:rPr>
          <w:rFonts w:ascii="Arial" w:hAnsi="Arial" w:cs="Arial"/>
        </w:rPr>
      </w:pPr>
      <w:bookmarkStart w:id="31" w:name="_Toc405822938"/>
      <w:bookmarkStart w:id="32" w:name="_Toc405889658"/>
      <w:bookmarkStart w:id="33" w:name="_Toc405906892"/>
      <w:r w:rsidRPr="00A92D59">
        <w:rPr>
          <w:rStyle w:val="Heading2Char"/>
        </w:rPr>
        <w:t>Research / Public Policy</w:t>
      </w:r>
      <w:bookmarkEnd w:id="31"/>
      <w:bookmarkEnd w:id="32"/>
      <w:bookmarkEnd w:id="33"/>
      <w:r w:rsidRPr="00A92D59">
        <w:rPr>
          <w:rStyle w:val="FootnoteReference"/>
          <w:rFonts w:ascii="Arial" w:hAnsi="Arial" w:cs="Arial"/>
        </w:rPr>
        <w:footnoteReference w:id="30"/>
      </w:r>
    </w:p>
    <w:p w14:paraId="5A4CFC68" w14:textId="77777777" w:rsidR="007774AC" w:rsidRPr="00A92D59" w:rsidRDefault="007774AC" w:rsidP="007774AC">
      <w:pPr>
        <w:jc w:val="both"/>
        <w:rPr>
          <w:rFonts w:ascii="Arial" w:hAnsi="Arial" w:cs="Arial"/>
        </w:rPr>
      </w:pPr>
      <w:r>
        <w:rPr>
          <w:rFonts w:ascii="Arial" w:hAnsi="Arial" w:cs="Arial"/>
        </w:rPr>
        <w:t>I</w:t>
      </w:r>
      <w:r w:rsidRPr="00A92D59">
        <w:rPr>
          <w:rFonts w:ascii="Arial" w:hAnsi="Arial" w:cs="Arial"/>
        </w:rPr>
        <w:t xml:space="preserve">t is important to engage academics in targeted research projects to contribute to public policy, as their analysis is independent of the political agenda and </w:t>
      </w:r>
      <w:r>
        <w:rPr>
          <w:rFonts w:ascii="Arial" w:hAnsi="Arial" w:cs="Arial"/>
        </w:rPr>
        <w:t xml:space="preserve">typically </w:t>
      </w:r>
      <w:r w:rsidRPr="00A92D59">
        <w:rPr>
          <w:rFonts w:ascii="Arial" w:hAnsi="Arial" w:cs="Arial"/>
        </w:rPr>
        <w:t xml:space="preserve">of high scholarly quality. Additionally, it is important that researchers across all types of </w:t>
      </w:r>
      <w:proofErr w:type="spellStart"/>
      <w:r w:rsidRPr="00A92D59">
        <w:rPr>
          <w:rFonts w:ascii="Arial" w:hAnsi="Arial" w:cs="Arial"/>
        </w:rPr>
        <w:lastRenderedPageBreak/>
        <w:t>organisations</w:t>
      </w:r>
      <w:proofErr w:type="spellEnd"/>
      <w:r w:rsidRPr="00A92D59">
        <w:rPr>
          <w:rFonts w:ascii="Arial" w:hAnsi="Arial" w:cs="Arial"/>
        </w:rPr>
        <w:t xml:space="preserve"> </w:t>
      </w:r>
      <w:r>
        <w:rPr>
          <w:rFonts w:ascii="Arial" w:hAnsi="Arial" w:cs="Arial"/>
        </w:rPr>
        <w:t>(</w:t>
      </w:r>
      <w:r w:rsidRPr="00A92D59">
        <w:rPr>
          <w:rFonts w:ascii="Arial" w:hAnsi="Arial" w:cs="Arial"/>
        </w:rPr>
        <w:t>i.e. industry, academe, government/regulatory</w:t>
      </w:r>
      <w:r>
        <w:rPr>
          <w:rFonts w:ascii="Arial" w:hAnsi="Arial" w:cs="Arial"/>
        </w:rPr>
        <w:t>)</w:t>
      </w:r>
      <w:r w:rsidRPr="00A92D59">
        <w:rPr>
          <w:rFonts w:ascii="Arial" w:hAnsi="Arial" w:cs="Arial"/>
        </w:rPr>
        <w:t xml:space="preserve"> engage with each other, through events such as conferences, symposiums and seminars.</w:t>
      </w:r>
    </w:p>
    <w:p w14:paraId="5A4CFC69" w14:textId="77777777" w:rsidR="007774AC" w:rsidRPr="00A92D59" w:rsidRDefault="007774AC" w:rsidP="007774AC">
      <w:pPr>
        <w:jc w:val="both"/>
        <w:rPr>
          <w:rFonts w:ascii="Arial" w:hAnsi="Arial" w:cs="Arial"/>
        </w:rPr>
      </w:pPr>
    </w:p>
    <w:p w14:paraId="5A4CFC6A" w14:textId="77777777" w:rsidR="007774AC" w:rsidRDefault="007774AC" w:rsidP="007774AC">
      <w:pPr>
        <w:jc w:val="both"/>
        <w:rPr>
          <w:rFonts w:ascii="Arial" w:hAnsi="Arial" w:cs="Arial"/>
        </w:rPr>
      </w:pPr>
      <w:r w:rsidRPr="00A92D59">
        <w:rPr>
          <w:rFonts w:ascii="Arial" w:hAnsi="Arial" w:cs="Arial"/>
        </w:rPr>
        <w:t>The three type</w:t>
      </w:r>
      <w:r>
        <w:rPr>
          <w:rFonts w:ascii="Arial" w:hAnsi="Arial" w:cs="Arial"/>
        </w:rPr>
        <w:t xml:space="preserve">s of </w:t>
      </w:r>
      <w:proofErr w:type="spellStart"/>
      <w:r>
        <w:rPr>
          <w:rFonts w:ascii="Arial" w:hAnsi="Arial" w:cs="Arial"/>
        </w:rPr>
        <w:t>organisation</w:t>
      </w:r>
      <w:proofErr w:type="spellEnd"/>
      <w:r>
        <w:rPr>
          <w:rFonts w:ascii="Arial" w:hAnsi="Arial" w:cs="Arial"/>
        </w:rPr>
        <w:t xml:space="preserve"> have a synergis</w:t>
      </w:r>
      <w:r w:rsidRPr="00A92D59">
        <w:rPr>
          <w:rFonts w:ascii="Arial" w:hAnsi="Arial" w:cs="Arial"/>
        </w:rPr>
        <w:t>tic relationship as they each can draw from the others’ resources</w:t>
      </w:r>
      <w:r>
        <w:rPr>
          <w:rFonts w:ascii="Arial" w:hAnsi="Arial" w:cs="Arial"/>
        </w:rPr>
        <w:t>. For</w:t>
      </w:r>
      <w:r w:rsidRPr="00A92D59">
        <w:rPr>
          <w:rFonts w:ascii="Arial" w:hAnsi="Arial" w:cs="Arial"/>
        </w:rPr>
        <w:t xml:space="preserve"> example</w:t>
      </w:r>
      <w:r>
        <w:rPr>
          <w:rFonts w:ascii="Arial" w:hAnsi="Arial" w:cs="Arial"/>
        </w:rPr>
        <w:t>,</w:t>
      </w:r>
      <w:r w:rsidRPr="00A92D59">
        <w:rPr>
          <w:rFonts w:ascii="Arial" w:hAnsi="Arial" w:cs="Arial"/>
        </w:rPr>
        <w:t xml:space="preserve"> a research/public policy focused </w:t>
      </w:r>
      <w:proofErr w:type="spellStart"/>
      <w:r w:rsidRPr="00A92D59">
        <w:rPr>
          <w:rFonts w:ascii="Arial" w:hAnsi="Arial" w:cs="Arial"/>
        </w:rPr>
        <w:t>organisation</w:t>
      </w:r>
      <w:proofErr w:type="spellEnd"/>
      <w:r w:rsidRPr="00A92D59">
        <w:rPr>
          <w:rFonts w:ascii="Arial" w:hAnsi="Arial" w:cs="Arial"/>
        </w:rPr>
        <w:t xml:space="preserve"> gaining access to data for a project through a research infrastructure </w:t>
      </w:r>
      <w:proofErr w:type="spellStart"/>
      <w:r w:rsidRPr="00A92D59">
        <w:rPr>
          <w:rFonts w:ascii="Arial" w:hAnsi="Arial" w:cs="Arial"/>
        </w:rPr>
        <w:t>organisation</w:t>
      </w:r>
      <w:proofErr w:type="spellEnd"/>
      <w:r w:rsidRPr="00A92D59">
        <w:rPr>
          <w:rFonts w:ascii="Arial" w:hAnsi="Arial" w:cs="Arial"/>
        </w:rPr>
        <w:t xml:space="preserve"> and then having PhD students from the education/</w:t>
      </w:r>
      <w:proofErr w:type="spellStart"/>
      <w:r>
        <w:rPr>
          <w:rFonts w:ascii="Arial" w:hAnsi="Arial" w:cs="Arial"/>
        </w:rPr>
        <w:t>commercialisation</w:t>
      </w:r>
      <w:proofErr w:type="spellEnd"/>
      <w:r>
        <w:rPr>
          <w:rFonts w:ascii="Arial" w:hAnsi="Arial" w:cs="Arial"/>
        </w:rPr>
        <w:t xml:space="preserve"> </w:t>
      </w:r>
      <w:r w:rsidRPr="00A92D59">
        <w:rPr>
          <w:rFonts w:ascii="Arial" w:hAnsi="Arial" w:cs="Arial"/>
        </w:rPr>
        <w:t>entity undertake the analysis in consultation with industry.</w:t>
      </w:r>
    </w:p>
    <w:p w14:paraId="5A4CFC6B" w14:textId="77777777" w:rsidR="007774AC" w:rsidRPr="00A92D59" w:rsidRDefault="007774AC" w:rsidP="007774AC">
      <w:pPr>
        <w:jc w:val="both"/>
        <w:rPr>
          <w:rFonts w:ascii="Arial" w:hAnsi="Arial" w:cs="Arial"/>
        </w:rPr>
      </w:pPr>
    </w:p>
    <w:p w14:paraId="5A4CFC6C" w14:textId="77777777" w:rsidR="007774AC" w:rsidRPr="00A92D59" w:rsidRDefault="007774AC" w:rsidP="007774AC">
      <w:pPr>
        <w:jc w:val="both"/>
        <w:rPr>
          <w:rFonts w:ascii="Arial" w:hAnsi="Arial" w:cs="Arial"/>
        </w:rPr>
      </w:pPr>
      <w:r w:rsidRPr="00A92D59">
        <w:rPr>
          <w:rFonts w:ascii="Arial" w:hAnsi="Arial" w:cs="Arial"/>
        </w:rPr>
        <w:t xml:space="preserve">In Financial Services, the challenges and barriers to achievement of the Agenda frequently lie in navigating regulatory complexity and prosecuting programs of regulatory reform. </w:t>
      </w:r>
      <w:r>
        <w:rPr>
          <w:rFonts w:ascii="Arial" w:hAnsi="Arial" w:cs="Arial"/>
        </w:rPr>
        <w:t>In the past there</w:t>
      </w:r>
      <w:r w:rsidRPr="00A92D59">
        <w:rPr>
          <w:rFonts w:ascii="Arial" w:hAnsi="Arial" w:cs="Arial"/>
        </w:rPr>
        <w:t xml:space="preserve"> </w:t>
      </w:r>
      <w:r w:rsidRPr="000C4D50">
        <w:rPr>
          <w:rFonts w:ascii="Arial" w:hAnsi="Arial" w:cs="Arial"/>
        </w:rPr>
        <w:t>ha</w:t>
      </w:r>
      <w:r>
        <w:rPr>
          <w:rFonts w:ascii="Arial" w:hAnsi="Arial" w:cs="Arial"/>
        </w:rPr>
        <w:t>ve</w:t>
      </w:r>
      <w:r w:rsidRPr="000C4D50">
        <w:rPr>
          <w:rFonts w:ascii="Arial" w:hAnsi="Arial" w:cs="Arial"/>
        </w:rPr>
        <w:t xml:space="preserve"> been</w:t>
      </w:r>
      <w:r w:rsidRPr="00A92D59">
        <w:rPr>
          <w:rFonts w:ascii="Arial" w:hAnsi="Arial" w:cs="Arial"/>
        </w:rPr>
        <w:t xml:space="preserve"> </w:t>
      </w:r>
      <w:r>
        <w:rPr>
          <w:rFonts w:ascii="Arial" w:hAnsi="Arial" w:cs="Arial"/>
        </w:rPr>
        <w:t xml:space="preserve">cases of </w:t>
      </w:r>
      <w:r w:rsidRPr="00A92D59">
        <w:rPr>
          <w:rFonts w:ascii="Arial" w:hAnsi="Arial" w:cs="Arial"/>
        </w:rPr>
        <w:t xml:space="preserve">consensus about the merit of reform, for example on simplification of investment product disclosure and removal of tax and other regulatory </w:t>
      </w:r>
      <w:r>
        <w:rPr>
          <w:rFonts w:ascii="Arial" w:hAnsi="Arial" w:cs="Arial"/>
        </w:rPr>
        <w:t>problems which inhibit</w:t>
      </w:r>
      <w:r w:rsidRPr="00A92D59">
        <w:rPr>
          <w:rFonts w:ascii="Arial" w:hAnsi="Arial" w:cs="Arial"/>
        </w:rPr>
        <w:t xml:space="preserve"> the efficient management of product portfolios </w:t>
      </w:r>
      <w:r>
        <w:rPr>
          <w:rFonts w:ascii="Arial" w:hAnsi="Arial" w:cs="Arial"/>
        </w:rPr>
        <w:t>and</w:t>
      </w:r>
      <w:r w:rsidRPr="00A92D59">
        <w:rPr>
          <w:rFonts w:ascii="Arial" w:hAnsi="Arial" w:cs="Arial"/>
        </w:rPr>
        <w:t xml:space="preserve"> represent a considerable burden borne by providers and consumers.  However, there are barriers to implementation and there </w:t>
      </w:r>
      <w:r>
        <w:rPr>
          <w:rFonts w:ascii="Arial" w:hAnsi="Arial" w:cs="Arial"/>
        </w:rPr>
        <w:t>is</w:t>
      </w:r>
      <w:r w:rsidRPr="00A92D59">
        <w:rPr>
          <w:rFonts w:ascii="Arial" w:hAnsi="Arial" w:cs="Arial"/>
        </w:rPr>
        <w:t xml:space="preserve"> no concerted effort to </w:t>
      </w:r>
      <w:r>
        <w:rPr>
          <w:rFonts w:ascii="Arial" w:hAnsi="Arial" w:cs="Arial"/>
        </w:rPr>
        <w:t>overcome the barriers</w:t>
      </w:r>
      <w:r w:rsidRPr="00A92D59">
        <w:rPr>
          <w:rFonts w:ascii="Arial" w:hAnsi="Arial" w:cs="Arial"/>
        </w:rPr>
        <w:t xml:space="preserve"> and make </w:t>
      </w:r>
      <w:r>
        <w:rPr>
          <w:rFonts w:ascii="Arial" w:hAnsi="Arial" w:cs="Arial"/>
        </w:rPr>
        <w:t>the required progress</w:t>
      </w:r>
      <w:r w:rsidRPr="00A92D59">
        <w:rPr>
          <w:rFonts w:ascii="Arial" w:hAnsi="Arial" w:cs="Arial"/>
        </w:rPr>
        <w:t>.</w:t>
      </w:r>
    </w:p>
    <w:p w14:paraId="5A4CFC6D" w14:textId="77777777" w:rsidR="007774AC" w:rsidRPr="00A92D59" w:rsidRDefault="007774AC" w:rsidP="007774AC">
      <w:pPr>
        <w:jc w:val="both"/>
        <w:rPr>
          <w:rFonts w:ascii="Arial" w:hAnsi="Arial" w:cs="Arial"/>
          <w:b/>
        </w:rPr>
      </w:pPr>
    </w:p>
    <w:p w14:paraId="5A4CFC6E" w14:textId="77777777" w:rsidR="007774AC" w:rsidRPr="00A92D59" w:rsidRDefault="007774AC" w:rsidP="007774AC">
      <w:pPr>
        <w:jc w:val="both"/>
        <w:rPr>
          <w:rFonts w:ascii="Arial" w:hAnsi="Arial" w:cs="Arial"/>
        </w:rPr>
      </w:pPr>
      <w:r w:rsidRPr="00A92D59">
        <w:rPr>
          <w:rFonts w:ascii="Arial" w:hAnsi="Arial" w:cs="Arial"/>
        </w:rPr>
        <w:t xml:space="preserve">Research </w:t>
      </w:r>
      <w:r>
        <w:rPr>
          <w:rFonts w:ascii="Arial" w:hAnsi="Arial" w:cs="Arial"/>
        </w:rPr>
        <w:t>by itself</w:t>
      </w:r>
      <w:r w:rsidRPr="00A92D59">
        <w:rPr>
          <w:rFonts w:ascii="Arial" w:hAnsi="Arial" w:cs="Arial"/>
        </w:rPr>
        <w:t xml:space="preserve"> is necessary but not sufficient to make progress under a regulatory reform agenda aimed at objectives such as lowering cost</w:t>
      </w:r>
      <w:r>
        <w:rPr>
          <w:rFonts w:ascii="Arial" w:hAnsi="Arial" w:cs="Arial"/>
        </w:rPr>
        <w:t>s</w:t>
      </w:r>
      <w:r w:rsidRPr="00A92D59">
        <w:rPr>
          <w:rFonts w:ascii="Arial" w:hAnsi="Arial" w:cs="Arial"/>
        </w:rPr>
        <w:t>, improving competitiveness and creation of an environment more conducive to innovation and pursuit of opportunities. To be of lasting value, research must be well-targeted and translated or otherwise capable of being used to make tangible progress</w:t>
      </w:r>
      <w:r>
        <w:rPr>
          <w:rFonts w:ascii="Arial" w:hAnsi="Arial" w:cs="Arial"/>
        </w:rPr>
        <w:t>.</w:t>
      </w:r>
      <w:r w:rsidRPr="00A92D59">
        <w:rPr>
          <w:rFonts w:ascii="Arial" w:hAnsi="Arial" w:cs="Arial"/>
        </w:rPr>
        <w:t xml:space="preserve">  This is, fundamentally, an execution or implementation challenge for all parties interested in strengthening the sector –</w:t>
      </w:r>
      <w:r>
        <w:rPr>
          <w:rFonts w:ascii="Arial" w:hAnsi="Arial" w:cs="Arial"/>
        </w:rPr>
        <w:t xml:space="preserve"> g</w:t>
      </w:r>
      <w:r w:rsidRPr="00A92D59">
        <w:rPr>
          <w:rFonts w:ascii="Arial" w:hAnsi="Arial" w:cs="Arial"/>
        </w:rPr>
        <w:t>overnment, regulators, beneficiaries of good policy implementation, and the private sector.</w:t>
      </w:r>
    </w:p>
    <w:p w14:paraId="5A4CFC6F" w14:textId="77777777" w:rsidR="007774AC" w:rsidRDefault="007774AC" w:rsidP="007774AC">
      <w:pPr>
        <w:jc w:val="both"/>
        <w:rPr>
          <w:rFonts w:ascii="Arial" w:hAnsi="Arial" w:cs="Arial"/>
        </w:rPr>
      </w:pPr>
    </w:p>
    <w:p w14:paraId="5A4CFC70" w14:textId="77777777" w:rsidR="007774AC" w:rsidRPr="00C827D8" w:rsidRDefault="007774AC" w:rsidP="007774AC">
      <w:pPr>
        <w:pStyle w:val="Heading1"/>
        <w:numPr>
          <w:ilvl w:val="0"/>
          <w:numId w:val="34"/>
        </w:numPr>
        <w:jc w:val="both"/>
      </w:pPr>
      <w:bookmarkStart w:id="34" w:name="_Toc405906893"/>
      <w:r>
        <w:t xml:space="preserve">A </w:t>
      </w:r>
      <w:r w:rsidRPr="009C5385">
        <w:t>Collaborative Model</w:t>
      </w:r>
      <w:r>
        <w:t xml:space="preserve"> in Financial Services</w:t>
      </w:r>
      <w:bookmarkEnd w:id="34"/>
    </w:p>
    <w:p w14:paraId="5A4CFC71" w14:textId="77777777" w:rsidR="007774AC" w:rsidRPr="00A92D59" w:rsidRDefault="007774AC" w:rsidP="007774AC">
      <w:pPr>
        <w:jc w:val="both"/>
        <w:rPr>
          <w:rFonts w:ascii="Arial" w:hAnsi="Arial" w:cs="Arial"/>
        </w:rPr>
      </w:pPr>
    </w:p>
    <w:p w14:paraId="5A4CFC72" w14:textId="77777777" w:rsidR="007774AC" w:rsidRPr="00A92D59" w:rsidRDefault="007774AC" w:rsidP="007774AC">
      <w:pPr>
        <w:jc w:val="both"/>
        <w:rPr>
          <w:rFonts w:ascii="Arial" w:hAnsi="Arial" w:cs="Arial"/>
        </w:rPr>
      </w:pPr>
      <w:r w:rsidRPr="00A92D59">
        <w:rPr>
          <w:rFonts w:ascii="Arial" w:hAnsi="Arial" w:cs="Arial"/>
        </w:rPr>
        <w:t xml:space="preserve">The </w:t>
      </w:r>
      <w:r>
        <w:rPr>
          <w:rFonts w:ascii="Arial" w:hAnsi="Arial" w:cs="Arial"/>
        </w:rPr>
        <w:t xml:space="preserve">Consultation </w:t>
      </w:r>
      <w:r w:rsidRPr="00A92D59">
        <w:rPr>
          <w:rFonts w:ascii="Arial" w:hAnsi="Arial" w:cs="Arial"/>
        </w:rPr>
        <w:t>Paper rightly identifies that it is critical to target research effort and associated spend</w:t>
      </w:r>
      <w:r>
        <w:rPr>
          <w:rFonts w:ascii="Arial" w:hAnsi="Arial" w:cs="Arial"/>
        </w:rPr>
        <w:t>ing</w:t>
      </w:r>
      <w:r w:rsidRPr="00A92D59">
        <w:rPr>
          <w:rFonts w:ascii="Arial" w:hAnsi="Arial" w:cs="Arial"/>
        </w:rPr>
        <w:t xml:space="preserve">, to </w:t>
      </w:r>
      <w:proofErr w:type="spellStart"/>
      <w:r w:rsidRPr="00A92D59">
        <w:rPr>
          <w:rFonts w:ascii="Arial" w:hAnsi="Arial" w:cs="Arial"/>
        </w:rPr>
        <w:t>maximi</w:t>
      </w:r>
      <w:r>
        <w:rPr>
          <w:rFonts w:ascii="Arial" w:hAnsi="Arial" w:cs="Arial"/>
        </w:rPr>
        <w:t>s</w:t>
      </w:r>
      <w:r w:rsidRPr="00A92D59">
        <w:rPr>
          <w:rFonts w:ascii="Arial" w:hAnsi="Arial" w:cs="Arial"/>
        </w:rPr>
        <w:t>e</w:t>
      </w:r>
      <w:proofErr w:type="spellEnd"/>
      <w:r w:rsidRPr="00A92D59">
        <w:rPr>
          <w:rFonts w:ascii="Arial" w:hAnsi="Arial" w:cs="Arial"/>
        </w:rPr>
        <w:t xml:space="preserve"> the </w:t>
      </w:r>
      <w:r>
        <w:rPr>
          <w:rFonts w:ascii="Arial" w:hAnsi="Arial" w:cs="Arial"/>
        </w:rPr>
        <w:t>value of public investment</w:t>
      </w:r>
      <w:r w:rsidRPr="00A92D59">
        <w:rPr>
          <w:rFonts w:ascii="Arial" w:hAnsi="Arial" w:cs="Arial"/>
        </w:rPr>
        <w:t xml:space="preserve">.  The use of the Commonwealth Science Council to examine and </w:t>
      </w:r>
      <w:proofErr w:type="spellStart"/>
      <w:r w:rsidRPr="00A92D59">
        <w:rPr>
          <w:rFonts w:ascii="Arial" w:hAnsi="Arial" w:cs="Arial"/>
        </w:rPr>
        <w:t>prioritise</w:t>
      </w:r>
      <w:proofErr w:type="spellEnd"/>
      <w:r w:rsidRPr="00A92D59">
        <w:rPr>
          <w:rFonts w:ascii="Arial" w:hAnsi="Arial" w:cs="Arial"/>
        </w:rPr>
        <w:t xml:space="preserve"> research needs is an example of a collaborative model that </w:t>
      </w:r>
      <w:r>
        <w:rPr>
          <w:rFonts w:ascii="Arial" w:hAnsi="Arial" w:cs="Arial"/>
        </w:rPr>
        <w:t>has intuitive appeal and potential to serve to make</w:t>
      </w:r>
      <w:r w:rsidRPr="00A92D59">
        <w:rPr>
          <w:rFonts w:ascii="Arial" w:hAnsi="Arial" w:cs="Arial"/>
        </w:rPr>
        <w:t xml:space="preserve"> difficult </w:t>
      </w:r>
      <w:proofErr w:type="spellStart"/>
      <w:r w:rsidRPr="00A92D59">
        <w:rPr>
          <w:rFonts w:ascii="Arial" w:hAnsi="Arial" w:cs="Arial"/>
        </w:rPr>
        <w:t>prioriti</w:t>
      </w:r>
      <w:r>
        <w:rPr>
          <w:rFonts w:ascii="Arial" w:hAnsi="Arial" w:cs="Arial"/>
        </w:rPr>
        <w:t>s</w:t>
      </w:r>
      <w:r w:rsidRPr="00A92D59">
        <w:rPr>
          <w:rFonts w:ascii="Arial" w:hAnsi="Arial" w:cs="Arial"/>
        </w:rPr>
        <w:t>ation</w:t>
      </w:r>
      <w:proofErr w:type="spellEnd"/>
      <w:r w:rsidRPr="00A92D59">
        <w:rPr>
          <w:rFonts w:ascii="Arial" w:hAnsi="Arial" w:cs="Arial"/>
        </w:rPr>
        <w:t xml:space="preserve"> </w:t>
      </w:r>
      <w:r>
        <w:rPr>
          <w:rFonts w:ascii="Arial" w:hAnsi="Arial" w:cs="Arial"/>
        </w:rPr>
        <w:t>recommendations/</w:t>
      </w:r>
      <w:r w:rsidRPr="00A92D59">
        <w:rPr>
          <w:rFonts w:ascii="Arial" w:hAnsi="Arial" w:cs="Arial"/>
        </w:rPr>
        <w:t>decisions, and associated progress, on a well-informed basis.</w:t>
      </w:r>
      <w:r w:rsidRPr="00A92D59">
        <w:rPr>
          <w:rStyle w:val="FootnoteReference"/>
          <w:rFonts w:ascii="Arial" w:hAnsi="Arial" w:cs="Arial"/>
        </w:rPr>
        <w:footnoteReference w:id="31"/>
      </w:r>
    </w:p>
    <w:p w14:paraId="5A4CFC73" w14:textId="77777777" w:rsidR="007774AC" w:rsidRPr="00A92D59" w:rsidRDefault="007774AC" w:rsidP="007774AC">
      <w:pPr>
        <w:jc w:val="both"/>
        <w:rPr>
          <w:rFonts w:ascii="Arial" w:hAnsi="Arial" w:cs="Arial"/>
        </w:rPr>
      </w:pPr>
    </w:p>
    <w:p w14:paraId="5A4CFC74" w14:textId="77777777" w:rsidR="007774AC" w:rsidRPr="00A92D59" w:rsidRDefault="007774AC" w:rsidP="007774AC">
      <w:pPr>
        <w:jc w:val="both"/>
        <w:rPr>
          <w:rFonts w:ascii="Arial" w:hAnsi="Arial" w:cs="Arial"/>
        </w:rPr>
      </w:pPr>
      <w:r w:rsidRPr="00A92D59">
        <w:rPr>
          <w:rFonts w:ascii="Arial" w:hAnsi="Arial" w:cs="Arial"/>
        </w:rPr>
        <w:t xml:space="preserve">In Financial Services, a collaborative model </w:t>
      </w:r>
      <w:r>
        <w:rPr>
          <w:rFonts w:ascii="Arial" w:hAnsi="Arial" w:cs="Arial"/>
        </w:rPr>
        <w:t>also makes sense.</w:t>
      </w:r>
      <w:r w:rsidRPr="00A92D59">
        <w:rPr>
          <w:rFonts w:ascii="Arial" w:hAnsi="Arial" w:cs="Arial"/>
        </w:rPr>
        <w:t xml:space="preserve">  Whilst bodies such as </w:t>
      </w:r>
      <w:proofErr w:type="spellStart"/>
      <w:r w:rsidRPr="00A92D59">
        <w:rPr>
          <w:rFonts w:ascii="Arial" w:hAnsi="Arial" w:cs="Arial"/>
        </w:rPr>
        <w:t>CIFR</w:t>
      </w:r>
      <w:proofErr w:type="spellEnd"/>
      <w:r w:rsidRPr="00A92D59">
        <w:rPr>
          <w:rFonts w:ascii="Arial" w:hAnsi="Arial" w:cs="Arial"/>
        </w:rPr>
        <w:t xml:space="preserve"> play a part in connecting research and business, and directing research effort to the most pressing problems, no formal collaborative model currently exists.</w:t>
      </w:r>
    </w:p>
    <w:p w14:paraId="5A4CFC75" w14:textId="77777777" w:rsidR="007774AC" w:rsidRPr="00A92D59" w:rsidRDefault="007774AC" w:rsidP="007774AC">
      <w:pPr>
        <w:jc w:val="both"/>
        <w:rPr>
          <w:rFonts w:ascii="Arial" w:hAnsi="Arial" w:cs="Arial"/>
        </w:rPr>
      </w:pPr>
    </w:p>
    <w:p w14:paraId="5A4CFC76" w14:textId="77777777" w:rsidR="007774AC" w:rsidRPr="00A92D59" w:rsidRDefault="007774AC" w:rsidP="007774AC">
      <w:pPr>
        <w:jc w:val="both"/>
        <w:rPr>
          <w:rFonts w:ascii="Arial" w:hAnsi="Arial" w:cs="Arial"/>
        </w:rPr>
      </w:pPr>
      <w:r w:rsidRPr="00A92D59">
        <w:rPr>
          <w:rFonts w:ascii="Arial" w:hAnsi="Arial" w:cs="Arial"/>
        </w:rPr>
        <w:t>In 2009 the Johnson Report recommended the establishment of a Financial Centre Task Force (established for a brief period then disbanded) and expressed the view that:</w:t>
      </w:r>
    </w:p>
    <w:p w14:paraId="5A4CFC77" w14:textId="77777777" w:rsidR="007774AC" w:rsidRPr="00A92D59" w:rsidRDefault="007774AC" w:rsidP="007774AC">
      <w:pPr>
        <w:jc w:val="both"/>
        <w:rPr>
          <w:rFonts w:ascii="Arial" w:hAnsi="Arial" w:cs="Arial"/>
        </w:rPr>
      </w:pPr>
    </w:p>
    <w:p w14:paraId="5A4CFC78" w14:textId="77777777" w:rsidR="007774AC" w:rsidRPr="00A92D59" w:rsidRDefault="007774AC" w:rsidP="007774AC">
      <w:pPr>
        <w:ind w:left="720"/>
        <w:jc w:val="both"/>
        <w:rPr>
          <w:rFonts w:ascii="Arial" w:hAnsi="Arial" w:cs="Arial"/>
        </w:rPr>
      </w:pPr>
      <w:r w:rsidRPr="00A92D59">
        <w:rPr>
          <w:rFonts w:ascii="Arial" w:hAnsi="Arial" w:cs="Arial"/>
          <w:i/>
        </w:rPr>
        <w:t xml:space="preserve">“The Forum sees a central role for an ongoing body focused on ensuring that policy measures directed at achieving the Government’s objective of </w:t>
      </w:r>
      <w:r w:rsidRPr="00A92D59">
        <w:rPr>
          <w:rFonts w:ascii="Arial" w:hAnsi="Arial" w:cs="Arial"/>
          <w:i/>
        </w:rPr>
        <w:lastRenderedPageBreak/>
        <w:t xml:space="preserve">establishing Australia as a leading financial </w:t>
      </w:r>
      <w:proofErr w:type="spellStart"/>
      <w:r w:rsidRPr="00A92D59">
        <w:rPr>
          <w:rFonts w:ascii="Arial" w:hAnsi="Arial" w:cs="Arial"/>
          <w:i/>
        </w:rPr>
        <w:t>centre</w:t>
      </w:r>
      <w:proofErr w:type="spellEnd"/>
      <w:r w:rsidRPr="00A92D59">
        <w:rPr>
          <w:rFonts w:ascii="Arial" w:hAnsi="Arial" w:cs="Arial"/>
          <w:i/>
        </w:rPr>
        <w:t xml:space="preserve"> are effectively implemented; on monitoring policy developments in overseas financial </w:t>
      </w:r>
      <w:proofErr w:type="spellStart"/>
      <w:r w:rsidRPr="00A92D59">
        <w:rPr>
          <w:rFonts w:ascii="Arial" w:hAnsi="Arial" w:cs="Arial"/>
          <w:i/>
        </w:rPr>
        <w:t>centres</w:t>
      </w:r>
      <w:proofErr w:type="spellEnd"/>
      <w:r w:rsidRPr="00A92D59">
        <w:rPr>
          <w:rFonts w:ascii="Arial" w:hAnsi="Arial" w:cs="Arial"/>
          <w:i/>
        </w:rPr>
        <w:t>; and on providing advice on future policy measures that may be necessary in the light of evolving domestic and international developments, including reviews or updates of existing policies.”</w:t>
      </w:r>
      <w:r w:rsidRPr="00A92D59">
        <w:rPr>
          <w:rStyle w:val="FootnoteReference"/>
          <w:rFonts w:ascii="Arial" w:hAnsi="Arial" w:cs="Arial"/>
          <w:i/>
        </w:rPr>
        <w:footnoteReference w:id="32"/>
      </w:r>
    </w:p>
    <w:p w14:paraId="5A4CFC79" w14:textId="77777777" w:rsidR="007774AC" w:rsidRPr="00A92D59" w:rsidRDefault="007774AC" w:rsidP="007774AC">
      <w:pPr>
        <w:jc w:val="both"/>
        <w:rPr>
          <w:rFonts w:ascii="Arial" w:hAnsi="Arial" w:cs="Arial"/>
        </w:rPr>
      </w:pPr>
    </w:p>
    <w:p w14:paraId="5A4CFC7A" w14:textId="77777777" w:rsidR="007774AC" w:rsidRPr="00A92D59" w:rsidRDefault="007774AC" w:rsidP="007774AC">
      <w:pPr>
        <w:jc w:val="both"/>
        <w:rPr>
          <w:rFonts w:ascii="Arial" w:hAnsi="Arial" w:cs="Arial"/>
        </w:rPr>
      </w:pPr>
      <w:r w:rsidRPr="00A92D59">
        <w:rPr>
          <w:rFonts w:ascii="Arial" w:hAnsi="Arial" w:cs="Arial"/>
        </w:rPr>
        <w:t xml:space="preserve">Recently, Mark Johnson, in reflecting on decades of experience in </w:t>
      </w:r>
      <w:proofErr w:type="spellStart"/>
      <w:r w:rsidRPr="00A92D59">
        <w:rPr>
          <w:rFonts w:ascii="Arial" w:hAnsi="Arial" w:cs="Arial"/>
        </w:rPr>
        <w:t>endeavours</w:t>
      </w:r>
      <w:proofErr w:type="spellEnd"/>
      <w:r w:rsidRPr="00A92D59">
        <w:rPr>
          <w:rFonts w:ascii="Arial" w:hAnsi="Arial" w:cs="Arial"/>
        </w:rPr>
        <w:t xml:space="preserve"> to effect policy change, argued that any material policy reform program requires a permanent secretariat capability to maintain momentum.  He made the following observations:</w:t>
      </w:r>
    </w:p>
    <w:p w14:paraId="5A4CFC7B" w14:textId="77777777" w:rsidR="007774AC" w:rsidRPr="00A92D59" w:rsidRDefault="007774AC" w:rsidP="007774AC">
      <w:pPr>
        <w:jc w:val="both"/>
        <w:rPr>
          <w:rFonts w:ascii="Arial" w:hAnsi="Arial" w:cs="Arial"/>
          <w:i/>
        </w:rPr>
      </w:pPr>
    </w:p>
    <w:p w14:paraId="5A4CFC7C" w14:textId="77777777" w:rsidR="007774AC" w:rsidRPr="00A92D59" w:rsidRDefault="007774AC" w:rsidP="007774AC">
      <w:pPr>
        <w:ind w:left="720"/>
        <w:jc w:val="both"/>
        <w:rPr>
          <w:rFonts w:ascii="Arial" w:hAnsi="Arial" w:cs="Arial"/>
          <w:i/>
        </w:rPr>
      </w:pPr>
      <w:r w:rsidRPr="00A92D59">
        <w:rPr>
          <w:rFonts w:ascii="Arial" w:hAnsi="Arial" w:cs="Arial"/>
          <w:i/>
        </w:rPr>
        <w:t>“There should be a taskforce composed of people from industry – not CEOs, but people at a senior operational level.</w:t>
      </w:r>
    </w:p>
    <w:p w14:paraId="5A4CFC7D" w14:textId="77777777" w:rsidR="007774AC" w:rsidRPr="00A92D59" w:rsidRDefault="007774AC" w:rsidP="007774AC">
      <w:pPr>
        <w:jc w:val="both"/>
        <w:rPr>
          <w:rFonts w:ascii="Arial" w:hAnsi="Arial" w:cs="Arial"/>
          <w:i/>
        </w:rPr>
      </w:pPr>
    </w:p>
    <w:p w14:paraId="5A4CFC7E" w14:textId="77777777" w:rsidR="007774AC" w:rsidRPr="00A92D59" w:rsidRDefault="007774AC" w:rsidP="007774AC">
      <w:pPr>
        <w:ind w:left="720"/>
        <w:jc w:val="both"/>
        <w:rPr>
          <w:rFonts w:ascii="Arial" w:hAnsi="Arial" w:cs="Arial"/>
          <w:i/>
        </w:rPr>
      </w:pPr>
      <w:r w:rsidRPr="00A92D59">
        <w:rPr>
          <w:rFonts w:ascii="Arial" w:hAnsi="Arial" w:cs="Arial"/>
          <w:i/>
        </w:rPr>
        <w:t>It ought to have a senior person from Treasury and a ministerial office representative, because…the politicians…determine priorities.</w:t>
      </w:r>
    </w:p>
    <w:p w14:paraId="5A4CFC7F" w14:textId="77777777" w:rsidR="007774AC" w:rsidRPr="00A92D59" w:rsidRDefault="007774AC" w:rsidP="007774AC">
      <w:pPr>
        <w:ind w:left="720"/>
        <w:jc w:val="both"/>
        <w:rPr>
          <w:rFonts w:ascii="Arial" w:hAnsi="Arial" w:cs="Arial"/>
          <w:i/>
        </w:rPr>
      </w:pPr>
    </w:p>
    <w:p w14:paraId="5A4CFC80" w14:textId="77777777" w:rsidR="007774AC" w:rsidRPr="00A92D59" w:rsidRDefault="007774AC" w:rsidP="007774AC">
      <w:pPr>
        <w:ind w:left="720"/>
        <w:jc w:val="both"/>
        <w:rPr>
          <w:rFonts w:ascii="Arial" w:hAnsi="Arial" w:cs="Arial"/>
          <w:i/>
        </w:rPr>
      </w:pPr>
      <w:r w:rsidRPr="00A92D59">
        <w:rPr>
          <w:rFonts w:ascii="Arial" w:hAnsi="Arial" w:cs="Arial"/>
          <w:i/>
        </w:rPr>
        <w:t>It must have a secretariat. It doesn’t need to be big... these people must come from the private sector. They should not be representatives of Treasury…</w:t>
      </w:r>
    </w:p>
    <w:p w14:paraId="5A4CFC81" w14:textId="77777777" w:rsidR="007774AC" w:rsidRPr="00A92D59" w:rsidRDefault="007774AC" w:rsidP="007774AC">
      <w:pPr>
        <w:ind w:left="720"/>
        <w:jc w:val="both"/>
        <w:rPr>
          <w:rFonts w:ascii="Arial" w:hAnsi="Arial" w:cs="Arial"/>
          <w:i/>
        </w:rPr>
      </w:pPr>
    </w:p>
    <w:p w14:paraId="5A4CFC82" w14:textId="77777777" w:rsidR="007774AC" w:rsidRPr="00A92D59" w:rsidRDefault="007774AC" w:rsidP="007774AC">
      <w:pPr>
        <w:ind w:left="720"/>
        <w:jc w:val="both"/>
        <w:rPr>
          <w:rFonts w:ascii="Arial" w:hAnsi="Arial" w:cs="Arial"/>
          <w:i/>
        </w:rPr>
      </w:pPr>
      <w:r w:rsidRPr="00A92D59">
        <w:rPr>
          <w:rFonts w:ascii="Arial" w:hAnsi="Arial" w:cs="Arial"/>
          <w:i/>
        </w:rPr>
        <w:t>It should be funded on a user-pays basis…by the industry itself.</w:t>
      </w:r>
    </w:p>
    <w:p w14:paraId="5A4CFC83" w14:textId="77777777" w:rsidR="007774AC" w:rsidRPr="00A92D59" w:rsidRDefault="007774AC" w:rsidP="007774AC">
      <w:pPr>
        <w:ind w:left="720"/>
        <w:jc w:val="both"/>
        <w:rPr>
          <w:rFonts w:ascii="Arial" w:hAnsi="Arial" w:cs="Arial"/>
          <w:i/>
        </w:rPr>
      </w:pPr>
    </w:p>
    <w:p w14:paraId="5A4CFC84" w14:textId="77777777" w:rsidR="007774AC" w:rsidRPr="00A92D59" w:rsidRDefault="007774AC" w:rsidP="007774AC">
      <w:pPr>
        <w:ind w:left="720"/>
        <w:jc w:val="both"/>
        <w:rPr>
          <w:rFonts w:ascii="Arial" w:hAnsi="Arial" w:cs="Arial"/>
          <w:i/>
        </w:rPr>
      </w:pPr>
      <w:r w:rsidRPr="00A92D59">
        <w:rPr>
          <w:rFonts w:ascii="Arial" w:hAnsi="Arial" w:cs="Arial"/>
          <w:i/>
        </w:rPr>
        <w:t>There should be a formal requirement for a report that is tabled in Parliament every six months or 12 months.</w:t>
      </w:r>
    </w:p>
    <w:p w14:paraId="5A4CFC85" w14:textId="77777777" w:rsidR="007774AC" w:rsidRPr="00A92D59" w:rsidRDefault="007774AC" w:rsidP="007774AC">
      <w:pPr>
        <w:ind w:left="720"/>
        <w:jc w:val="both"/>
        <w:rPr>
          <w:rFonts w:ascii="Arial" w:hAnsi="Arial" w:cs="Arial"/>
          <w:i/>
        </w:rPr>
      </w:pPr>
    </w:p>
    <w:p w14:paraId="5A4CFC86" w14:textId="77777777" w:rsidR="007774AC" w:rsidRPr="00A92D59" w:rsidRDefault="007774AC" w:rsidP="007774AC">
      <w:pPr>
        <w:ind w:left="720"/>
        <w:jc w:val="both"/>
        <w:rPr>
          <w:rFonts w:ascii="Arial" w:hAnsi="Arial" w:cs="Arial"/>
          <w:i/>
        </w:rPr>
      </w:pPr>
      <w:r w:rsidRPr="00A92D59">
        <w:rPr>
          <w:rFonts w:ascii="Arial" w:hAnsi="Arial" w:cs="Arial"/>
          <w:i/>
        </w:rPr>
        <w:t>The treasurer or assistant treasurer should meet with the committee whenever appropriate…the bulk of the work will be done by the secretariat.”</w:t>
      </w:r>
      <w:r w:rsidRPr="00A92D59">
        <w:rPr>
          <w:rStyle w:val="FootnoteReference"/>
          <w:rFonts w:ascii="Arial" w:hAnsi="Arial" w:cs="Arial"/>
          <w:i/>
        </w:rPr>
        <w:footnoteReference w:id="33"/>
      </w:r>
    </w:p>
    <w:p w14:paraId="5A4CFC87" w14:textId="77777777" w:rsidR="007774AC" w:rsidRPr="00A92D59" w:rsidRDefault="007774AC" w:rsidP="007774AC">
      <w:pPr>
        <w:jc w:val="both"/>
        <w:rPr>
          <w:rFonts w:ascii="Arial" w:hAnsi="Arial" w:cs="Arial"/>
        </w:rPr>
      </w:pPr>
    </w:p>
    <w:p w14:paraId="5A4CFC88" w14:textId="77777777" w:rsidR="007774AC" w:rsidRPr="00A92D59" w:rsidRDefault="007774AC" w:rsidP="007774AC">
      <w:pPr>
        <w:jc w:val="both"/>
        <w:rPr>
          <w:rFonts w:ascii="Arial" w:hAnsi="Arial" w:cs="Arial"/>
        </w:rPr>
      </w:pPr>
    </w:p>
    <w:p w14:paraId="5A4CFC89" w14:textId="77777777" w:rsidR="007774AC" w:rsidRDefault="007774AC" w:rsidP="007774AC">
      <w:pPr>
        <w:jc w:val="both"/>
        <w:rPr>
          <w:rFonts w:ascii="Arial" w:hAnsi="Arial" w:cs="Arial"/>
        </w:rPr>
      </w:pPr>
      <w:r>
        <w:rPr>
          <w:rFonts w:ascii="Arial" w:hAnsi="Arial" w:cs="Arial"/>
        </w:rPr>
        <w:t xml:space="preserve">There is currently no collaborative governance structure or </w:t>
      </w:r>
      <w:r w:rsidRPr="00A92D59">
        <w:rPr>
          <w:rFonts w:ascii="Arial" w:hAnsi="Arial" w:cs="Arial"/>
        </w:rPr>
        <w:t xml:space="preserve">capability that </w:t>
      </w:r>
      <w:r>
        <w:rPr>
          <w:rFonts w:ascii="Arial" w:hAnsi="Arial" w:cs="Arial"/>
        </w:rPr>
        <w:t>has a mandate to serve the national interest by focusing on tasks to be accomplished to implement programs of change.</w:t>
      </w:r>
    </w:p>
    <w:p w14:paraId="5A4CFC8A" w14:textId="77777777" w:rsidR="007774AC" w:rsidRPr="00A92D59" w:rsidRDefault="007774AC" w:rsidP="007774AC">
      <w:pPr>
        <w:jc w:val="both"/>
        <w:rPr>
          <w:rFonts w:ascii="Arial" w:hAnsi="Arial" w:cs="Arial"/>
        </w:rPr>
      </w:pPr>
    </w:p>
    <w:p w14:paraId="5A4CFC8B" w14:textId="77777777" w:rsidR="007774AC" w:rsidRPr="00A92D59" w:rsidRDefault="007774AC" w:rsidP="007774AC">
      <w:pPr>
        <w:jc w:val="both"/>
        <w:rPr>
          <w:rFonts w:ascii="Arial" w:hAnsi="Arial" w:cs="Arial"/>
        </w:rPr>
      </w:pPr>
      <w:r w:rsidRPr="00A92D59">
        <w:rPr>
          <w:rFonts w:ascii="Arial" w:hAnsi="Arial" w:cs="Arial"/>
        </w:rPr>
        <w:t xml:space="preserve">We outline a model for research agency-industry-government collaboration in the Financial Services sector, </w:t>
      </w:r>
      <w:r>
        <w:rPr>
          <w:rFonts w:ascii="Arial" w:hAnsi="Arial" w:cs="Arial"/>
        </w:rPr>
        <w:t>overleaf</w:t>
      </w:r>
      <w:r w:rsidRPr="00A92D59">
        <w:rPr>
          <w:rFonts w:ascii="Arial" w:hAnsi="Arial" w:cs="Arial"/>
        </w:rPr>
        <w:t xml:space="preserve">. </w:t>
      </w:r>
    </w:p>
    <w:p w14:paraId="5A4CFC8C" w14:textId="77777777" w:rsidR="007774AC" w:rsidRPr="00A92D59" w:rsidRDefault="007774AC" w:rsidP="007774AC">
      <w:pPr>
        <w:jc w:val="both"/>
        <w:rPr>
          <w:rFonts w:ascii="Arial" w:hAnsi="Arial" w:cs="Arial"/>
        </w:rPr>
      </w:pPr>
    </w:p>
    <w:p w14:paraId="5A4CFC8D" w14:textId="77777777" w:rsidR="007774AC" w:rsidRDefault="007774AC" w:rsidP="007774AC">
      <w:pPr>
        <w:jc w:val="both"/>
        <w:rPr>
          <w:rFonts w:ascii="Arial" w:hAnsi="Arial" w:cs="Arial"/>
        </w:rPr>
      </w:pPr>
      <w:r>
        <w:rPr>
          <w:rFonts w:ascii="Arial" w:hAnsi="Arial" w:cs="Arial"/>
        </w:rPr>
        <w:t>This model has the following characteristics:</w:t>
      </w:r>
    </w:p>
    <w:p w14:paraId="5A4CFC8E" w14:textId="77777777" w:rsidR="007774AC" w:rsidRDefault="007774AC" w:rsidP="007774AC">
      <w:pPr>
        <w:jc w:val="both"/>
        <w:rPr>
          <w:rFonts w:ascii="Arial" w:hAnsi="Arial" w:cs="Arial"/>
        </w:rPr>
      </w:pPr>
    </w:p>
    <w:p w14:paraId="5A4CFC8F" w14:textId="77777777" w:rsidR="007774AC" w:rsidRDefault="007774AC" w:rsidP="007774AC">
      <w:pPr>
        <w:pStyle w:val="ListParagraph"/>
        <w:numPr>
          <w:ilvl w:val="0"/>
          <w:numId w:val="1"/>
        </w:numPr>
        <w:jc w:val="both"/>
        <w:rPr>
          <w:rFonts w:ascii="Arial" w:hAnsi="Arial" w:cs="Arial"/>
        </w:rPr>
      </w:pPr>
      <w:r w:rsidRPr="000E268B">
        <w:rPr>
          <w:rFonts w:ascii="Arial" w:hAnsi="Arial" w:cs="Arial"/>
        </w:rPr>
        <w:t xml:space="preserve">Similar to the Commonwealth Science Council, it </w:t>
      </w:r>
      <w:proofErr w:type="spellStart"/>
      <w:r w:rsidRPr="000E268B">
        <w:rPr>
          <w:rFonts w:ascii="Arial" w:hAnsi="Arial" w:cs="Arial"/>
        </w:rPr>
        <w:t>institutionali</w:t>
      </w:r>
      <w:r>
        <w:rPr>
          <w:rFonts w:ascii="Arial" w:hAnsi="Arial" w:cs="Arial"/>
        </w:rPr>
        <w:t>s</w:t>
      </w:r>
      <w:r w:rsidRPr="000E268B">
        <w:rPr>
          <w:rFonts w:ascii="Arial" w:hAnsi="Arial" w:cs="Arial"/>
        </w:rPr>
        <w:t>es</w:t>
      </w:r>
      <w:proofErr w:type="spellEnd"/>
      <w:r w:rsidRPr="000E268B">
        <w:rPr>
          <w:rFonts w:ascii="Arial" w:hAnsi="Arial" w:cs="Arial"/>
        </w:rPr>
        <w:t xml:space="preserve"> the involvement of a group of experts well placed to bring a diversity of high quality thinking to bear on critical questions such as how to </w:t>
      </w:r>
      <w:proofErr w:type="spellStart"/>
      <w:r w:rsidRPr="000E268B">
        <w:rPr>
          <w:rFonts w:ascii="Arial" w:hAnsi="Arial" w:cs="Arial"/>
        </w:rPr>
        <w:t>prioritise</w:t>
      </w:r>
      <w:proofErr w:type="spellEnd"/>
      <w:r w:rsidRPr="000E268B">
        <w:rPr>
          <w:rFonts w:ascii="Arial" w:hAnsi="Arial" w:cs="Arial"/>
        </w:rPr>
        <w:t xml:space="preserve"> needs and how best to proceed to address them</w:t>
      </w:r>
      <w:r>
        <w:rPr>
          <w:rFonts w:ascii="Arial" w:hAnsi="Arial" w:cs="Arial"/>
        </w:rPr>
        <w:t>;</w:t>
      </w:r>
    </w:p>
    <w:p w14:paraId="5A4CFC90" w14:textId="77777777" w:rsidR="007774AC" w:rsidRPr="000E268B" w:rsidRDefault="007774AC" w:rsidP="007774AC">
      <w:pPr>
        <w:pStyle w:val="ListParagraph"/>
        <w:jc w:val="both"/>
        <w:rPr>
          <w:rFonts w:ascii="Arial" w:hAnsi="Arial" w:cs="Arial"/>
        </w:rPr>
      </w:pPr>
    </w:p>
    <w:p w14:paraId="5A4CFC91" w14:textId="77777777" w:rsidR="007774AC" w:rsidRDefault="007774AC" w:rsidP="007774AC">
      <w:pPr>
        <w:pStyle w:val="ListParagraph"/>
        <w:numPr>
          <w:ilvl w:val="0"/>
          <w:numId w:val="1"/>
        </w:numPr>
        <w:jc w:val="both"/>
        <w:rPr>
          <w:rFonts w:ascii="Arial" w:hAnsi="Arial" w:cs="Arial"/>
        </w:rPr>
      </w:pPr>
      <w:r>
        <w:rPr>
          <w:rFonts w:ascii="Arial" w:hAnsi="Arial" w:cs="Arial"/>
        </w:rPr>
        <w:t xml:space="preserve">The relationship between the oversight body and the Office of Financial Research and Solutions serves to </w:t>
      </w:r>
      <w:proofErr w:type="spellStart"/>
      <w:r>
        <w:rPr>
          <w:rFonts w:ascii="Arial" w:hAnsi="Arial" w:cs="Arial"/>
        </w:rPr>
        <w:t>institutionalise</w:t>
      </w:r>
      <w:proofErr w:type="spellEnd"/>
      <w:r>
        <w:rPr>
          <w:rFonts w:ascii="Arial" w:hAnsi="Arial" w:cs="Arial"/>
        </w:rPr>
        <w:t xml:space="preserve"> a capability to make: </w:t>
      </w:r>
    </w:p>
    <w:p w14:paraId="5A4CFC92" w14:textId="77777777" w:rsidR="007774AC" w:rsidRDefault="007774AC" w:rsidP="007774AC">
      <w:pPr>
        <w:pStyle w:val="ListParagraph"/>
        <w:numPr>
          <w:ilvl w:val="1"/>
          <w:numId w:val="14"/>
        </w:numPr>
        <w:jc w:val="both"/>
        <w:rPr>
          <w:rFonts w:ascii="Arial" w:hAnsi="Arial" w:cs="Arial"/>
        </w:rPr>
      </w:pPr>
      <w:r>
        <w:rPr>
          <w:rFonts w:ascii="Arial" w:hAnsi="Arial" w:cs="Arial"/>
        </w:rPr>
        <w:t>well-informed decisions and recommendations; and</w:t>
      </w:r>
    </w:p>
    <w:p w14:paraId="5A4CFC93" w14:textId="77777777" w:rsidR="007774AC" w:rsidRDefault="007774AC" w:rsidP="007774AC">
      <w:pPr>
        <w:pStyle w:val="ListParagraph"/>
        <w:numPr>
          <w:ilvl w:val="1"/>
          <w:numId w:val="14"/>
        </w:numPr>
        <w:jc w:val="both"/>
        <w:rPr>
          <w:rFonts w:ascii="Arial" w:hAnsi="Arial" w:cs="Arial"/>
        </w:rPr>
      </w:pPr>
      <w:proofErr w:type="gramStart"/>
      <w:r>
        <w:rPr>
          <w:rFonts w:ascii="Arial" w:hAnsi="Arial" w:cs="Arial"/>
        </w:rPr>
        <w:t>progress</w:t>
      </w:r>
      <w:proofErr w:type="gramEnd"/>
      <w:r>
        <w:rPr>
          <w:rFonts w:ascii="Arial" w:hAnsi="Arial" w:cs="Arial"/>
        </w:rPr>
        <w:t xml:space="preserve"> on implementation consistent with agreed priorities.</w:t>
      </w:r>
    </w:p>
    <w:p w14:paraId="5A4CFC94" w14:textId="77777777" w:rsidR="007774AC" w:rsidRDefault="007774AC" w:rsidP="007774AC">
      <w:pPr>
        <w:pStyle w:val="ListParagraph"/>
        <w:ind w:left="1440"/>
        <w:jc w:val="both"/>
        <w:rPr>
          <w:rFonts w:ascii="Arial" w:hAnsi="Arial" w:cs="Arial"/>
        </w:rPr>
      </w:pPr>
    </w:p>
    <w:p w14:paraId="5A4CFC95" w14:textId="77777777" w:rsidR="007774AC" w:rsidRPr="00C3632C" w:rsidRDefault="007774AC" w:rsidP="007774AC">
      <w:pPr>
        <w:pStyle w:val="ListParagraph"/>
        <w:widowControl w:val="0"/>
        <w:numPr>
          <w:ilvl w:val="0"/>
          <w:numId w:val="1"/>
        </w:numPr>
        <w:autoSpaceDE w:val="0"/>
        <w:autoSpaceDN w:val="0"/>
        <w:adjustRightInd w:val="0"/>
        <w:spacing w:after="200"/>
        <w:jc w:val="both"/>
        <w:rPr>
          <w:rFonts w:ascii="Arial" w:hAnsi="Arial" w:cs="Arial"/>
        </w:rPr>
      </w:pPr>
      <w:r w:rsidRPr="00C3632C">
        <w:rPr>
          <w:rFonts w:ascii="Arial" w:hAnsi="Arial" w:cs="Arial"/>
        </w:rPr>
        <w:t>It has some similarity with the establishment in the United States of the Office of Financial Research, which is funded by U.S. Trea</w:t>
      </w:r>
      <w:r>
        <w:rPr>
          <w:rFonts w:ascii="Arial" w:hAnsi="Arial" w:cs="Arial"/>
        </w:rPr>
        <w:t xml:space="preserve">sury and serves </w:t>
      </w:r>
      <w:r w:rsidRPr="00C3632C">
        <w:rPr>
          <w:rFonts w:ascii="Arial" w:hAnsi="Arial" w:cs="Arial"/>
        </w:rPr>
        <w:t>the Financial Stability Oversight Council, its member agencies, and the national interest by ‘…improving the quality, transparency, and accessibility of financial data and information; by conducting and sponsoring research related to financial stability; and by promoting best practices in risk management.’</w:t>
      </w:r>
      <w:r w:rsidRPr="00C3632C">
        <w:rPr>
          <w:rStyle w:val="FootnoteReference"/>
          <w:rFonts w:ascii="Arial" w:hAnsi="Arial" w:cs="Arial"/>
        </w:rPr>
        <w:footnoteReference w:id="34"/>
      </w:r>
    </w:p>
    <w:p w14:paraId="5A4CFC96" w14:textId="77777777" w:rsidR="007774AC" w:rsidRDefault="007774AC" w:rsidP="007774AC">
      <w:pPr>
        <w:jc w:val="both"/>
        <w:rPr>
          <w:rFonts w:asciiTheme="majorHAnsi" w:eastAsiaTheme="majorEastAsia" w:hAnsiTheme="majorHAnsi" w:cstheme="majorBidi"/>
          <w:b/>
          <w:bCs/>
          <w:color w:val="4F81BD" w:themeColor="accent1"/>
          <w:sz w:val="26"/>
          <w:szCs w:val="26"/>
        </w:rPr>
      </w:pPr>
    </w:p>
    <w:p w14:paraId="5A4CFC97" w14:textId="77777777" w:rsidR="007774AC" w:rsidRDefault="007774AC" w:rsidP="007774AC">
      <w:pPr>
        <w:jc w:val="both"/>
        <w:rPr>
          <w:rFonts w:asciiTheme="majorHAnsi" w:eastAsiaTheme="majorEastAsia" w:hAnsiTheme="majorHAnsi" w:cstheme="majorBidi"/>
          <w:b/>
          <w:bCs/>
          <w:color w:val="4F81BD" w:themeColor="accent1"/>
          <w:sz w:val="26"/>
          <w:szCs w:val="26"/>
        </w:rPr>
      </w:pPr>
    </w:p>
    <w:p w14:paraId="5A4CFC98" w14:textId="77777777" w:rsidR="007774AC" w:rsidRDefault="007774AC" w:rsidP="007774AC">
      <w:pPr>
        <w:jc w:val="both"/>
        <w:rPr>
          <w:rFonts w:asciiTheme="majorHAnsi" w:eastAsiaTheme="majorEastAsia" w:hAnsiTheme="majorHAnsi" w:cstheme="majorBidi"/>
          <w:b/>
          <w:bCs/>
          <w:color w:val="4F81BD" w:themeColor="accent1"/>
          <w:sz w:val="26"/>
          <w:szCs w:val="26"/>
        </w:rPr>
        <w:sectPr w:rsidR="007774AC" w:rsidSect="00EA6620">
          <w:footerReference w:type="default" r:id="rId14"/>
          <w:pgSz w:w="11900" w:h="16840"/>
          <w:pgMar w:top="1440" w:right="1440" w:bottom="1440" w:left="1440" w:header="708" w:footer="708" w:gutter="0"/>
          <w:cols w:space="708"/>
          <w:titlePg/>
          <w:docGrid w:linePitch="360"/>
        </w:sectPr>
      </w:pPr>
    </w:p>
    <w:p w14:paraId="5A4CFC99" w14:textId="77777777" w:rsidR="007774AC" w:rsidRDefault="007774AC" w:rsidP="007774AC">
      <w:pPr>
        <w:pStyle w:val="Heading2"/>
        <w:jc w:val="both"/>
      </w:pPr>
    </w:p>
    <w:p w14:paraId="5A4CFC9A" w14:textId="77777777" w:rsidR="007774AC" w:rsidRDefault="007774AC" w:rsidP="007774AC">
      <w:pPr>
        <w:pStyle w:val="Heading2"/>
        <w:jc w:val="both"/>
      </w:pPr>
    </w:p>
    <w:p w14:paraId="5A4CFC9B" w14:textId="77777777" w:rsidR="007774AC" w:rsidRDefault="007774AC" w:rsidP="007774AC">
      <w:pPr>
        <w:pStyle w:val="Heading2"/>
        <w:jc w:val="center"/>
      </w:pPr>
      <w:bookmarkStart w:id="35" w:name="_Toc405822940"/>
      <w:bookmarkStart w:id="36" w:name="_Toc405889660"/>
      <w:bookmarkStart w:id="37" w:name="_Toc405906894"/>
      <w:r w:rsidRPr="009C5385">
        <w:t>Figure 2</w:t>
      </w:r>
      <w:r>
        <w:t xml:space="preserve">: </w:t>
      </w:r>
      <w:r w:rsidRPr="00A92D59">
        <w:rPr>
          <w:b w:val="0"/>
        </w:rPr>
        <w:t>Research &amp; Related Solutions in Financial Services</w:t>
      </w:r>
      <w:bookmarkEnd w:id="35"/>
      <w:bookmarkEnd w:id="36"/>
      <w:bookmarkEnd w:id="37"/>
    </w:p>
    <w:p w14:paraId="5A4CFC9C" w14:textId="77777777" w:rsidR="007774AC" w:rsidRPr="00FF1759" w:rsidRDefault="007774AC" w:rsidP="007774AC">
      <w:pPr>
        <w:jc w:val="both"/>
      </w:pPr>
    </w:p>
    <w:bookmarkStart w:id="38" w:name="_Toc405822941"/>
    <w:bookmarkStart w:id="39" w:name="_Toc405889661"/>
    <w:bookmarkStart w:id="40" w:name="_Toc405906895"/>
    <w:p w14:paraId="5A4CFC9D" w14:textId="77777777" w:rsidR="007774AC" w:rsidRPr="004710F9" w:rsidRDefault="007774AC" w:rsidP="007774AC">
      <w:pPr>
        <w:pStyle w:val="Heading2"/>
        <w:jc w:val="both"/>
      </w:pPr>
      <w:r w:rsidRPr="00852C88">
        <w:rPr>
          <w:noProof/>
          <w:lang w:val="en-AU" w:eastAsia="en-AU"/>
        </w:rPr>
        <mc:AlternateContent>
          <mc:Choice Requires="wps">
            <w:drawing>
              <wp:anchor distT="0" distB="0" distL="114300" distR="114300" simplePos="0" relativeHeight="251661312" behindDoc="0" locked="0" layoutInCell="1" allowOverlap="1" wp14:anchorId="5A4CFD27" wp14:editId="5A4CFD28">
                <wp:simplePos x="0" y="0"/>
                <wp:positionH relativeFrom="column">
                  <wp:posOffset>7117080</wp:posOffset>
                </wp:positionH>
                <wp:positionV relativeFrom="paragraph">
                  <wp:posOffset>52607</wp:posOffset>
                </wp:positionV>
                <wp:extent cx="1625600" cy="2438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43840"/>
                        </a:xfrm>
                        <a:prstGeom prst="rect">
                          <a:avLst/>
                        </a:prstGeom>
                        <a:solidFill>
                          <a:srgbClr val="FFFFFF"/>
                        </a:solidFill>
                        <a:ln w="9525">
                          <a:noFill/>
                          <a:miter lim="800000"/>
                          <a:headEnd/>
                          <a:tailEnd/>
                        </a:ln>
                      </wps:spPr>
                      <wps:txbx>
                        <w:txbxContent>
                          <w:p w14:paraId="5A4CFD57" w14:textId="77777777" w:rsidR="007774AC" w:rsidRPr="00A92D59" w:rsidRDefault="007774AC" w:rsidP="007774AC">
                            <w:pPr>
                              <w:jc w:val="center"/>
                              <w:rPr>
                                <w:rFonts w:ascii="Arial" w:hAnsi="Arial" w:cs="Arial"/>
                                <w:b/>
                                <w:color w:val="1F497D" w:themeColor="text2"/>
                                <w:sz w:val="18"/>
                                <w:szCs w:val="20"/>
                              </w:rPr>
                            </w:pPr>
                            <w:r w:rsidRPr="00A92D59">
                              <w:rPr>
                                <w:rFonts w:ascii="Arial" w:hAnsi="Arial" w:cs="Arial"/>
                                <w:b/>
                                <w:color w:val="1F497D" w:themeColor="text2"/>
                                <w:sz w:val="18"/>
                                <w:szCs w:val="20"/>
                              </w:rPr>
                              <w:t>Responsibilities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0.4pt;margin-top:4.15pt;width:128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" stroked="f">
                <v:textbox>
                  <w:txbxContent>
                    <w:p w:rsidR="007774AC" w:rsidRPr="00A92D59" w:rsidRDefault="007774AC" w:rsidP="007774AC">
                      <w:pPr>
                        <w:jc w:val="center"/>
                        <w:rPr>
                          <w:rFonts w:ascii="Arial" w:hAnsi="Arial" w:cs="Arial"/>
                          <w:b/>
                          <w:color w:val="1F497D" w:themeColor="text2"/>
                          <w:sz w:val="18"/>
                          <w:szCs w:val="20"/>
                        </w:rPr>
                      </w:pPr>
                      <w:r w:rsidRPr="00A92D59">
                        <w:rPr>
                          <w:rFonts w:ascii="Arial" w:hAnsi="Arial" w:cs="Arial"/>
                          <w:b/>
                          <w:color w:val="1F497D" w:themeColor="text2"/>
                          <w:sz w:val="18"/>
                          <w:szCs w:val="20"/>
                        </w:rPr>
                        <w:t>Responsibilities</w:t>
                      </w:r>
                    </w:p>
                  </w:txbxContent>
                </v:textbox>
              </v:shape>
            </w:pict>
          </mc:Fallback>
        </mc:AlternateContent>
      </w:r>
      <w:bookmarkEnd w:id="38"/>
      <w:bookmarkEnd w:id="39"/>
      <w:r w:rsidRPr="00FF1759">
        <w:rPr>
          <w:rFonts w:ascii="Calibri" w:eastAsia="Calibri" w:hAnsi="Calibri" w:cs="Times New Roman"/>
          <w:noProof/>
          <w:sz w:val="22"/>
          <w:szCs w:val="22"/>
          <w:lang w:val="en-AU" w:eastAsia="en-AU"/>
        </w:rPr>
        <w:drawing>
          <wp:inline distT="0" distB="0" distL="0" distR="0" wp14:anchorId="5A4CFD29" wp14:editId="1DCEBD85">
            <wp:extent cx="9479280" cy="4983480"/>
            <wp:effectExtent l="0" t="0" r="26670" b="762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40"/>
    </w:p>
    <w:p w14:paraId="5A4CFC9E" w14:textId="77777777" w:rsidR="007774AC" w:rsidRPr="00A92D59" w:rsidRDefault="007774AC" w:rsidP="007774AC">
      <w:pPr>
        <w:pStyle w:val="Heading2"/>
        <w:jc w:val="both"/>
        <w:rPr>
          <w:rFonts w:ascii="Arial" w:hAnsi="Arial" w:cs="Arial"/>
        </w:rPr>
      </w:pPr>
    </w:p>
    <w:p w14:paraId="5A4CFC9F" w14:textId="77777777" w:rsidR="007774AC" w:rsidRDefault="007774AC" w:rsidP="007774AC">
      <w:pPr>
        <w:jc w:val="both"/>
        <w:rPr>
          <w:rFonts w:ascii="Arial" w:hAnsi="Arial" w:cs="Arial"/>
          <w:highlight w:val="yellow"/>
        </w:rPr>
        <w:sectPr w:rsidR="007774AC" w:rsidSect="00A92D59">
          <w:pgSz w:w="16840" w:h="11900" w:orient="landscape"/>
          <w:pgMar w:top="720" w:right="720" w:bottom="720" w:left="720" w:header="708" w:footer="708" w:gutter="0"/>
          <w:cols w:space="708"/>
          <w:titlePg/>
          <w:docGrid w:linePitch="360"/>
        </w:sectPr>
      </w:pPr>
    </w:p>
    <w:p w14:paraId="5A4CFCA0" w14:textId="77777777" w:rsidR="007774AC" w:rsidRPr="00C827D8" w:rsidRDefault="007774AC" w:rsidP="007774AC">
      <w:pPr>
        <w:pStyle w:val="Heading1"/>
        <w:numPr>
          <w:ilvl w:val="0"/>
          <w:numId w:val="34"/>
        </w:numPr>
        <w:jc w:val="both"/>
      </w:pPr>
      <w:bookmarkStart w:id="41" w:name="_Toc405906896"/>
      <w:r w:rsidRPr="009C5385">
        <w:lastRenderedPageBreak/>
        <w:t>Recommendations on Proposals set out in the</w:t>
      </w:r>
      <w:r>
        <w:t xml:space="preserve"> Consultation</w:t>
      </w:r>
      <w:r w:rsidRPr="009C5385">
        <w:t xml:space="preserve"> Paper</w:t>
      </w:r>
      <w:bookmarkEnd w:id="41"/>
      <w:r w:rsidRPr="009C5385">
        <w:t xml:space="preserve"> </w:t>
      </w:r>
    </w:p>
    <w:p w14:paraId="5A4CFCA1" w14:textId="77777777" w:rsidR="007774AC" w:rsidRDefault="007774AC" w:rsidP="007774AC">
      <w:pPr>
        <w:jc w:val="both"/>
        <w:rPr>
          <w:rFonts w:ascii="Arial" w:hAnsi="Arial" w:cs="Arial"/>
          <w:b/>
        </w:rPr>
      </w:pPr>
    </w:p>
    <w:p w14:paraId="5A4CFCA2" w14:textId="77777777" w:rsidR="007774AC" w:rsidRDefault="007774AC" w:rsidP="007774AC">
      <w:pPr>
        <w:jc w:val="both"/>
        <w:rPr>
          <w:rFonts w:ascii="Arial" w:hAnsi="Arial" w:cs="Arial"/>
        </w:rPr>
      </w:pPr>
      <w:r w:rsidRPr="00FD1B1A">
        <w:rPr>
          <w:rFonts w:ascii="Arial" w:hAnsi="Arial" w:cs="Arial"/>
        </w:rPr>
        <w:t xml:space="preserve">We set out below </w:t>
      </w:r>
      <w:proofErr w:type="spellStart"/>
      <w:r w:rsidRPr="00FD1B1A">
        <w:rPr>
          <w:rFonts w:ascii="Arial" w:hAnsi="Arial" w:cs="Arial"/>
        </w:rPr>
        <w:t>CIFR’s</w:t>
      </w:r>
      <w:proofErr w:type="spellEnd"/>
      <w:r w:rsidRPr="00FD1B1A">
        <w:rPr>
          <w:rFonts w:ascii="Arial" w:hAnsi="Arial" w:cs="Arial"/>
        </w:rPr>
        <w:t xml:space="preserve"> recommendations on the proposals in section 5 of the Consultation Paper.</w:t>
      </w:r>
      <w:r>
        <w:rPr>
          <w:rFonts w:ascii="Arial" w:hAnsi="Arial" w:cs="Arial"/>
        </w:rPr>
        <w:t xml:space="preserve">  </w:t>
      </w:r>
      <w:r w:rsidRPr="00FD1B1A">
        <w:rPr>
          <w:rFonts w:ascii="Arial" w:hAnsi="Arial" w:cs="Arial"/>
        </w:rPr>
        <w:t>All recommendations refer to the proposals as they apply to Financial Services.</w:t>
      </w:r>
    </w:p>
    <w:p w14:paraId="5A4CFCA3" w14:textId="77777777" w:rsidR="007774AC" w:rsidRDefault="007774AC" w:rsidP="007774AC">
      <w:pPr>
        <w:jc w:val="both"/>
        <w:rPr>
          <w:rFonts w:ascii="Arial" w:hAnsi="Arial" w:cs="Arial"/>
        </w:rPr>
      </w:pPr>
    </w:p>
    <w:tbl>
      <w:tblPr>
        <w:tblStyle w:val="TableGrid"/>
        <w:tblpPr w:leftFromText="181" w:rightFromText="181" w:vertAnchor="text" w:tblpY="1"/>
        <w:tblOverlap w:val="never"/>
        <w:tblW w:w="0" w:type="auto"/>
        <w:tblLook w:val="04A0" w:firstRow="1" w:lastRow="0" w:firstColumn="1" w:lastColumn="0" w:noHBand="0" w:noVBand="1"/>
      </w:tblPr>
      <w:tblGrid>
        <w:gridCol w:w="9236"/>
      </w:tblGrid>
      <w:tr w:rsidR="007774AC" w14:paraId="5A4CFCEA" w14:textId="77777777" w:rsidTr="007774AC">
        <w:tc>
          <w:tcPr>
            <w:tcW w:w="0" w:type="auto"/>
            <w:tcBorders>
              <w:top w:val="nil"/>
              <w:left w:val="nil"/>
              <w:bottom w:val="nil"/>
              <w:right w:val="nil"/>
            </w:tcBorders>
            <w:shd w:val="clear" w:color="auto" w:fill="DBE5F1" w:themeFill="accent1" w:themeFillTint="33"/>
          </w:tcPr>
          <w:p w14:paraId="5A4CFCA4" w14:textId="77777777" w:rsidR="007774AC" w:rsidRPr="003207BF" w:rsidRDefault="007774AC" w:rsidP="004D5D30">
            <w:pPr>
              <w:pStyle w:val="Heading2"/>
              <w:jc w:val="both"/>
              <w:outlineLvl w:val="1"/>
              <w:rPr>
                <w:b w:val="0"/>
              </w:rPr>
            </w:pPr>
            <w:bookmarkStart w:id="42" w:name="_Toc405822943"/>
            <w:bookmarkStart w:id="43" w:name="_Toc405889663"/>
            <w:bookmarkStart w:id="44" w:name="_Toc405906897"/>
            <w:r>
              <w:t>Proposal: c</w:t>
            </w:r>
            <w:r w:rsidRPr="003207BF">
              <w:t>reating stronger incentives for research-industry collaboration</w:t>
            </w:r>
            <w:bookmarkEnd w:id="42"/>
            <w:bookmarkEnd w:id="43"/>
            <w:bookmarkEnd w:id="44"/>
          </w:p>
          <w:p w14:paraId="5A4CFCA5" w14:textId="77777777" w:rsidR="007774AC" w:rsidRPr="003207BF" w:rsidRDefault="007774AC" w:rsidP="004D5D30">
            <w:pPr>
              <w:jc w:val="both"/>
              <w:rPr>
                <w:rFonts w:ascii="Arial" w:hAnsi="Arial" w:cs="Arial"/>
                <w:b/>
              </w:rPr>
            </w:pPr>
          </w:p>
          <w:p w14:paraId="5A4CFCA6" w14:textId="77777777" w:rsidR="007774AC" w:rsidRPr="003207BF" w:rsidRDefault="007774AC" w:rsidP="004D5D30">
            <w:pPr>
              <w:pStyle w:val="ListParagraph"/>
              <w:numPr>
                <w:ilvl w:val="0"/>
                <w:numId w:val="35"/>
              </w:numPr>
              <w:ind w:left="360"/>
              <w:jc w:val="both"/>
              <w:rPr>
                <w:rFonts w:ascii="Arial" w:hAnsi="Arial" w:cs="Arial"/>
              </w:rPr>
            </w:pPr>
            <w:r w:rsidRPr="003207BF">
              <w:rPr>
                <w:rFonts w:ascii="Arial" w:hAnsi="Arial" w:cs="Arial"/>
              </w:rPr>
              <w:t xml:space="preserve">The findings of the Fox and </w:t>
            </w:r>
            <w:proofErr w:type="spellStart"/>
            <w:r w:rsidRPr="003207BF">
              <w:rPr>
                <w:rFonts w:ascii="Arial" w:hAnsi="Arial" w:cs="Arial"/>
              </w:rPr>
              <w:t>Elnasri</w:t>
            </w:r>
            <w:proofErr w:type="spellEnd"/>
            <w:r w:rsidRPr="003207BF">
              <w:rPr>
                <w:rFonts w:ascii="Arial" w:hAnsi="Arial" w:cs="Arial"/>
              </w:rPr>
              <w:t xml:space="preserve"> Paper </w:t>
            </w:r>
            <w:r>
              <w:rPr>
                <w:rFonts w:ascii="Arial" w:hAnsi="Arial" w:cs="Arial"/>
              </w:rPr>
              <w:t xml:space="preserve">support Research Funding as being more effective than the R &amp; D Tax Incentive, and </w:t>
            </w:r>
            <w:r w:rsidRPr="003207BF">
              <w:rPr>
                <w:rFonts w:ascii="Arial" w:hAnsi="Arial" w:cs="Arial"/>
              </w:rPr>
              <w:t>should be taken into account in the Government’s consideration of the efficacy of its programs to fund research and</w:t>
            </w:r>
            <w:r>
              <w:rPr>
                <w:rFonts w:ascii="Arial" w:hAnsi="Arial" w:cs="Arial"/>
              </w:rPr>
              <w:t xml:space="preserve"> its</w:t>
            </w:r>
            <w:r w:rsidRPr="003207BF">
              <w:rPr>
                <w:rFonts w:ascii="Arial" w:hAnsi="Arial" w:cs="Arial"/>
              </w:rPr>
              <w:t xml:space="preserve"> funding allocation decisions.</w:t>
            </w:r>
          </w:p>
          <w:p w14:paraId="5A4CFCA7" w14:textId="77777777" w:rsidR="007774AC" w:rsidRPr="003207BF" w:rsidRDefault="007774AC" w:rsidP="004D5D30">
            <w:pPr>
              <w:jc w:val="both"/>
              <w:rPr>
                <w:rFonts w:ascii="Arial" w:hAnsi="Arial" w:cs="Arial"/>
              </w:rPr>
            </w:pPr>
          </w:p>
          <w:p w14:paraId="5A4CFCA8" w14:textId="77777777" w:rsidR="007774AC" w:rsidRPr="003207BF" w:rsidRDefault="007774AC" w:rsidP="004D5D30">
            <w:pPr>
              <w:pStyle w:val="ListParagraph"/>
              <w:numPr>
                <w:ilvl w:val="0"/>
                <w:numId w:val="35"/>
              </w:numPr>
              <w:ind w:left="360"/>
              <w:jc w:val="both"/>
              <w:rPr>
                <w:rFonts w:ascii="Arial" w:hAnsi="Arial" w:cs="Arial"/>
              </w:rPr>
            </w:pPr>
            <w:r w:rsidRPr="003207BF">
              <w:rPr>
                <w:rFonts w:ascii="Arial" w:hAnsi="Arial" w:cs="Arial"/>
              </w:rPr>
              <w:t xml:space="preserve">The Government should closely examine the relative merits of Research Funding and the R&amp;D Tax Incentive mechanisms, to inform its views on the case for adjustment of policy settings that impact the sector.   </w:t>
            </w:r>
          </w:p>
          <w:p w14:paraId="5A4CFCA9" w14:textId="77777777" w:rsidR="007774AC" w:rsidRPr="003207BF" w:rsidRDefault="007774AC" w:rsidP="004D5D30">
            <w:pPr>
              <w:jc w:val="both"/>
              <w:rPr>
                <w:rFonts w:ascii="Arial" w:hAnsi="Arial" w:cs="Arial"/>
              </w:rPr>
            </w:pPr>
          </w:p>
          <w:p w14:paraId="5A4CFCAA" w14:textId="77777777" w:rsidR="007774AC" w:rsidRPr="003207BF" w:rsidRDefault="007774AC" w:rsidP="004D5D30">
            <w:pPr>
              <w:pStyle w:val="ListParagraph"/>
              <w:numPr>
                <w:ilvl w:val="0"/>
                <w:numId w:val="35"/>
              </w:numPr>
              <w:ind w:left="360"/>
              <w:jc w:val="both"/>
              <w:rPr>
                <w:rFonts w:ascii="Arial" w:hAnsi="Arial" w:cs="Arial"/>
              </w:rPr>
            </w:pPr>
            <w:r w:rsidRPr="003207BF">
              <w:rPr>
                <w:rFonts w:ascii="Arial" w:hAnsi="Arial" w:cs="Arial"/>
              </w:rPr>
              <w:t xml:space="preserve">In considering how best to strengthen collaboration between research and business communities, we recommend the Government </w:t>
            </w:r>
            <w:r>
              <w:rPr>
                <w:rFonts w:ascii="Arial" w:hAnsi="Arial" w:cs="Arial"/>
              </w:rPr>
              <w:t>interpret</w:t>
            </w:r>
            <w:r w:rsidRPr="003207BF">
              <w:rPr>
                <w:rFonts w:ascii="Arial" w:hAnsi="Arial" w:cs="Arial"/>
              </w:rPr>
              <w:t xml:space="preserve"> ‘challenges’ and ‘practical problems’ to be solved in a broad sense so as to capture tasks and outcomes that are required to implement </w:t>
            </w:r>
            <w:r>
              <w:rPr>
                <w:rFonts w:ascii="Arial" w:hAnsi="Arial" w:cs="Arial"/>
              </w:rPr>
              <w:t>regulatory</w:t>
            </w:r>
            <w:r w:rsidRPr="003207BF">
              <w:rPr>
                <w:rFonts w:ascii="Arial" w:hAnsi="Arial" w:cs="Arial"/>
              </w:rPr>
              <w:t xml:space="preserve"> change. </w:t>
            </w:r>
          </w:p>
          <w:p w14:paraId="5A4CFCAB" w14:textId="77777777" w:rsidR="007774AC" w:rsidRPr="003207BF" w:rsidRDefault="007774AC" w:rsidP="004D5D30">
            <w:pPr>
              <w:jc w:val="both"/>
              <w:rPr>
                <w:rFonts w:ascii="Arial" w:hAnsi="Arial" w:cs="Arial"/>
              </w:rPr>
            </w:pPr>
          </w:p>
          <w:p w14:paraId="5A4CFCAC" w14:textId="77777777" w:rsidR="007774AC" w:rsidRPr="003207BF" w:rsidRDefault="007774AC" w:rsidP="004D5D30">
            <w:pPr>
              <w:pStyle w:val="ListParagraph"/>
              <w:numPr>
                <w:ilvl w:val="0"/>
                <w:numId w:val="35"/>
              </w:numPr>
              <w:ind w:left="360"/>
              <w:jc w:val="both"/>
              <w:rPr>
                <w:rFonts w:ascii="Arial" w:hAnsi="Arial" w:cs="Arial"/>
              </w:rPr>
            </w:pPr>
            <w:r w:rsidRPr="003207BF">
              <w:rPr>
                <w:rFonts w:ascii="Arial" w:hAnsi="Arial" w:cs="Arial"/>
              </w:rPr>
              <w:t>The Government should consider whether there is sufficient weight placed on, and funding available for, pursuit of research and collaborative implementation efforts to accelerate development of the sector.</w:t>
            </w:r>
          </w:p>
          <w:p w14:paraId="5A4CFCAD" w14:textId="77777777" w:rsidR="007774AC" w:rsidRPr="003207BF" w:rsidRDefault="007774AC" w:rsidP="004D5D30">
            <w:pPr>
              <w:jc w:val="both"/>
              <w:rPr>
                <w:rFonts w:ascii="Arial" w:hAnsi="Arial" w:cs="Arial"/>
              </w:rPr>
            </w:pPr>
          </w:p>
          <w:p w14:paraId="5A4CFCAE" w14:textId="77777777" w:rsidR="007774AC" w:rsidRPr="003207BF" w:rsidRDefault="007774AC" w:rsidP="004D5D30">
            <w:pPr>
              <w:pStyle w:val="ListParagraph"/>
              <w:ind w:left="360"/>
              <w:jc w:val="both"/>
              <w:rPr>
                <w:rFonts w:ascii="Arial" w:hAnsi="Arial" w:cs="Arial"/>
              </w:rPr>
            </w:pPr>
            <w:r>
              <w:rPr>
                <w:rFonts w:ascii="Arial" w:hAnsi="Arial" w:cs="Arial"/>
              </w:rPr>
              <w:t>In particular, t</w:t>
            </w:r>
            <w:r w:rsidRPr="003207BF">
              <w:rPr>
                <w:rFonts w:ascii="Arial" w:hAnsi="Arial" w:cs="Arial"/>
              </w:rPr>
              <w:t xml:space="preserve">he Government should consider adopting, a collaborative </w:t>
            </w:r>
            <w:r>
              <w:rPr>
                <w:rFonts w:ascii="Arial" w:hAnsi="Arial" w:cs="Arial"/>
              </w:rPr>
              <w:t xml:space="preserve">governance </w:t>
            </w:r>
            <w:r w:rsidRPr="003207BF">
              <w:rPr>
                <w:rFonts w:ascii="Arial" w:hAnsi="Arial" w:cs="Arial"/>
              </w:rPr>
              <w:t>model in Financial Services.  For example, the Government could consider funding a model such as that proposed in this submission</w:t>
            </w:r>
            <w:r>
              <w:rPr>
                <w:rFonts w:ascii="Arial" w:hAnsi="Arial" w:cs="Arial"/>
              </w:rPr>
              <w:t xml:space="preserve"> (Figure 2)</w:t>
            </w:r>
            <w:r w:rsidRPr="003207BF">
              <w:rPr>
                <w:rFonts w:ascii="Arial" w:hAnsi="Arial" w:cs="Arial"/>
              </w:rPr>
              <w:t xml:space="preserve"> to facilitate collaboration and deliver the following:</w:t>
            </w:r>
          </w:p>
          <w:p w14:paraId="5A4CFCAF" w14:textId="77777777" w:rsidR="007774AC" w:rsidRDefault="007774AC" w:rsidP="004D5D30">
            <w:pPr>
              <w:ind w:left="720" w:hanging="720"/>
              <w:jc w:val="both"/>
              <w:rPr>
                <w:rFonts w:ascii="Arial" w:hAnsi="Arial" w:cs="Arial"/>
              </w:rPr>
            </w:pPr>
          </w:p>
          <w:p w14:paraId="5A4CFCB0" w14:textId="77777777" w:rsidR="007774AC" w:rsidRPr="003207BF" w:rsidRDefault="007774AC" w:rsidP="004D5D30">
            <w:pPr>
              <w:pStyle w:val="ListParagraph"/>
              <w:numPr>
                <w:ilvl w:val="0"/>
                <w:numId w:val="36"/>
              </w:numPr>
              <w:jc w:val="both"/>
              <w:rPr>
                <w:rFonts w:ascii="Arial" w:hAnsi="Arial" w:cs="Arial"/>
              </w:rPr>
            </w:pPr>
            <w:r w:rsidRPr="003207BF">
              <w:rPr>
                <w:rFonts w:ascii="Arial" w:hAnsi="Arial" w:cs="Arial"/>
              </w:rPr>
              <w:t>timely generation of research and related solutions to inform development of policy and regulation</w:t>
            </w:r>
            <w:r>
              <w:rPr>
                <w:rFonts w:ascii="Arial" w:hAnsi="Arial" w:cs="Arial"/>
              </w:rPr>
              <w:t>;</w:t>
            </w:r>
          </w:p>
          <w:p w14:paraId="5A4CFCB1" w14:textId="77777777" w:rsidR="007774AC" w:rsidRPr="003207BF" w:rsidRDefault="007774AC" w:rsidP="004D5D30">
            <w:pPr>
              <w:pStyle w:val="ListParagraph"/>
              <w:numPr>
                <w:ilvl w:val="0"/>
                <w:numId w:val="36"/>
              </w:numPr>
              <w:jc w:val="both"/>
              <w:rPr>
                <w:rFonts w:ascii="Arial" w:hAnsi="Arial" w:cs="Arial"/>
              </w:rPr>
            </w:pPr>
            <w:r w:rsidRPr="003207BF">
              <w:rPr>
                <w:rFonts w:ascii="Arial" w:hAnsi="Arial" w:cs="Arial"/>
              </w:rPr>
              <w:t>timely opportunities for consultation and engagement to help with development of well-informed and considered policy and regulation</w:t>
            </w:r>
            <w:r>
              <w:rPr>
                <w:rFonts w:ascii="Arial" w:hAnsi="Arial" w:cs="Arial"/>
              </w:rPr>
              <w:t>;</w:t>
            </w:r>
          </w:p>
          <w:p w14:paraId="5A4CFCB2" w14:textId="77777777" w:rsidR="007774AC" w:rsidRPr="003207BF" w:rsidRDefault="007774AC" w:rsidP="004D5D30">
            <w:pPr>
              <w:pStyle w:val="ListParagraph"/>
              <w:numPr>
                <w:ilvl w:val="0"/>
                <w:numId w:val="36"/>
              </w:numPr>
              <w:jc w:val="both"/>
              <w:rPr>
                <w:rFonts w:ascii="Arial" w:hAnsi="Arial" w:cs="Arial"/>
              </w:rPr>
            </w:pPr>
            <w:r w:rsidRPr="003207BF">
              <w:rPr>
                <w:rFonts w:ascii="Arial" w:hAnsi="Arial" w:cs="Arial"/>
              </w:rPr>
              <w:t>improved coordination and quality of execution of regulatory reform programs through better leveraging the strengths, commitment and capacity available in the private sector</w:t>
            </w:r>
            <w:r>
              <w:rPr>
                <w:rFonts w:ascii="Arial" w:hAnsi="Arial" w:cs="Arial"/>
              </w:rPr>
              <w:t>;</w:t>
            </w:r>
          </w:p>
          <w:p w14:paraId="5A4CFCB3" w14:textId="77777777" w:rsidR="007774AC" w:rsidRPr="003207BF" w:rsidRDefault="007774AC" w:rsidP="004D5D30">
            <w:pPr>
              <w:pStyle w:val="ListParagraph"/>
              <w:numPr>
                <w:ilvl w:val="0"/>
                <w:numId w:val="36"/>
              </w:numPr>
              <w:jc w:val="both"/>
              <w:rPr>
                <w:rFonts w:ascii="Arial" w:hAnsi="Arial" w:cs="Arial"/>
              </w:rPr>
            </w:pPr>
            <w:r w:rsidRPr="003207BF">
              <w:rPr>
                <w:rFonts w:ascii="Arial" w:hAnsi="Arial" w:cs="Arial"/>
              </w:rPr>
              <w:t>facilitation of regulators and industry working toge</w:t>
            </w:r>
            <w:r>
              <w:rPr>
                <w:rFonts w:ascii="Arial" w:hAnsi="Arial" w:cs="Arial"/>
              </w:rPr>
              <w:t xml:space="preserve">ther to </w:t>
            </w:r>
            <w:proofErr w:type="spellStart"/>
            <w:r>
              <w:rPr>
                <w:rFonts w:ascii="Arial" w:hAnsi="Arial" w:cs="Arial"/>
              </w:rPr>
              <w:t>prioritise</w:t>
            </w:r>
            <w:proofErr w:type="spellEnd"/>
            <w:r>
              <w:rPr>
                <w:rFonts w:ascii="Arial" w:hAnsi="Arial" w:cs="Arial"/>
              </w:rPr>
              <w:t xml:space="preserve"> </w:t>
            </w:r>
            <w:r w:rsidRPr="003207BF">
              <w:rPr>
                <w:rFonts w:ascii="Arial" w:hAnsi="Arial" w:cs="Arial"/>
              </w:rPr>
              <w:t>solution needs, and direct collaborative effort accordingly</w:t>
            </w:r>
            <w:r>
              <w:rPr>
                <w:rFonts w:ascii="Arial" w:hAnsi="Arial" w:cs="Arial"/>
              </w:rPr>
              <w:t>; and</w:t>
            </w:r>
          </w:p>
          <w:p w14:paraId="5A4CFCB4" w14:textId="77777777" w:rsidR="007774AC" w:rsidRDefault="007774AC" w:rsidP="004D5D30">
            <w:pPr>
              <w:pStyle w:val="ListParagraph"/>
              <w:numPr>
                <w:ilvl w:val="0"/>
                <w:numId w:val="36"/>
              </w:numPr>
              <w:jc w:val="both"/>
              <w:rPr>
                <w:rFonts w:ascii="Arial" w:hAnsi="Arial" w:cs="Arial"/>
              </w:rPr>
            </w:pPr>
            <w:proofErr w:type="gramStart"/>
            <w:r w:rsidRPr="003207BF">
              <w:rPr>
                <w:rFonts w:ascii="Arial" w:hAnsi="Arial" w:cs="Arial"/>
              </w:rPr>
              <w:t>augment</w:t>
            </w:r>
            <w:proofErr w:type="gramEnd"/>
            <w:r w:rsidRPr="003207BF">
              <w:rPr>
                <w:rFonts w:ascii="Arial" w:hAnsi="Arial" w:cs="Arial"/>
              </w:rPr>
              <w:t xml:space="preserve"> the efforts of staff in the government and regulators at a time when pressures appear to run the risk of limiting their capacity to prosecute reform programs</w:t>
            </w:r>
            <w:r>
              <w:rPr>
                <w:rFonts w:ascii="Arial" w:hAnsi="Arial" w:cs="Arial"/>
              </w:rPr>
              <w:t>.</w:t>
            </w:r>
          </w:p>
          <w:p w14:paraId="5A4CFCB5" w14:textId="77777777" w:rsidR="007774AC" w:rsidRDefault="007774AC" w:rsidP="004D5D30">
            <w:pPr>
              <w:pStyle w:val="ListParagraph"/>
              <w:jc w:val="both"/>
              <w:rPr>
                <w:rFonts w:ascii="Arial" w:hAnsi="Arial" w:cs="Arial"/>
              </w:rPr>
            </w:pPr>
          </w:p>
          <w:p w14:paraId="5A4CFCB6" w14:textId="77777777" w:rsidR="007774AC" w:rsidRDefault="007774AC" w:rsidP="004D5D30">
            <w:pPr>
              <w:pStyle w:val="ListParagraph"/>
              <w:ind w:left="360"/>
              <w:jc w:val="both"/>
              <w:rPr>
                <w:rFonts w:ascii="Arial" w:hAnsi="Arial" w:cs="Arial"/>
              </w:rPr>
            </w:pPr>
            <w:proofErr w:type="spellStart"/>
            <w:r>
              <w:rPr>
                <w:rFonts w:ascii="Arial" w:hAnsi="Arial" w:cs="Arial"/>
              </w:rPr>
              <w:t>CIFR</w:t>
            </w:r>
            <w:proofErr w:type="spellEnd"/>
            <w:r>
              <w:rPr>
                <w:rFonts w:ascii="Arial" w:hAnsi="Arial" w:cs="Arial"/>
              </w:rPr>
              <w:t xml:space="preserve"> has contributed in most of the above areas.</w:t>
            </w:r>
          </w:p>
          <w:p w14:paraId="5A4CFCB7" w14:textId="77777777" w:rsidR="007774AC" w:rsidRPr="003207BF" w:rsidRDefault="007774AC" w:rsidP="004D5D30">
            <w:pPr>
              <w:pStyle w:val="ListParagraph"/>
              <w:ind w:left="360"/>
              <w:jc w:val="both"/>
              <w:rPr>
                <w:rFonts w:ascii="Arial" w:hAnsi="Arial" w:cs="Arial"/>
              </w:rPr>
            </w:pPr>
          </w:p>
          <w:p w14:paraId="5A4CFCB8" w14:textId="77777777" w:rsidR="007774AC" w:rsidRPr="003207BF" w:rsidRDefault="007774AC" w:rsidP="004D5D30">
            <w:pPr>
              <w:jc w:val="both"/>
              <w:rPr>
                <w:rFonts w:ascii="Arial" w:hAnsi="Arial" w:cs="Arial"/>
              </w:rPr>
            </w:pPr>
          </w:p>
          <w:p w14:paraId="5A4CFCB9" w14:textId="77777777" w:rsidR="007774AC" w:rsidRPr="003207BF" w:rsidRDefault="007774AC" w:rsidP="004D5D30">
            <w:pPr>
              <w:pStyle w:val="ListParagraph"/>
              <w:numPr>
                <w:ilvl w:val="0"/>
                <w:numId w:val="35"/>
              </w:numPr>
              <w:ind w:left="360"/>
              <w:jc w:val="both"/>
              <w:rPr>
                <w:rFonts w:ascii="Arial" w:hAnsi="Arial" w:cs="Arial"/>
              </w:rPr>
            </w:pPr>
            <w:proofErr w:type="spellStart"/>
            <w:r w:rsidRPr="003207BF">
              <w:rPr>
                <w:rFonts w:ascii="Arial" w:hAnsi="Arial" w:cs="Arial"/>
              </w:rPr>
              <w:lastRenderedPageBreak/>
              <w:t>CIFR</w:t>
            </w:r>
            <w:proofErr w:type="spellEnd"/>
            <w:r w:rsidRPr="003207BF">
              <w:rPr>
                <w:rFonts w:ascii="Arial" w:hAnsi="Arial" w:cs="Arial"/>
              </w:rPr>
              <w:t xml:space="preserve"> supports the revisiting of incentive-setting for Universities to encourage them to better collaborate with the private sector and other key industry participants.  If the existing incentive system is to remain in substantially the same form, we recommend creation of an additional </w:t>
            </w:r>
            <w:proofErr w:type="spellStart"/>
            <w:r w:rsidRPr="003207BF">
              <w:rPr>
                <w:rFonts w:ascii="Arial" w:hAnsi="Arial" w:cs="Arial"/>
              </w:rPr>
              <w:t>organi</w:t>
            </w:r>
            <w:r>
              <w:rPr>
                <w:rFonts w:ascii="Arial" w:hAnsi="Arial" w:cs="Arial"/>
              </w:rPr>
              <w:t>s</w:t>
            </w:r>
            <w:r w:rsidRPr="003207BF">
              <w:rPr>
                <w:rFonts w:ascii="Arial" w:hAnsi="Arial" w:cs="Arial"/>
              </w:rPr>
              <w:t>ation</w:t>
            </w:r>
            <w:proofErr w:type="spellEnd"/>
            <w:r w:rsidRPr="003207BF">
              <w:rPr>
                <w:rFonts w:ascii="Arial" w:hAnsi="Arial" w:cs="Arial"/>
              </w:rPr>
              <w:t xml:space="preserve"> or initiative that allows the pooling of academic talent and capacity from across all Universities to participate</w:t>
            </w:r>
            <w:r>
              <w:rPr>
                <w:rFonts w:ascii="Arial" w:hAnsi="Arial" w:cs="Arial"/>
              </w:rPr>
              <w:t xml:space="preserve"> for </w:t>
            </w:r>
            <w:r w:rsidRPr="003207BF">
              <w:rPr>
                <w:rFonts w:ascii="Arial" w:hAnsi="Arial" w:cs="Arial"/>
              </w:rPr>
              <w:t>deploy</w:t>
            </w:r>
            <w:r>
              <w:rPr>
                <w:rFonts w:ascii="Arial" w:hAnsi="Arial" w:cs="Arial"/>
              </w:rPr>
              <w:t>ment</w:t>
            </w:r>
            <w:r w:rsidRPr="003207BF">
              <w:rPr>
                <w:rFonts w:ascii="Arial" w:hAnsi="Arial" w:cs="Arial"/>
              </w:rPr>
              <w:t xml:space="preserve"> on projects under a </w:t>
            </w:r>
            <w:proofErr w:type="spellStart"/>
            <w:r w:rsidRPr="003207BF">
              <w:rPr>
                <w:rFonts w:ascii="Arial" w:hAnsi="Arial" w:cs="Arial"/>
              </w:rPr>
              <w:t>prioriti</w:t>
            </w:r>
            <w:r>
              <w:rPr>
                <w:rFonts w:ascii="Arial" w:hAnsi="Arial" w:cs="Arial"/>
              </w:rPr>
              <w:t>s</w:t>
            </w:r>
            <w:r w:rsidRPr="003207BF">
              <w:rPr>
                <w:rFonts w:ascii="Arial" w:hAnsi="Arial" w:cs="Arial"/>
              </w:rPr>
              <w:t>ed</w:t>
            </w:r>
            <w:proofErr w:type="spellEnd"/>
            <w:r w:rsidRPr="003207BF">
              <w:rPr>
                <w:rFonts w:ascii="Arial" w:hAnsi="Arial" w:cs="Arial"/>
              </w:rPr>
              <w:t xml:space="preserve"> and targeted program agenda. It would be important that such an </w:t>
            </w:r>
            <w:proofErr w:type="spellStart"/>
            <w:r w:rsidRPr="003207BF">
              <w:rPr>
                <w:rFonts w:ascii="Arial" w:hAnsi="Arial" w:cs="Arial"/>
              </w:rPr>
              <w:t>organi</w:t>
            </w:r>
            <w:r>
              <w:rPr>
                <w:rFonts w:ascii="Arial" w:hAnsi="Arial" w:cs="Arial"/>
              </w:rPr>
              <w:t>s</w:t>
            </w:r>
            <w:r w:rsidRPr="003207BF">
              <w:rPr>
                <w:rFonts w:ascii="Arial" w:hAnsi="Arial" w:cs="Arial"/>
              </w:rPr>
              <w:t>ation</w:t>
            </w:r>
            <w:proofErr w:type="spellEnd"/>
            <w:r w:rsidRPr="003207BF">
              <w:rPr>
                <w:rFonts w:ascii="Arial" w:hAnsi="Arial" w:cs="Arial"/>
              </w:rPr>
              <w:t xml:space="preserve"> or initiative did </w:t>
            </w:r>
            <w:r>
              <w:rPr>
                <w:rFonts w:ascii="Arial" w:hAnsi="Arial" w:cs="Arial"/>
              </w:rPr>
              <w:t xml:space="preserve">not </w:t>
            </w:r>
            <w:r w:rsidRPr="003207BF">
              <w:rPr>
                <w:rFonts w:ascii="Arial" w:hAnsi="Arial" w:cs="Arial"/>
              </w:rPr>
              <w:t xml:space="preserve">threaten the ability of Universities to perform </w:t>
            </w:r>
            <w:r>
              <w:rPr>
                <w:rFonts w:ascii="Arial" w:hAnsi="Arial" w:cs="Arial"/>
              </w:rPr>
              <w:t xml:space="preserve">in the system of incentives as it </w:t>
            </w:r>
            <w:r w:rsidRPr="003207BF">
              <w:rPr>
                <w:rFonts w:ascii="Arial" w:hAnsi="Arial" w:cs="Arial"/>
              </w:rPr>
              <w:t xml:space="preserve">currently </w:t>
            </w:r>
            <w:proofErr w:type="gramStart"/>
            <w:r w:rsidRPr="003207BF">
              <w:rPr>
                <w:rFonts w:ascii="Arial" w:hAnsi="Arial" w:cs="Arial"/>
              </w:rPr>
              <w:t>stand</w:t>
            </w:r>
            <w:r>
              <w:rPr>
                <w:rFonts w:ascii="Arial" w:hAnsi="Arial" w:cs="Arial"/>
              </w:rPr>
              <w:t>s</w:t>
            </w:r>
            <w:r w:rsidRPr="003207BF">
              <w:rPr>
                <w:rFonts w:ascii="Arial" w:hAnsi="Arial" w:cs="Arial"/>
              </w:rPr>
              <w:t>,</w:t>
            </w:r>
            <w:proofErr w:type="gramEnd"/>
            <w:r w:rsidRPr="003207BF">
              <w:rPr>
                <w:rFonts w:ascii="Arial" w:hAnsi="Arial" w:cs="Arial"/>
              </w:rPr>
              <w:t xml:space="preserve"> otherwise it is unlikely Universities would make the desired contributions.</w:t>
            </w:r>
          </w:p>
          <w:p w14:paraId="5A4CFCBA" w14:textId="77777777" w:rsidR="007774AC" w:rsidRPr="00E26C30" w:rsidRDefault="007774AC" w:rsidP="004D5D30">
            <w:pPr>
              <w:ind w:left="360"/>
              <w:jc w:val="both"/>
              <w:rPr>
                <w:rFonts w:ascii="Arial" w:hAnsi="Arial" w:cs="Arial"/>
              </w:rPr>
            </w:pPr>
          </w:p>
          <w:p w14:paraId="5A4CFCBB" w14:textId="77777777" w:rsidR="007774AC" w:rsidRPr="00E26C30" w:rsidRDefault="007774AC" w:rsidP="004D5D30">
            <w:pPr>
              <w:ind w:left="360"/>
              <w:jc w:val="both"/>
              <w:rPr>
                <w:rFonts w:ascii="Arial" w:hAnsi="Arial" w:cs="Arial"/>
              </w:rPr>
            </w:pPr>
            <w:r w:rsidRPr="00E26C30">
              <w:rPr>
                <w:rFonts w:ascii="Arial" w:hAnsi="Arial" w:cs="Arial"/>
              </w:rPr>
              <w:t xml:space="preserve">An example of an </w:t>
            </w:r>
            <w:proofErr w:type="spellStart"/>
            <w:r w:rsidRPr="00E26C30">
              <w:rPr>
                <w:rFonts w:ascii="Arial" w:hAnsi="Arial" w:cs="Arial"/>
              </w:rPr>
              <w:t>organi</w:t>
            </w:r>
            <w:r>
              <w:rPr>
                <w:rFonts w:ascii="Arial" w:hAnsi="Arial" w:cs="Arial"/>
              </w:rPr>
              <w:t>s</w:t>
            </w:r>
            <w:r w:rsidRPr="00E26C30">
              <w:rPr>
                <w:rFonts w:ascii="Arial" w:hAnsi="Arial" w:cs="Arial"/>
              </w:rPr>
              <w:t>ation</w:t>
            </w:r>
            <w:proofErr w:type="spellEnd"/>
            <w:r w:rsidRPr="00E26C30">
              <w:rPr>
                <w:rFonts w:ascii="Arial" w:hAnsi="Arial" w:cs="Arial"/>
              </w:rPr>
              <w:t xml:space="preserve"> that has successfully operated in this manner is the National Bureau of Economic Research</w:t>
            </w:r>
            <w:r>
              <w:rPr>
                <w:rFonts w:ascii="Arial" w:hAnsi="Arial" w:cs="Arial"/>
              </w:rPr>
              <w:t xml:space="preserve"> (‘</w:t>
            </w:r>
            <w:proofErr w:type="spellStart"/>
            <w:r>
              <w:rPr>
                <w:rFonts w:ascii="Arial" w:hAnsi="Arial" w:cs="Arial"/>
              </w:rPr>
              <w:t>NBER</w:t>
            </w:r>
            <w:proofErr w:type="spellEnd"/>
            <w:r>
              <w:rPr>
                <w:rFonts w:ascii="Arial" w:hAnsi="Arial" w:cs="Arial"/>
              </w:rPr>
              <w:t>’)</w:t>
            </w:r>
            <w:r w:rsidRPr="00E26C30">
              <w:rPr>
                <w:rFonts w:ascii="Arial" w:hAnsi="Arial" w:cs="Arial"/>
              </w:rPr>
              <w:t xml:space="preserve"> in the United States.</w:t>
            </w:r>
            <w:r w:rsidRPr="00F07D13">
              <w:rPr>
                <w:rStyle w:val="FootnoteReference"/>
                <w:rFonts w:ascii="Arial" w:hAnsi="Arial" w:cs="Arial"/>
                <w:color w:val="1F1F1F"/>
              </w:rPr>
              <w:footnoteReference w:id="35"/>
            </w:r>
            <w:r w:rsidRPr="00F07D13">
              <w:rPr>
                <w:rStyle w:val="FootnoteReference"/>
                <w:color w:val="1F1F1F"/>
              </w:rPr>
              <w:t xml:space="preserve">  </w:t>
            </w:r>
            <w:r w:rsidRPr="00E26C30">
              <w:rPr>
                <w:rFonts w:ascii="Arial" w:hAnsi="Arial" w:cs="Arial"/>
              </w:rPr>
              <w:t xml:space="preserve">Notwithstanding the commitments of academics to their host Universities, </w:t>
            </w:r>
            <w:proofErr w:type="spellStart"/>
            <w:r w:rsidRPr="00E26C30">
              <w:rPr>
                <w:rFonts w:ascii="Arial" w:hAnsi="Arial" w:cs="Arial"/>
              </w:rPr>
              <w:t>NBER</w:t>
            </w:r>
            <w:proofErr w:type="spellEnd"/>
            <w:r w:rsidRPr="00E26C30">
              <w:rPr>
                <w:rFonts w:ascii="Arial" w:hAnsi="Arial" w:cs="Arial"/>
              </w:rPr>
              <w:t xml:space="preserve"> has demonstrated (since 1920) that it can successfully identify priorities and gain the participation of top academics from across the sector to work on research projects targeted under the program </w:t>
            </w:r>
            <w:proofErr w:type="spellStart"/>
            <w:r w:rsidRPr="00E26C30">
              <w:rPr>
                <w:rFonts w:ascii="Arial" w:hAnsi="Arial" w:cs="Arial"/>
              </w:rPr>
              <w:t>NBER</w:t>
            </w:r>
            <w:proofErr w:type="spellEnd"/>
            <w:r w:rsidRPr="00E26C30">
              <w:rPr>
                <w:rFonts w:ascii="Arial" w:hAnsi="Arial" w:cs="Arial"/>
              </w:rPr>
              <w:t xml:space="preserve"> administers.</w:t>
            </w:r>
          </w:p>
          <w:p w14:paraId="5A4CFCBC" w14:textId="77777777" w:rsidR="007774AC" w:rsidRDefault="007774AC" w:rsidP="004D5D30">
            <w:pPr>
              <w:pStyle w:val="ListParagraph"/>
              <w:ind w:left="360"/>
              <w:jc w:val="both"/>
              <w:rPr>
                <w:rFonts w:ascii="Arial" w:hAnsi="Arial" w:cs="Arial"/>
              </w:rPr>
            </w:pPr>
          </w:p>
          <w:p w14:paraId="5A4CFCBD" w14:textId="77777777" w:rsidR="007774AC" w:rsidRDefault="007774AC" w:rsidP="004D5D30">
            <w:pPr>
              <w:pStyle w:val="ListParagraph"/>
              <w:numPr>
                <w:ilvl w:val="0"/>
                <w:numId w:val="35"/>
              </w:numPr>
              <w:ind w:left="360"/>
              <w:jc w:val="both"/>
              <w:rPr>
                <w:rFonts w:ascii="Arial" w:hAnsi="Arial" w:cs="Arial"/>
              </w:rPr>
            </w:pPr>
            <w:proofErr w:type="spellStart"/>
            <w:r w:rsidRPr="003207BF">
              <w:rPr>
                <w:rFonts w:ascii="Arial" w:hAnsi="Arial" w:cs="Arial"/>
              </w:rPr>
              <w:t>CIFR</w:t>
            </w:r>
            <w:proofErr w:type="spellEnd"/>
            <w:r w:rsidRPr="003207BF">
              <w:rPr>
                <w:rFonts w:ascii="Arial" w:hAnsi="Arial" w:cs="Arial"/>
              </w:rPr>
              <w:t xml:space="preserve"> </w:t>
            </w:r>
            <w:r>
              <w:rPr>
                <w:rFonts w:ascii="Arial" w:hAnsi="Arial" w:cs="Arial"/>
              </w:rPr>
              <w:t xml:space="preserve">suggests the Government considers the following ideas for improving </w:t>
            </w:r>
            <w:r w:rsidRPr="003207BF">
              <w:rPr>
                <w:rFonts w:ascii="Arial" w:hAnsi="Arial" w:cs="Arial"/>
              </w:rPr>
              <w:t>incentive-setting for Universities</w:t>
            </w:r>
            <w:r>
              <w:rPr>
                <w:rFonts w:ascii="Arial" w:hAnsi="Arial" w:cs="Arial"/>
              </w:rPr>
              <w:t>:</w:t>
            </w:r>
          </w:p>
          <w:p w14:paraId="5A4CFCBE" w14:textId="77777777" w:rsidR="007774AC" w:rsidRDefault="007774AC" w:rsidP="004D5D30">
            <w:pPr>
              <w:ind w:left="720" w:hanging="720"/>
              <w:jc w:val="both"/>
              <w:rPr>
                <w:rFonts w:ascii="Arial" w:hAnsi="Arial" w:cs="Arial"/>
              </w:rPr>
            </w:pPr>
          </w:p>
          <w:p w14:paraId="5A4CFCBF" w14:textId="77777777" w:rsidR="007774AC" w:rsidRDefault="007774AC" w:rsidP="004D5D30">
            <w:pPr>
              <w:pStyle w:val="ListParagraph"/>
              <w:numPr>
                <w:ilvl w:val="0"/>
                <w:numId w:val="37"/>
              </w:numPr>
              <w:jc w:val="both"/>
              <w:rPr>
                <w:rFonts w:ascii="Arial" w:hAnsi="Arial" w:cs="Arial"/>
              </w:rPr>
            </w:pPr>
            <w:proofErr w:type="spellStart"/>
            <w:proofErr w:type="gramStart"/>
            <w:r>
              <w:rPr>
                <w:rFonts w:ascii="Arial" w:hAnsi="Arial" w:cs="Arial"/>
              </w:rPr>
              <w:t>incentivise</w:t>
            </w:r>
            <w:proofErr w:type="spellEnd"/>
            <w:proofErr w:type="gramEnd"/>
            <w:r>
              <w:rPr>
                <w:rFonts w:ascii="Arial" w:hAnsi="Arial" w:cs="Arial"/>
              </w:rPr>
              <w:t xml:space="preserve"> Universities to encourage academics to be involved in collaborative initiatives and spend time working with businesses. For example:</w:t>
            </w:r>
          </w:p>
          <w:p w14:paraId="5A4CFCC0" w14:textId="77777777" w:rsidR="007774AC" w:rsidRDefault="007774AC" w:rsidP="004D5D30">
            <w:pPr>
              <w:pStyle w:val="ListParagraph"/>
              <w:numPr>
                <w:ilvl w:val="0"/>
                <w:numId w:val="39"/>
              </w:numPr>
              <w:jc w:val="both"/>
              <w:rPr>
                <w:rFonts w:ascii="Arial" w:hAnsi="Arial" w:cs="Arial"/>
              </w:rPr>
            </w:pPr>
            <w:r>
              <w:rPr>
                <w:rFonts w:ascii="Arial" w:hAnsi="Arial" w:cs="Arial"/>
              </w:rPr>
              <w:t>give credit for participation of academics in work that contributes towards making progress on explicitly identified priorities</w:t>
            </w:r>
          </w:p>
          <w:p w14:paraId="5A4CFCC1" w14:textId="77777777" w:rsidR="007774AC" w:rsidRDefault="007774AC" w:rsidP="004D5D30">
            <w:pPr>
              <w:pStyle w:val="ListParagraph"/>
              <w:numPr>
                <w:ilvl w:val="0"/>
                <w:numId w:val="39"/>
              </w:numPr>
              <w:jc w:val="both"/>
              <w:rPr>
                <w:rFonts w:ascii="Arial" w:hAnsi="Arial" w:cs="Arial"/>
              </w:rPr>
            </w:pPr>
            <w:r>
              <w:rPr>
                <w:rFonts w:ascii="Arial" w:hAnsi="Arial" w:cs="Arial"/>
              </w:rPr>
              <w:t>require an academic, with host University support, to participate in collaborative initiatives with business</w:t>
            </w:r>
          </w:p>
          <w:p w14:paraId="5A4CFCC2" w14:textId="77777777" w:rsidR="007774AC" w:rsidRDefault="007774AC" w:rsidP="004D5D30">
            <w:pPr>
              <w:pStyle w:val="ListParagraph"/>
              <w:numPr>
                <w:ilvl w:val="0"/>
                <w:numId w:val="39"/>
              </w:numPr>
              <w:jc w:val="both"/>
              <w:rPr>
                <w:rFonts w:ascii="Arial" w:hAnsi="Arial" w:cs="Arial"/>
              </w:rPr>
            </w:pPr>
            <w:r>
              <w:rPr>
                <w:rFonts w:ascii="Arial" w:hAnsi="Arial" w:cs="Arial"/>
              </w:rPr>
              <w:t>encourage Universities to review employment terms to build in an expectation that an academic will contribute to collaborative initiatives</w:t>
            </w:r>
          </w:p>
          <w:p w14:paraId="5A4CFCC3" w14:textId="77777777" w:rsidR="007774AC" w:rsidRDefault="007774AC" w:rsidP="004D5D30">
            <w:pPr>
              <w:pStyle w:val="ListParagraph"/>
              <w:numPr>
                <w:ilvl w:val="0"/>
                <w:numId w:val="39"/>
              </w:numPr>
              <w:jc w:val="both"/>
              <w:rPr>
                <w:rFonts w:ascii="Arial" w:hAnsi="Arial" w:cs="Arial"/>
              </w:rPr>
            </w:pPr>
            <w:r>
              <w:rPr>
                <w:rFonts w:ascii="Arial" w:hAnsi="Arial" w:cs="Arial"/>
              </w:rPr>
              <w:t>sabbaticals ought to be considered as opportunities for academics to spend time working directly with business</w:t>
            </w:r>
          </w:p>
          <w:p w14:paraId="5A4CFCC4" w14:textId="77777777" w:rsidR="007774AC" w:rsidRPr="00865675" w:rsidRDefault="007774AC" w:rsidP="004D5D30">
            <w:pPr>
              <w:pStyle w:val="ListParagraph"/>
              <w:numPr>
                <w:ilvl w:val="0"/>
                <w:numId w:val="39"/>
              </w:numPr>
              <w:jc w:val="both"/>
              <w:rPr>
                <w:rFonts w:ascii="Arial" w:hAnsi="Arial" w:cs="Arial"/>
              </w:rPr>
            </w:pPr>
            <w:r>
              <w:rPr>
                <w:rFonts w:ascii="Arial" w:hAnsi="Arial" w:cs="Arial"/>
              </w:rPr>
              <w:t>promote to business the advantages of calling on talent from the University sector to contribute to projects (e.g. the breadth of talent available at all levels of seniority and the fact that participation may be cost-effective due to Universities bearing the employment cost of its staff)</w:t>
            </w:r>
          </w:p>
          <w:p w14:paraId="5A4CFCC5" w14:textId="77777777" w:rsidR="007774AC" w:rsidRDefault="007774AC" w:rsidP="004D5D30">
            <w:pPr>
              <w:pStyle w:val="ListParagraph"/>
              <w:jc w:val="both"/>
              <w:rPr>
                <w:rFonts w:ascii="Arial" w:hAnsi="Arial" w:cs="Arial"/>
              </w:rPr>
            </w:pPr>
          </w:p>
          <w:p w14:paraId="5A4CFCC6" w14:textId="77777777" w:rsidR="007774AC" w:rsidRDefault="007774AC" w:rsidP="004D5D30">
            <w:pPr>
              <w:pStyle w:val="ListParagraph"/>
              <w:numPr>
                <w:ilvl w:val="0"/>
                <w:numId w:val="37"/>
              </w:numPr>
              <w:jc w:val="both"/>
              <w:rPr>
                <w:rFonts w:ascii="Arial" w:hAnsi="Arial" w:cs="Arial"/>
              </w:rPr>
            </w:pPr>
            <w:r>
              <w:rPr>
                <w:rFonts w:ascii="Arial" w:hAnsi="Arial" w:cs="Arial"/>
              </w:rPr>
              <w:t>revisit the policy regarding ownership and management of intellectual property rights in light of international experience</w:t>
            </w:r>
          </w:p>
          <w:p w14:paraId="5A4CFCC7" w14:textId="77777777" w:rsidR="007774AC" w:rsidRPr="00B5785D" w:rsidRDefault="007774AC" w:rsidP="004D5D30">
            <w:pPr>
              <w:pStyle w:val="ListParagraph"/>
              <w:numPr>
                <w:ilvl w:val="0"/>
                <w:numId w:val="37"/>
              </w:numPr>
              <w:jc w:val="both"/>
              <w:rPr>
                <w:rFonts w:ascii="Arial" w:hAnsi="Arial" w:cs="Arial"/>
              </w:rPr>
            </w:pPr>
            <w:r w:rsidRPr="00B5785D">
              <w:rPr>
                <w:rFonts w:ascii="Arial" w:hAnsi="Arial" w:cs="Arial"/>
              </w:rPr>
              <w:t>drive consolidation in the University sector, to help address the fragmentation of talent and capacity across so many institutions</w:t>
            </w:r>
          </w:p>
          <w:p w14:paraId="5A4CFCC8" w14:textId="77777777" w:rsidR="007774AC" w:rsidRDefault="007774AC" w:rsidP="004D5D30">
            <w:pPr>
              <w:jc w:val="both"/>
              <w:rPr>
                <w:rFonts w:ascii="Arial" w:hAnsi="Arial" w:cs="Arial"/>
              </w:rPr>
            </w:pPr>
          </w:p>
          <w:p w14:paraId="5A4CFCC9" w14:textId="77777777" w:rsidR="007774AC" w:rsidRPr="003207BF" w:rsidRDefault="007774AC" w:rsidP="004D5D30">
            <w:pPr>
              <w:pStyle w:val="Heading2"/>
              <w:jc w:val="both"/>
              <w:outlineLvl w:val="1"/>
              <w:rPr>
                <w:b w:val="0"/>
              </w:rPr>
            </w:pPr>
            <w:bookmarkStart w:id="45" w:name="_Toc405822944"/>
            <w:bookmarkStart w:id="46" w:name="_Toc405889664"/>
            <w:bookmarkStart w:id="47" w:name="_Toc405906898"/>
            <w:r>
              <w:t>Proposal: supporting research i</w:t>
            </w:r>
            <w:r w:rsidRPr="003207BF">
              <w:t>nfrastructure</w:t>
            </w:r>
            <w:bookmarkEnd w:id="45"/>
            <w:bookmarkEnd w:id="46"/>
            <w:bookmarkEnd w:id="47"/>
          </w:p>
          <w:p w14:paraId="5A4CFCCA" w14:textId="77777777" w:rsidR="007774AC" w:rsidRPr="003207BF" w:rsidRDefault="007774AC" w:rsidP="004D5D30">
            <w:pPr>
              <w:jc w:val="both"/>
              <w:rPr>
                <w:rFonts w:ascii="Arial" w:hAnsi="Arial" w:cs="Arial"/>
              </w:rPr>
            </w:pPr>
          </w:p>
          <w:p w14:paraId="5A4CFCCB" w14:textId="77777777" w:rsidR="007774AC" w:rsidRPr="00E26C30" w:rsidRDefault="007774AC" w:rsidP="004D5D30">
            <w:pPr>
              <w:pStyle w:val="ListParagraph"/>
              <w:numPr>
                <w:ilvl w:val="0"/>
                <w:numId w:val="35"/>
              </w:numPr>
              <w:ind w:left="360"/>
              <w:jc w:val="both"/>
              <w:rPr>
                <w:rFonts w:ascii="Arial" w:hAnsi="Arial" w:cs="Arial"/>
              </w:rPr>
            </w:pPr>
            <w:r w:rsidRPr="00E26C30">
              <w:rPr>
                <w:rFonts w:ascii="Arial" w:hAnsi="Arial" w:cs="Arial"/>
              </w:rPr>
              <w:t xml:space="preserve">We recommend that the Government reassess existing research infrastructure provision and requirements including the models </w:t>
            </w:r>
            <w:r>
              <w:rPr>
                <w:rFonts w:ascii="Arial" w:hAnsi="Arial" w:cs="Arial"/>
              </w:rPr>
              <w:t>outlined</w:t>
            </w:r>
            <w:r w:rsidRPr="00E26C30">
              <w:rPr>
                <w:rFonts w:ascii="Arial" w:hAnsi="Arial" w:cs="Arial"/>
              </w:rPr>
              <w:t xml:space="preserve"> in this submission</w:t>
            </w:r>
            <w:r>
              <w:rPr>
                <w:rFonts w:ascii="Arial" w:hAnsi="Arial" w:cs="Arial"/>
              </w:rPr>
              <w:t xml:space="preserve"> (refer Figures 1 and 2 on pages 13 and 17)</w:t>
            </w:r>
            <w:r w:rsidRPr="00E26C30">
              <w:rPr>
                <w:rFonts w:ascii="Arial" w:hAnsi="Arial" w:cs="Arial"/>
              </w:rPr>
              <w:t>.</w:t>
            </w:r>
          </w:p>
          <w:p w14:paraId="5A4CFCCC" w14:textId="77777777" w:rsidR="007774AC" w:rsidRPr="003207BF" w:rsidRDefault="007774AC" w:rsidP="004D5D30">
            <w:pPr>
              <w:jc w:val="both"/>
              <w:rPr>
                <w:rFonts w:ascii="Arial" w:hAnsi="Arial" w:cs="Arial"/>
              </w:rPr>
            </w:pPr>
          </w:p>
          <w:p w14:paraId="5A4CFCCD" w14:textId="77777777" w:rsidR="007774AC" w:rsidRPr="003207BF" w:rsidRDefault="007774AC" w:rsidP="004D5D30">
            <w:pPr>
              <w:pStyle w:val="Heading2"/>
              <w:jc w:val="both"/>
              <w:outlineLvl w:val="1"/>
              <w:rPr>
                <w:b w:val="0"/>
              </w:rPr>
            </w:pPr>
            <w:bookmarkStart w:id="48" w:name="_Toc405822945"/>
            <w:bookmarkStart w:id="49" w:name="_Toc405889665"/>
            <w:bookmarkStart w:id="50" w:name="_Toc405906899"/>
            <w:r>
              <w:lastRenderedPageBreak/>
              <w:t>Proposal: p</w:t>
            </w:r>
            <w:r w:rsidRPr="003207BF">
              <w:t>roviding better access to research</w:t>
            </w:r>
            <w:bookmarkEnd w:id="48"/>
            <w:bookmarkEnd w:id="49"/>
            <w:bookmarkEnd w:id="50"/>
          </w:p>
          <w:p w14:paraId="5A4CFCCE" w14:textId="77777777" w:rsidR="007774AC" w:rsidRPr="003207BF" w:rsidRDefault="007774AC" w:rsidP="004D5D30">
            <w:pPr>
              <w:jc w:val="both"/>
              <w:rPr>
                <w:rFonts w:ascii="Arial" w:hAnsi="Arial" w:cs="Arial"/>
              </w:rPr>
            </w:pPr>
          </w:p>
          <w:p w14:paraId="5A4CFCCF" w14:textId="77777777" w:rsidR="007774AC" w:rsidRPr="00F07D13" w:rsidRDefault="007774AC" w:rsidP="004D5D30">
            <w:pPr>
              <w:pStyle w:val="ListParagraph"/>
              <w:numPr>
                <w:ilvl w:val="0"/>
                <w:numId w:val="35"/>
              </w:numPr>
              <w:ind w:left="360"/>
              <w:jc w:val="both"/>
              <w:rPr>
                <w:rFonts w:ascii="Arial" w:hAnsi="Arial" w:cs="Arial"/>
              </w:rPr>
            </w:pPr>
            <w:r w:rsidRPr="00F07D13">
              <w:rPr>
                <w:rFonts w:ascii="Arial" w:hAnsi="Arial" w:cs="Arial"/>
              </w:rPr>
              <w:t>Publicly-funded research generated in, and on, the Financial Services sector is generally made available via public websites such as the Financial Economics Network hosted by the Social Science Research Network and</w:t>
            </w:r>
            <w:r>
              <w:rPr>
                <w:rFonts w:ascii="Arial" w:hAnsi="Arial" w:cs="Arial"/>
              </w:rPr>
              <w:t xml:space="preserve"> </w:t>
            </w:r>
            <w:proofErr w:type="spellStart"/>
            <w:r>
              <w:rPr>
                <w:rFonts w:ascii="Arial" w:hAnsi="Arial" w:cs="Arial"/>
              </w:rPr>
              <w:t>ResearchGate</w:t>
            </w:r>
            <w:proofErr w:type="spellEnd"/>
            <w:r>
              <w:rPr>
                <w:rFonts w:ascii="Arial" w:hAnsi="Arial" w:cs="Arial"/>
              </w:rPr>
              <w:t>.</w:t>
            </w:r>
            <w:r w:rsidRPr="00F07D13">
              <w:rPr>
                <w:rStyle w:val="FootnoteReference"/>
                <w:color w:val="1F1F1F"/>
              </w:rPr>
              <w:footnoteReference w:id="36"/>
            </w:r>
            <w:r w:rsidRPr="00F07D13">
              <w:rPr>
                <w:rFonts w:ascii="Arial" w:hAnsi="Arial" w:cs="Arial"/>
              </w:rPr>
              <w:t xml:space="preserve"> There is a strong culture of sharing research and intellectual property to help stimulate idea generation right across the sector, well exemplified by the operating imperative adopted by many research-oriented agencies and institutions including </w:t>
            </w:r>
            <w:proofErr w:type="spellStart"/>
            <w:r w:rsidRPr="00F07D13">
              <w:rPr>
                <w:rFonts w:ascii="Arial" w:hAnsi="Arial" w:cs="Arial"/>
              </w:rPr>
              <w:t>CMCRC</w:t>
            </w:r>
            <w:proofErr w:type="spellEnd"/>
            <w:r w:rsidRPr="00F07D13">
              <w:rPr>
                <w:rFonts w:ascii="Arial" w:hAnsi="Arial" w:cs="Arial"/>
              </w:rPr>
              <w:t xml:space="preserve">, </w:t>
            </w:r>
            <w:proofErr w:type="spellStart"/>
            <w:r w:rsidRPr="00F07D13">
              <w:rPr>
                <w:rFonts w:ascii="Arial" w:hAnsi="Arial" w:cs="Arial"/>
              </w:rPr>
              <w:t>SIRCA</w:t>
            </w:r>
            <w:proofErr w:type="spellEnd"/>
            <w:r w:rsidRPr="00F07D13">
              <w:rPr>
                <w:rFonts w:ascii="Arial" w:hAnsi="Arial" w:cs="Arial"/>
              </w:rPr>
              <w:t xml:space="preserve"> and </w:t>
            </w:r>
            <w:proofErr w:type="spellStart"/>
            <w:r w:rsidRPr="00F07D13">
              <w:rPr>
                <w:rFonts w:ascii="Arial" w:hAnsi="Arial" w:cs="Arial"/>
              </w:rPr>
              <w:t>CIFR</w:t>
            </w:r>
            <w:proofErr w:type="spellEnd"/>
            <w:r w:rsidRPr="00F07D13">
              <w:rPr>
                <w:rFonts w:ascii="Arial" w:hAnsi="Arial" w:cs="Arial"/>
              </w:rPr>
              <w:t xml:space="preserve">. Research reports and papers generated by such </w:t>
            </w:r>
            <w:proofErr w:type="spellStart"/>
            <w:r w:rsidRPr="00F07D13">
              <w:rPr>
                <w:rFonts w:ascii="Arial" w:hAnsi="Arial" w:cs="Arial"/>
              </w:rPr>
              <w:t>organisations</w:t>
            </w:r>
            <w:proofErr w:type="spellEnd"/>
            <w:r w:rsidRPr="00F07D13">
              <w:rPr>
                <w:rFonts w:ascii="Arial" w:hAnsi="Arial" w:cs="Arial"/>
              </w:rPr>
              <w:t xml:space="preserve"> are also made available on their respective websites.</w:t>
            </w:r>
          </w:p>
          <w:p w14:paraId="5A4CFCD0" w14:textId="77777777" w:rsidR="007774AC" w:rsidRPr="003207BF" w:rsidRDefault="007774AC" w:rsidP="004D5D30">
            <w:pPr>
              <w:pStyle w:val="ListParagraph"/>
              <w:ind w:left="360"/>
              <w:jc w:val="both"/>
              <w:rPr>
                <w:rFonts w:ascii="Arial" w:hAnsi="Arial" w:cs="Arial"/>
              </w:rPr>
            </w:pPr>
          </w:p>
          <w:p w14:paraId="5A4CFCD1" w14:textId="77777777" w:rsidR="007774AC" w:rsidRPr="00E26C30" w:rsidRDefault="007774AC" w:rsidP="004D5D30">
            <w:pPr>
              <w:ind w:left="360"/>
              <w:jc w:val="both"/>
              <w:rPr>
                <w:rFonts w:ascii="Arial" w:hAnsi="Arial" w:cs="Arial"/>
              </w:rPr>
            </w:pPr>
            <w:r w:rsidRPr="00E26C30">
              <w:rPr>
                <w:rFonts w:ascii="Arial" w:hAnsi="Arial" w:cs="Arial"/>
              </w:rPr>
              <w:t>Research created within the private sector, regardless of whether the expense is claimed under the R&amp;D tax concession, is proprietary and typically used exclusively for the benefit of the company that commissioned the work.</w:t>
            </w:r>
          </w:p>
          <w:p w14:paraId="5A4CFCD2" w14:textId="77777777" w:rsidR="007774AC" w:rsidRPr="003207BF" w:rsidRDefault="007774AC" w:rsidP="004D5D30">
            <w:pPr>
              <w:pStyle w:val="ListParagraph"/>
              <w:ind w:left="360"/>
              <w:jc w:val="both"/>
              <w:rPr>
                <w:rFonts w:ascii="Arial" w:hAnsi="Arial" w:cs="Arial"/>
              </w:rPr>
            </w:pPr>
          </w:p>
          <w:p w14:paraId="5A4CFCD3" w14:textId="77777777" w:rsidR="007774AC" w:rsidRPr="00E26C30" w:rsidRDefault="007774AC" w:rsidP="004D5D30">
            <w:pPr>
              <w:ind w:left="360"/>
              <w:jc w:val="both"/>
              <w:rPr>
                <w:rFonts w:ascii="Arial" w:hAnsi="Arial" w:cs="Arial"/>
              </w:rPr>
            </w:pPr>
            <w:r w:rsidRPr="00E26C30">
              <w:rPr>
                <w:rFonts w:ascii="Arial" w:hAnsi="Arial" w:cs="Arial"/>
              </w:rPr>
              <w:t xml:space="preserve">The Government </w:t>
            </w:r>
            <w:r>
              <w:rPr>
                <w:rFonts w:ascii="Arial" w:hAnsi="Arial" w:cs="Arial"/>
              </w:rPr>
              <w:t xml:space="preserve">should </w:t>
            </w:r>
            <w:r w:rsidRPr="00E26C30">
              <w:rPr>
                <w:rFonts w:ascii="Arial" w:hAnsi="Arial" w:cs="Arial"/>
              </w:rPr>
              <w:t xml:space="preserve">consider the relative merit of Research Funding and the R&amp;D Tax Incentive as regards pursuit of its goal of providing industry and other end-users with better access to research. </w:t>
            </w:r>
          </w:p>
          <w:p w14:paraId="5A4CFCD4" w14:textId="77777777" w:rsidR="007774AC" w:rsidRPr="003207BF" w:rsidRDefault="007774AC" w:rsidP="004D5D30">
            <w:pPr>
              <w:jc w:val="both"/>
              <w:rPr>
                <w:rFonts w:ascii="Arial" w:hAnsi="Arial" w:cs="Arial"/>
              </w:rPr>
            </w:pPr>
          </w:p>
          <w:p w14:paraId="5A4CFCD5" w14:textId="77777777" w:rsidR="007774AC" w:rsidRPr="003207BF" w:rsidRDefault="007774AC" w:rsidP="004D5D30">
            <w:pPr>
              <w:pStyle w:val="Heading2"/>
              <w:jc w:val="both"/>
              <w:outlineLvl w:val="1"/>
              <w:rPr>
                <w:b w:val="0"/>
              </w:rPr>
            </w:pPr>
            <w:bookmarkStart w:id="51" w:name="_Toc405822946"/>
            <w:bookmarkStart w:id="52" w:name="_Toc405889666"/>
            <w:bookmarkStart w:id="53" w:name="_Toc405906900"/>
            <w:r w:rsidRPr="003207BF">
              <w:t>Proposal: Increasing industry relevant research training</w:t>
            </w:r>
            <w:bookmarkEnd w:id="51"/>
            <w:bookmarkEnd w:id="52"/>
            <w:bookmarkEnd w:id="53"/>
          </w:p>
          <w:p w14:paraId="5A4CFCD6" w14:textId="77777777" w:rsidR="007774AC" w:rsidRPr="003207BF" w:rsidRDefault="007774AC" w:rsidP="004D5D30">
            <w:pPr>
              <w:jc w:val="both"/>
              <w:rPr>
                <w:rFonts w:ascii="Arial" w:hAnsi="Arial" w:cs="Arial"/>
              </w:rPr>
            </w:pPr>
          </w:p>
          <w:p w14:paraId="5A4CFCD7" w14:textId="77777777" w:rsidR="007774AC" w:rsidRPr="003207BF" w:rsidRDefault="007774AC" w:rsidP="004D5D30">
            <w:pPr>
              <w:pStyle w:val="ListParagraph"/>
              <w:numPr>
                <w:ilvl w:val="0"/>
                <w:numId w:val="35"/>
              </w:numPr>
              <w:ind w:left="360"/>
              <w:jc w:val="both"/>
              <w:rPr>
                <w:rFonts w:ascii="Arial" w:hAnsi="Arial" w:cs="Arial"/>
              </w:rPr>
            </w:pPr>
            <w:r w:rsidRPr="003207BF">
              <w:rPr>
                <w:rFonts w:ascii="Arial" w:hAnsi="Arial" w:cs="Arial"/>
              </w:rPr>
              <w:t xml:space="preserve">We suggest consideration be given to: </w:t>
            </w:r>
          </w:p>
          <w:p w14:paraId="5A4CFCD8" w14:textId="77777777" w:rsidR="007774AC" w:rsidRPr="003207BF" w:rsidRDefault="007774AC" w:rsidP="004D5D30">
            <w:pPr>
              <w:ind w:left="720" w:hanging="720"/>
              <w:jc w:val="both"/>
              <w:rPr>
                <w:rFonts w:ascii="Arial" w:hAnsi="Arial" w:cs="Arial"/>
              </w:rPr>
            </w:pPr>
          </w:p>
          <w:p w14:paraId="5A4CFCD9" w14:textId="77777777" w:rsidR="007774AC" w:rsidRPr="003207BF" w:rsidRDefault="007774AC" w:rsidP="004D5D30">
            <w:pPr>
              <w:pStyle w:val="ListParagraph"/>
              <w:numPr>
                <w:ilvl w:val="0"/>
                <w:numId w:val="41"/>
              </w:numPr>
              <w:jc w:val="both"/>
              <w:rPr>
                <w:rFonts w:ascii="Arial" w:hAnsi="Arial" w:cs="Arial"/>
              </w:rPr>
            </w:pPr>
            <w:r>
              <w:rPr>
                <w:rFonts w:ascii="Arial" w:hAnsi="Arial" w:cs="Arial"/>
              </w:rPr>
              <w:t xml:space="preserve">use training as a means by which collaboration in Financial Services is promoted, for example by </w:t>
            </w:r>
            <w:proofErr w:type="spellStart"/>
            <w:r>
              <w:rPr>
                <w:rFonts w:ascii="Arial" w:hAnsi="Arial" w:cs="Arial"/>
              </w:rPr>
              <w:t>incentivising</w:t>
            </w:r>
            <w:proofErr w:type="spellEnd"/>
            <w:r>
              <w:rPr>
                <w:rFonts w:ascii="Arial" w:hAnsi="Arial" w:cs="Arial"/>
              </w:rPr>
              <w:t xml:space="preserve"> training </w:t>
            </w:r>
            <w:proofErr w:type="spellStart"/>
            <w:r>
              <w:rPr>
                <w:rFonts w:ascii="Arial" w:hAnsi="Arial" w:cs="Arial"/>
              </w:rPr>
              <w:t>organisations</w:t>
            </w:r>
            <w:proofErr w:type="spellEnd"/>
            <w:r>
              <w:rPr>
                <w:rFonts w:ascii="Arial" w:hAnsi="Arial" w:cs="Arial"/>
              </w:rPr>
              <w:t xml:space="preserve"> to draw on talent from business in delivery of programs; and</w:t>
            </w:r>
          </w:p>
          <w:p w14:paraId="5A4CFCDA" w14:textId="77777777" w:rsidR="007774AC" w:rsidRPr="003207BF" w:rsidRDefault="007774AC" w:rsidP="004D5D30">
            <w:pPr>
              <w:pStyle w:val="ListParagraph"/>
              <w:numPr>
                <w:ilvl w:val="0"/>
                <w:numId w:val="41"/>
              </w:numPr>
              <w:jc w:val="both"/>
              <w:rPr>
                <w:rFonts w:ascii="Arial" w:hAnsi="Arial" w:cs="Arial"/>
              </w:rPr>
            </w:pPr>
            <w:r>
              <w:rPr>
                <w:rFonts w:ascii="Arial" w:hAnsi="Arial" w:cs="Arial"/>
              </w:rPr>
              <w:t xml:space="preserve">concentration of effort on making Universities and other dedicated training </w:t>
            </w:r>
            <w:proofErr w:type="spellStart"/>
            <w:r>
              <w:rPr>
                <w:rFonts w:ascii="Arial" w:hAnsi="Arial" w:cs="Arial"/>
              </w:rPr>
              <w:t>organisations</w:t>
            </w:r>
            <w:proofErr w:type="spellEnd"/>
            <w:r>
              <w:rPr>
                <w:rFonts w:ascii="Arial" w:hAnsi="Arial" w:cs="Arial"/>
              </w:rPr>
              <w:t xml:space="preserve"> the primary channel for industry-relevant training programs</w:t>
            </w:r>
          </w:p>
          <w:p w14:paraId="5A4CFCDB" w14:textId="77777777" w:rsidR="007774AC" w:rsidRPr="003207BF" w:rsidRDefault="007774AC" w:rsidP="004D5D30">
            <w:pPr>
              <w:pStyle w:val="ListParagraph"/>
              <w:ind w:left="1080"/>
              <w:jc w:val="both"/>
              <w:rPr>
                <w:b/>
              </w:rPr>
            </w:pPr>
          </w:p>
          <w:p w14:paraId="5A4CFCDC" w14:textId="77777777" w:rsidR="007774AC" w:rsidRPr="003207BF" w:rsidRDefault="007774AC" w:rsidP="004D5D30">
            <w:pPr>
              <w:pStyle w:val="Heading2"/>
              <w:jc w:val="both"/>
              <w:outlineLvl w:val="1"/>
              <w:rPr>
                <w:b w:val="0"/>
              </w:rPr>
            </w:pPr>
            <w:bookmarkStart w:id="54" w:name="_Toc405822947"/>
            <w:bookmarkStart w:id="55" w:name="_Toc405889667"/>
            <w:bookmarkStart w:id="56" w:name="_Toc405906901"/>
            <w:r w:rsidRPr="003207BF">
              <w:t xml:space="preserve">Proposal: </w:t>
            </w:r>
            <w:r>
              <w:t>M</w:t>
            </w:r>
            <w:r w:rsidRPr="003207BF">
              <w:t>easurement of outcomes</w:t>
            </w:r>
            <w:bookmarkEnd w:id="54"/>
            <w:bookmarkEnd w:id="55"/>
            <w:bookmarkEnd w:id="56"/>
          </w:p>
          <w:p w14:paraId="5A4CFCDD" w14:textId="77777777" w:rsidR="007774AC" w:rsidRPr="003207BF" w:rsidRDefault="007774AC" w:rsidP="004D5D30">
            <w:pPr>
              <w:jc w:val="both"/>
              <w:rPr>
                <w:rFonts w:ascii="Arial" w:hAnsi="Arial" w:cs="Arial"/>
              </w:rPr>
            </w:pPr>
          </w:p>
          <w:p w14:paraId="5A4CFCDE" w14:textId="77777777" w:rsidR="007774AC" w:rsidRPr="003207BF" w:rsidRDefault="007774AC" w:rsidP="004D5D30">
            <w:pPr>
              <w:pStyle w:val="ListParagraph"/>
              <w:numPr>
                <w:ilvl w:val="0"/>
                <w:numId w:val="35"/>
              </w:numPr>
              <w:ind w:left="360"/>
              <w:jc w:val="both"/>
              <w:rPr>
                <w:rFonts w:ascii="Arial" w:hAnsi="Arial" w:cs="Arial"/>
              </w:rPr>
            </w:pPr>
            <w:proofErr w:type="spellStart"/>
            <w:r w:rsidRPr="003207BF">
              <w:rPr>
                <w:rFonts w:ascii="Arial" w:hAnsi="Arial" w:cs="Arial"/>
              </w:rPr>
              <w:t>CIFR</w:t>
            </w:r>
            <w:proofErr w:type="spellEnd"/>
            <w:r w:rsidRPr="003207BF">
              <w:rPr>
                <w:rFonts w:ascii="Arial" w:hAnsi="Arial" w:cs="Arial"/>
              </w:rPr>
              <w:t xml:space="preserve"> recommends consideration be given to:</w:t>
            </w:r>
          </w:p>
          <w:p w14:paraId="5A4CFCDF" w14:textId="77777777" w:rsidR="007774AC" w:rsidRPr="003207BF" w:rsidRDefault="007774AC" w:rsidP="004D5D30">
            <w:pPr>
              <w:jc w:val="both"/>
              <w:rPr>
                <w:rFonts w:ascii="Arial" w:hAnsi="Arial" w:cs="Arial"/>
              </w:rPr>
            </w:pPr>
          </w:p>
          <w:p w14:paraId="5A4CFCE0" w14:textId="77777777" w:rsidR="007774AC" w:rsidRDefault="007774AC" w:rsidP="004D5D30">
            <w:pPr>
              <w:pStyle w:val="ListParagraph"/>
              <w:numPr>
                <w:ilvl w:val="0"/>
                <w:numId w:val="42"/>
              </w:numPr>
              <w:jc w:val="both"/>
              <w:rPr>
                <w:rFonts w:ascii="Arial" w:hAnsi="Arial" w:cs="Arial"/>
              </w:rPr>
            </w:pPr>
            <w:r w:rsidRPr="003207BF">
              <w:rPr>
                <w:rFonts w:ascii="Arial" w:hAnsi="Arial" w:cs="Arial"/>
              </w:rPr>
              <w:t>analysis of the impediments to strengthening the sector (e.g. cost and regulatory barriers affecting firms’ performance);</w:t>
            </w:r>
          </w:p>
          <w:p w14:paraId="5A4CFCE1" w14:textId="77777777" w:rsidR="007774AC" w:rsidRPr="00CF4DA5" w:rsidRDefault="007774AC" w:rsidP="004D5D30">
            <w:pPr>
              <w:pStyle w:val="ListParagraph"/>
              <w:rPr>
                <w:rFonts w:ascii="Arial" w:hAnsi="Arial" w:cs="Arial"/>
              </w:rPr>
            </w:pPr>
          </w:p>
          <w:p w14:paraId="5A4CFCE2" w14:textId="77777777" w:rsidR="007774AC" w:rsidRPr="00CF4DA5" w:rsidRDefault="007774AC" w:rsidP="004D5D30">
            <w:pPr>
              <w:pStyle w:val="ListParagraph"/>
              <w:numPr>
                <w:ilvl w:val="0"/>
                <w:numId w:val="42"/>
              </w:numPr>
              <w:jc w:val="both"/>
              <w:rPr>
                <w:rFonts w:ascii="Arial" w:hAnsi="Arial" w:cs="Arial"/>
              </w:rPr>
            </w:pPr>
            <w:r w:rsidRPr="00CF4DA5">
              <w:rPr>
                <w:rFonts w:ascii="Arial" w:hAnsi="Arial" w:cs="Arial"/>
              </w:rPr>
              <w:t xml:space="preserve">use of a collaborative model to determine priorities and direct effort towards research and generation of related solutions to meet the </w:t>
            </w:r>
            <w:proofErr w:type="spellStart"/>
            <w:r w:rsidRPr="00CF4DA5">
              <w:rPr>
                <w:rFonts w:ascii="Arial" w:hAnsi="Arial" w:cs="Arial"/>
              </w:rPr>
              <w:t>prioriti</w:t>
            </w:r>
            <w:r>
              <w:rPr>
                <w:rFonts w:ascii="Arial" w:hAnsi="Arial" w:cs="Arial"/>
              </w:rPr>
              <w:t>s</w:t>
            </w:r>
            <w:r w:rsidRPr="00CF4DA5">
              <w:rPr>
                <w:rFonts w:ascii="Arial" w:hAnsi="Arial" w:cs="Arial"/>
              </w:rPr>
              <w:t>ed</w:t>
            </w:r>
            <w:proofErr w:type="spellEnd"/>
            <w:r w:rsidRPr="00CF4DA5">
              <w:rPr>
                <w:rFonts w:ascii="Arial" w:hAnsi="Arial" w:cs="Arial"/>
              </w:rPr>
              <w:t xml:space="preserve"> needs;</w:t>
            </w:r>
          </w:p>
          <w:p w14:paraId="5A4CFCE3" w14:textId="77777777" w:rsidR="007774AC" w:rsidRDefault="007774AC" w:rsidP="004D5D30">
            <w:pPr>
              <w:pStyle w:val="ListParagraph"/>
              <w:numPr>
                <w:ilvl w:val="0"/>
                <w:numId w:val="42"/>
              </w:numPr>
              <w:jc w:val="both"/>
              <w:rPr>
                <w:rFonts w:ascii="Arial" w:hAnsi="Arial" w:cs="Arial"/>
              </w:rPr>
            </w:pPr>
            <w:r w:rsidRPr="003207BF">
              <w:rPr>
                <w:rFonts w:ascii="Arial" w:hAnsi="Arial" w:cs="Arial"/>
              </w:rPr>
              <w:t xml:space="preserve">development of a means by which progress on the agreed </w:t>
            </w:r>
            <w:proofErr w:type="spellStart"/>
            <w:r w:rsidRPr="003207BF">
              <w:rPr>
                <w:rFonts w:ascii="Arial" w:hAnsi="Arial" w:cs="Arial"/>
              </w:rPr>
              <w:t>prioriti</w:t>
            </w:r>
            <w:r>
              <w:rPr>
                <w:rFonts w:ascii="Arial" w:hAnsi="Arial" w:cs="Arial"/>
              </w:rPr>
              <w:t>s</w:t>
            </w:r>
            <w:r w:rsidRPr="003207BF">
              <w:rPr>
                <w:rFonts w:ascii="Arial" w:hAnsi="Arial" w:cs="Arial"/>
              </w:rPr>
              <w:t>ed</w:t>
            </w:r>
            <w:proofErr w:type="spellEnd"/>
            <w:r w:rsidRPr="003207BF">
              <w:rPr>
                <w:rFonts w:ascii="Arial" w:hAnsi="Arial" w:cs="Arial"/>
              </w:rPr>
              <w:t xml:space="preserve"> needs can be assessed and measured;</w:t>
            </w:r>
            <w:r>
              <w:rPr>
                <w:rFonts w:ascii="Arial" w:hAnsi="Arial" w:cs="Arial"/>
              </w:rPr>
              <w:t xml:space="preserve"> and</w:t>
            </w:r>
          </w:p>
          <w:p w14:paraId="5A4CFCE4" w14:textId="77777777" w:rsidR="007774AC" w:rsidRPr="003207BF" w:rsidRDefault="007774AC" w:rsidP="004D5D30">
            <w:pPr>
              <w:pStyle w:val="ListParagraph"/>
              <w:numPr>
                <w:ilvl w:val="0"/>
                <w:numId w:val="42"/>
              </w:numPr>
              <w:jc w:val="both"/>
              <w:rPr>
                <w:rFonts w:ascii="Arial" w:hAnsi="Arial" w:cs="Arial"/>
              </w:rPr>
            </w:pPr>
            <w:proofErr w:type="gramStart"/>
            <w:r w:rsidRPr="003207BF">
              <w:rPr>
                <w:rFonts w:ascii="Arial" w:hAnsi="Arial" w:cs="Arial"/>
              </w:rPr>
              <w:t>having</w:t>
            </w:r>
            <w:proofErr w:type="gramEnd"/>
            <w:r w:rsidRPr="003207BF">
              <w:rPr>
                <w:rFonts w:ascii="Arial" w:hAnsi="Arial" w:cs="Arial"/>
              </w:rPr>
              <w:t xml:space="preserve"> regard to the objective of </w:t>
            </w:r>
            <w:proofErr w:type="spellStart"/>
            <w:r w:rsidRPr="003207BF">
              <w:rPr>
                <w:rFonts w:ascii="Arial" w:hAnsi="Arial" w:cs="Arial"/>
              </w:rPr>
              <w:t>incentivi</w:t>
            </w:r>
            <w:r>
              <w:rPr>
                <w:rFonts w:ascii="Arial" w:hAnsi="Arial" w:cs="Arial"/>
              </w:rPr>
              <w:t>s</w:t>
            </w:r>
            <w:r w:rsidRPr="003207BF">
              <w:rPr>
                <w:rFonts w:ascii="Arial" w:hAnsi="Arial" w:cs="Arial"/>
              </w:rPr>
              <w:t>ing</w:t>
            </w:r>
            <w:proofErr w:type="spellEnd"/>
            <w:r w:rsidRPr="003207BF">
              <w:rPr>
                <w:rFonts w:ascii="Arial" w:hAnsi="Arial" w:cs="Arial"/>
              </w:rPr>
              <w:t xml:space="preserve"> activity that clearly aligns to pursuit of the Agenda and Ambition</w:t>
            </w:r>
            <w:r>
              <w:rPr>
                <w:rFonts w:ascii="Arial" w:hAnsi="Arial" w:cs="Arial"/>
              </w:rPr>
              <w:t>, when developing the measurement system.</w:t>
            </w:r>
          </w:p>
          <w:p w14:paraId="5A4CFCE5" w14:textId="77777777" w:rsidR="007774AC" w:rsidRPr="003207BF" w:rsidRDefault="007774AC" w:rsidP="004D5D30">
            <w:pPr>
              <w:pStyle w:val="ListParagraph"/>
              <w:jc w:val="both"/>
              <w:rPr>
                <w:rFonts w:ascii="Arial" w:hAnsi="Arial" w:cs="Arial"/>
              </w:rPr>
            </w:pPr>
          </w:p>
          <w:p w14:paraId="5A4CFCE6" w14:textId="77777777" w:rsidR="007774AC" w:rsidRPr="003207BF" w:rsidRDefault="007774AC" w:rsidP="004D5D30">
            <w:pPr>
              <w:pStyle w:val="Heading2"/>
              <w:jc w:val="both"/>
              <w:outlineLvl w:val="1"/>
              <w:rPr>
                <w:b w:val="0"/>
              </w:rPr>
            </w:pPr>
            <w:bookmarkStart w:id="57" w:name="_Toc405822948"/>
            <w:bookmarkStart w:id="58" w:name="_Toc405889668"/>
            <w:bookmarkStart w:id="59" w:name="_Toc405906902"/>
            <w:r w:rsidRPr="003207BF">
              <w:lastRenderedPageBreak/>
              <w:t xml:space="preserve">Proposal:  </w:t>
            </w:r>
            <w:proofErr w:type="spellStart"/>
            <w:r w:rsidRPr="003207BF">
              <w:t>Capitalising</w:t>
            </w:r>
            <w:proofErr w:type="spellEnd"/>
            <w:r w:rsidRPr="003207BF">
              <w:t xml:space="preserve"> on the Medical Research Future Fund</w:t>
            </w:r>
            <w:bookmarkEnd w:id="57"/>
            <w:bookmarkEnd w:id="58"/>
            <w:bookmarkEnd w:id="59"/>
          </w:p>
          <w:p w14:paraId="5A4CFCE7" w14:textId="77777777" w:rsidR="007774AC" w:rsidRPr="003207BF" w:rsidRDefault="007774AC" w:rsidP="004D5D30">
            <w:pPr>
              <w:jc w:val="both"/>
              <w:rPr>
                <w:rFonts w:ascii="Arial" w:hAnsi="Arial" w:cs="Arial"/>
              </w:rPr>
            </w:pPr>
          </w:p>
          <w:p w14:paraId="5A4CFCE8" w14:textId="77777777" w:rsidR="007774AC" w:rsidRPr="00AF30BE" w:rsidRDefault="007774AC" w:rsidP="004D5D30">
            <w:pPr>
              <w:pStyle w:val="ListParagraph"/>
              <w:numPr>
                <w:ilvl w:val="0"/>
                <w:numId w:val="35"/>
              </w:numPr>
              <w:ind w:left="360"/>
              <w:jc w:val="both"/>
              <w:rPr>
                <w:rFonts w:ascii="Arial" w:hAnsi="Arial" w:cs="Arial"/>
              </w:rPr>
            </w:pPr>
            <w:r w:rsidRPr="00AF30BE">
              <w:rPr>
                <w:rFonts w:ascii="Arial" w:hAnsi="Arial" w:cs="Arial"/>
              </w:rPr>
              <w:t xml:space="preserve">We note that the challenges associated with </w:t>
            </w:r>
            <w:proofErr w:type="spellStart"/>
            <w:r w:rsidRPr="00AF30BE">
              <w:rPr>
                <w:rFonts w:ascii="Arial" w:hAnsi="Arial" w:cs="Arial"/>
              </w:rPr>
              <w:t>maximi</w:t>
            </w:r>
            <w:r>
              <w:rPr>
                <w:rFonts w:ascii="Arial" w:hAnsi="Arial" w:cs="Arial"/>
              </w:rPr>
              <w:t>s</w:t>
            </w:r>
            <w:r w:rsidRPr="00AF30BE">
              <w:rPr>
                <w:rFonts w:ascii="Arial" w:hAnsi="Arial" w:cs="Arial"/>
              </w:rPr>
              <w:t>ing</w:t>
            </w:r>
            <w:proofErr w:type="spellEnd"/>
            <w:r w:rsidRPr="00AF30BE">
              <w:rPr>
                <w:rFonts w:ascii="Arial" w:hAnsi="Arial" w:cs="Arial"/>
              </w:rPr>
              <w:t xml:space="preserve"> the utility of public investment in research activity transcend sectors, and there would be benefit in the Government further drawing on experience across the sectors to assess the best practices to adopt</w:t>
            </w:r>
            <w:r>
              <w:rPr>
                <w:rFonts w:ascii="Arial" w:hAnsi="Arial" w:cs="Arial"/>
              </w:rPr>
              <w:t xml:space="preserve"> (for example, governance models)</w:t>
            </w:r>
            <w:r w:rsidRPr="00AF30BE">
              <w:rPr>
                <w:rFonts w:ascii="Arial" w:hAnsi="Arial" w:cs="Arial"/>
              </w:rPr>
              <w:t>. A prime example is the collaborative model adopted in the field of science, elements of which are reflected in the collaborative model for Financial Services outlined in this submission.</w:t>
            </w:r>
          </w:p>
          <w:p w14:paraId="5A4CFCE9" w14:textId="77777777" w:rsidR="007774AC" w:rsidRDefault="007774AC" w:rsidP="004D5D30">
            <w:pPr>
              <w:jc w:val="both"/>
              <w:rPr>
                <w:rFonts w:ascii="Arial" w:hAnsi="Arial" w:cs="Arial"/>
              </w:rPr>
            </w:pPr>
          </w:p>
        </w:tc>
      </w:tr>
    </w:tbl>
    <w:p w14:paraId="5A4CFCEB" w14:textId="77777777" w:rsidR="007774AC" w:rsidRPr="00A92D59" w:rsidRDefault="007774AC" w:rsidP="007774AC">
      <w:pPr>
        <w:jc w:val="both"/>
        <w:rPr>
          <w:rFonts w:ascii="Arial" w:hAnsi="Arial" w:cs="Arial"/>
        </w:rPr>
      </w:pPr>
    </w:p>
    <w:p w14:paraId="5A4CFCEC" w14:textId="77777777" w:rsidR="007774AC" w:rsidRPr="00A92D59" w:rsidRDefault="007774AC" w:rsidP="007774AC">
      <w:pPr>
        <w:pStyle w:val="Heading1"/>
        <w:numPr>
          <w:ilvl w:val="0"/>
          <w:numId w:val="34"/>
        </w:numPr>
        <w:jc w:val="both"/>
        <w:rPr>
          <w:b w:val="0"/>
        </w:rPr>
      </w:pPr>
      <w:bookmarkStart w:id="60" w:name="_Toc405906903"/>
      <w:r w:rsidRPr="009C5385">
        <w:t>Conclusion</w:t>
      </w:r>
      <w:bookmarkEnd w:id="60"/>
      <w:r w:rsidRPr="00DD7FA4">
        <w:t xml:space="preserve"> </w:t>
      </w:r>
    </w:p>
    <w:p w14:paraId="5A4CFCED" w14:textId="77777777" w:rsidR="007774AC" w:rsidRDefault="007774AC" w:rsidP="007774AC">
      <w:pPr>
        <w:jc w:val="both"/>
        <w:rPr>
          <w:rFonts w:ascii="Arial" w:hAnsi="Arial" w:cs="Arial"/>
        </w:rPr>
      </w:pPr>
    </w:p>
    <w:p w14:paraId="5A4CFCEE" w14:textId="77777777" w:rsidR="007774AC" w:rsidRDefault="007774AC" w:rsidP="007774AC">
      <w:pPr>
        <w:jc w:val="both"/>
        <w:rPr>
          <w:rFonts w:ascii="Arial" w:hAnsi="Arial" w:cs="Arial"/>
        </w:rPr>
      </w:pPr>
      <w:r>
        <w:rPr>
          <w:rFonts w:ascii="Arial" w:hAnsi="Arial" w:cs="Arial"/>
        </w:rPr>
        <w:t>There is strong evidence that public investment in research-oriented institutions is more effective a use of public funds than the R &amp; D Tax Incentive.</w:t>
      </w:r>
    </w:p>
    <w:p w14:paraId="5A4CFCEF" w14:textId="77777777" w:rsidR="007774AC" w:rsidRPr="00A92D59" w:rsidRDefault="007774AC" w:rsidP="007774AC">
      <w:pPr>
        <w:jc w:val="both"/>
        <w:rPr>
          <w:rFonts w:ascii="Arial" w:hAnsi="Arial" w:cs="Arial"/>
        </w:rPr>
      </w:pPr>
    </w:p>
    <w:p w14:paraId="5A4CFCF0" w14:textId="77777777" w:rsidR="007774AC" w:rsidRPr="00A92D59" w:rsidRDefault="007774AC" w:rsidP="007774AC">
      <w:pPr>
        <w:jc w:val="both"/>
        <w:rPr>
          <w:rFonts w:ascii="Arial" w:hAnsi="Arial" w:cs="Arial"/>
        </w:rPr>
      </w:pPr>
      <w:r w:rsidRPr="00A92D59">
        <w:rPr>
          <w:rFonts w:ascii="Arial" w:hAnsi="Arial" w:cs="Arial"/>
        </w:rPr>
        <w:t xml:space="preserve">The </w:t>
      </w:r>
      <w:r>
        <w:rPr>
          <w:rFonts w:ascii="Arial" w:hAnsi="Arial" w:cs="Arial"/>
        </w:rPr>
        <w:t xml:space="preserve">Consultation </w:t>
      </w:r>
      <w:r w:rsidRPr="00A92D59">
        <w:rPr>
          <w:rFonts w:ascii="Arial" w:hAnsi="Arial" w:cs="Arial"/>
        </w:rPr>
        <w:t>Paper refers to the Government’s intent to consult with stakeholders to set national priorities for research, and ensure that each priority will be supported by practical research challenges that will be developed in consultation with experts.</w:t>
      </w:r>
    </w:p>
    <w:p w14:paraId="5A4CFCF1" w14:textId="77777777" w:rsidR="007774AC" w:rsidRDefault="007774AC" w:rsidP="007774AC">
      <w:pPr>
        <w:rPr>
          <w:rFonts w:ascii="Arial" w:hAnsi="Arial" w:cs="Arial"/>
        </w:rPr>
      </w:pPr>
    </w:p>
    <w:p w14:paraId="5A4CFCF2" w14:textId="77777777" w:rsidR="007774AC" w:rsidRDefault="007774AC" w:rsidP="007774AC">
      <w:pPr>
        <w:jc w:val="both"/>
        <w:rPr>
          <w:rFonts w:ascii="Arial" w:hAnsi="Arial" w:cs="Arial"/>
        </w:rPr>
      </w:pPr>
      <w:r>
        <w:rPr>
          <w:rFonts w:ascii="Arial" w:hAnsi="Arial" w:cs="Arial"/>
        </w:rPr>
        <w:t>Our recommendations are designed to assist the Departments to</w:t>
      </w:r>
      <w:r w:rsidRPr="00A92D59">
        <w:rPr>
          <w:rFonts w:ascii="Arial" w:hAnsi="Arial" w:cs="Arial"/>
        </w:rPr>
        <w:t xml:space="preserve"> </w:t>
      </w:r>
      <w:r>
        <w:rPr>
          <w:rFonts w:ascii="Arial" w:hAnsi="Arial" w:cs="Arial"/>
        </w:rPr>
        <w:t>further</w:t>
      </w:r>
      <w:r w:rsidRPr="00A92D59">
        <w:rPr>
          <w:rFonts w:ascii="Arial" w:hAnsi="Arial" w:cs="Arial"/>
        </w:rPr>
        <w:t xml:space="preserve"> examine how best to accelerate progress in Financial Services</w:t>
      </w:r>
      <w:r>
        <w:rPr>
          <w:rFonts w:ascii="Arial" w:hAnsi="Arial" w:cs="Arial"/>
        </w:rPr>
        <w:t>,</w:t>
      </w:r>
      <w:r w:rsidRPr="00A92D59">
        <w:rPr>
          <w:rFonts w:ascii="Arial" w:hAnsi="Arial" w:cs="Arial"/>
        </w:rPr>
        <w:t xml:space="preserve"> including by more effectively </w:t>
      </w:r>
      <w:r>
        <w:rPr>
          <w:rFonts w:ascii="Arial" w:hAnsi="Arial" w:cs="Arial"/>
        </w:rPr>
        <w:t>implementing change</w:t>
      </w:r>
      <w:r w:rsidRPr="00A92D59">
        <w:rPr>
          <w:rFonts w:ascii="Arial" w:hAnsi="Arial" w:cs="Arial"/>
        </w:rPr>
        <w:t xml:space="preserve"> to </w:t>
      </w:r>
      <w:r>
        <w:rPr>
          <w:rFonts w:ascii="Arial" w:hAnsi="Arial" w:cs="Arial"/>
        </w:rPr>
        <w:t xml:space="preserve">improve </w:t>
      </w:r>
      <w:r w:rsidRPr="00A92D59">
        <w:rPr>
          <w:rFonts w:ascii="Arial" w:hAnsi="Arial" w:cs="Arial"/>
        </w:rPr>
        <w:t xml:space="preserve">regulation and </w:t>
      </w:r>
      <w:r>
        <w:rPr>
          <w:rFonts w:ascii="Arial" w:hAnsi="Arial" w:cs="Arial"/>
        </w:rPr>
        <w:t xml:space="preserve">tackle barriers </w:t>
      </w:r>
      <w:r w:rsidRPr="00A92D59">
        <w:rPr>
          <w:rFonts w:ascii="Arial" w:hAnsi="Arial" w:cs="Arial"/>
        </w:rPr>
        <w:t xml:space="preserve">that </w:t>
      </w:r>
      <w:r>
        <w:rPr>
          <w:rFonts w:ascii="Arial" w:hAnsi="Arial" w:cs="Arial"/>
        </w:rPr>
        <w:t xml:space="preserve">impede desirable development.  We would welcome further engagement.  </w:t>
      </w:r>
    </w:p>
    <w:p w14:paraId="5A4CFCF3" w14:textId="77777777" w:rsidR="007774AC" w:rsidRDefault="007774AC" w:rsidP="007774AC">
      <w:pPr>
        <w:jc w:val="both"/>
        <w:rPr>
          <w:rFonts w:ascii="Arial" w:hAnsi="Arial" w:cs="Arial"/>
        </w:rPr>
      </w:pPr>
    </w:p>
    <w:p w14:paraId="5A4CFCFA" w14:textId="4E542AAC" w:rsidR="007774AC" w:rsidRDefault="007774AC" w:rsidP="007774AC">
      <w:pPr>
        <w:tabs>
          <w:tab w:val="left" w:pos="5387"/>
        </w:tabs>
        <w:jc w:val="both"/>
        <w:rPr>
          <w:rFonts w:asciiTheme="majorHAnsi" w:eastAsiaTheme="majorEastAsia" w:hAnsiTheme="majorHAnsi" w:cstheme="majorBidi"/>
          <w:b/>
          <w:bCs/>
          <w:color w:val="365F91" w:themeColor="accent1" w:themeShade="BF"/>
          <w:sz w:val="28"/>
          <w:szCs w:val="28"/>
        </w:rPr>
      </w:pPr>
      <w:r>
        <w:br w:type="page"/>
      </w:r>
    </w:p>
    <w:p w14:paraId="5A4CFCFB" w14:textId="77777777" w:rsidR="007774AC" w:rsidRPr="00A92D59" w:rsidRDefault="007774AC" w:rsidP="007774AC">
      <w:pPr>
        <w:pStyle w:val="Heading1"/>
        <w:jc w:val="center"/>
        <w:rPr>
          <w:b w:val="0"/>
        </w:rPr>
      </w:pPr>
      <w:bookmarkStart w:id="61" w:name="_Toc405906904"/>
      <w:r w:rsidRPr="004710F9">
        <w:lastRenderedPageBreak/>
        <w:t xml:space="preserve">Appendix 1:  </w:t>
      </w:r>
      <w:r w:rsidRPr="00A92D59">
        <w:t>Academic Representation on Boards</w:t>
      </w:r>
      <w:bookmarkEnd w:id="61"/>
    </w:p>
    <w:p w14:paraId="5A4CFCFC" w14:textId="77777777" w:rsidR="007774AC" w:rsidRPr="006A2972" w:rsidRDefault="007774AC" w:rsidP="007774AC">
      <w:pPr>
        <w:jc w:val="both"/>
        <w:rPr>
          <w:rFonts w:ascii="Arial" w:hAnsi="Arial" w:cs="Arial"/>
        </w:rPr>
      </w:pPr>
    </w:p>
    <w:p w14:paraId="5A4CFCFD" w14:textId="77777777" w:rsidR="007774AC" w:rsidRDefault="007774AC" w:rsidP="00E66FC7">
      <w:pPr>
        <w:pStyle w:val="Subtitle"/>
      </w:pPr>
      <w:r w:rsidRPr="006A2972">
        <w:t>Academics in the Boardroom – The Importance of Engagement</w:t>
      </w:r>
    </w:p>
    <w:p w14:paraId="5A4CFCFE" w14:textId="77777777" w:rsidR="007774AC" w:rsidRPr="006A2972" w:rsidRDefault="007774AC" w:rsidP="007774AC">
      <w:pPr>
        <w:jc w:val="center"/>
        <w:rPr>
          <w:rFonts w:ascii="Arial" w:hAnsi="Arial" w:cs="Arial"/>
          <w:b/>
        </w:rPr>
      </w:pPr>
    </w:p>
    <w:p w14:paraId="5A4CFCFF" w14:textId="77777777" w:rsidR="007774AC" w:rsidRPr="006A2972" w:rsidRDefault="007774AC" w:rsidP="007774AC">
      <w:pPr>
        <w:jc w:val="both"/>
        <w:rPr>
          <w:rFonts w:ascii="Arial" w:hAnsi="Arial" w:cs="Arial"/>
        </w:rPr>
      </w:pPr>
      <w:r w:rsidRPr="006A2972">
        <w:rPr>
          <w:rFonts w:ascii="Arial" w:hAnsi="Arial" w:cs="Arial"/>
        </w:rPr>
        <w:t xml:space="preserve">Academics are a rare breed in the boardrooms of Australia. Former NSW premier and Australian Graduate School of Management distinguished visitor Nick Greiner highlighted this point in a recent article, in which he pointed to the limited number of active academics currently serving on the boards of the top 100 </w:t>
      </w:r>
      <w:proofErr w:type="spellStart"/>
      <w:r w:rsidRPr="006A2972">
        <w:rPr>
          <w:rFonts w:ascii="Arial" w:hAnsi="Arial" w:cs="Arial"/>
        </w:rPr>
        <w:t>ASX</w:t>
      </w:r>
      <w:proofErr w:type="spellEnd"/>
      <w:r w:rsidRPr="006A2972">
        <w:rPr>
          <w:rFonts w:ascii="Arial" w:hAnsi="Arial" w:cs="Arial"/>
        </w:rPr>
        <w:t xml:space="preserve"> companies. </w:t>
      </w:r>
    </w:p>
    <w:p w14:paraId="5A4CFD00" w14:textId="77777777" w:rsidR="007774AC" w:rsidRPr="006A2972" w:rsidRDefault="007774AC" w:rsidP="007774AC">
      <w:pPr>
        <w:jc w:val="both"/>
        <w:rPr>
          <w:rFonts w:ascii="Arial" w:hAnsi="Arial" w:cs="Arial"/>
        </w:rPr>
      </w:pPr>
    </w:p>
    <w:p w14:paraId="5A4CFD01" w14:textId="77777777" w:rsidR="007774AC" w:rsidRPr="006A2972" w:rsidRDefault="007774AC" w:rsidP="007774AC">
      <w:pPr>
        <w:jc w:val="both"/>
        <w:rPr>
          <w:rFonts w:ascii="Arial" w:hAnsi="Arial" w:cs="Arial"/>
        </w:rPr>
      </w:pPr>
      <w:r w:rsidRPr="006A2972">
        <w:rPr>
          <w:rFonts w:ascii="Arial" w:hAnsi="Arial" w:cs="Arial"/>
        </w:rPr>
        <w:t xml:space="preserve">It may be open to debate as to whether the </w:t>
      </w:r>
      <w:proofErr w:type="spellStart"/>
      <w:r w:rsidRPr="006A2972">
        <w:rPr>
          <w:rFonts w:ascii="Arial" w:hAnsi="Arial" w:cs="Arial"/>
        </w:rPr>
        <w:t>ASX</w:t>
      </w:r>
      <w:proofErr w:type="spellEnd"/>
      <w:r w:rsidRPr="006A2972">
        <w:rPr>
          <w:rFonts w:ascii="Arial" w:hAnsi="Arial" w:cs="Arial"/>
        </w:rPr>
        <w:t xml:space="preserve"> 100 is fully reflective of the true contribution of academics to the broader Australian business sector, but </w:t>
      </w:r>
      <w:proofErr w:type="spellStart"/>
      <w:r w:rsidRPr="006A2972">
        <w:rPr>
          <w:rFonts w:ascii="Arial" w:hAnsi="Arial" w:cs="Arial"/>
        </w:rPr>
        <w:t>Mr</w:t>
      </w:r>
      <w:proofErr w:type="spellEnd"/>
      <w:r w:rsidRPr="006A2972">
        <w:rPr>
          <w:rFonts w:ascii="Arial" w:hAnsi="Arial" w:cs="Arial"/>
        </w:rPr>
        <w:t xml:space="preserve"> Greiner’s point is nevertheless well made. He also correctly urges universities to engage more actively with the business community. </w:t>
      </w:r>
    </w:p>
    <w:p w14:paraId="5A4CFD02" w14:textId="77777777" w:rsidR="007774AC" w:rsidRPr="006A2972" w:rsidRDefault="007774AC" w:rsidP="007774AC">
      <w:pPr>
        <w:jc w:val="both"/>
        <w:rPr>
          <w:rFonts w:ascii="Arial" w:hAnsi="Arial" w:cs="Arial"/>
        </w:rPr>
      </w:pPr>
    </w:p>
    <w:p w14:paraId="5A4CFD03" w14:textId="77777777" w:rsidR="007774AC" w:rsidRPr="006A2972" w:rsidRDefault="007774AC" w:rsidP="007774AC">
      <w:pPr>
        <w:jc w:val="both"/>
        <w:rPr>
          <w:rFonts w:ascii="Arial" w:hAnsi="Arial" w:cs="Arial"/>
        </w:rPr>
      </w:pPr>
      <w:r w:rsidRPr="006A2972">
        <w:rPr>
          <w:rFonts w:ascii="Arial" w:hAnsi="Arial" w:cs="Arial"/>
        </w:rPr>
        <w:t>Perhaps the impetus for increased academic engagement with the business sector lies in reviewing the incentives that govern academics’ participation in the roles they fulfil. In general, Australian academics are professionally evaluated according to three criteria or key performance indicators (</w:t>
      </w:r>
      <w:proofErr w:type="spellStart"/>
      <w:r w:rsidRPr="006A2972">
        <w:rPr>
          <w:rFonts w:ascii="Arial" w:hAnsi="Arial" w:cs="Arial"/>
        </w:rPr>
        <w:t>KPIs</w:t>
      </w:r>
      <w:proofErr w:type="spellEnd"/>
      <w:r w:rsidRPr="006A2972">
        <w:rPr>
          <w:rFonts w:ascii="Arial" w:hAnsi="Arial" w:cs="Arial"/>
        </w:rPr>
        <w:t xml:space="preserve">). These are: the quality and quantity of their research (including competitively awarded research funding); their teaching contribution; and their administrative service and contribution to their faculty and the wider university.  </w:t>
      </w:r>
    </w:p>
    <w:p w14:paraId="5A4CFD04" w14:textId="77777777" w:rsidR="007774AC" w:rsidRPr="006A2972" w:rsidRDefault="007774AC" w:rsidP="007774AC">
      <w:pPr>
        <w:jc w:val="both"/>
        <w:rPr>
          <w:rFonts w:ascii="Arial" w:hAnsi="Arial" w:cs="Arial"/>
        </w:rPr>
      </w:pPr>
    </w:p>
    <w:p w14:paraId="5A4CFD05" w14:textId="77777777" w:rsidR="007774AC" w:rsidRPr="006A2972" w:rsidRDefault="007774AC" w:rsidP="007774AC">
      <w:pPr>
        <w:jc w:val="both"/>
        <w:rPr>
          <w:rFonts w:ascii="Arial" w:hAnsi="Arial" w:cs="Arial"/>
        </w:rPr>
      </w:pPr>
      <w:r w:rsidRPr="006A2972">
        <w:rPr>
          <w:rFonts w:ascii="Arial" w:hAnsi="Arial" w:cs="Arial"/>
        </w:rPr>
        <w:t xml:space="preserve">It follows that academics seeking to advance their careers will naturally concentrate on these three key measures. Perhaps unsurprisingly, research output is typically a point of particular focus. It is the most visible and quantifiable, and has the most immediate impact in terms of raising the public profile of both the individual academic and the university they represent. Indeed, it could be argued that publication of research is the sole area in which Australian academics are </w:t>
      </w:r>
      <w:proofErr w:type="spellStart"/>
      <w:r w:rsidRPr="006A2972">
        <w:rPr>
          <w:rFonts w:ascii="Arial" w:hAnsi="Arial" w:cs="Arial"/>
        </w:rPr>
        <w:t>incentivised</w:t>
      </w:r>
      <w:proofErr w:type="spellEnd"/>
      <w:r w:rsidRPr="006A2972">
        <w:rPr>
          <w:rFonts w:ascii="Arial" w:hAnsi="Arial" w:cs="Arial"/>
        </w:rPr>
        <w:t xml:space="preserve"> to perform. This is because the reputation of universities, and their all-important share of government funding, is largely determined by the success that their academics achieve in having their research published in leading scholarly journals. </w:t>
      </w:r>
    </w:p>
    <w:p w14:paraId="5A4CFD06" w14:textId="77777777" w:rsidR="007774AC" w:rsidRPr="006A2972" w:rsidRDefault="007774AC" w:rsidP="007774AC">
      <w:pPr>
        <w:jc w:val="both"/>
        <w:rPr>
          <w:rFonts w:ascii="Arial" w:hAnsi="Arial" w:cs="Arial"/>
        </w:rPr>
      </w:pPr>
    </w:p>
    <w:p w14:paraId="5A4CFD07" w14:textId="77777777" w:rsidR="007774AC" w:rsidRPr="006A2972" w:rsidRDefault="007774AC" w:rsidP="007774AC">
      <w:pPr>
        <w:jc w:val="both"/>
        <w:rPr>
          <w:rFonts w:ascii="Arial" w:hAnsi="Arial" w:cs="Arial"/>
        </w:rPr>
      </w:pPr>
      <w:proofErr w:type="spellStart"/>
      <w:r w:rsidRPr="006A2972">
        <w:rPr>
          <w:rFonts w:ascii="Arial" w:hAnsi="Arial" w:cs="Arial"/>
        </w:rPr>
        <w:t>Recognising</w:t>
      </w:r>
      <w:proofErr w:type="spellEnd"/>
      <w:r w:rsidRPr="006A2972">
        <w:rPr>
          <w:rFonts w:ascii="Arial" w:hAnsi="Arial" w:cs="Arial"/>
        </w:rPr>
        <w:t xml:space="preserve"> the need to foster closer ties with business, </w:t>
      </w:r>
      <w:proofErr w:type="spellStart"/>
      <w:r w:rsidRPr="006A2972">
        <w:rPr>
          <w:rFonts w:ascii="Arial" w:hAnsi="Arial" w:cs="Arial"/>
        </w:rPr>
        <w:t>UNSW</w:t>
      </w:r>
      <w:proofErr w:type="spellEnd"/>
      <w:r w:rsidRPr="006A2972">
        <w:rPr>
          <w:rFonts w:ascii="Arial" w:hAnsi="Arial" w:cs="Arial"/>
        </w:rPr>
        <w:t xml:space="preserve"> Australia now applies a fourth performance indicator that requires its business academics to engage more closely with the commercial sector. This is an important development, which should encourage academics to be mindful of the potential benefits to society when </w:t>
      </w:r>
      <w:proofErr w:type="spellStart"/>
      <w:r w:rsidRPr="006A2972">
        <w:rPr>
          <w:rFonts w:ascii="Arial" w:hAnsi="Arial" w:cs="Arial"/>
        </w:rPr>
        <w:t>prioritising</w:t>
      </w:r>
      <w:proofErr w:type="spellEnd"/>
      <w:r w:rsidRPr="006A2972">
        <w:rPr>
          <w:rFonts w:ascii="Arial" w:hAnsi="Arial" w:cs="Arial"/>
        </w:rPr>
        <w:t xml:space="preserve"> their work. </w:t>
      </w:r>
    </w:p>
    <w:p w14:paraId="5A4CFD08" w14:textId="77777777" w:rsidR="007774AC" w:rsidRPr="006A2972" w:rsidRDefault="007774AC" w:rsidP="007774AC">
      <w:pPr>
        <w:jc w:val="both"/>
        <w:rPr>
          <w:rFonts w:ascii="Arial" w:hAnsi="Arial" w:cs="Arial"/>
        </w:rPr>
      </w:pPr>
    </w:p>
    <w:p w14:paraId="5A4CFD09" w14:textId="77777777" w:rsidR="007774AC" w:rsidRPr="006A2972" w:rsidRDefault="007774AC" w:rsidP="007774AC">
      <w:pPr>
        <w:jc w:val="both"/>
        <w:rPr>
          <w:rFonts w:ascii="Arial" w:hAnsi="Arial" w:cs="Arial"/>
        </w:rPr>
      </w:pPr>
      <w:r w:rsidRPr="006A2972">
        <w:rPr>
          <w:rFonts w:ascii="Arial" w:hAnsi="Arial" w:cs="Arial"/>
        </w:rPr>
        <w:t xml:space="preserve">Encouraging greater engagement by academics necessitates universities providing added incentives, specifically in terms of promotion criteria and performance-based remuneration, otherwise known as salary supplementation. </w:t>
      </w:r>
    </w:p>
    <w:p w14:paraId="5A4CFD0A" w14:textId="77777777" w:rsidR="007774AC" w:rsidRPr="006A2972" w:rsidRDefault="007774AC" w:rsidP="007774AC">
      <w:pPr>
        <w:jc w:val="both"/>
        <w:rPr>
          <w:rFonts w:ascii="Arial" w:hAnsi="Arial" w:cs="Arial"/>
        </w:rPr>
      </w:pPr>
    </w:p>
    <w:p w14:paraId="5A4CFD0B" w14:textId="77777777" w:rsidR="007774AC" w:rsidRPr="006A2972" w:rsidRDefault="007774AC" w:rsidP="007774AC">
      <w:pPr>
        <w:jc w:val="both"/>
        <w:rPr>
          <w:rFonts w:ascii="Arial" w:hAnsi="Arial" w:cs="Arial"/>
        </w:rPr>
      </w:pPr>
      <w:r w:rsidRPr="006A2972">
        <w:rPr>
          <w:rFonts w:ascii="Arial" w:hAnsi="Arial" w:cs="Arial"/>
        </w:rPr>
        <w:t xml:space="preserve">Comparing the Australian environment with the US reveals an interesting and significant difference in the recognition and reward of academic achievement. In Australia, universities typically retain exclusive beneficial ownership of intellectual property rights that may result from the work of academics they employ. In contrast, among leading US universities the emphasis appears to be more on a ‘fair share’ of the commercial benefits flowing from intellectual property. Accordingly, US academics are more </w:t>
      </w:r>
      <w:proofErr w:type="spellStart"/>
      <w:r w:rsidRPr="006A2972">
        <w:rPr>
          <w:rFonts w:ascii="Arial" w:hAnsi="Arial" w:cs="Arial"/>
        </w:rPr>
        <w:t>incentivised</w:t>
      </w:r>
      <w:proofErr w:type="spellEnd"/>
      <w:r w:rsidRPr="006A2972">
        <w:rPr>
          <w:rFonts w:ascii="Arial" w:hAnsi="Arial" w:cs="Arial"/>
        </w:rPr>
        <w:t xml:space="preserve"> to bring a greater commercial perspective to their </w:t>
      </w:r>
      <w:r w:rsidRPr="006A2972">
        <w:rPr>
          <w:rFonts w:ascii="Arial" w:hAnsi="Arial" w:cs="Arial"/>
        </w:rPr>
        <w:lastRenderedPageBreak/>
        <w:t>work, which, in turn, is conducive to a greater degree of interaction between academe and the business sector.</w:t>
      </w:r>
    </w:p>
    <w:p w14:paraId="5A4CFD0C" w14:textId="77777777" w:rsidR="007774AC" w:rsidRPr="006A2972" w:rsidRDefault="007774AC" w:rsidP="007774AC">
      <w:pPr>
        <w:jc w:val="both"/>
        <w:rPr>
          <w:rFonts w:ascii="Arial" w:hAnsi="Arial" w:cs="Arial"/>
        </w:rPr>
      </w:pPr>
    </w:p>
    <w:p w14:paraId="5A4CFD0D" w14:textId="77777777" w:rsidR="007774AC" w:rsidRPr="006A2972" w:rsidRDefault="007774AC" w:rsidP="007774AC">
      <w:pPr>
        <w:jc w:val="both"/>
        <w:rPr>
          <w:rFonts w:ascii="Arial" w:hAnsi="Arial" w:cs="Arial"/>
        </w:rPr>
      </w:pPr>
      <w:r w:rsidRPr="006A2972">
        <w:rPr>
          <w:rFonts w:ascii="Arial" w:hAnsi="Arial" w:cs="Arial"/>
        </w:rPr>
        <w:t xml:space="preserve">While any requirement for Australian academics to become more closely involved with the business sector is laudable in theory, there may be practical considerations that make it difficult to achieve. Physical locality is one such consideration. The head office and control functions of the business sector tend to be concentrated in the </w:t>
      </w:r>
      <w:proofErr w:type="spellStart"/>
      <w:r w:rsidRPr="006A2972">
        <w:rPr>
          <w:rFonts w:ascii="Arial" w:hAnsi="Arial" w:cs="Arial"/>
        </w:rPr>
        <w:t>CBD</w:t>
      </w:r>
      <w:proofErr w:type="spellEnd"/>
      <w:r w:rsidRPr="006A2972">
        <w:rPr>
          <w:rFonts w:ascii="Arial" w:hAnsi="Arial" w:cs="Arial"/>
        </w:rPr>
        <w:t xml:space="preserve"> areas of the major capital cities. Although electronic communications have brought the world closer together, face-to-face contact remains a critically important element of successful business relationships. This creates a significant integration hurdle for academics located in Australia’s many regional universities. </w:t>
      </w:r>
    </w:p>
    <w:p w14:paraId="5A4CFD0E" w14:textId="77777777" w:rsidR="007774AC" w:rsidRPr="006A2972" w:rsidRDefault="007774AC" w:rsidP="007774AC">
      <w:pPr>
        <w:jc w:val="both"/>
        <w:rPr>
          <w:rFonts w:ascii="Arial" w:hAnsi="Arial" w:cs="Arial"/>
        </w:rPr>
      </w:pPr>
    </w:p>
    <w:p w14:paraId="5A4CFD0F" w14:textId="77777777" w:rsidR="007774AC" w:rsidRPr="006A2972" w:rsidRDefault="007774AC" w:rsidP="007774AC">
      <w:pPr>
        <w:jc w:val="both"/>
        <w:rPr>
          <w:rFonts w:ascii="Arial" w:hAnsi="Arial" w:cs="Arial"/>
        </w:rPr>
      </w:pPr>
      <w:r w:rsidRPr="006A2972">
        <w:rPr>
          <w:rFonts w:ascii="Arial" w:hAnsi="Arial" w:cs="Arial"/>
        </w:rPr>
        <w:t xml:space="preserve">Notwithstanding the potential challenges of physical location, there are several institutions that specifically serve to foster and promote the involvement of academics in the business sector. </w:t>
      </w:r>
    </w:p>
    <w:p w14:paraId="5A4CFD10" w14:textId="77777777" w:rsidR="007774AC" w:rsidRPr="006A2972" w:rsidRDefault="007774AC" w:rsidP="007774AC">
      <w:pPr>
        <w:jc w:val="both"/>
        <w:rPr>
          <w:rFonts w:ascii="Arial" w:hAnsi="Arial" w:cs="Arial"/>
        </w:rPr>
      </w:pPr>
    </w:p>
    <w:p w14:paraId="5A4CFD11" w14:textId="77777777" w:rsidR="007774AC" w:rsidRPr="006A2972" w:rsidRDefault="007774AC" w:rsidP="007774AC">
      <w:pPr>
        <w:jc w:val="both"/>
        <w:rPr>
          <w:rFonts w:ascii="Arial" w:hAnsi="Arial" w:cs="Arial"/>
        </w:rPr>
      </w:pPr>
      <w:r w:rsidRPr="006A2972">
        <w:rPr>
          <w:rFonts w:ascii="Arial" w:hAnsi="Arial" w:cs="Arial"/>
        </w:rPr>
        <w:t>The Centre for International Finance and Regulation (</w:t>
      </w:r>
      <w:proofErr w:type="spellStart"/>
      <w:r w:rsidRPr="006A2972">
        <w:rPr>
          <w:rFonts w:ascii="Arial" w:hAnsi="Arial" w:cs="Arial"/>
        </w:rPr>
        <w:t>CIFR</w:t>
      </w:r>
      <w:proofErr w:type="spellEnd"/>
      <w:r w:rsidRPr="006A2972">
        <w:rPr>
          <w:rFonts w:ascii="Arial" w:hAnsi="Arial" w:cs="Arial"/>
        </w:rPr>
        <w:t xml:space="preserve">) is one such body. </w:t>
      </w:r>
      <w:proofErr w:type="spellStart"/>
      <w:r w:rsidRPr="006A2972">
        <w:rPr>
          <w:rFonts w:ascii="Arial" w:hAnsi="Arial" w:cs="Arial"/>
        </w:rPr>
        <w:t>CIFR</w:t>
      </w:r>
      <w:proofErr w:type="spellEnd"/>
      <w:r w:rsidRPr="006A2972">
        <w:rPr>
          <w:rFonts w:ascii="Arial" w:hAnsi="Arial" w:cs="Arial"/>
        </w:rPr>
        <w:t xml:space="preserve"> is a </w:t>
      </w:r>
      <w:proofErr w:type="spellStart"/>
      <w:r w:rsidRPr="006A2972">
        <w:rPr>
          <w:rFonts w:ascii="Arial" w:hAnsi="Arial" w:cs="Arial"/>
        </w:rPr>
        <w:t>centre</w:t>
      </w:r>
      <w:proofErr w:type="spellEnd"/>
      <w:r w:rsidRPr="006A2972">
        <w:rPr>
          <w:rFonts w:ascii="Arial" w:hAnsi="Arial" w:cs="Arial"/>
        </w:rPr>
        <w:t xml:space="preserve"> for research and public policy development in the financial sector. It brings together leading Australian universities, research </w:t>
      </w:r>
      <w:proofErr w:type="spellStart"/>
      <w:r w:rsidRPr="006A2972">
        <w:rPr>
          <w:rFonts w:ascii="Arial" w:hAnsi="Arial" w:cs="Arial"/>
        </w:rPr>
        <w:t>centres</w:t>
      </w:r>
      <w:proofErr w:type="spellEnd"/>
      <w:r w:rsidRPr="006A2972">
        <w:rPr>
          <w:rFonts w:ascii="Arial" w:hAnsi="Arial" w:cs="Arial"/>
        </w:rPr>
        <w:t xml:space="preserve"> and financial </w:t>
      </w:r>
      <w:proofErr w:type="spellStart"/>
      <w:r w:rsidRPr="006A2972">
        <w:rPr>
          <w:rFonts w:ascii="Arial" w:hAnsi="Arial" w:cs="Arial"/>
        </w:rPr>
        <w:t>organisations</w:t>
      </w:r>
      <w:proofErr w:type="spellEnd"/>
      <w:r w:rsidRPr="006A2972">
        <w:rPr>
          <w:rFonts w:ascii="Arial" w:hAnsi="Arial" w:cs="Arial"/>
        </w:rPr>
        <w:t xml:space="preserve"> to assist the financial sector, government and regulators in meeting emerging challenges and opportunities locally, regionally and internationally. Sponsored by the Commonwealth and NSW Governments, and comprising a consortium of universities and associates, </w:t>
      </w:r>
      <w:proofErr w:type="spellStart"/>
      <w:r w:rsidRPr="006A2972">
        <w:rPr>
          <w:rFonts w:ascii="Arial" w:hAnsi="Arial" w:cs="Arial"/>
        </w:rPr>
        <w:t>CIFR</w:t>
      </w:r>
      <w:proofErr w:type="spellEnd"/>
      <w:r w:rsidRPr="006A2972">
        <w:rPr>
          <w:rFonts w:ascii="Arial" w:hAnsi="Arial" w:cs="Arial"/>
        </w:rPr>
        <w:t xml:space="preserve"> focuses on financial market developments and financial system regulation. </w:t>
      </w:r>
      <w:proofErr w:type="spellStart"/>
      <w:r w:rsidRPr="006A2972">
        <w:rPr>
          <w:rFonts w:ascii="Arial" w:hAnsi="Arial" w:cs="Arial"/>
        </w:rPr>
        <w:t>CIFR</w:t>
      </w:r>
      <w:proofErr w:type="spellEnd"/>
      <w:r w:rsidRPr="006A2972">
        <w:rPr>
          <w:rFonts w:ascii="Arial" w:hAnsi="Arial" w:cs="Arial"/>
        </w:rPr>
        <w:t xml:space="preserve"> is located in Sydney’s </w:t>
      </w:r>
      <w:proofErr w:type="spellStart"/>
      <w:r w:rsidRPr="006A2972">
        <w:rPr>
          <w:rFonts w:ascii="Arial" w:hAnsi="Arial" w:cs="Arial"/>
        </w:rPr>
        <w:t>CBD</w:t>
      </w:r>
      <w:proofErr w:type="spellEnd"/>
      <w:r w:rsidRPr="006A2972">
        <w:rPr>
          <w:rFonts w:ascii="Arial" w:hAnsi="Arial" w:cs="Arial"/>
        </w:rPr>
        <w:t xml:space="preserve">, in close proximity to many industry and regulatory stakeholders, with whom it seeks to collaborate on a variety of scholarly and public-policy focused research initiatives. </w:t>
      </w:r>
    </w:p>
    <w:p w14:paraId="5A4CFD12" w14:textId="77777777" w:rsidR="007774AC" w:rsidRPr="006A2972" w:rsidRDefault="007774AC" w:rsidP="007774AC">
      <w:pPr>
        <w:jc w:val="both"/>
        <w:rPr>
          <w:rFonts w:ascii="Arial" w:hAnsi="Arial" w:cs="Arial"/>
        </w:rPr>
      </w:pPr>
    </w:p>
    <w:p w14:paraId="5A4CFD13" w14:textId="77777777" w:rsidR="007774AC" w:rsidRPr="006A2972" w:rsidRDefault="007774AC" w:rsidP="007774AC">
      <w:pPr>
        <w:jc w:val="both"/>
        <w:rPr>
          <w:rFonts w:ascii="Arial" w:hAnsi="Arial" w:cs="Arial"/>
        </w:rPr>
      </w:pPr>
      <w:r w:rsidRPr="006A2972">
        <w:rPr>
          <w:rFonts w:ascii="Arial" w:hAnsi="Arial" w:cs="Arial"/>
        </w:rPr>
        <w:t xml:space="preserve">The Australian Research Council (ARC), a statutory agency within the Australian Government, is another research-oriented body. The </w:t>
      </w:r>
      <w:proofErr w:type="spellStart"/>
      <w:r w:rsidRPr="006A2972">
        <w:rPr>
          <w:rFonts w:ascii="Arial" w:hAnsi="Arial" w:cs="Arial"/>
        </w:rPr>
        <w:t>ARC’s</w:t>
      </w:r>
      <w:proofErr w:type="spellEnd"/>
      <w:r w:rsidRPr="006A2972">
        <w:rPr>
          <w:rFonts w:ascii="Arial" w:hAnsi="Arial" w:cs="Arial"/>
        </w:rPr>
        <w:t xml:space="preserve"> mission is to deliver policy and programs that advance Australian research and innovation globally, and that benefit the community. Pursuant to its mission, the ARC provides advice to the Government on research issues, manages the </w:t>
      </w:r>
      <w:hyperlink r:id="rId20" w:history="1">
        <w:r w:rsidRPr="006A2972">
          <w:rPr>
            <w:rFonts w:ascii="Arial" w:hAnsi="Arial" w:cs="Arial"/>
          </w:rPr>
          <w:t>National Competitive Grants Program (</w:t>
        </w:r>
        <w:proofErr w:type="spellStart"/>
        <w:r w:rsidRPr="006A2972">
          <w:rPr>
            <w:rFonts w:ascii="Arial" w:hAnsi="Arial" w:cs="Arial"/>
          </w:rPr>
          <w:t>NCGP</w:t>
        </w:r>
        <w:proofErr w:type="spellEnd"/>
        <w:r w:rsidRPr="006A2972">
          <w:rPr>
            <w:rFonts w:ascii="Arial" w:hAnsi="Arial" w:cs="Arial"/>
          </w:rPr>
          <w:t>)</w:t>
        </w:r>
      </w:hyperlink>
      <w:r w:rsidRPr="006A2972">
        <w:rPr>
          <w:rFonts w:ascii="Arial" w:hAnsi="Arial" w:cs="Arial"/>
        </w:rPr>
        <w:t xml:space="preserve">, and administers the system that evaluates the quality of research conducted at Australian universities. One of the ARC research programs is the </w:t>
      </w:r>
      <w:r w:rsidRPr="006A2972">
        <w:rPr>
          <w:rFonts w:ascii="Arial" w:hAnsi="Arial" w:cs="Arial"/>
          <w:i/>
        </w:rPr>
        <w:t>Linkage Projects</w:t>
      </w:r>
      <w:r w:rsidRPr="006A2972">
        <w:rPr>
          <w:rFonts w:ascii="Arial" w:hAnsi="Arial" w:cs="Arial"/>
        </w:rPr>
        <w:t xml:space="preserve"> scheme, which provides funding for academics and business to collaborate on research activities that are scholarly, and also innovative for business.</w:t>
      </w:r>
    </w:p>
    <w:p w14:paraId="5A4CFD14" w14:textId="77777777" w:rsidR="007774AC" w:rsidRPr="006A2972" w:rsidRDefault="007774AC" w:rsidP="007774AC">
      <w:pPr>
        <w:jc w:val="both"/>
        <w:rPr>
          <w:rFonts w:ascii="Arial" w:hAnsi="Arial" w:cs="Arial"/>
        </w:rPr>
      </w:pPr>
    </w:p>
    <w:p w14:paraId="5A4CFD15" w14:textId="77777777" w:rsidR="007774AC" w:rsidRPr="006A2972" w:rsidRDefault="007774AC" w:rsidP="007774AC">
      <w:pPr>
        <w:jc w:val="both"/>
        <w:rPr>
          <w:rFonts w:ascii="Arial" w:hAnsi="Arial" w:cs="Arial"/>
        </w:rPr>
      </w:pPr>
      <w:r w:rsidRPr="006A2972">
        <w:rPr>
          <w:rFonts w:ascii="Arial" w:hAnsi="Arial" w:cs="Arial"/>
        </w:rPr>
        <w:t xml:space="preserve">It is important to </w:t>
      </w:r>
      <w:proofErr w:type="spellStart"/>
      <w:r w:rsidRPr="006A2972">
        <w:rPr>
          <w:rFonts w:ascii="Arial" w:hAnsi="Arial" w:cs="Arial"/>
        </w:rPr>
        <w:t>recognise</w:t>
      </w:r>
      <w:proofErr w:type="spellEnd"/>
      <w:r w:rsidRPr="006A2972">
        <w:rPr>
          <w:rFonts w:ascii="Arial" w:hAnsi="Arial" w:cs="Arial"/>
        </w:rPr>
        <w:t xml:space="preserve"> that a deeper engagement between academics and the business sector can deliver tangible benefits to both parties. Greater academic representation on company boards can create a decision-making process in which the existing wisdom of business insight and experience is supplemented by a strong academic and theoretical perspective. For their part, academics would be in a position to potentially raise the standard of their research by having access to data that would perhaps not otherwise be available to them. </w:t>
      </w:r>
    </w:p>
    <w:p w14:paraId="5A4CFD16" w14:textId="77777777" w:rsidR="007774AC" w:rsidRPr="006A2972" w:rsidRDefault="007774AC" w:rsidP="007774AC">
      <w:pPr>
        <w:jc w:val="both"/>
        <w:rPr>
          <w:rFonts w:ascii="Arial" w:hAnsi="Arial" w:cs="Arial"/>
        </w:rPr>
      </w:pPr>
      <w:r w:rsidRPr="006A2972">
        <w:rPr>
          <w:rFonts w:ascii="Arial" w:hAnsi="Arial" w:cs="Arial"/>
        </w:rPr>
        <w:t xml:space="preserve">Academic consultancy services can also take the form of specialist advisory panels. The increasingly complex business environment makes ever greater demands on company boards, such that the number of board members required to achieve the necessary range of skill sets may become excessive. Instead, an advisory panel, specifically created to address a particular issue, may be a more cost effective and efficient means of accessing the required specialist skills. Moreover, the external </w:t>
      </w:r>
      <w:r w:rsidRPr="006A2972">
        <w:rPr>
          <w:rFonts w:ascii="Arial" w:hAnsi="Arial" w:cs="Arial"/>
        </w:rPr>
        <w:lastRenderedPageBreak/>
        <w:t xml:space="preserve">credibility of specialist academic advisors, for example when addressing presentations and seminars, is likely to be correspondingly greater than that of other board members. This can be particularly valuable for a company seeking to promote its message in relation to technological or complicated issues such as environmental impact or governance. </w:t>
      </w:r>
    </w:p>
    <w:p w14:paraId="5A4CFD17" w14:textId="77777777" w:rsidR="007774AC" w:rsidRPr="006A2972" w:rsidRDefault="007774AC" w:rsidP="007774AC">
      <w:pPr>
        <w:jc w:val="both"/>
        <w:rPr>
          <w:rFonts w:ascii="Arial" w:hAnsi="Arial" w:cs="Arial"/>
        </w:rPr>
      </w:pPr>
    </w:p>
    <w:p w14:paraId="5A4CFD18" w14:textId="77777777" w:rsidR="007774AC" w:rsidRPr="006A2972" w:rsidRDefault="007774AC" w:rsidP="007774AC">
      <w:pPr>
        <w:jc w:val="both"/>
        <w:rPr>
          <w:rFonts w:ascii="Arial" w:hAnsi="Arial" w:cs="Arial"/>
        </w:rPr>
      </w:pPr>
      <w:r w:rsidRPr="006A2972">
        <w:rPr>
          <w:rFonts w:ascii="Arial" w:hAnsi="Arial" w:cs="Arial"/>
        </w:rPr>
        <w:t xml:space="preserve">Deeper engagement between the business and university sectors clearly offers potential all-round benefits. It remains for academic institutions to think further about how engagement with industry can be developed, and how the diverse skills and strengths of scholars can more deeply benefit all aspects of Australian society. </w:t>
      </w:r>
    </w:p>
    <w:p w14:paraId="5A4CFD19" w14:textId="77777777" w:rsidR="007774AC" w:rsidRDefault="007774AC" w:rsidP="007774AC">
      <w:pPr>
        <w:jc w:val="both"/>
        <w:rPr>
          <w:rFonts w:ascii="Arial" w:hAnsi="Arial" w:cs="Arial"/>
        </w:rPr>
      </w:pPr>
    </w:p>
    <w:p w14:paraId="5A4CFD1A" w14:textId="77777777" w:rsidR="007774AC" w:rsidRPr="00434090" w:rsidRDefault="007774AC" w:rsidP="007774AC">
      <w:pPr>
        <w:jc w:val="both"/>
        <w:rPr>
          <w:rFonts w:ascii="Arial" w:hAnsi="Arial" w:cs="Arial"/>
          <w:sz w:val="32"/>
        </w:rPr>
      </w:pPr>
      <w:bookmarkStart w:id="62" w:name="_GoBack"/>
      <w:bookmarkEnd w:id="62"/>
    </w:p>
    <w:sectPr w:rsidR="007774AC" w:rsidRPr="00434090" w:rsidSect="007774AC">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CFD2F" w14:textId="77777777" w:rsidR="005C6AF2" w:rsidRDefault="005C6AF2" w:rsidP="007774AC">
      <w:r>
        <w:separator/>
      </w:r>
    </w:p>
  </w:endnote>
  <w:endnote w:type="continuationSeparator" w:id="0">
    <w:p w14:paraId="5A4CFD30" w14:textId="77777777" w:rsidR="005C6AF2" w:rsidRDefault="005C6AF2" w:rsidP="0077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8787"/>
      <w:docPartObj>
        <w:docPartGallery w:val="Page Numbers (Bottom of Page)"/>
        <w:docPartUnique/>
      </w:docPartObj>
    </w:sdtPr>
    <w:sdtEndPr>
      <w:rPr>
        <w:noProof/>
      </w:rPr>
    </w:sdtEndPr>
    <w:sdtContent>
      <w:p w14:paraId="5A4CFD31" w14:textId="77777777" w:rsidR="007774AC" w:rsidRDefault="007774AC">
        <w:pPr>
          <w:pStyle w:val="Footer"/>
          <w:jc w:val="right"/>
        </w:pPr>
        <w:r w:rsidRPr="007F1A5B">
          <w:rPr>
            <w:rFonts w:ascii="Arial" w:hAnsi="Arial" w:cs="Arial"/>
          </w:rPr>
          <w:fldChar w:fldCharType="begin"/>
        </w:r>
        <w:r w:rsidRPr="007F1A5B">
          <w:rPr>
            <w:rFonts w:ascii="Arial" w:hAnsi="Arial" w:cs="Arial"/>
          </w:rPr>
          <w:instrText xml:space="preserve"> PAGE   \* MERGEFORMAT </w:instrText>
        </w:r>
        <w:r w:rsidRPr="007F1A5B">
          <w:rPr>
            <w:rFonts w:ascii="Arial" w:hAnsi="Arial" w:cs="Arial"/>
          </w:rPr>
          <w:fldChar w:fldCharType="separate"/>
        </w:r>
        <w:r w:rsidR="007A36AE">
          <w:rPr>
            <w:rFonts w:ascii="Arial" w:hAnsi="Arial" w:cs="Arial"/>
            <w:noProof/>
          </w:rPr>
          <w:t>23</w:t>
        </w:r>
        <w:r w:rsidRPr="007F1A5B">
          <w:rPr>
            <w:rFonts w:ascii="Arial" w:hAnsi="Arial" w:cs="Arial"/>
            <w:noProof/>
          </w:rPr>
          <w:fldChar w:fldCharType="end"/>
        </w:r>
      </w:p>
    </w:sdtContent>
  </w:sdt>
  <w:p w14:paraId="5A4CFD32" w14:textId="77777777" w:rsidR="007774AC" w:rsidRDefault="00777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CFD2D" w14:textId="77777777" w:rsidR="005C6AF2" w:rsidRDefault="005C6AF2" w:rsidP="007774AC">
      <w:r>
        <w:separator/>
      </w:r>
    </w:p>
  </w:footnote>
  <w:footnote w:type="continuationSeparator" w:id="0">
    <w:p w14:paraId="5A4CFD2E" w14:textId="77777777" w:rsidR="005C6AF2" w:rsidRDefault="005C6AF2" w:rsidP="007774AC">
      <w:r>
        <w:continuationSeparator/>
      </w:r>
    </w:p>
  </w:footnote>
  <w:footnote w:id="1">
    <w:p w14:paraId="5A4CFD33"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‘Boosting the Commercial Returns from Research’, Department of Education and Department of Industry Discussion Paper, 2014, </w:t>
      </w:r>
      <w:proofErr w:type="spellStart"/>
      <w:r w:rsidRPr="00A92D59">
        <w:rPr>
          <w:rFonts w:ascii="Arial" w:hAnsi="Arial" w:cs="Arial"/>
          <w:sz w:val="18"/>
          <w:szCs w:val="18"/>
        </w:rPr>
        <w:t>p6</w:t>
      </w:r>
      <w:proofErr w:type="spellEnd"/>
      <w:r w:rsidRPr="00A92D59">
        <w:rPr>
          <w:rFonts w:ascii="Arial" w:hAnsi="Arial" w:cs="Arial"/>
          <w:sz w:val="18"/>
          <w:szCs w:val="18"/>
        </w:rPr>
        <w:t xml:space="preserve"> (the </w:t>
      </w:r>
      <w:r>
        <w:rPr>
          <w:rFonts w:ascii="Arial" w:hAnsi="Arial" w:cs="Arial"/>
          <w:sz w:val="18"/>
          <w:szCs w:val="18"/>
        </w:rPr>
        <w:t xml:space="preserve">‘Consultation </w:t>
      </w:r>
      <w:r w:rsidRPr="00A92D59">
        <w:rPr>
          <w:rFonts w:ascii="Arial" w:hAnsi="Arial" w:cs="Arial"/>
          <w:sz w:val="18"/>
          <w:szCs w:val="18"/>
        </w:rPr>
        <w:t>Paper</w:t>
      </w:r>
      <w:r>
        <w:rPr>
          <w:rFonts w:ascii="Arial" w:hAnsi="Arial" w:cs="Arial"/>
          <w:sz w:val="18"/>
          <w:szCs w:val="18"/>
        </w:rPr>
        <w:t>’</w:t>
      </w:r>
      <w:r w:rsidRPr="00A92D59">
        <w:rPr>
          <w:rFonts w:ascii="Arial" w:hAnsi="Arial" w:cs="Arial"/>
          <w:sz w:val="18"/>
          <w:szCs w:val="18"/>
        </w:rPr>
        <w:t>).</w:t>
      </w:r>
    </w:p>
  </w:footnote>
  <w:footnote w:id="2">
    <w:p w14:paraId="5A4CFD34" w14:textId="77777777" w:rsidR="007774AC" w:rsidRDefault="007774AC" w:rsidP="007774AC">
      <w:pPr>
        <w:pStyle w:val="FootnoteText"/>
      </w:pPr>
      <w:r>
        <w:rPr>
          <w:rStyle w:val="FootnoteReference"/>
        </w:rPr>
        <w:footnoteRef/>
      </w:r>
      <w:r>
        <w:t xml:space="preserve"> </w:t>
      </w:r>
      <w:proofErr w:type="spellStart"/>
      <w:r w:rsidRPr="00A92D59">
        <w:rPr>
          <w:rFonts w:ascii="Arial" w:hAnsi="Arial"/>
          <w:sz w:val="18"/>
          <w:szCs w:val="18"/>
        </w:rPr>
        <w:t>CIFR’s</w:t>
      </w:r>
      <w:proofErr w:type="spellEnd"/>
      <w:r w:rsidRPr="00A92D59">
        <w:rPr>
          <w:rFonts w:ascii="Arial" w:hAnsi="Arial"/>
          <w:sz w:val="18"/>
          <w:szCs w:val="18"/>
        </w:rPr>
        <w:t xml:space="preserve"> role is acknowledged in the Financial System Inquiry Final Report, 7 December 2014, at p</w:t>
      </w:r>
      <w:r>
        <w:rPr>
          <w:rFonts w:ascii="Arial" w:hAnsi="Arial"/>
          <w:sz w:val="18"/>
          <w:szCs w:val="18"/>
        </w:rPr>
        <w:t xml:space="preserve"> xii.</w:t>
      </w:r>
    </w:p>
  </w:footnote>
  <w:footnote w:id="3">
    <w:p w14:paraId="5A4CFD35"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Pr>
          <w:rFonts w:ascii="Arial" w:hAnsi="Arial" w:cs="Arial"/>
          <w:sz w:val="18"/>
          <w:szCs w:val="18"/>
        </w:rPr>
        <w:t xml:space="preserve">Consultation </w:t>
      </w:r>
      <w:r w:rsidRPr="00A92D59">
        <w:rPr>
          <w:rFonts w:ascii="Arial" w:hAnsi="Arial" w:cs="Arial"/>
          <w:sz w:val="18"/>
          <w:szCs w:val="18"/>
        </w:rPr>
        <w:t xml:space="preserve">Paper, </w:t>
      </w:r>
      <w:proofErr w:type="spellStart"/>
      <w:r w:rsidRPr="00A92D59">
        <w:rPr>
          <w:rFonts w:ascii="Arial" w:hAnsi="Arial" w:cs="Arial"/>
          <w:sz w:val="18"/>
          <w:szCs w:val="18"/>
        </w:rPr>
        <w:t>p2</w:t>
      </w:r>
      <w:proofErr w:type="spellEnd"/>
      <w:r w:rsidRPr="00A92D59">
        <w:rPr>
          <w:rFonts w:ascii="Arial" w:hAnsi="Arial" w:cs="Arial"/>
          <w:sz w:val="18"/>
          <w:szCs w:val="18"/>
        </w:rPr>
        <w:t>.</w:t>
      </w:r>
      <w:proofErr w:type="gramEnd"/>
    </w:p>
  </w:footnote>
  <w:footnote w:id="4">
    <w:p w14:paraId="5A4CFD36"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Report available at: http://www.fsc.org.au/downloads/file/ResearchReportsFile/2014_1117_FSCUBSStateoftheIndustryReport2014LR.pdf</w:t>
      </w:r>
    </w:p>
  </w:footnote>
  <w:footnote w:id="5">
    <w:p w14:paraId="5A4CFD37"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spellStart"/>
      <w:proofErr w:type="gramStart"/>
      <w:r w:rsidRPr="00A92D59">
        <w:rPr>
          <w:rFonts w:ascii="Arial" w:hAnsi="Arial" w:cs="Arial"/>
          <w:sz w:val="18"/>
          <w:szCs w:val="18"/>
        </w:rPr>
        <w:t>FSC</w:t>
      </w:r>
      <w:proofErr w:type="spellEnd"/>
      <w:r w:rsidRPr="00A92D59">
        <w:rPr>
          <w:rFonts w:ascii="Arial" w:hAnsi="Arial" w:cs="Arial"/>
          <w:sz w:val="18"/>
          <w:szCs w:val="18"/>
        </w:rPr>
        <w:t xml:space="preserve"> State of the Industry Report, 2014 Infographic.</w:t>
      </w:r>
      <w:proofErr w:type="gramEnd"/>
    </w:p>
  </w:footnote>
  <w:footnote w:id="6">
    <w:p w14:paraId="5A4CFD38"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hyperlink r:id="rId1" w:history="1">
        <w:r w:rsidRPr="00A92D59">
          <w:rPr>
            <w:rStyle w:val="Hyperlink"/>
            <w:rFonts w:ascii="Arial" w:hAnsi="Arial" w:cs="Arial"/>
            <w:sz w:val="18"/>
            <w:szCs w:val="18"/>
          </w:rPr>
          <w:t>http://fsi.gov.au/publications/interim-report/executive-summary/</w:t>
        </w:r>
      </w:hyperlink>
    </w:p>
  </w:footnote>
  <w:footnote w:id="7">
    <w:p w14:paraId="5A4CFD39" w14:textId="77777777" w:rsidR="007774AC" w:rsidRPr="00F971F3" w:rsidRDefault="007774AC" w:rsidP="007774AC">
      <w:pPr>
        <w:pStyle w:val="FootnoteText"/>
        <w:rPr>
          <w:rFonts w:ascii="Arial" w:hAnsi="Arial" w:cs="Arial"/>
          <w:sz w:val="18"/>
          <w:szCs w:val="18"/>
        </w:rPr>
      </w:pPr>
      <w:r w:rsidRPr="00A92D59">
        <w:rPr>
          <w:rStyle w:val="FootnoteReference"/>
          <w:rFonts w:ascii="Arial" w:hAnsi="Arial" w:cs="Arial"/>
        </w:rPr>
        <w:footnoteRef/>
      </w:r>
      <w:r w:rsidRPr="00A92D59">
        <w:rPr>
          <w:rFonts w:ascii="Arial" w:hAnsi="Arial" w:cs="Arial"/>
        </w:rPr>
        <w:t xml:space="preserve"> </w:t>
      </w:r>
      <w:proofErr w:type="spellStart"/>
      <w:r>
        <w:rPr>
          <w:rFonts w:ascii="Arial" w:hAnsi="Arial" w:cs="Arial"/>
          <w:sz w:val="18"/>
          <w:szCs w:val="18"/>
        </w:rPr>
        <w:t>FSI</w:t>
      </w:r>
      <w:proofErr w:type="spellEnd"/>
      <w:r>
        <w:rPr>
          <w:rFonts w:ascii="Arial" w:hAnsi="Arial" w:cs="Arial"/>
          <w:sz w:val="18"/>
          <w:szCs w:val="18"/>
        </w:rPr>
        <w:t xml:space="preserve"> Final Report, </w:t>
      </w:r>
      <w:proofErr w:type="spellStart"/>
      <w:r>
        <w:rPr>
          <w:rFonts w:ascii="Arial" w:hAnsi="Arial" w:cs="Arial"/>
          <w:sz w:val="18"/>
          <w:szCs w:val="18"/>
        </w:rPr>
        <w:t>pp1</w:t>
      </w:r>
      <w:proofErr w:type="spellEnd"/>
      <w:r>
        <w:rPr>
          <w:rFonts w:ascii="Arial" w:hAnsi="Arial" w:cs="Arial"/>
          <w:sz w:val="18"/>
          <w:szCs w:val="18"/>
        </w:rPr>
        <w:t xml:space="preserve">-8 </w:t>
      </w:r>
      <w:hyperlink r:id="rId2" w:history="1">
        <w:r w:rsidRPr="00E276FA">
          <w:rPr>
            <w:rStyle w:val="Hyperlink"/>
            <w:rFonts w:ascii="Arial" w:hAnsi="Arial" w:cs="Arial"/>
            <w:sz w:val="18"/>
            <w:szCs w:val="18"/>
          </w:rPr>
          <w:t>http://fsi.gov.au/publications/final-report/</w:t>
        </w:r>
      </w:hyperlink>
      <w:r>
        <w:rPr>
          <w:rFonts w:ascii="Arial" w:hAnsi="Arial" w:cs="Arial"/>
          <w:sz w:val="18"/>
          <w:szCs w:val="18"/>
        </w:rPr>
        <w:t xml:space="preserve"> </w:t>
      </w:r>
    </w:p>
  </w:footnote>
  <w:footnote w:id="8">
    <w:p w14:paraId="5A4CFD3A" w14:textId="77777777" w:rsidR="007774AC" w:rsidRPr="00A92D59" w:rsidRDefault="007774AC" w:rsidP="007774AC">
      <w:pPr>
        <w:pStyle w:val="FootnoteText"/>
        <w:rPr>
          <w:rFonts w:ascii="Arial" w:hAnsi="Arial" w:cs="Arial"/>
          <w:sz w:val="18"/>
          <w:szCs w:val="18"/>
          <w:lang w:val="en-AU"/>
        </w:rPr>
      </w:pPr>
      <w:r w:rsidRPr="00A92D59">
        <w:rPr>
          <w:rStyle w:val="FootnoteReference"/>
          <w:rFonts w:ascii="Arial" w:hAnsi="Arial" w:cs="Arial"/>
          <w:sz w:val="18"/>
          <w:szCs w:val="18"/>
        </w:rPr>
        <w:footnoteRef/>
      </w:r>
      <w:r w:rsidRPr="00A92D59">
        <w:rPr>
          <w:rFonts w:ascii="Arial" w:hAnsi="Arial" w:cs="Arial"/>
          <w:sz w:val="18"/>
          <w:szCs w:val="18"/>
        </w:rPr>
        <w:t xml:space="preserve"> </w:t>
      </w:r>
      <w:hyperlink r:id="rId3" w:history="1">
        <w:r w:rsidRPr="00A92D59">
          <w:rPr>
            <w:rStyle w:val="Hyperlink"/>
            <w:rFonts w:ascii="Arial" w:hAnsi="Arial" w:cs="Arial"/>
            <w:sz w:val="18"/>
            <w:szCs w:val="18"/>
          </w:rPr>
          <w:t>http://www.bca.com.au/publications/building-australias-comparative-advantages</w:t>
        </w:r>
      </w:hyperlink>
      <w:r w:rsidRPr="00A92D59">
        <w:rPr>
          <w:rFonts w:ascii="Arial" w:hAnsi="Arial" w:cs="Arial"/>
          <w:sz w:val="18"/>
          <w:szCs w:val="18"/>
        </w:rPr>
        <w:t xml:space="preserve"> </w:t>
      </w:r>
    </w:p>
  </w:footnote>
  <w:footnote w:id="9">
    <w:p w14:paraId="5A4CFD3B"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sidRPr="00A92D59">
        <w:rPr>
          <w:rFonts w:ascii="Arial" w:hAnsi="Arial" w:cs="Arial"/>
          <w:sz w:val="18"/>
          <w:szCs w:val="18"/>
        </w:rPr>
        <w:t xml:space="preserve">Ibid, </w:t>
      </w:r>
      <w:proofErr w:type="spellStart"/>
      <w:r w:rsidRPr="00A92D59">
        <w:rPr>
          <w:rFonts w:ascii="Arial" w:hAnsi="Arial" w:cs="Arial"/>
          <w:sz w:val="18"/>
          <w:szCs w:val="18"/>
        </w:rPr>
        <w:t>p23</w:t>
      </w:r>
      <w:proofErr w:type="spellEnd"/>
      <w:r w:rsidRPr="00A92D59">
        <w:rPr>
          <w:rFonts w:ascii="Arial" w:hAnsi="Arial" w:cs="Arial"/>
          <w:sz w:val="18"/>
          <w:szCs w:val="18"/>
        </w:rPr>
        <w:t>.</w:t>
      </w:r>
      <w:proofErr w:type="gramEnd"/>
    </w:p>
  </w:footnote>
  <w:footnote w:id="10">
    <w:p w14:paraId="5A4CFD3C" w14:textId="77777777" w:rsidR="007774AC" w:rsidRPr="00A92D59" w:rsidRDefault="007774AC" w:rsidP="007774AC">
      <w:pPr>
        <w:pStyle w:val="FootnoteText"/>
        <w:rPr>
          <w:rFonts w:ascii="Arial" w:hAnsi="Arial" w:cs="Arial"/>
          <w:sz w:val="18"/>
          <w:szCs w:val="18"/>
          <w:lang w:val="en-AU"/>
        </w:rPr>
      </w:pPr>
      <w:r w:rsidRPr="00A92D59">
        <w:rPr>
          <w:rStyle w:val="FootnoteReference"/>
          <w:rFonts w:ascii="Arial" w:hAnsi="Arial" w:cs="Arial"/>
          <w:sz w:val="18"/>
          <w:szCs w:val="18"/>
        </w:rPr>
        <w:footnoteRef/>
      </w:r>
      <w:r w:rsidRPr="00A92D59">
        <w:rPr>
          <w:rFonts w:ascii="Arial" w:hAnsi="Arial" w:cs="Arial"/>
          <w:sz w:val="18"/>
          <w:szCs w:val="18"/>
        </w:rPr>
        <w:t xml:space="preserve"> Refer to the Johnson Report and submissions to the Financial System Inquiry by </w:t>
      </w:r>
      <w:proofErr w:type="spellStart"/>
      <w:r w:rsidRPr="00A92D59">
        <w:rPr>
          <w:rFonts w:ascii="Arial" w:hAnsi="Arial" w:cs="Arial"/>
          <w:sz w:val="18"/>
          <w:szCs w:val="18"/>
        </w:rPr>
        <w:t>ANZ</w:t>
      </w:r>
      <w:proofErr w:type="spellEnd"/>
      <w:r w:rsidRPr="00A92D59">
        <w:rPr>
          <w:rFonts w:ascii="Arial" w:hAnsi="Arial" w:cs="Arial"/>
          <w:sz w:val="18"/>
          <w:szCs w:val="18"/>
        </w:rPr>
        <w:t>, AT Kearney, CPA &amp; Macquarie Group.</w:t>
      </w:r>
    </w:p>
  </w:footnote>
  <w:footnote w:id="11">
    <w:p w14:paraId="5A4CFD3D"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spellStart"/>
      <w:proofErr w:type="gramStart"/>
      <w:r w:rsidRPr="00A92D59">
        <w:rPr>
          <w:rFonts w:ascii="Arial" w:hAnsi="Arial" w:cs="Arial"/>
          <w:sz w:val="18"/>
          <w:szCs w:val="18"/>
        </w:rPr>
        <w:t>FSC</w:t>
      </w:r>
      <w:proofErr w:type="spellEnd"/>
      <w:r w:rsidRPr="00A92D59">
        <w:rPr>
          <w:rFonts w:ascii="Arial" w:hAnsi="Arial" w:cs="Arial"/>
          <w:sz w:val="18"/>
          <w:szCs w:val="18"/>
        </w:rPr>
        <w:t xml:space="preserve"> State of the Industry Report, </w:t>
      </w:r>
      <w:proofErr w:type="spellStart"/>
      <w:r w:rsidRPr="00A92D59">
        <w:rPr>
          <w:rFonts w:ascii="Arial" w:hAnsi="Arial" w:cs="Arial"/>
          <w:sz w:val="18"/>
          <w:szCs w:val="18"/>
        </w:rPr>
        <w:t>p17</w:t>
      </w:r>
      <w:proofErr w:type="spellEnd"/>
      <w:r w:rsidRPr="00A92D59">
        <w:rPr>
          <w:rFonts w:ascii="Arial" w:hAnsi="Arial" w:cs="Arial"/>
          <w:sz w:val="18"/>
          <w:szCs w:val="18"/>
        </w:rPr>
        <w:t>.</w:t>
      </w:r>
      <w:proofErr w:type="gramEnd"/>
    </w:p>
  </w:footnote>
  <w:footnote w:id="12">
    <w:p w14:paraId="5A4CFD3E" w14:textId="77777777" w:rsidR="007774AC" w:rsidRPr="00A92D59" w:rsidRDefault="007774AC" w:rsidP="007774AC">
      <w:pPr>
        <w:pStyle w:val="FootnoteText"/>
        <w:rPr>
          <w:rFonts w:ascii="Arial" w:hAnsi="Arial" w:cs="Arial"/>
          <w:sz w:val="18"/>
          <w:szCs w:val="18"/>
          <w:lang w:val="en-AU"/>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sidRPr="00A92D59">
        <w:rPr>
          <w:rFonts w:ascii="Arial" w:hAnsi="Arial" w:cs="Arial"/>
          <w:sz w:val="18"/>
          <w:szCs w:val="18"/>
        </w:rPr>
        <w:t>‘The Economic Impact of Increasing Australian Funds Management Exports’, Deloitte Access Economics and the Financial Services Council, May 2014.</w:t>
      </w:r>
      <w:proofErr w:type="gramEnd"/>
      <w:r w:rsidRPr="00A92D59">
        <w:rPr>
          <w:rFonts w:ascii="Arial" w:hAnsi="Arial" w:cs="Arial"/>
          <w:sz w:val="18"/>
          <w:szCs w:val="18"/>
        </w:rPr>
        <w:t xml:space="preserve"> http://www.fsc.org.au/downloads/file/ResearchReportsFile/2014_0806_EconomicimpactofincreasingAustralianfundsmanagementexports_e64a.pdf</w:t>
      </w:r>
    </w:p>
  </w:footnote>
  <w:footnote w:id="13">
    <w:p w14:paraId="5A4CFD3F" w14:textId="77777777" w:rsidR="007774AC" w:rsidRPr="00A92D59" w:rsidRDefault="007774AC" w:rsidP="007774AC">
      <w:pPr>
        <w:pStyle w:val="FootnoteText"/>
        <w:rPr>
          <w:rFonts w:ascii="Arial" w:hAnsi="Arial" w:cs="Arial"/>
        </w:rPr>
      </w:pPr>
      <w:r w:rsidRPr="00A92D59">
        <w:rPr>
          <w:rStyle w:val="FootnoteReference"/>
          <w:rFonts w:ascii="Arial" w:hAnsi="Arial" w:cs="Arial"/>
          <w:sz w:val="18"/>
        </w:rPr>
        <w:footnoteRef/>
      </w:r>
      <w:r w:rsidRPr="00A92D59">
        <w:rPr>
          <w:rFonts w:ascii="Arial" w:hAnsi="Arial" w:cs="Arial"/>
          <w:sz w:val="18"/>
        </w:rPr>
        <w:t xml:space="preserve"> See Investment Company Institute (</w:t>
      </w:r>
      <w:proofErr w:type="spellStart"/>
      <w:r w:rsidRPr="00A92D59">
        <w:rPr>
          <w:rFonts w:ascii="Arial" w:hAnsi="Arial" w:cs="Arial"/>
          <w:sz w:val="18"/>
        </w:rPr>
        <w:t>ICI</w:t>
      </w:r>
      <w:proofErr w:type="spellEnd"/>
      <w:r w:rsidRPr="00A92D59">
        <w:rPr>
          <w:rFonts w:ascii="Arial" w:hAnsi="Arial" w:cs="Arial"/>
          <w:sz w:val="18"/>
        </w:rPr>
        <w:t xml:space="preserve">), </w:t>
      </w:r>
      <w:r w:rsidRPr="00A92D59">
        <w:rPr>
          <w:rFonts w:ascii="Arial" w:hAnsi="Arial" w:cs="Arial"/>
          <w:i/>
          <w:sz w:val="18"/>
        </w:rPr>
        <w:t>Worldwide Mutual Fund Assets and Flows</w:t>
      </w:r>
      <w:r w:rsidRPr="00A92D59">
        <w:rPr>
          <w:rFonts w:ascii="Arial" w:hAnsi="Arial" w:cs="Arial"/>
          <w:sz w:val="18"/>
        </w:rPr>
        <w:t xml:space="preserve">, </w:t>
      </w:r>
      <w:proofErr w:type="spellStart"/>
      <w:r w:rsidRPr="00A92D59">
        <w:rPr>
          <w:rFonts w:ascii="Arial" w:hAnsi="Arial" w:cs="Arial"/>
          <w:sz w:val="18"/>
        </w:rPr>
        <w:t>ICI</w:t>
      </w:r>
      <w:proofErr w:type="spellEnd"/>
      <w:r w:rsidRPr="00A92D59">
        <w:rPr>
          <w:rFonts w:ascii="Arial" w:hAnsi="Arial" w:cs="Arial"/>
          <w:sz w:val="18"/>
        </w:rPr>
        <w:t xml:space="preserve">, Washington DC, second quarter 2014, accessed 8 December 2014, </w:t>
      </w:r>
      <w:hyperlink r:id="rId4" w:history="1">
        <w:r w:rsidRPr="00A92D59">
          <w:rPr>
            <w:rStyle w:val="Hyperlink"/>
            <w:rFonts w:ascii="Arial" w:hAnsi="Arial" w:cs="Arial"/>
            <w:sz w:val="18"/>
          </w:rPr>
          <w:t>http://www.ici.org/research/stats/worldwide</w:t>
        </w:r>
      </w:hyperlink>
      <w:r w:rsidRPr="00A92D59">
        <w:rPr>
          <w:rFonts w:ascii="Arial" w:hAnsi="Arial" w:cs="Arial"/>
          <w:sz w:val="18"/>
        </w:rPr>
        <w:t xml:space="preserve"> </w:t>
      </w:r>
    </w:p>
  </w:footnote>
  <w:footnote w:id="14">
    <w:p w14:paraId="5A4CFD40" w14:textId="77777777" w:rsidR="007774AC" w:rsidRDefault="007774AC" w:rsidP="007774AC">
      <w:pPr>
        <w:pStyle w:val="FootnoteText"/>
      </w:pPr>
      <w:r>
        <w:rPr>
          <w:rStyle w:val="FootnoteReference"/>
        </w:rPr>
        <w:footnoteRef/>
      </w:r>
      <w:r>
        <w:t xml:space="preserve"> </w:t>
      </w:r>
      <w:r w:rsidRPr="00AC4251">
        <w:rPr>
          <w:rFonts w:ascii="Arial" w:hAnsi="Arial" w:cs="Arial"/>
          <w:sz w:val="18"/>
          <w:szCs w:val="18"/>
        </w:rPr>
        <w:t>Research has found that f</w:t>
      </w:r>
      <w:r w:rsidRPr="00A92D59">
        <w:rPr>
          <w:rFonts w:ascii="Arial" w:hAnsi="Arial" w:cs="Arial"/>
          <w:sz w:val="18"/>
          <w:szCs w:val="18"/>
        </w:rPr>
        <w:t>unds flowing into Australian trusts from other countries have doubled since January 2010</w:t>
      </w:r>
      <w:r w:rsidRPr="00AC4251">
        <w:rPr>
          <w:rFonts w:ascii="Arial" w:hAnsi="Arial" w:cs="Arial"/>
          <w:sz w:val="18"/>
          <w:szCs w:val="18"/>
        </w:rPr>
        <w:t xml:space="preserve">. </w:t>
      </w:r>
      <w:proofErr w:type="gramStart"/>
      <w:r w:rsidRPr="00AC4251">
        <w:rPr>
          <w:rFonts w:ascii="Arial" w:hAnsi="Arial" w:cs="Arial"/>
          <w:sz w:val="18"/>
          <w:szCs w:val="18"/>
        </w:rPr>
        <w:t xml:space="preserve">Refer </w:t>
      </w:r>
      <w:r w:rsidRPr="00A92D59">
        <w:rPr>
          <w:rFonts w:ascii="Arial" w:hAnsi="Arial" w:cs="Arial"/>
          <w:sz w:val="18"/>
          <w:szCs w:val="18"/>
        </w:rPr>
        <w:t>2014 Australian Investment Managers Cross-Border Flows Report’, commissioned by the Financial Services Council and Perpetual.</w:t>
      </w:r>
      <w:proofErr w:type="gramEnd"/>
      <w:r w:rsidRPr="00AC4251">
        <w:rPr>
          <w:rFonts w:ascii="Arial" w:hAnsi="Arial" w:cs="Arial"/>
          <w:sz w:val="18"/>
          <w:szCs w:val="18"/>
        </w:rPr>
        <w:t xml:space="preserve"> </w:t>
      </w:r>
      <w:hyperlink r:id="rId5" w:history="1">
        <w:r w:rsidRPr="00A92D59">
          <w:rPr>
            <w:rStyle w:val="Hyperlink"/>
            <w:rFonts w:ascii="Arial" w:hAnsi="Arial" w:cs="Arial"/>
            <w:sz w:val="18"/>
            <w:szCs w:val="18"/>
          </w:rPr>
          <w:t>http://www.perpetual.com.au/pdf/2014_Australian_Investment_Managers_Cross_Border_Report.pdf</w:t>
        </w:r>
      </w:hyperlink>
    </w:p>
  </w:footnote>
  <w:footnote w:id="15">
    <w:p w14:paraId="5A4CFD41"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r w:rsidRPr="00703680">
        <w:rPr>
          <w:rFonts w:ascii="Arial" w:hAnsi="Arial" w:cs="Arial"/>
          <w:sz w:val="18"/>
          <w:szCs w:val="18"/>
        </w:rPr>
        <w:t xml:space="preserve">Consultation Paper, </w:t>
      </w:r>
      <w:proofErr w:type="spellStart"/>
      <w:r w:rsidRPr="00703680">
        <w:rPr>
          <w:rFonts w:ascii="Arial" w:hAnsi="Arial" w:cs="Arial"/>
          <w:sz w:val="18"/>
          <w:szCs w:val="18"/>
        </w:rPr>
        <w:t>p.7</w:t>
      </w:r>
      <w:proofErr w:type="spellEnd"/>
    </w:p>
  </w:footnote>
  <w:footnote w:id="16">
    <w:p w14:paraId="5A4CFD42"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r>
        <w:rPr>
          <w:rFonts w:ascii="Arial" w:hAnsi="Arial" w:cs="Arial"/>
          <w:sz w:val="18"/>
          <w:szCs w:val="18"/>
        </w:rPr>
        <w:t xml:space="preserve">Consultation </w:t>
      </w:r>
      <w:r w:rsidRPr="00A92D59">
        <w:rPr>
          <w:rFonts w:ascii="Arial" w:hAnsi="Arial" w:cs="Arial"/>
          <w:sz w:val="18"/>
          <w:szCs w:val="18"/>
        </w:rPr>
        <w:t xml:space="preserve">Paper, </w:t>
      </w:r>
      <w:proofErr w:type="spellStart"/>
      <w:r w:rsidRPr="00A92D59">
        <w:rPr>
          <w:rFonts w:ascii="Arial" w:hAnsi="Arial" w:cs="Arial"/>
          <w:sz w:val="18"/>
          <w:szCs w:val="18"/>
        </w:rPr>
        <w:t>p17</w:t>
      </w:r>
      <w:proofErr w:type="spellEnd"/>
    </w:p>
  </w:footnote>
  <w:footnote w:id="17">
    <w:p w14:paraId="5A4CFD43"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r>
        <w:rPr>
          <w:rFonts w:ascii="Arial" w:hAnsi="Arial" w:cs="Arial"/>
          <w:sz w:val="18"/>
          <w:szCs w:val="18"/>
        </w:rPr>
        <w:t xml:space="preserve">Consultation </w:t>
      </w:r>
      <w:r w:rsidRPr="00A92D59">
        <w:rPr>
          <w:rFonts w:ascii="Arial" w:hAnsi="Arial" w:cs="Arial"/>
          <w:sz w:val="18"/>
          <w:szCs w:val="18"/>
        </w:rPr>
        <w:t xml:space="preserve">Paper, </w:t>
      </w:r>
      <w:proofErr w:type="spellStart"/>
      <w:r w:rsidRPr="00A92D59">
        <w:rPr>
          <w:rFonts w:ascii="Arial" w:hAnsi="Arial" w:cs="Arial"/>
          <w:sz w:val="18"/>
          <w:szCs w:val="18"/>
        </w:rPr>
        <w:t>p9</w:t>
      </w:r>
      <w:proofErr w:type="spellEnd"/>
    </w:p>
  </w:footnote>
  <w:footnote w:id="18">
    <w:p w14:paraId="5A4CFD44" w14:textId="77777777" w:rsidR="007774AC" w:rsidRPr="00A92D59" w:rsidRDefault="007774AC" w:rsidP="007774AC">
      <w:pPr>
        <w:pStyle w:val="FootnoteText"/>
        <w:rPr>
          <w:rFonts w:ascii="Arial" w:hAnsi="Arial" w:cs="Arial"/>
          <w:sz w:val="18"/>
          <w:szCs w:val="18"/>
          <w:lang w:val="en-AU"/>
        </w:rPr>
      </w:pPr>
      <w:r w:rsidRPr="00A92D59">
        <w:rPr>
          <w:rStyle w:val="FootnoteReference"/>
          <w:rFonts w:ascii="Arial" w:hAnsi="Arial" w:cs="Arial"/>
          <w:sz w:val="18"/>
          <w:szCs w:val="18"/>
        </w:rPr>
        <w:footnoteRef/>
      </w:r>
      <w:r w:rsidRPr="00A92D59">
        <w:rPr>
          <w:rFonts w:ascii="Arial" w:hAnsi="Arial" w:cs="Arial"/>
          <w:sz w:val="18"/>
          <w:szCs w:val="18"/>
        </w:rPr>
        <w:t xml:space="preserve"> ABS Research and Experimental Development Government and Private Non-Profit </w:t>
      </w:r>
      <w:proofErr w:type="spellStart"/>
      <w:r w:rsidRPr="00A92D59">
        <w:rPr>
          <w:rFonts w:ascii="Arial" w:hAnsi="Arial" w:cs="Arial"/>
          <w:sz w:val="18"/>
          <w:szCs w:val="18"/>
        </w:rPr>
        <w:t>Organisations</w:t>
      </w:r>
      <w:proofErr w:type="spellEnd"/>
      <w:r w:rsidRPr="00A92D59">
        <w:rPr>
          <w:rFonts w:ascii="Arial" w:hAnsi="Arial" w:cs="Arial"/>
          <w:sz w:val="18"/>
          <w:szCs w:val="18"/>
        </w:rPr>
        <w:t xml:space="preserve"> Funding 2012-13 combined with Higher Education </w:t>
      </w:r>
      <w:proofErr w:type="spellStart"/>
      <w:r w:rsidRPr="00A92D59">
        <w:rPr>
          <w:rFonts w:ascii="Arial" w:hAnsi="Arial" w:cs="Arial"/>
          <w:sz w:val="18"/>
          <w:szCs w:val="18"/>
        </w:rPr>
        <w:t>Organisations</w:t>
      </w:r>
      <w:proofErr w:type="spellEnd"/>
      <w:r w:rsidRPr="00A92D59">
        <w:rPr>
          <w:rFonts w:ascii="Arial" w:hAnsi="Arial" w:cs="Arial"/>
          <w:sz w:val="18"/>
          <w:szCs w:val="18"/>
        </w:rPr>
        <w:t xml:space="preserve"> Funding 2012</w:t>
      </w:r>
    </w:p>
  </w:footnote>
  <w:footnote w:id="19">
    <w:p w14:paraId="5A4CFD45"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r w:rsidRPr="00A92D59">
        <w:rPr>
          <w:sz w:val="18"/>
          <w:u w:val="single"/>
        </w:rPr>
        <w:t>http://www.business.gov.au/grants-and-assistance/Collaboration/CRC/CaseStudiesandNews/Pages/case-study-capital-markets-crc.aspx</w:t>
      </w:r>
      <w:r w:rsidRPr="00A92D59" w:rsidDel="00703680">
        <w:rPr>
          <w:rFonts w:ascii="Arial" w:hAnsi="Arial" w:cs="Arial"/>
          <w:sz w:val="12"/>
          <w:szCs w:val="18"/>
        </w:rPr>
        <w:t xml:space="preserve"> </w:t>
      </w:r>
    </w:p>
  </w:footnote>
  <w:footnote w:id="20">
    <w:p w14:paraId="5A4CFD46"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sidRPr="00A92D59">
        <w:rPr>
          <w:rFonts w:ascii="Arial" w:hAnsi="Arial" w:cs="Arial"/>
          <w:sz w:val="18"/>
          <w:szCs w:val="18"/>
        </w:rPr>
        <w:t>Ibid.,</w:t>
      </w:r>
      <w:proofErr w:type="gramEnd"/>
      <w:r w:rsidRPr="00A92D59">
        <w:rPr>
          <w:rFonts w:ascii="Arial" w:hAnsi="Arial" w:cs="Arial"/>
          <w:sz w:val="18"/>
          <w:szCs w:val="18"/>
        </w:rPr>
        <w:t xml:space="preserve"> </w:t>
      </w:r>
      <w:proofErr w:type="spellStart"/>
      <w:r w:rsidRPr="00A92D59">
        <w:rPr>
          <w:rFonts w:ascii="Arial" w:hAnsi="Arial" w:cs="Arial"/>
          <w:sz w:val="18"/>
          <w:szCs w:val="18"/>
        </w:rPr>
        <w:t>p9</w:t>
      </w:r>
      <w:proofErr w:type="spellEnd"/>
      <w:r w:rsidRPr="00A92D59">
        <w:rPr>
          <w:rFonts w:ascii="Arial" w:hAnsi="Arial" w:cs="Arial"/>
          <w:sz w:val="18"/>
          <w:szCs w:val="18"/>
        </w:rPr>
        <w:t>.</w:t>
      </w:r>
    </w:p>
  </w:footnote>
  <w:footnote w:id="21">
    <w:p w14:paraId="5A4CFD47" w14:textId="77777777" w:rsidR="007774AC" w:rsidRPr="00A92D59" w:rsidRDefault="007774AC" w:rsidP="007774AC">
      <w:pPr>
        <w:pStyle w:val="FootnoteText"/>
        <w:rPr>
          <w:rFonts w:ascii="Arial" w:hAnsi="Arial" w:cs="Arial"/>
          <w:sz w:val="18"/>
          <w:szCs w:val="18"/>
        </w:rPr>
      </w:pPr>
      <w:r>
        <w:rPr>
          <w:rStyle w:val="FootnoteReference"/>
        </w:rPr>
        <w:footnoteRef/>
      </w:r>
      <w:r>
        <w:t xml:space="preserve"> </w:t>
      </w:r>
      <w:r w:rsidRPr="00A92D59">
        <w:rPr>
          <w:rFonts w:ascii="Arial" w:hAnsi="Arial" w:cs="Arial"/>
          <w:sz w:val="18"/>
          <w:szCs w:val="18"/>
        </w:rPr>
        <w:t xml:space="preserve">Cited p. 4 in ‘The Contribution of Research and Innovation to Productivity and Economic Growth’, </w:t>
      </w:r>
      <w:proofErr w:type="spellStart"/>
      <w:r w:rsidRPr="00A92D59">
        <w:rPr>
          <w:rFonts w:ascii="Arial" w:hAnsi="Arial" w:cs="Arial"/>
          <w:sz w:val="18"/>
          <w:szCs w:val="18"/>
        </w:rPr>
        <w:t>UNSW</w:t>
      </w:r>
      <w:proofErr w:type="spellEnd"/>
      <w:r w:rsidRPr="00A92D59">
        <w:rPr>
          <w:rFonts w:ascii="Arial" w:hAnsi="Arial" w:cs="Arial"/>
          <w:sz w:val="18"/>
          <w:szCs w:val="18"/>
        </w:rPr>
        <w:t xml:space="preserve"> Australian School of Business Research Paper No. 2014-08 by Amani </w:t>
      </w:r>
      <w:proofErr w:type="spellStart"/>
      <w:r w:rsidRPr="00A92D59">
        <w:rPr>
          <w:rFonts w:ascii="Arial" w:hAnsi="Arial" w:cs="Arial"/>
          <w:sz w:val="18"/>
          <w:szCs w:val="18"/>
        </w:rPr>
        <w:t>Elnasri</w:t>
      </w:r>
      <w:proofErr w:type="spellEnd"/>
      <w:r w:rsidRPr="00A92D59">
        <w:rPr>
          <w:rFonts w:ascii="Arial" w:hAnsi="Arial" w:cs="Arial"/>
          <w:sz w:val="18"/>
          <w:szCs w:val="18"/>
        </w:rPr>
        <w:t xml:space="preserve"> and Kevin Fox, 2014. </w:t>
      </w:r>
      <w:hyperlink r:id="rId6" w:history="1">
        <w:r w:rsidRPr="00A92D59">
          <w:rPr>
            <w:rStyle w:val="Hyperlink"/>
            <w:rFonts w:ascii="Arial" w:hAnsi="Arial" w:cs="Arial"/>
            <w:sz w:val="18"/>
            <w:szCs w:val="18"/>
          </w:rPr>
          <w:t>http://papers.ssrn.com/sol3/papers.cfm?abstract_id=2398732</w:t>
        </w:r>
      </w:hyperlink>
    </w:p>
  </w:footnote>
  <w:footnote w:id="22">
    <w:p w14:paraId="5A4CFD48"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spellStart"/>
      <w:r w:rsidRPr="00A92D59">
        <w:rPr>
          <w:rFonts w:ascii="Arial" w:hAnsi="Arial" w:cs="Arial"/>
          <w:sz w:val="18"/>
          <w:szCs w:val="18"/>
        </w:rPr>
        <w:t>UNSW</w:t>
      </w:r>
      <w:proofErr w:type="spellEnd"/>
      <w:r w:rsidRPr="00A92D59">
        <w:rPr>
          <w:rFonts w:ascii="Arial" w:hAnsi="Arial" w:cs="Arial"/>
          <w:sz w:val="18"/>
          <w:szCs w:val="18"/>
        </w:rPr>
        <w:t xml:space="preserve"> Australia is the lead member of the Consortium operating </w:t>
      </w:r>
      <w:proofErr w:type="spellStart"/>
      <w:r w:rsidRPr="00A92D59">
        <w:rPr>
          <w:rFonts w:ascii="Arial" w:hAnsi="Arial" w:cs="Arial"/>
          <w:sz w:val="18"/>
          <w:szCs w:val="18"/>
        </w:rPr>
        <w:t>CIFR</w:t>
      </w:r>
      <w:proofErr w:type="spellEnd"/>
      <w:r w:rsidRPr="00A92D59">
        <w:rPr>
          <w:rFonts w:ascii="Arial" w:hAnsi="Arial" w:cs="Arial"/>
          <w:sz w:val="18"/>
          <w:szCs w:val="18"/>
        </w:rPr>
        <w:t>.</w:t>
      </w:r>
    </w:p>
  </w:footnote>
  <w:footnote w:id="23">
    <w:p w14:paraId="5A4CFD49"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‘The Contribution of Research and Innovation to Productivity and Economic Growth’, </w:t>
      </w:r>
      <w:proofErr w:type="spellStart"/>
      <w:r w:rsidRPr="00A92D59">
        <w:rPr>
          <w:rFonts w:ascii="Arial" w:hAnsi="Arial" w:cs="Arial"/>
          <w:sz w:val="18"/>
          <w:szCs w:val="18"/>
        </w:rPr>
        <w:t>UNSW</w:t>
      </w:r>
      <w:proofErr w:type="spellEnd"/>
      <w:r w:rsidRPr="00A92D59">
        <w:rPr>
          <w:rFonts w:ascii="Arial" w:hAnsi="Arial" w:cs="Arial"/>
          <w:sz w:val="18"/>
          <w:szCs w:val="18"/>
        </w:rPr>
        <w:t xml:space="preserve"> Australian School of Business Research Paper No. 2014-08</w:t>
      </w:r>
      <w:r>
        <w:rPr>
          <w:rFonts w:ascii="Arial" w:hAnsi="Arial" w:cs="Arial"/>
          <w:sz w:val="18"/>
          <w:szCs w:val="18"/>
        </w:rPr>
        <w:t xml:space="preserve"> </w:t>
      </w:r>
      <w:r w:rsidRPr="00A92D59">
        <w:rPr>
          <w:rFonts w:ascii="Arial" w:hAnsi="Arial" w:cs="Arial"/>
          <w:sz w:val="18"/>
          <w:szCs w:val="18"/>
        </w:rPr>
        <w:t xml:space="preserve">by Amani </w:t>
      </w:r>
      <w:proofErr w:type="spellStart"/>
      <w:r w:rsidRPr="00A92D59">
        <w:rPr>
          <w:rFonts w:ascii="Arial" w:hAnsi="Arial" w:cs="Arial"/>
          <w:sz w:val="18"/>
          <w:szCs w:val="18"/>
        </w:rPr>
        <w:t>Elnasri</w:t>
      </w:r>
      <w:proofErr w:type="spellEnd"/>
      <w:r w:rsidRPr="00A92D59">
        <w:rPr>
          <w:rFonts w:ascii="Arial" w:hAnsi="Arial" w:cs="Arial"/>
          <w:sz w:val="18"/>
          <w:szCs w:val="18"/>
        </w:rPr>
        <w:t xml:space="preserve"> and Kevin Fox, 2014 (</w:t>
      </w:r>
      <w:proofErr w:type="spellStart"/>
      <w:r w:rsidRPr="00A92D59">
        <w:rPr>
          <w:rFonts w:ascii="Arial" w:hAnsi="Arial" w:cs="Arial"/>
          <w:sz w:val="18"/>
          <w:szCs w:val="18"/>
        </w:rPr>
        <w:t>Elnasri</w:t>
      </w:r>
      <w:proofErr w:type="spellEnd"/>
      <w:r w:rsidRPr="00A92D59">
        <w:rPr>
          <w:rFonts w:ascii="Arial" w:hAnsi="Arial" w:cs="Arial"/>
          <w:sz w:val="18"/>
          <w:szCs w:val="18"/>
        </w:rPr>
        <w:t xml:space="preserve"> and Fox, 2014). </w:t>
      </w:r>
      <w:hyperlink r:id="rId7" w:history="1">
        <w:r w:rsidRPr="00A92D59">
          <w:rPr>
            <w:rStyle w:val="Hyperlink"/>
            <w:rFonts w:ascii="Arial" w:hAnsi="Arial" w:cs="Arial"/>
            <w:sz w:val="18"/>
            <w:szCs w:val="18"/>
          </w:rPr>
          <w:t>http://papers.ssrn.com/sol3/papers.cfm?abstract_id=2398732</w:t>
        </w:r>
      </w:hyperlink>
      <w:r w:rsidRPr="00A92D59">
        <w:rPr>
          <w:rFonts w:ascii="Arial" w:hAnsi="Arial" w:cs="Arial"/>
          <w:sz w:val="18"/>
          <w:szCs w:val="18"/>
        </w:rPr>
        <w:t xml:space="preserve"> </w:t>
      </w:r>
    </w:p>
  </w:footnote>
  <w:footnote w:id="24">
    <w:p w14:paraId="5A4CFD4A"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spellStart"/>
      <w:r w:rsidRPr="00A92D59">
        <w:rPr>
          <w:rFonts w:ascii="Arial" w:hAnsi="Arial" w:cs="Arial"/>
          <w:sz w:val="18"/>
          <w:szCs w:val="18"/>
        </w:rPr>
        <w:t>Elnasri</w:t>
      </w:r>
      <w:proofErr w:type="spellEnd"/>
      <w:r w:rsidRPr="00A92D59">
        <w:rPr>
          <w:rFonts w:ascii="Arial" w:hAnsi="Arial" w:cs="Arial"/>
          <w:sz w:val="18"/>
          <w:szCs w:val="18"/>
        </w:rPr>
        <w:t xml:space="preserve"> and Fox, 2014, </w:t>
      </w:r>
      <w:proofErr w:type="gramStart"/>
      <w:r w:rsidRPr="00A92D59">
        <w:rPr>
          <w:rFonts w:ascii="Arial" w:hAnsi="Arial" w:cs="Arial"/>
          <w:sz w:val="18"/>
          <w:szCs w:val="18"/>
        </w:rPr>
        <w:t>ibid.,</w:t>
      </w:r>
      <w:proofErr w:type="gramEnd"/>
      <w:r w:rsidRPr="00A92D59">
        <w:rPr>
          <w:rFonts w:ascii="Arial" w:hAnsi="Arial" w:cs="Arial"/>
          <w:sz w:val="18"/>
          <w:szCs w:val="18"/>
        </w:rPr>
        <w:t xml:space="preserve"> </w:t>
      </w:r>
      <w:proofErr w:type="spellStart"/>
      <w:r w:rsidRPr="00A92D59">
        <w:rPr>
          <w:rFonts w:ascii="Arial" w:hAnsi="Arial" w:cs="Arial"/>
          <w:sz w:val="18"/>
          <w:szCs w:val="18"/>
        </w:rPr>
        <w:t>p3</w:t>
      </w:r>
      <w:proofErr w:type="spellEnd"/>
      <w:r w:rsidRPr="00A92D59">
        <w:rPr>
          <w:rFonts w:ascii="Arial" w:hAnsi="Arial" w:cs="Arial"/>
          <w:sz w:val="18"/>
          <w:szCs w:val="18"/>
        </w:rPr>
        <w:t>.</w:t>
      </w:r>
    </w:p>
  </w:footnote>
  <w:footnote w:id="25">
    <w:p w14:paraId="5A4CFD4B"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spellStart"/>
      <w:r w:rsidRPr="00A92D59">
        <w:rPr>
          <w:rFonts w:ascii="Arial" w:hAnsi="Arial" w:cs="Arial"/>
          <w:sz w:val="18"/>
          <w:szCs w:val="18"/>
        </w:rPr>
        <w:t>Elnasri</w:t>
      </w:r>
      <w:proofErr w:type="spellEnd"/>
      <w:r w:rsidRPr="00A92D59">
        <w:rPr>
          <w:rFonts w:ascii="Arial" w:hAnsi="Arial" w:cs="Arial"/>
          <w:sz w:val="18"/>
          <w:szCs w:val="18"/>
        </w:rPr>
        <w:t xml:space="preserve"> and Fox, 2014, </w:t>
      </w:r>
      <w:proofErr w:type="gramStart"/>
      <w:r w:rsidRPr="00A92D59">
        <w:rPr>
          <w:rFonts w:ascii="Arial" w:hAnsi="Arial" w:cs="Arial"/>
          <w:sz w:val="18"/>
          <w:szCs w:val="18"/>
        </w:rPr>
        <w:t>ibid.,</w:t>
      </w:r>
      <w:proofErr w:type="gramEnd"/>
      <w:r w:rsidRPr="00A92D59">
        <w:rPr>
          <w:rFonts w:ascii="Arial" w:hAnsi="Arial" w:cs="Arial"/>
          <w:sz w:val="18"/>
          <w:szCs w:val="18"/>
        </w:rPr>
        <w:t xml:space="preserve"> </w:t>
      </w:r>
      <w:proofErr w:type="spellStart"/>
      <w:r w:rsidRPr="00A92D59">
        <w:rPr>
          <w:rFonts w:ascii="Arial" w:hAnsi="Arial" w:cs="Arial"/>
          <w:sz w:val="18"/>
          <w:szCs w:val="18"/>
        </w:rPr>
        <w:t>p3</w:t>
      </w:r>
      <w:proofErr w:type="spellEnd"/>
      <w:r w:rsidRPr="00A92D59">
        <w:rPr>
          <w:rFonts w:ascii="Arial" w:hAnsi="Arial" w:cs="Arial"/>
          <w:sz w:val="18"/>
          <w:szCs w:val="18"/>
        </w:rPr>
        <w:t>.</w:t>
      </w:r>
    </w:p>
  </w:footnote>
  <w:footnote w:id="26">
    <w:p w14:paraId="5A4CFD4C"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Pr>
          <w:rFonts w:ascii="Arial" w:hAnsi="Arial" w:cs="Arial"/>
          <w:sz w:val="18"/>
          <w:szCs w:val="18"/>
        </w:rPr>
        <w:t xml:space="preserve">Consultation </w:t>
      </w:r>
      <w:r w:rsidRPr="00A92D59">
        <w:rPr>
          <w:rFonts w:ascii="Arial" w:hAnsi="Arial" w:cs="Arial"/>
          <w:sz w:val="18"/>
          <w:szCs w:val="18"/>
        </w:rPr>
        <w:t xml:space="preserve">Paper, </w:t>
      </w:r>
      <w:proofErr w:type="spellStart"/>
      <w:r w:rsidRPr="00A92D59">
        <w:rPr>
          <w:rFonts w:ascii="Arial" w:hAnsi="Arial" w:cs="Arial"/>
          <w:sz w:val="18"/>
          <w:szCs w:val="18"/>
        </w:rPr>
        <w:t>p21</w:t>
      </w:r>
      <w:proofErr w:type="spellEnd"/>
      <w:r w:rsidRPr="00A92D59">
        <w:rPr>
          <w:rFonts w:ascii="Arial" w:hAnsi="Arial" w:cs="Arial"/>
          <w:sz w:val="18"/>
          <w:szCs w:val="18"/>
        </w:rPr>
        <w:t>.</w:t>
      </w:r>
      <w:proofErr w:type="gramEnd"/>
    </w:p>
  </w:footnote>
  <w:footnote w:id="27">
    <w:p w14:paraId="5A4CFD4D"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Pr>
          <w:rFonts w:ascii="Arial" w:hAnsi="Arial" w:cs="Arial"/>
          <w:sz w:val="18"/>
          <w:szCs w:val="18"/>
        </w:rPr>
        <w:t xml:space="preserve">Consultation </w:t>
      </w:r>
      <w:r w:rsidRPr="00A92D59">
        <w:rPr>
          <w:rFonts w:ascii="Arial" w:hAnsi="Arial" w:cs="Arial"/>
          <w:sz w:val="18"/>
          <w:szCs w:val="18"/>
        </w:rPr>
        <w:t xml:space="preserve">Paper, </w:t>
      </w:r>
      <w:proofErr w:type="spellStart"/>
      <w:r w:rsidRPr="00A92D59">
        <w:rPr>
          <w:rFonts w:ascii="Arial" w:hAnsi="Arial" w:cs="Arial"/>
          <w:sz w:val="18"/>
          <w:szCs w:val="18"/>
        </w:rPr>
        <w:t>p10</w:t>
      </w:r>
      <w:proofErr w:type="spellEnd"/>
      <w:r w:rsidRPr="00A92D59">
        <w:rPr>
          <w:rFonts w:ascii="Arial" w:hAnsi="Arial" w:cs="Arial"/>
          <w:sz w:val="18"/>
          <w:szCs w:val="18"/>
        </w:rPr>
        <w:t>.</w:t>
      </w:r>
      <w:proofErr w:type="gramEnd"/>
    </w:p>
  </w:footnote>
  <w:footnote w:id="28">
    <w:p w14:paraId="5A4CFD4E" w14:textId="77777777" w:rsidR="007774AC" w:rsidRPr="00A92D59" w:rsidRDefault="007774AC" w:rsidP="007774AC">
      <w:pPr>
        <w:pStyle w:val="FootnoteText"/>
        <w:rPr>
          <w:rFonts w:ascii="Arial" w:hAnsi="Arial" w:cs="Arial"/>
          <w:sz w:val="18"/>
          <w:lang w:val="en-AU"/>
        </w:rPr>
      </w:pPr>
      <w:r w:rsidRPr="00A92D59">
        <w:rPr>
          <w:rStyle w:val="FootnoteReference"/>
          <w:rFonts w:ascii="Arial" w:hAnsi="Arial" w:cs="Arial"/>
          <w:sz w:val="18"/>
        </w:rPr>
        <w:footnoteRef/>
      </w:r>
      <w:r w:rsidRPr="00A92D59">
        <w:rPr>
          <w:rFonts w:ascii="Arial" w:hAnsi="Arial" w:cs="Arial"/>
          <w:sz w:val="18"/>
        </w:rPr>
        <w:t xml:space="preserve"> http://www.sirca.org.au/</w:t>
      </w:r>
    </w:p>
  </w:footnote>
  <w:footnote w:id="29">
    <w:p w14:paraId="5A4CFD4F" w14:textId="77777777" w:rsidR="007774AC" w:rsidRPr="00A92D59" w:rsidRDefault="007774AC" w:rsidP="007774AC">
      <w:pPr>
        <w:pStyle w:val="FootnoteText"/>
        <w:rPr>
          <w:rFonts w:ascii="Arial" w:hAnsi="Arial" w:cs="Arial"/>
          <w:sz w:val="18"/>
          <w:lang w:val="en-AU"/>
        </w:rPr>
      </w:pPr>
      <w:r w:rsidRPr="00A92D59">
        <w:rPr>
          <w:rStyle w:val="FootnoteReference"/>
          <w:rFonts w:ascii="Arial" w:hAnsi="Arial" w:cs="Arial"/>
          <w:sz w:val="18"/>
        </w:rPr>
        <w:footnoteRef/>
      </w:r>
      <w:r w:rsidRPr="00A92D59">
        <w:rPr>
          <w:rFonts w:ascii="Arial" w:hAnsi="Arial" w:cs="Arial"/>
          <w:sz w:val="18"/>
        </w:rPr>
        <w:t xml:space="preserve"> http://www.cmcrc.com/</w:t>
      </w:r>
    </w:p>
  </w:footnote>
  <w:footnote w:id="30">
    <w:p w14:paraId="5A4CFD50" w14:textId="77777777" w:rsidR="007774AC" w:rsidRPr="00A92D59" w:rsidRDefault="007774AC" w:rsidP="007774AC">
      <w:pPr>
        <w:pStyle w:val="FootnoteText"/>
        <w:rPr>
          <w:rFonts w:ascii="Arial" w:hAnsi="Arial" w:cs="Arial"/>
          <w:sz w:val="18"/>
          <w:lang w:val="en-AU"/>
        </w:rPr>
      </w:pPr>
      <w:r w:rsidRPr="00A92D59">
        <w:rPr>
          <w:rStyle w:val="FootnoteReference"/>
          <w:rFonts w:ascii="Arial" w:hAnsi="Arial" w:cs="Arial"/>
          <w:sz w:val="18"/>
        </w:rPr>
        <w:footnoteRef/>
      </w:r>
      <w:r w:rsidRPr="00A92D59">
        <w:rPr>
          <w:rFonts w:ascii="Arial" w:hAnsi="Arial" w:cs="Arial"/>
          <w:sz w:val="18"/>
        </w:rPr>
        <w:t xml:space="preserve"> </w:t>
      </w:r>
      <w:hyperlink r:id="rId8" w:history="1">
        <w:r w:rsidRPr="00A92D59">
          <w:rPr>
            <w:rStyle w:val="Hyperlink"/>
            <w:rFonts w:ascii="Arial" w:hAnsi="Arial" w:cs="Arial"/>
            <w:sz w:val="18"/>
          </w:rPr>
          <w:t>http://www.cifr.edu.au/</w:t>
        </w:r>
      </w:hyperlink>
      <w:r w:rsidRPr="00A92D59">
        <w:rPr>
          <w:rFonts w:ascii="Arial" w:hAnsi="Arial" w:cs="Arial"/>
          <w:sz w:val="18"/>
        </w:rPr>
        <w:t xml:space="preserve"> and </w:t>
      </w:r>
      <w:hyperlink r:id="rId9" w:history="1">
        <w:r w:rsidRPr="00A92D59">
          <w:rPr>
            <w:rStyle w:val="Hyperlink"/>
            <w:rFonts w:ascii="Arial" w:hAnsi="Arial" w:cs="Arial"/>
            <w:sz w:val="18"/>
          </w:rPr>
          <w:t>http://www.australiancentre.com.au/</w:t>
        </w:r>
      </w:hyperlink>
      <w:r w:rsidRPr="00A92D59">
        <w:rPr>
          <w:rFonts w:ascii="Arial" w:hAnsi="Arial" w:cs="Arial"/>
          <w:sz w:val="18"/>
        </w:rPr>
        <w:t xml:space="preserve"> </w:t>
      </w:r>
    </w:p>
  </w:footnote>
  <w:footnote w:id="31">
    <w:p w14:paraId="5A4CFD51"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w:t>
      </w:r>
      <w:proofErr w:type="gramStart"/>
      <w:r>
        <w:rPr>
          <w:rFonts w:ascii="Arial" w:hAnsi="Arial" w:cs="Arial"/>
          <w:sz w:val="18"/>
          <w:szCs w:val="18"/>
        </w:rPr>
        <w:t xml:space="preserve">Consultation </w:t>
      </w:r>
      <w:r w:rsidRPr="00A92D59">
        <w:rPr>
          <w:rFonts w:ascii="Arial" w:hAnsi="Arial" w:cs="Arial"/>
          <w:sz w:val="18"/>
          <w:szCs w:val="18"/>
        </w:rPr>
        <w:t xml:space="preserve">Paper, </w:t>
      </w:r>
      <w:proofErr w:type="spellStart"/>
      <w:r w:rsidRPr="00A92D59">
        <w:rPr>
          <w:rFonts w:ascii="Arial" w:hAnsi="Arial" w:cs="Arial"/>
          <w:sz w:val="18"/>
          <w:szCs w:val="18"/>
        </w:rPr>
        <w:t>p11</w:t>
      </w:r>
      <w:proofErr w:type="spellEnd"/>
      <w:r w:rsidRPr="00A92D59">
        <w:rPr>
          <w:rFonts w:ascii="Arial" w:hAnsi="Arial" w:cs="Arial"/>
          <w:sz w:val="18"/>
          <w:szCs w:val="18"/>
        </w:rPr>
        <w:t>.</w:t>
      </w:r>
      <w:proofErr w:type="gramEnd"/>
    </w:p>
  </w:footnote>
  <w:footnote w:id="32">
    <w:p w14:paraId="5A4CFD52"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‘Australia as a Financial Centre – Building on Our Strengths’, the report by Australian Financial Centre Forum, November 2009. </w:t>
      </w:r>
      <w:hyperlink r:id="rId10" w:history="1">
        <w:r w:rsidRPr="00A92D59">
          <w:rPr>
            <w:rStyle w:val="Hyperlink"/>
            <w:rFonts w:ascii="Arial" w:hAnsi="Arial" w:cs="Arial"/>
            <w:sz w:val="18"/>
            <w:szCs w:val="18"/>
          </w:rPr>
          <w:t>http://www.fex.com.au/media/AFCF.pdf</w:t>
        </w:r>
      </w:hyperlink>
      <w:r w:rsidRPr="00A92D59">
        <w:rPr>
          <w:rFonts w:ascii="Arial" w:hAnsi="Arial" w:cs="Arial"/>
          <w:sz w:val="18"/>
          <w:szCs w:val="18"/>
        </w:rPr>
        <w:t xml:space="preserve"> </w:t>
      </w:r>
    </w:p>
  </w:footnote>
  <w:footnote w:id="33">
    <w:p w14:paraId="5A4CFD53" w14:textId="77777777" w:rsidR="007774AC" w:rsidRPr="00A92D59" w:rsidRDefault="007774AC" w:rsidP="007774AC">
      <w:pPr>
        <w:pStyle w:val="FootnoteText"/>
        <w:rPr>
          <w:rFonts w:ascii="Arial" w:hAnsi="Arial" w:cs="Arial"/>
          <w:sz w:val="18"/>
          <w:szCs w:val="18"/>
        </w:rPr>
      </w:pPr>
      <w:r w:rsidRPr="00A92D59">
        <w:rPr>
          <w:rStyle w:val="FootnoteReference"/>
          <w:rFonts w:ascii="Arial" w:hAnsi="Arial" w:cs="Arial"/>
          <w:sz w:val="18"/>
          <w:szCs w:val="18"/>
        </w:rPr>
        <w:footnoteRef/>
      </w:r>
      <w:r w:rsidRPr="00A92D59">
        <w:rPr>
          <w:rFonts w:ascii="Arial" w:hAnsi="Arial" w:cs="Arial"/>
          <w:sz w:val="18"/>
          <w:szCs w:val="18"/>
        </w:rPr>
        <w:t xml:space="preserve"> Johnson, Mark. Presentation at </w:t>
      </w:r>
      <w:proofErr w:type="spellStart"/>
      <w:r w:rsidRPr="00A92D59">
        <w:rPr>
          <w:rFonts w:ascii="Arial" w:hAnsi="Arial" w:cs="Arial"/>
          <w:sz w:val="18"/>
          <w:szCs w:val="18"/>
        </w:rPr>
        <w:t>CIFR’s</w:t>
      </w:r>
      <w:proofErr w:type="spellEnd"/>
      <w:r w:rsidRPr="00A92D59">
        <w:rPr>
          <w:rFonts w:ascii="Arial" w:hAnsi="Arial" w:cs="Arial"/>
          <w:sz w:val="18"/>
          <w:szCs w:val="18"/>
        </w:rPr>
        <w:t xml:space="preserve"> </w:t>
      </w:r>
      <w:proofErr w:type="spellStart"/>
      <w:r w:rsidRPr="00A92D59">
        <w:rPr>
          <w:rFonts w:ascii="Arial" w:hAnsi="Arial" w:cs="Arial"/>
          <w:sz w:val="18"/>
          <w:szCs w:val="18"/>
        </w:rPr>
        <w:t>FSI</w:t>
      </w:r>
      <w:proofErr w:type="spellEnd"/>
      <w:r w:rsidRPr="00A92D59">
        <w:rPr>
          <w:rFonts w:ascii="Arial" w:hAnsi="Arial" w:cs="Arial"/>
          <w:sz w:val="18"/>
          <w:szCs w:val="18"/>
        </w:rPr>
        <w:t xml:space="preserve"> Workshop II, 21 August 2014</w:t>
      </w:r>
    </w:p>
  </w:footnote>
  <w:footnote w:id="34">
    <w:p w14:paraId="5A4CFD54" w14:textId="77777777" w:rsidR="007774AC" w:rsidRDefault="007774AC" w:rsidP="007774AC">
      <w:pPr>
        <w:pStyle w:val="FootnoteText"/>
      </w:pPr>
      <w:r>
        <w:rPr>
          <w:rStyle w:val="FootnoteReference"/>
        </w:rPr>
        <w:footnoteRef/>
      </w:r>
      <w:r>
        <w:t xml:space="preserve"> </w:t>
      </w:r>
      <w:r w:rsidRPr="00C3632C">
        <w:rPr>
          <w:rFonts w:ascii="Arial" w:hAnsi="Arial" w:cs="Arial"/>
          <w:sz w:val="18"/>
          <w:szCs w:val="18"/>
        </w:rPr>
        <w:t xml:space="preserve">Refer: </w:t>
      </w:r>
      <w:hyperlink r:id="rId11" w:history="1">
        <w:r w:rsidRPr="00E276FA">
          <w:rPr>
            <w:rStyle w:val="Hyperlink"/>
            <w:rFonts w:ascii="Arial" w:hAnsi="Arial" w:cs="Arial"/>
            <w:sz w:val="18"/>
            <w:szCs w:val="18"/>
          </w:rPr>
          <w:t>http://www.treasury.gov/initiatives/ofr/Pages/default.aspx</w:t>
        </w:r>
      </w:hyperlink>
      <w:r>
        <w:rPr>
          <w:rFonts w:ascii="Arial" w:hAnsi="Arial" w:cs="Arial"/>
          <w:sz w:val="18"/>
          <w:szCs w:val="18"/>
        </w:rPr>
        <w:t xml:space="preserve"> </w:t>
      </w:r>
    </w:p>
  </w:footnote>
  <w:footnote w:id="35">
    <w:p w14:paraId="5A4CFD55" w14:textId="77777777" w:rsidR="007774AC" w:rsidRDefault="007774AC" w:rsidP="007774AC">
      <w:pPr>
        <w:pStyle w:val="FootnoteText"/>
      </w:pPr>
      <w:r>
        <w:rPr>
          <w:rStyle w:val="FootnoteReference"/>
        </w:rPr>
        <w:footnoteRef/>
      </w:r>
      <w:r>
        <w:t xml:space="preserve"> </w:t>
      </w:r>
      <w:r w:rsidRPr="00317252">
        <w:rPr>
          <w:rFonts w:ascii="Arial" w:hAnsi="Arial"/>
          <w:sz w:val="18"/>
          <w:szCs w:val="18"/>
        </w:rPr>
        <w:t>http://www.nber.org</w:t>
      </w:r>
    </w:p>
  </w:footnote>
  <w:footnote w:id="36">
    <w:p w14:paraId="5A4CFD56" w14:textId="77777777" w:rsidR="007774AC" w:rsidRDefault="007774AC" w:rsidP="007774AC">
      <w:pPr>
        <w:pStyle w:val="FootnoteText"/>
      </w:pPr>
      <w:r>
        <w:rPr>
          <w:rStyle w:val="FootnoteReference"/>
        </w:rPr>
        <w:footnoteRef/>
      </w:r>
      <w:r>
        <w:t xml:space="preserve"> </w:t>
      </w:r>
      <w:hyperlink r:id="rId12" w:history="1">
        <w:r w:rsidRPr="002C3F34">
          <w:rPr>
            <w:rStyle w:val="Hyperlink"/>
            <w:sz w:val="18"/>
            <w:szCs w:val="18"/>
          </w:rPr>
          <w:t>http://www.ssrn.com/en/index.cfm/fen/</w:t>
        </w:r>
      </w:hyperlink>
      <w:r w:rsidRPr="002C3F34">
        <w:rPr>
          <w:sz w:val="18"/>
          <w:szCs w:val="18"/>
        </w:rPr>
        <w:t xml:space="preserve"> and </w:t>
      </w:r>
      <w:hyperlink r:id="rId13" w:history="1">
        <w:r w:rsidRPr="002C3F34">
          <w:rPr>
            <w:rStyle w:val="Hyperlink"/>
            <w:sz w:val="18"/>
            <w:szCs w:val="18"/>
          </w:rPr>
          <w:t>http://www.researchgate.net/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BA8"/>
    <w:multiLevelType w:val="hybridMultilevel"/>
    <w:tmpl w:val="FD32EBC2"/>
    <w:lvl w:ilvl="0" w:tplc="D0968FB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AF4724D"/>
    <w:multiLevelType w:val="hybridMultilevel"/>
    <w:tmpl w:val="6B6EEB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DA682A"/>
    <w:multiLevelType w:val="hybridMultilevel"/>
    <w:tmpl w:val="B8C4D40A"/>
    <w:lvl w:ilvl="0" w:tplc="66E4911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52C6D"/>
    <w:multiLevelType w:val="hybridMultilevel"/>
    <w:tmpl w:val="842890BA"/>
    <w:lvl w:ilvl="0" w:tplc="0C090017">
      <w:start w:val="1"/>
      <w:numFmt w:val="lowerLetter"/>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F0487B"/>
    <w:multiLevelType w:val="hybridMultilevel"/>
    <w:tmpl w:val="A69096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2B79DC"/>
    <w:multiLevelType w:val="hybridMultilevel"/>
    <w:tmpl w:val="9AD8D3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6A30BD"/>
    <w:multiLevelType w:val="hybridMultilevel"/>
    <w:tmpl w:val="EDDA6812"/>
    <w:lvl w:ilvl="0" w:tplc="0C090017">
      <w:start w:val="1"/>
      <w:numFmt w:val="lowerLetter"/>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EE605B8"/>
    <w:multiLevelType w:val="hybridMultilevel"/>
    <w:tmpl w:val="237A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4A06DC"/>
    <w:multiLevelType w:val="hybridMultilevel"/>
    <w:tmpl w:val="842890BA"/>
    <w:lvl w:ilvl="0" w:tplc="0C090017">
      <w:start w:val="1"/>
      <w:numFmt w:val="lowerLetter"/>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05765EF"/>
    <w:multiLevelType w:val="hybridMultilevel"/>
    <w:tmpl w:val="842890BA"/>
    <w:lvl w:ilvl="0" w:tplc="0C090017">
      <w:start w:val="1"/>
      <w:numFmt w:val="lowerLetter"/>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1502BC6"/>
    <w:multiLevelType w:val="hybridMultilevel"/>
    <w:tmpl w:val="BF0807A2"/>
    <w:lvl w:ilvl="0" w:tplc="1812B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104322"/>
    <w:multiLevelType w:val="hybridMultilevel"/>
    <w:tmpl w:val="45CACD68"/>
    <w:lvl w:ilvl="0" w:tplc="68CA6D14">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82F508D"/>
    <w:multiLevelType w:val="hybridMultilevel"/>
    <w:tmpl w:val="11E6E8F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37530D"/>
    <w:multiLevelType w:val="hybridMultilevel"/>
    <w:tmpl w:val="4710A606"/>
    <w:lvl w:ilvl="0" w:tplc="038C821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72421E"/>
    <w:multiLevelType w:val="hybridMultilevel"/>
    <w:tmpl w:val="EAC8772C"/>
    <w:lvl w:ilvl="0" w:tplc="2E48DF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CA316E"/>
    <w:multiLevelType w:val="hybridMultilevel"/>
    <w:tmpl w:val="605E4BB0"/>
    <w:lvl w:ilvl="0" w:tplc="CC985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AB3299"/>
    <w:multiLevelType w:val="hybridMultilevel"/>
    <w:tmpl w:val="3D762A1C"/>
    <w:lvl w:ilvl="0" w:tplc="7DC4250A">
      <w:numFmt w:val="bullet"/>
      <w:lvlText w:val="-"/>
      <w:lvlJc w:val="left"/>
      <w:pPr>
        <w:ind w:left="720" w:hanging="360"/>
      </w:pPr>
      <w:rPr>
        <w:rFonts w:ascii="Cambria" w:eastAsiaTheme="minorEastAsia" w:hAnsi="Cambri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22B54B5"/>
    <w:multiLevelType w:val="hybridMultilevel"/>
    <w:tmpl w:val="D3DE9DFA"/>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9E0F82"/>
    <w:multiLevelType w:val="hybridMultilevel"/>
    <w:tmpl w:val="2D4AD2A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2E95C17"/>
    <w:multiLevelType w:val="hybridMultilevel"/>
    <w:tmpl w:val="4BC667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34E6B64"/>
    <w:multiLevelType w:val="hybridMultilevel"/>
    <w:tmpl w:val="842890BA"/>
    <w:lvl w:ilvl="0" w:tplc="0C090017">
      <w:start w:val="1"/>
      <w:numFmt w:val="lowerLetter"/>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5B405C0"/>
    <w:multiLevelType w:val="hybridMultilevel"/>
    <w:tmpl w:val="79CA954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BA97E4F"/>
    <w:multiLevelType w:val="hybridMultilevel"/>
    <w:tmpl w:val="DFD8DD8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700770"/>
    <w:multiLevelType w:val="hybridMultilevel"/>
    <w:tmpl w:val="2BF6FDA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nsid w:val="468634F9"/>
    <w:multiLevelType w:val="hybridMultilevel"/>
    <w:tmpl w:val="842890BA"/>
    <w:lvl w:ilvl="0" w:tplc="0C090017">
      <w:start w:val="1"/>
      <w:numFmt w:val="lowerLetter"/>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70F3F23"/>
    <w:multiLevelType w:val="hybridMultilevel"/>
    <w:tmpl w:val="1B526BD4"/>
    <w:lvl w:ilvl="0" w:tplc="2BAA7468">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C1025"/>
    <w:multiLevelType w:val="hybridMultilevel"/>
    <w:tmpl w:val="486603F6"/>
    <w:lvl w:ilvl="0" w:tplc="2ECEE1C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A73E84"/>
    <w:multiLevelType w:val="hybridMultilevel"/>
    <w:tmpl w:val="7CB227E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62466C4"/>
    <w:multiLevelType w:val="hybridMultilevel"/>
    <w:tmpl w:val="842890BA"/>
    <w:lvl w:ilvl="0" w:tplc="0C090017">
      <w:start w:val="1"/>
      <w:numFmt w:val="lowerLetter"/>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4B23A3"/>
    <w:multiLevelType w:val="hybridMultilevel"/>
    <w:tmpl w:val="ABA67AE6"/>
    <w:lvl w:ilvl="0" w:tplc="0C09000F">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8F40C5"/>
    <w:multiLevelType w:val="hybridMultilevel"/>
    <w:tmpl w:val="94527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114815"/>
    <w:multiLevelType w:val="hybridMultilevel"/>
    <w:tmpl w:val="1B887BF2"/>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1D070B"/>
    <w:multiLevelType w:val="hybridMultilevel"/>
    <w:tmpl w:val="C6040222"/>
    <w:lvl w:ilvl="0" w:tplc="17BE43F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C04DF"/>
    <w:multiLevelType w:val="hybridMultilevel"/>
    <w:tmpl w:val="1EAE4AB4"/>
    <w:lvl w:ilvl="0" w:tplc="68CA6D1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7B85A15"/>
    <w:multiLevelType w:val="hybridMultilevel"/>
    <w:tmpl w:val="579EAF08"/>
    <w:lvl w:ilvl="0" w:tplc="0C090001">
      <w:start w:val="1"/>
      <w:numFmt w:val="bullet"/>
      <w:lvlText w:val=""/>
      <w:lvlJc w:val="left"/>
      <w:pPr>
        <w:ind w:left="360" w:hanging="360"/>
      </w:pPr>
      <w:rPr>
        <w:rFonts w:ascii="Symbol" w:hAnsi="Symbo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A521BDC"/>
    <w:multiLevelType w:val="hybridMultilevel"/>
    <w:tmpl w:val="F97474C8"/>
    <w:lvl w:ilvl="0" w:tplc="0C090017">
      <w:start w:val="1"/>
      <w:numFmt w:val="lowerLetter"/>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F1E2759"/>
    <w:multiLevelType w:val="hybridMultilevel"/>
    <w:tmpl w:val="89587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A54D03"/>
    <w:multiLevelType w:val="hybridMultilevel"/>
    <w:tmpl w:val="7D687038"/>
    <w:lvl w:ilvl="0" w:tplc="79C84E4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FD10EE"/>
    <w:multiLevelType w:val="hybridMultilevel"/>
    <w:tmpl w:val="6F78D3E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99038C"/>
    <w:multiLevelType w:val="hybridMultilevel"/>
    <w:tmpl w:val="906E47A2"/>
    <w:lvl w:ilvl="0" w:tplc="2BAA7468">
      <w:start w:val="1"/>
      <w:numFmt w:val="bullet"/>
      <w:lvlText w:val=""/>
      <w:lvlJc w:val="left"/>
      <w:pPr>
        <w:ind w:left="720" w:hanging="360"/>
      </w:pPr>
      <w:rPr>
        <w:rFonts w:ascii="Symbol" w:eastAsiaTheme="minorEastAsia" w:hAnsi="Symbol" w:cstheme="minorBidi" w:hint="default"/>
      </w:rPr>
    </w:lvl>
    <w:lvl w:ilvl="1" w:tplc="7DC4250A">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A24D75"/>
    <w:multiLevelType w:val="hybridMultilevel"/>
    <w:tmpl w:val="BAE2FFA2"/>
    <w:lvl w:ilvl="0" w:tplc="5FE2D4AE">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E81E4C"/>
    <w:multiLevelType w:val="hybridMultilevel"/>
    <w:tmpl w:val="201C3FDC"/>
    <w:lvl w:ilvl="0" w:tplc="0C090001">
      <w:start w:val="1"/>
      <w:numFmt w:val="bullet"/>
      <w:lvlText w:val=""/>
      <w:lvlJc w:val="left"/>
      <w:pPr>
        <w:ind w:left="720" w:hanging="360"/>
      </w:pPr>
      <w:rPr>
        <w:rFonts w:ascii="Symbol" w:hAnsi="Symbol" w:hint="default"/>
      </w:rPr>
    </w:lvl>
    <w:lvl w:ilvl="1" w:tplc="7DC4250A">
      <w:numFmt w:val="bullet"/>
      <w:lvlText w:val="-"/>
      <w:lvlJc w:val="left"/>
      <w:pPr>
        <w:ind w:left="1440" w:hanging="360"/>
      </w:pPr>
      <w:rPr>
        <w:rFonts w:ascii="Cambria" w:eastAsiaTheme="minorEastAsia" w:hAnsi="Cambri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DCF3F54"/>
    <w:multiLevelType w:val="hybridMultilevel"/>
    <w:tmpl w:val="91447AB6"/>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40"/>
  </w:num>
  <w:num w:numId="3">
    <w:abstractNumId w:val="13"/>
  </w:num>
  <w:num w:numId="4">
    <w:abstractNumId w:val="26"/>
  </w:num>
  <w:num w:numId="5">
    <w:abstractNumId w:val="16"/>
  </w:num>
  <w:num w:numId="6">
    <w:abstractNumId w:val="22"/>
  </w:num>
  <w:num w:numId="7">
    <w:abstractNumId w:val="27"/>
  </w:num>
  <w:num w:numId="8">
    <w:abstractNumId w:val="32"/>
  </w:num>
  <w:num w:numId="9">
    <w:abstractNumId w:val="14"/>
  </w:num>
  <w:num w:numId="10">
    <w:abstractNumId w:val="10"/>
  </w:num>
  <w:num w:numId="11">
    <w:abstractNumId w:val="37"/>
  </w:num>
  <w:num w:numId="12">
    <w:abstractNumId w:val="15"/>
  </w:num>
  <w:num w:numId="13">
    <w:abstractNumId w:val="4"/>
  </w:num>
  <w:num w:numId="14">
    <w:abstractNumId w:val="39"/>
  </w:num>
  <w:num w:numId="15">
    <w:abstractNumId w:val="2"/>
  </w:num>
  <w:num w:numId="16">
    <w:abstractNumId w:val="7"/>
  </w:num>
  <w:num w:numId="17">
    <w:abstractNumId w:val="33"/>
  </w:num>
  <w:num w:numId="18">
    <w:abstractNumId w:val="11"/>
  </w:num>
  <w:num w:numId="19">
    <w:abstractNumId w:val="35"/>
  </w:num>
  <w:num w:numId="20">
    <w:abstractNumId w:val="1"/>
  </w:num>
  <w:num w:numId="21">
    <w:abstractNumId w:val="19"/>
  </w:num>
  <w:num w:numId="22">
    <w:abstractNumId w:val="36"/>
  </w:num>
  <w:num w:numId="23">
    <w:abstractNumId w:val="41"/>
  </w:num>
  <w:num w:numId="24">
    <w:abstractNumId w:val="38"/>
  </w:num>
  <w:num w:numId="25">
    <w:abstractNumId w:val="12"/>
  </w:num>
  <w:num w:numId="26">
    <w:abstractNumId w:val="28"/>
  </w:num>
  <w:num w:numId="27">
    <w:abstractNumId w:val="24"/>
  </w:num>
  <w:num w:numId="28">
    <w:abstractNumId w:val="8"/>
  </w:num>
  <w:num w:numId="29">
    <w:abstractNumId w:val="20"/>
  </w:num>
  <w:num w:numId="30">
    <w:abstractNumId w:val="23"/>
  </w:num>
  <w:num w:numId="31">
    <w:abstractNumId w:val="17"/>
  </w:num>
  <w:num w:numId="32">
    <w:abstractNumId w:val="3"/>
  </w:num>
  <w:num w:numId="33">
    <w:abstractNumId w:val="9"/>
  </w:num>
  <w:num w:numId="34">
    <w:abstractNumId w:val="0"/>
  </w:num>
  <w:num w:numId="35">
    <w:abstractNumId w:val="29"/>
  </w:num>
  <w:num w:numId="36">
    <w:abstractNumId w:val="5"/>
  </w:num>
  <w:num w:numId="37">
    <w:abstractNumId w:val="21"/>
  </w:num>
  <w:num w:numId="38">
    <w:abstractNumId w:val="6"/>
  </w:num>
  <w:num w:numId="39">
    <w:abstractNumId w:val="18"/>
  </w:num>
  <w:num w:numId="40">
    <w:abstractNumId w:val="34"/>
  </w:num>
  <w:num w:numId="41">
    <w:abstractNumId w:val="42"/>
  </w:num>
  <w:num w:numId="42">
    <w:abstractNumId w:val="31"/>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AC"/>
    <w:rsid w:val="00555078"/>
    <w:rsid w:val="005C6AF2"/>
    <w:rsid w:val="007774AC"/>
    <w:rsid w:val="007A36AE"/>
    <w:rsid w:val="00BE521F"/>
    <w:rsid w:val="00E66F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AC"/>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7774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4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74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A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774A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774AC"/>
    <w:rPr>
      <w:rFonts w:asciiTheme="majorHAnsi" w:eastAsiaTheme="majorEastAsia" w:hAnsiTheme="majorHAnsi" w:cstheme="majorBidi"/>
      <w:b/>
      <w:bCs/>
      <w:color w:val="4F81BD" w:themeColor="accent1"/>
      <w:sz w:val="24"/>
      <w:szCs w:val="24"/>
      <w:lang w:val="en-US"/>
    </w:rPr>
  </w:style>
  <w:style w:type="paragraph" w:styleId="FootnoteText">
    <w:name w:val="footnote text"/>
    <w:basedOn w:val="Normal"/>
    <w:link w:val="FootnoteTextChar"/>
    <w:uiPriority w:val="99"/>
    <w:unhideWhenUsed/>
    <w:rsid w:val="007774AC"/>
  </w:style>
  <w:style w:type="character" w:customStyle="1" w:styleId="FootnoteTextChar">
    <w:name w:val="Footnote Text Char"/>
    <w:basedOn w:val="DefaultParagraphFont"/>
    <w:link w:val="FootnoteText"/>
    <w:uiPriority w:val="99"/>
    <w:rsid w:val="007774AC"/>
    <w:rPr>
      <w:rFonts w:eastAsiaTheme="minorEastAsia"/>
      <w:sz w:val="24"/>
      <w:szCs w:val="24"/>
      <w:lang w:val="en-US"/>
    </w:rPr>
  </w:style>
  <w:style w:type="character" w:styleId="FootnoteReference">
    <w:name w:val="footnote reference"/>
    <w:basedOn w:val="DefaultParagraphFont"/>
    <w:uiPriority w:val="99"/>
    <w:unhideWhenUsed/>
    <w:rsid w:val="007774AC"/>
    <w:rPr>
      <w:vertAlign w:val="superscript"/>
    </w:rPr>
  </w:style>
  <w:style w:type="paragraph" w:styleId="ListParagraph">
    <w:name w:val="List Paragraph"/>
    <w:basedOn w:val="Normal"/>
    <w:uiPriority w:val="34"/>
    <w:qFormat/>
    <w:rsid w:val="007774AC"/>
    <w:pPr>
      <w:ind w:left="720"/>
      <w:contextualSpacing/>
    </w:pPr>
  </w:style>
  <w:style w:type="paragraph" w:styleId="NormalWeb">
    <w:name w:val="Normal (Web)"/>
    <w:basedOn w:val="Normal"/>
    <w:uiPriority w:val="99"/>
    <w:unhideWhenUsed/>
    <w:rsid w:val="007774AC"/>
    <w:pPr>
      <w:spacing w:before="100" w:beforeAutospacing="1" w:after="100" w:afterAutospacing="1"/>
    </w:pPr>
    <w:rPr>
      <w:rFonts w:ascii="Times" w:hAnsi="Times" w:cs="Times New Roman"/>
      <w:sz w:val="20"/>
      <w:szCs w:val="20"/>
      <w:lang w:val="en-AU"/>
    </w:rPr>
  </w:style>
  <w:style w:type="paragraph" w:styleId="BalloonText">
    <w:name w:val="Balloon Text"/>
    <w:basedOn w:val="Normal"/>
    <w:link w:val="BalloonTextChar"/>
    <w:uiPriority w:val="99"/>
    <w:semiHidden/>
    <w:unhideWhenUsed/>
    <w:rsid w:val="007774AC"/>
    <w:rPr>
      <w:rFonts w:ascii="Tahoma" w:hAnsi="Tahoma" w:cs="Tahoma"/>
      <w:sz w:val="16"/>
      <w:szCs w:val="16"/>
    </w:rPr>
  </w:style>
  <w:style w:type="character" w:customStyle="1" w:styleId="BalloonTextChar">
    <w:name w:val="Balloon Text Char"/>
    <w:basedOn w:val="DefaultParagraphFont"/>
    <w:link w:val="BalloonText"/>
    <w:uiPriority w:val="99"/>
    <w:semiHidden/>
    <w:rsid w:val="007774AC"/>
    <w:rPr>
      <w:rFonts w:ascii="Tahoma" w:eastAsiaTheme="minorEastAsia" w:hAnsi="Tahoma" w:cs="Tahoma"/>
      <w:sz w:val="16"/>
      <w:szCs w:val="16"/>
      <w:lang w:val="en-US"/>
    </w:rPr>
  </w:style>
  <w:style w:type="character" w:styleId="Hyperlink">
    <w:name w:val="Hyperlink"/>
    <w:basedOn w:val="DefaultParagraphFont"/>
    <w:uiPriority w:val="99"/>
    <w:unhideWhenUsed/>
    <w:rsid w:val="007774AC"/>
    <w:rPr>
      <w:color w:val="0000FF" w:themeColor="hyperlink"/>
      <w:u w:val="single"/>
    </w:rPr>
  </w:style>
  <w:style w:type="paragraph" w:styleId="Header">
    <w:name w:val="header"/>
    <w:basedOn w:val="Normal"/>
    <w:link w:val="HeaderChar"/>
    <w:uiPriority w:val="99"/>
    <w:unhideWhenUsed/>
    <w:rsid w:val="007774AC"/>
    <w:pPr>
      <w:tabs>
        <w:tab w:val="center" w:pos="4513"/>
        <w:tab w:val="right" w:pos="9026"/>
      </w:tabs>
    </w:pPr>
  </w:style>
  <w:style w:type="character" w:customStyle="1" w:styleId="HeaderChar">
    <w:name w:val="Header Char"/>
    <w:basedOn w:val="DefaultParagraphFont"/>
    <w:link w:val="Header"/>
    <w:uiPriority w:val="99"/>
    <w:rsid w:val="007774AC"/>
    <w:rPr>
      <w:rFonts w:eastAsiaTheme="minorEastAsia"/>
      <w:sz w:val="24"/>
      <w:szCs w:val="24"/>
      <w:lang w:val="en-US"/>
    </w:rPr>
  </w:style>
  <w:style w:type="paragraph" w:styleId="Footer">
    <w:name w:val="footer"/>
    <w:basedOn w:val="Normal"/>
    <w:link w:val="FooterChar"/>
    <w:uiPriority w:val="99"/>
    <w:unhideWhenUsed/>
    <w:rsid w:val="007774AC"/>
    <w:pPr>
      <w:tabs>
        <w:tab w:val="center" w:pos="4513"/>
        <w:tab w:val="right" w:pos="9026"/>
      </w:tabs>
    </w:pPr>
  </w:style>
  <w:style w:type="character" w:customStyle="1" w:styleId="FooterChar">
    <w:name w:val="Footer Char"/>
    <w:basedOn w:val="DefaultParagraphFont"/>
    <w:link w:val="Footer"/>
    <w:uiPriority w:val="99"/>
    <w:rsid w:val="007774AC"/>
    <w:rPr>
      <w:rFonts w:eastAsiaTheme="minorEastAsia"/>
      <w:sz w:val="24"/>
      <w:szCs w:val="24"/>
      <w:lang w:val="en-US"/>
    </w:rPr>
  </w:style>
  <w:style w:type="character" w:styleId="CommentReference">
    <w:name w:val="annotation reference"/>
    <w:basedOn w:val="DefaultParagraphFont"/>
    <w:uiPriority w:val="99"/>
    <w:semiHidden/>
    <w:unhideWhenUsed/>
    <w:rsid w:val="007774AC"/>
    <w:rPr>
      <w:sz w:val="16"/>
      <w:szCs w:val="16"/>
    </w:rPr>
  </w:style>
  <w:style w:type="paragraph" w:styleId="CommentText">
    <w:name w:val="annotation text"/>
    <w:basedOn w:val="Normal"/>
    <w:link w:val="CommentTextChar"/>
    <w:uiPriority w:val="99"/>
    <w:semiHidden/>
    <w:unhideWhenUsed/>
    <w:rsid w:val="007774AC"/>
    <w:rPr>
      <w:sz w:val="20"/>
      <w:szCs w:val="20"/>
    </w:rPr>
  </w:style>
  <w:style w:type="character" w:customStyle="1" w:styleId="CommentTextChar">
    <w:name w:val="Comment Text Char"/>
    <w:basedOn w:val="DefaultParagraphFont"/>
    <w:link w:val="CommentText"/>
    <w:uiPriority w:val="99"/>
    <w:semiHidden/>
    <w:rsid w:val="007774A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774AC"/>
    <w:rPr>
      <w:b/>
      <w:bCs/>
    </w:rPr>
  </w:style>
  <w:style w:type="character" w:customStyle="1" w:styleId="CommentSubjectChar">
    <w:name w:val="Comment Subject Char"/>
    <w:basedOn w:val="CommentTextChar"/>
    <w:link w:val="CommentSubject"/>
    <w:uiPriority w:val="99"/>
    <w:semiHidden/>
    <w:rsid w:val="007774AC"/>
    <w:rPr>
      <w:rFonts w:eastAsiaTheme="minorEastAsia"/>
      <w:b/>
      <w:bCs/>
      <w:sz w:val="20"/>
      <w:szCs w:val="20"/>
      <w:lang w:val="en-US"/>
    </w:rPr>
  </w:style>
  <w:style w:type="paragraph" w:styleId="TOCHeading">
    <w:name w:val="TOC Heading"/>
    <w:basedOn w:val="Heading1"/>
    <w:next w:val="Normal"/>
    <w:uiPriority w:val="39"/>
    <w:semiHidden/>
    <w:unhideWhenUsed/>
    <w:qFormat/>
    <w:rsid w:val="007774AC"/>
    <w:pPr>
      <w:spacing w:line="276" w:lineRule="auto"/>
      <w:outlineLvl w:val="9"/>
    </w:pPr>
    <w:rPr>
      <w:lang w:eastAsia="ja-JP"/>
    </w:rPr>
  </w:style>
  <w:style w:type="paragraph" w:styleId="TOC1">
    <w:name w:val="toc 1"/>
    <w:basedOn w:val="Normal"/>
    <w:next w:val="Normal"/>
    <w:autoRedefine/>
    <w:uiPriority w:val="39"/>
    <w:unhideWhenUsed/>
    <w:rsid w:val="007774AC"/>
    <w:pPr>
      <w:tabs>
        <w:tab w:val="left" w:pos="480"/>
        <w:tab w:val="right" w:leader="dot" w:pos="8931"/>
      </w:tabs>
      <w:spacing w:after="100" w:line="360" w:lineRule="auto"/>
    </w:pPr>
  </w:style>
  <w:style w:type="paragraph" w:styleId="TOC2">
    <w:name w:val="toc 2"/>
    <w:basedOn w:val="Normal"/>
    <w:next w:val="Normal"/>
    <w:autoRedefine/>
    <w:uiPriority w:val="39"/>
    <w:unhideWhenUsed/>
    <w:rsid w:val="007774AC"/>
    <w:pPr>
      <w:spacing w:after="100"/>
      <w:ind w:left="240"/>
    </w:pPr>
  </w:style>
  <w:style w:type="table" w:styleId="TableGrid">
    <w:name w:val="Table Grid"/>
    <w:basedOn w:val="TableNormal"/>
    <w:uiPriority w:val="59"/>
    <w:rsid w:val="007774A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774AC"/>
    <w:pPr>
      <w:spacing w:after="100"/>
      <w:ind w:left="480"/>
    </w:pPr>
  </w:style>
  <w:style w:type="paragraph" w:styleId="Subtitle">
    <w:name w:val="Subtitle"/>
    <w:basedOn w:val="Normal"/>
    <w:next w:val="Normal"/>
    <w:link w:val="SubtitleChar"/>
    <w:uiPriority w:val="11"/>
    <w:qFormat/>
    <w:rsid w:val="00E66FC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6FC7"/>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AC"/>
    <w:pPr>
      <w:spacing w:after="0" w:line="240" w:lineRule="auto"/>
    </w:pPr>
    <w:rPr>
      <w:rFonts w:eastAsiaTheme="minorEastAsia"/>
      <w:sz w:val="24"/>
      <w:szCs w:val="24"/>
      <w:lang w:val="en-US"/>
    </w:rPr>
  </w:style>
  <w:style w:type="paragraph" w:styleId="Heading1">
    <w:name w:val="heading 1"/>
    <w:basedOn w:val="Normal"/>
    <w:next w:val="Normal"/>
    <w:link w:val="Heading1Char"/>
    <w:uiPriority w:val="9"/>
    <w:qFormat/>
    <w:rsid w:val="007774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74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74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4AC"/>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7774AC"/>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774AC"/>
    <w:rPr>
      <w:rFonts w:asciiTheme="majorHAnsi" w:eastAsiaTheme="majorEastAsia" w:hAnsiTheme="majorHAnsi" w:cstheme="majorBidi"/>
      <w:b/>
      <w:bCs/>
      <w:color w:val="4F81BD" w:themeColor="accent1"/>
      <w:sz w:val="24"/>
      <w:szCs w:val="24"/>
      <w:lang w:val="en-US"/>
    </w:rPr>
  </w:style>
  <w:style w:type="paragraph" w:styleId="FootnoteText">
    <w:name w:val="footnote text"/>
    <w:basedOn w:val="Normal"/>
    <w:link w:val="FootnoteTextChar"/>
    <w:uiPriority w:val="99"/>
    <w:unhideWhenUsed/>
    <w:rsid w:val="007774AC"/>
  </w:style>
  <w:style w:type="character" w:customStyle="1" w:styleId="FootnoteTextChar">
    <w:name w:val="Footnote Text Char"/>
    <w:basedOn w:val="DefaultParagraphFont"/>
    <w:link w:val="FootnoteText"/>
    <w:uiPriority w:val="99"/>
    <w:rsid w:val="007774AC"/>
    <w:rPr>
      <w:rFonts w:eastAsiaTheme="minorEastAsia"/>
      <w:sz w:val="24"/>
      <w:szCs w:val="24"/>
      <w:lang w:val="en-US"/>
    </w:rPr>
  </w:style>
  <w:style w:type="character" w:styleId="FootnoteReference">
    <w:name w:val="footnote reference"/>
    <w:basedOn w:val="DefaultParagraphFont"/>
    <w:uiPriority w:val="99"/>
    <w:unhideWhenUsed/>
    <w:rsid w:val="007774AC"/>
    <w:rPr>
      <w:vertAlign w:val="superscript"/>
    </w:rPr>
  </w:style>
  <w:style w:type="paragraph" w:styleId="ListParagraph">
    <w:name w:val="List Paragraph"/>
    <w:basedOn w:val="Normal"/>
    <w:uiPriority w:val="34"/>
    <w:qFormat/>
    <w:rsid w:val="007774AC"/>
    <w:pPr>
      <w:ind w:left="720"/>
      <w:contextualSpacing/>
    </w:pPr>
  </w:style>
  <w:style w:type="paragraph" w:styleId="NormalWeb">
    <w:name w:val="Normal (Web)"/>
    <w:basedOn w:val="Normal"/>
    <w:uiPriority w:val="99"/>
    <w:unhideWhenUsed/>
    <w:rsid w:val="007774AC"/>
    <w:pPr>
      <w:spacing w:before="100" w:beforeAutospacing="1" w:after="100" w:afterAutospacing="1"/>
    </w:pPr>
    <w:rPr>
      <w:rFonts w:ascii="Times" w:hAnsi="Times" w:cs="Times New Roman"/>
      <w:sz w:val="20"/>
      <w:szCs w:val="20"/>
      <w:lang w:val="en-AU"/>
    </w:rPr>
  </w:style>
  <w:style w:type="paragraph" w:styleId="BalloonText">
    <w:name w:val="Balloon Text"/>
    <w:basedOn w:val="Normal"/>
    <w:link w:val="BalloonTextChar"/>
    <w:uiPriority w:val="99"/>
    <w:semiHidden/>
    <w:unhideWhenUsed/>
    <w:rsid w:val="007774AC"/>
    <w:rPr>
      <w:rFonts w:ascii="Tahoma" w:hAnsi="Tahoma" w:cs="Tahoma"/>
      <w:sz w:val="16"/>
      <w:szCs w:val="16"/>
    </w:rPr>
  </w:style>
  <w:style w:type="character" w:customStyle="1" w:styleId="BalloonTextChar">
    <w:name w:val="Balloon Text Char"/>
    <w:basedOn w:val="DefaultParagraphFont"/>
    <w:link w:val="BalloonText"/>
    <w:uiPriority w:val="99"/>
    <w:semiHidden/>
    <w:rsid w:val="007774AC"/>
    <w:rPr>
      <w:rFonts w:ascii="Tahoma" w:eastAsiaTheme="minorEastAsia" w:hAnsi="Tahoma" w:cs="Tahoma"/>
      <w:sz w:val="16"/>
      <w:szCs w:val="16"/>
      <w:lang w:val="en-US"/>
    </w:rPr>
  </w:style>
  <w:style w:type="character" w:styleId="Hyperlink">
    <w:name w:val="Hyperlink"/>
    <w:basedOn w:val="DefaultParagraphFont"/>
    <w:uiPriority w:val="99"/>
    <w:unhideWhenUsed/>
    <w:rsid w:val="007774AC"/>
    <w:rPr>
      <w:color w:val="0000FF" w:themeColor="hyperlink"/>
      <w:u w:val="single"/>
    </w:rPr>
  </w:style>
  <w:style w:type="paragraph" w:styleId="Header">
    <w:name w:val="header"/>
    <w:basedOn w:val="Normal"/>
    <w:link w:val="HeaderChar"/>
    <w:uiPriority w:val="99"/>
    <w:unhideWhenUsed/>
    <w:rsid w:val="007774AC"/>
    <w:pPr>
      <w:tabs>
        <w:tab w:val="center" w:pos="4513"/>
        <w:tab w:val="right" w:pos="9026"/>
      </w:tabs>
    </w:pPr>
  </w:style>
  <w:style w:type="character" w:customStyle="1" w:styleId="HeaderChar">
    <w:name w:val="Header Char"/>
    <w:basedOn w:val="DefaultParagraphFont"/>
    <w:link w:val="Header"/>
    <w:uiPriority w:val="99"/>
    <w:rsid w:val="007774AC"/>
    <w:rPr>
      <w:rFonts w:eastAsiaTheme="minorEastAsia"/>
      <w:sz w:val="24"/>
      <w:szCs w:val="24"/>
      <w:lang w:val="en-US"/>
    </w:rPr>
  </w:style>
  <w:style w:type="paragraph" w:styleId="Footer">
    <w:name w:val="footer"/>
    <w:basedOn w:val="Normal"/>
    <w:link w:val="FooterChar"/>
    <w:uiPriority w:val="99"/>
    <w:unhideWhenUsed/>
    <w:rsid w:val="007774AC"/>
    <w:pPr>
      <w:tabs>
        <w:tab w:val="center" w:pos="4513"/>
        <w:tab w:val="right" w:pos="9026"/>
      </w:tabs>
    </w:pPr>
  </w:style>
  <w:style w:type="character" w:customStyle="1" w:styleId="FooterChar">
    <w:name w:val="Footer Char"/>
    <w:basedOn w:val="DefaultParagraphFont"/>
    <w:link w:val="Footer"/>
    <w:uiPriority w:val="99"/>
    <w:rsid w:val="007774AC"/>
    <w:rPr>
      <w:rFonts w:eastAsiaTheme="minorEastAsia"/>
      <w:sz w:val="24"/>
      <w:szCs w:val="24"/>
      <w:lang w:val="en-US"/>
    </w:rPr>
  </w:style>
  <w:style w:type="character" w:styleId="CommentReference">
    <w:name w:val="annotation reference"/>
    <w:basedOn w:val="DefaultParagraphFont"/>
    <w:uiPriority w:val="99"/>
    <w:semiHidden/>
    <w:unhideWhenUsed/>
    <w:rsid w:val="007774AC"/>
    <w:rPr>
      <w:sz w:val="16"/>
      <w:szCs w:val="16"/>
    </w:rPr>
  </w:style>
  <w:style w:type="paragraph" w:styleId="CommentText">
    <w:name w:val="annotation text"/>
    <w:basedOn w:val="Normal"/>
    <w:link w:val="CommentTextChar"/>
    <w:uiPriority w:val="99"/>
    <w:semiHidden/>
    <w:unhideWhenUsed/>
    <w:rsid w:val="007774AC"/>
    <w:rPr>
      <w:sz w:val="20"/>
      <w:szCs w:val="20"/>
    </w:rPr>
  </w:style>
  <w:style w:type="character" w:customStyle="1" w:styleId="CommentTextChar">
    <w:name w:val="Comment Text Char"/>
    <w:basedOn w:val="DefaultParagraphFont"/>
    <w:link w:val="CommentText"/>
    <w:uiPriority w:val="99"/>
    <w:semiHidden/>
    <w:rsid w:val="007774AC"/>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774AC"/>
    <w:rPr>
      <w:b/>
      <w:bCs/>
    </w:rPr>
  </w:style>
  <w:style w:type="character" w:customStyle="1" w:styleId="CommentSubjectChar">
    <w:name w:val="Comment Subject Char"/>
    <w:basedOn w:val="CommentTextChar"/>
    <w:link w:val="CommentSubject"/>
    <w:uiPriority w:val="99"/>
    <w:semiHidden/>
    <w:rsid w:val="007774AC"/>
    <w:rPr>
      <w:rFonts w:eastAsiaTheme="minorEastAsia"/>
      <w:b/>
      <w:bCs/>
      <w:sz w:val="20"/>
      <w:szCs w:val="20"/>
      <w:lang w:val="en-US"/>
    </w:rPr>
  </w:style>
  <w:style w:type="paragraph" w:styleId="TOCHeading">
    <w:name w:val="TOC Heading"/>
    <w:basedOn w:val="Heading1"/>
    <w:next w:val="Normal"/>
    <w:uiPriority w:val="39"/>
    <w:semiHidden/>
    <w:unhideWhenUsed/>
    <w:qFormat/>
    <w:rsid w:val="007774AC"/>
    <w:pPr>
      <w:spacing w:line="276" w:lineRule="auto"/>
      <w:outlineLvl w:val="9"/>
    </w:pPr>
    <w:rPr>
      <w:lang w:eastAsia="ja-JP"/>
    </w:rPr>
  </w:style>
  <w:style w:type="paragraph" w:styleId="TOC1">
    <w:name w:val="toc 1"/>
    <w:basedOn w:val="Normal"/>
    <w:next w:val="Normal"/>
    <w:autoRedefine/>
    <w:uiPriority w:val="39"/>
    <w:unhideWhenUsed/>
    <w:rsid w:val="007774AC"/>
    <w:pPr>
      <w:tabs>
        <w:tab w:val="left" w:pos="480"/>
        <w:tab w:val="right" w:leader="dot" w:pos="8931"/>
      </w:tabs>
      <w:spacing w:after="100" w:line="360" w:lineRule="auto"/>
    </w:pPr>
  </w:style>
  <w:style w:type="paragraph" w:styleId="TOC2">
    <w:name w:val="toc 2"/>
    <w:basedOn w:val="Normal"/>
    <w:next w:val="Normal"/>
    <w:autoRedefine/>
    <w:uiPriority w:val="39"/>
    <w:unhideWhenUsed/>
    <w:rsid w:val="007774AC"/>
    <w:pPr>
      <w:spacing w:after="100"/>
      <w:ind w:left="240"/>
    </w:pPr>
  </w:style>
  <w:style w:type="table" w:styleId="TableGrid">
    <w:name w:val="Table Grid"/>
    <w:basedOn w:val="TableNormal"/>
    <w:uiPriority w:val="59"/>
    <w:rsid w:val="007774A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774AC"/>
    <w:pPr>
      <w:spacing w:after="100"/>
      <w:ind w:left="480"/>
    </w:pPr>
  </w:style>
  <w:style w:type="paragraph" w:styleId="Subtitle">
    <w:name w:val="Subtitle"/>
    <w:basedOn w:val="Normal"/>
    <w:next w:val="Normal"/>
    <w:link w:val="SubtitleChar"/>
    <w:uiPriority w:val="11"/>
    <w:qFormat/>
    <w:rsid w:val="00E66FC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66FC7"/>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www.arc.gov.au/ncgp/default.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ifr.edu.au/" TargetMode="External"/><Relationship Id="rId13" Type="http://schemas.openxmlformats.org/officeDocument/2006/relationships/hyperlink" Target="http://www.researchgate.net/" TargetMode="External"/><Relationship Id="rId3" Type="http://schemas.openxmlformats.org/officeDocument/2006/relationships/hyperlink" Target="http://www.bca.com.au/publications/building-australias-comparative-advantages" TargetMode="External"/><Relationship Id="rId7" Type="http://schemas.openxmlformats.org/officeDocument/2006/relationships/hyperlink" Target="http://papers.ssrn.com/sol3/papers.cfm?abstract_id=2398732" TargetMode="External"/><Relationship Id="rId12" Type="http://schemas.openxmlformats.org/officeDocument/2006/relationships/hyperlink" Target="http://www.ssrn.com/en/index.cfm/fen/" TargetMode="External"/><Relationship Id="rId2" Type="http://schemas.openxmlformats.org/officeDocument/2006/relationships/hyperlink" Target="http://fsi.gov.au/publications/final-report/" TargetMode="External"/><Relationship Id="rId1" Type="http://schemas.openxmlformats.org/officeDocument/2006/relationships/hyperlink" Target="http://fsi.gov.au/publications/interim-report/executive-summary/" TargetMode="External"/><Relationship Id="rId6" Type="http://schemas.openxmlformats.org/officeDocument/2006/relationships/hyperlink" Target="http://papers.ssrn.com/sol3/papers.cfm?abstract_id=2398732" TargetMode="External"/><Relationship Id="rId11" Type="http://schemas.openxmlformats.org/officeDocument/2006/relationships/hyperlink" Target="http://www.treasury.gov/initiatives/ofr/Pages/default.aspx" TargetMode="External"/><Relationship Id="rId5" Type="http://schemas.openxmlformats.org/officeDocument/2006/relationships/hyperlink" Target="http://www.perpetual.com.au/pdf/2014_Australian_Investment_Managers_Cross_Border_Report.pdf" TargetMode="External"/><Relationship Id="rId10" Type="http://schemas.openxmlformats.org/officeDocument/2006/relationships/hyperlink" Target="http://www.fex.com.au/media/AFCF.pdf" TargetMode="External"/><Relationship Id="rId4" Type="http://schemas.openxmlformats.org/officeDocument/2006/relationships/hyperlink" Target="http://www.ici.org/research/stats/worldwide" TargetMode="External"/><Relationship Id="rId9" Type="http://schemas.openxmlformats.org/officeDocument/2006/relationships/hyperlink" Target="http://www.australiancentre.com.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5FFA70-51A5-462C-83B8-E8D598ECAFB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8AF82DFE-CE24-4463-A53D-0F93A169047E}">
      <dgm:prSet phldrT="[Text]" custT="1"/>
      <dgm:spPr>
        <a:xfrm>
          <a:off x="235754" y="689338"/>
          <a:ext cx="4876430" cy="8623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b="1">
              <a:solidFill>
                <a:sysClr val="window" lastClr="FFFFFF"/>
              </a:solidFill>
              <a:latin typeface="Calibri"/>
              <a:ea typeface="+mn-ea"/>
              <a:cs typeface="+mn-cs"/>
            </a:rPr>
            <a:t>Financial Regulator Assessment Board</a:t>
          </a:r>
        </a:p>
        <a:p>
          <a:r>
            <a:rPr lang="en-AU" sz="1200">
              <a:solidFill>
                <a:sysClr val="window" lastClr="FFFFFF"/>
              </a:solidFill>
              <a:latin typeface="Calibri"/>
              <a:ea typeface="+mn-ea"/>
              <a:cs typeface="+mn-cs"/>
            </a:rPr>
            <a:t>(or other supervisory governance body)</a:t>
          </a:r>
        </a:p>
      </dgm:t>
    </dgm:pt>
    <dgm:pt modelId="{B666660F-1268-4E30-899D-30E51947DA2F}" type="parTrans" cxnId="{9EE8B426-334C-4BF7-983C-08F11B35E421}">
      <dgm:prSet/>
      <dgm:spPr/>
      <dgm:t>
        <a:bodyPr/>
        <a:lstStyle/>
        <a:p>
          <a:endParaRPr lang="en-AU"/>
        </a:p>
      </dgm:t>
    </dgm:pt>
    <dgm:pt modelId="{DD973DBD-2249-4D67-8E1C-FC29352DC617}" type="sibTrans" cxnId="{9EE8B426-334C-4BF7-983C-08F11B35E421}">
      <dgm:prSet/>
      <dgm:spPr/>
      <dgm:t>
        <a:bodyPr/>
        <a:lstStyle/>
        <a:p>
          <a:endParaRPr lang="en-AU"/>
        </a:p>
      </dgm:t>
    </dgm:pt>
    <dgm:pt modelId="{20BC6CF2-8FC4-4FE1-A7CD-A64BC5520397}">
      <dgm:prSet phldrT="[Text]" custT="1"/>
      <dgm:spPr>
        <a:xfrm>
          <a:off x="1849287" y="2241933"/>
          <a:ext cx="3254268" cy="862303"/>
        </a:xfrm>
        <a:solidFill>
          <a:schemeClr val="accent1">
            <a:lumMod val="50000"/>
          </a:schemeClr>
        </a:solidFill>
        <a:ln w="25400" cap="flat" cmpd="sng" algn="ctr">
          <a:solidFill>
            <a:sysClr val="window" lastClr="FFFFFF">
              <a:hueOff val="0"/>
              <a:satOff val="0"/>
              <a:lumOff val="0"/>
              <a:alphaOff val="0"/>
            </a:sysClr>
          </a:solidFill>
          <a:prstDash val="solid"/>
        </a:ln>
        <a:effectLst/>
      </dgm:spPr>
      <dgm:t>
        <a:bodyPr/>
        <a:lstStyle/>
        <a:p>
          <a:r>
            <a:rPr lang="en-AU" sz="1600" b="1">
              <a:solidFill>
                <a:sysClr val="window" lastClr="FFFFFF"/>
              </a:solidFill>
              <a:latin typeface="Calibri"/>
              <a:ea typeface="+mn-ea"/>
              <a:cs typeface="+mn-cs"/>
            </a:rPr>
            <a:t>Office of Financial Research and Solutions (OFRS)</a:t>
          </a:r>
        </a:p>
      </dgm:t>
    </dgm:pt>
    <dgm:pt modelId="{DA96C53F-EC31-4318-940A-22809F9C2B68}" type="parTrans" cxnId="{64BB8A88-99CE-47D6-84BA-E40C7472B6A2}">
      <dgm:prSet/>
      <dgm:spPr>
        <a:xfrm>
          <a:off x="2673969" y="1551641"/>
          <a:ext cx="802453" cy="690291"/>
        </a:xfr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309FB60D-C663-4145-B384-845348DEC5F9}" type="sibTrans" cxnId="{64BB8A88-99CE-47D6-84BA-E40C7472B6A2}">
      <dgm:prSet/>
      <dgm:spPr/>
      <dgm:t>
        <a:bodyPr/>
        <a:lstStyle/>
        <a:p>
          <a:endParaRPr lang="en-AU"/>
        </a:p>
      </dgm:t>
    </dgm:pt>
    <dgm:pt modelId="{27BF930A-55C7-490A-8718-9C087623BB8E}">
      <dgm:prSet phldrT="[Text]" custT="1"/>
      <dgm:spPr>
        <a:xfrm>
          <a:off x="0" y="491391"/>
          <a:ext cx="8859519" cy="1271932"/>
        </a:xfrm>
        <a:solidFill>
          <a:srgbClr val="4F81BD">
            <a:tint val="40000"/>
            <a:hueOff val="0"/>
            <a:satOff val="0"/>
            <a:lumOff val="0"/>
            <a:alphaOff val="0"/>
          </a:srgbClr>
        </a:solidFill>
        <a:ln>
          <a:noFill/>
        </a:ln>
        <a:effectLst/>
      </dgm:spPr>
      <dgm:t>
        <a:bodyPr/>
        <a:lstStyle/>
        <a:p>
          <a:pPr algn="l" defTabSz="0">
            <a:lnSpc>
              <a:spcPct val="100000"/>
            </a:lnSpc>
            <a:spcAft>
              <a:spcPts val="500"/>
            </a:spcAft>
          </a:pPr>
          <a:r>
            <a:rPr lang="en-AU" sz="1100">
              <a:solidFill>
                <a:srgbClr val="1F497D"/>
              </a:solidFill>
              <a:latin typeface="Calibri"/>
              <a:ea typeface="+mn-ea"/>
              <a:cs typeface="+mn-cs"/>
            </a:rPr>
            <a:t>- Regulator accountability</a:t>
          </a:r>
        </a:p>
        <a:p>
          <a:pPr algn="l" defTabSz="0">
            <a:lnSpc>
              <a:spcPct val="100000"/>
            </a:lnSpc>
            <a:spcAft>
              <a:spcPts val="500"/>
            </a:spcAft>
          </a:pPr>
          <a:r>
            <a:rPr lang="en-AU" sz="1100">
              <a:solidFill>
                <a:srgbClr val="1F497D"/>
              </a:solidFill>
              <a:latin typeface="Calibri"/>
              <a:ea typeface="+mn-ea"/>
              <a:cs typeface="+mn-cs"/>
            </a:rPr>
            <a:t>- Governance includes a representative body (e.g. Treasury, regulators, academe, business)</a:t>
          </a:r>
        </a:p>
        <a:p>
          <a:pPr algn="l" defTabSz="0">
            <a:lnSpc>
              <a:spcPct val="100000"/>
            </a:lnSpc>
            <a:spcAft>
              <a:spcPts val="500"/>
            </a:spcAft>
          </a:pPr>
          <a:r>
            <a:rPr lang="en-AU" sz="1100">
              <a:solidFill>
                <a:srgbClr val="1F497D"/>
              </a:solidFill>
              <a:latin typeface="Calibri"/>
              <a:ea typeface="+mn-ea"/>
              <a:cs typeface="+mn-cs"/>
            </a:rPr>
            <a:t>- Focus on Implementation e.g. regulatory reform</a:t>
          </a:r>
        </a:p>
      </dgm:t>
    </dgm:pt>
    <dgm:pt modelId="{EEBE45D0-50CD-4309-A7C9-EF55FBCDC0E9}" type="parTrans" cxnId="{E93E9511-4004-4143-B23B-84F4BAEB9E5E}">
      <dgm:prSet/>
      <dgm:spPr/>
      <dgm:t>
        <a:bodyPr/>
        <a:lstStyle/>
        <a:p>
          <a:endParaRPr lang="en-AU"/>
        </a:p>
      </dgm:t>
    </dgm:pt>
    <dgm:pt modelId="{662DF745-7CCE-4FEC-A967-99B534C7E8EF}" type="sibTrans" cxnId="{E93E9511-4004-4143-B23B-84F4BAEB9E5E}">
      <dgm:prSet/>
      <dgm:spPr/>
      <dgm:t>
        <a:bodyPr/>
        <a:lstStyle/>
        <a:p>
          <a:endParaRPr lang="en-AU"/>
        </a:p>
      </dgm:t>
    </dgm:pt>
    <dgm:pt modelId="{FC6FC774-155A-473A-85EE-C12C87796488}">
      <dgm:prSet phldrT="[Text]" custT="1"/>
      <dgm:spPr>
        <a:xfrm>
          <a:off x="0" y="2047445"/>
          <a:ext cx="8859519" cy="1309111"/>
        </a:xfrm>
        <a:solidFill>
          <a:srgbClr val="4F81BD">
            <a:tint val="40000"/>
            <a:hueOff val="0"/>
            <a:satOff val="0"/>
            <a:lumOff val="0"/>
            <a:alphaOff val="0"/>
          </a:srgbClr>
        </a:solidFill>
        <a:ln>
          <a:noFill/>
        </a:ln>
        <a:effectLst/>
      </dgm:spPr>
      <dgm:t>
        <a:bodyPr/>
        <a:lstStyle/>
        <a:p>
          <a:pPr algn="l"/>
          <a:r>
            <a:rPr lang="en-AU" sz="1100">
              <a:solidFill>
                <a:srgbClr val="1F497D"/>
              </a:solidFill>
              <a:latin typeface="Calibri"/>
              <a:ea typeface="+mn-ea"/>
              <a:cs typeface="+mn-cs"/>
            </a:rPr>
            <a:t>OFRS is an implementation capability:</a:t>
          </a:r>
        </a:p>
        <a:p>
          <a:pPr algn="l"/>
          <a:r>
            <a:rPr lang="en-AU" sz="1100">
              <a:solidFill>
                <a:srgbClr val="1F497D"/>
              </a:solidFill>
              <a:latin typeface="Calibri"/>
              <a:ea typeface="+mn-ea"/>
              <a:cs typeface="+mn-cs"/>
            </a:rPr>
            <a:t>- Prioritise research and solution development</a:t>
          </a:r>
        </a:p>
        <a:p>
          <a:pPr algn="l"/>
          <a:r>
            <a:rPr lang="en-AU" sz="1100">
              <a:solidFill>
                <a:srgbClr val="1F497D"/>
              </a:solidFill>
              <a:latin typeface="Calibri"/>
              <a:ea typeface="+mn-ea"/>
              <a:cs typeface="+mn-cs"/>
            </a:rPr>
            <a:t>- Administers Targeted Solutions Program</a:t>
          </a:r>
        </a:p>
        <a:p>
          <a:pPr algn="l"/>
          <a:r>
            <a:rPr lang="en-AU" sz="1100">
              <a:solidFill>
                <a:srgbClr val="1F497D"/>
              </a:solidFill>
              <a:latin typeface="Calibri"/>
              <a:ea typeface="+mn-ea"/>
              <a:cs typeface="+mn-cs"/>
            </a:rPr>
            <a:t>- Provide services to execute regulating reform agenda e.g. facilitate consultation</a:t>
          </a:r>
        </a:p>
      </dgm:t>
    </dgm:pt>
    <dgm:pt modelId="{6FA9AD34-C476-45E6-9ECB-BA5FDCFF54F3}" type="parTrans" cxnId="{AC4B113E-232E-42CA-8321-EC957001C7AA}">
      <dgm:prSet/>
      <dgm:spPr/>
      <dgm:t>
        <a:bodyPr/>
        <a:lstStyle/>
        <a:p>
          <a:endParaRPr lang="en-AU"/>
        </a:p>
      </dgm:t>
    </dgm:pt>
    <dgm:pt modelId="{33DE3407-56E5-4542-BFF7-668229CC90EB}" type="sibTrans" cxnId="{AC4B113E-232E-42CA-8321-EC957001C7AA}">
      <dgm:prSet/>
      <dgm:spPr/>
      <dgm:t>
        <a:bodyPr/>
        <a:lstStyle/>
        <a:p>
          <a:endParaRPr lang="en-AU"/>
        </a:p>
      </dgm:t>
    </dgm:pt>
    <dgm:pt modelId="{B438E070-F94F-4B14-8042-A6EE15131FC7}">
      <dgm:prSet custT="1"/>
      <dgm:spPr>
        <a:xfrm>
          <a:off x="4043964" y="3825001"/>
          <a:ext cx="1037997" cy="8623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a:solidFill>
                <a:sysClr val="window" lastClr="FFFFFF"/>
              </a:solidFill>
              <a:latin typeface="Calibri"/>
              <a:ea typeface="+mn-ea"/>
              <a:cs typeface="+mn-cs"/>
            </a:rPr>
            <a:t>Banking</a:t>
          </a:r>
        </a:p>
      </dgm:t>
    </dgm:pt>
    <dgm:pt modelId="{B7D7F9B0-EA87-4344-9BE3-481A38242FC9}" type="parTrans" cxnId="{650E325E-5A68-4E3E-907D-50855E7B71EE}">
      <dgm:prSet/>
      <dgm:spPr>
        <a:xfrm>
          <a:off x="3476422" y="3104236"/>
          <a:ext cx="1086541" cy="720765"/>
        </a:xfr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EEF5ACC6-DC54-433A-AB09-588B2159A824}" type="sibTrans" cxnId="{650E325E-5A68-4E3E-907D-50855E7B71EE}">
      <dgm:prSet/>
      <dgm:spPr/>
      <dgm:t>
        <a:bodyPr/>
        <a:lstStyle/>
        <a:p>
          <a:endParaRPr lang="en-AU"/>
        </a:p>
      </dgm:t>
    </dgm:pt>
    <dgm:pt modelId="{930D0994-2698-4378-9D56-1FD272EDE7BB}">
      <dgm:prSet custT="1"/>
      <dgm:spPr>
        <a:xfrm>
          <a:off x="233813" y="2241933"/>
          <a:ext cx="1349526" cy="8623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a:solidFill>
                <a:sysClr val="window" lastClr="FFFFFF"/>
              </a:solidFill>
              <a:latin typeface="Calibri"/>
              <a:ea typeface="+mn-ea"/>
              <a:cs typeface="+mn-cs"/>
            </a:rPr>
            <a:t>Other responsibilities</a:t>
          </a:r>
        </a:p>
      </dgm:t>
    </dgm:pt>
    <dgm:pt modelId="{BE31AD20-AC96-4DF7-840E-1AD0662379A9}" type="parTrans" cxnId="{737FC6FD-97EF-41EB-A0CD-0B5C539B0E09}">
      <dgm:prSet/>
      <dgm:spPr>
        <a:xfrm>
          <a:off x="908577" y="1551641"/>
          <a:ext cx="1765391" cy="690291"/>
        </a:xfrm>
        <a:noFill/>
        <a:ln w="25400" cap="flat" cmpd="sng" algn="ctr">
          <a:solidFill>
            <a:srgbClr val="4F81BD">
              <a:shade val="60000"/>
              <a:hueOff val="0"/>
              <a:satOff val="0"/>
              <a:lumOff val="0"/>
              <a:alphaOff val="0"/>
            </a:srgbClr>
          </a:solidFill>
          <a:prstDash val="solid"/>
        </a:ln>
        <a:effectLst/>
      </dgm:spPr>
      <dgm:t>
        <a:bodyPr/>
        <a:lstStyle/>
        <a:p>
          <a:endParaRPr lang="en-AU"/>
        </a:p>
      </dgm:t>
    </dgm:pt>
    <dgm:pt modelId="{2011B72B-24C7-4D75-A5E9-9730E082013C}" type="sibTrans" cxnId="{737FC6FD-97EF-41EB-A0CD-0B5C539B0E09}">
      <dgm:prSet/>
      <dgm:spPr/>
      <dgm:t>
        <a:bodyPr/>
        <a:lstStyle/>
        <a:p>
          <a:endParaRPr lang="en-AU"/>
        </a:p>
      </dgm:t>
    </dgm:pt>
    <dgm:pt modelId="{6DB7BEDC-13C6-486D-B091-410B0910929F}">
      <dgm:prSet custT="1"/>
      <dgm:spPr>
        <a:xfrm>
          <a:off x="2767298" y="3825001"/>
          <a:ext cx="1037997" cy="8623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a:solidFill>
                <a:sysClr val="window" lastClr="FFFFFF"/>
              </a:solidFill>
              <a:latin typeface="Calibri"/>
              <a:ea typeface="+mn-ea"/>
              <a:cs typeface="+mn-cs"/>
            </a:rPr>
            <a:t>Super</a:t>
          </a:r>
        </a:p>
      </dgm:t>
    </dgm:pt>
    <dgm:pt modelId="{73ED9ADA-3E0B-4C97-81FE-4BD6836F4320}" type="parTrans" cxnId="{00B67EFE-58DC-4F81-A33E-82588B0A781F}">
      <dgm:prSet/>
      <dgm:spPr>
        <a:xfrm>
          <a:off x="3286297" y="3104236"/>
          <a:ext cx="190124" cy="720765"/>
        </a:xfr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99CC7BBB-6153-4F1E-B2D7-CA22336712BF}" type="sibTrans" cxnId="{00B67EFE-58DC-4F81-A33E-82588B0A781F}">
      <dgm:prSet/>
      <dgm:spPr/>
      <dgm:t>
        <a:bodyPr/>
        <a:lstStyle/>
        <a:p>
          <a:endParaRPr lang="en-AU"/>
        </a:p>
      </dgm:t>
    </dgm:pt>
    <dgm:pt modelId="{2F278DD5-37CC-4C9A-84AE-846AADF1F927}">
      <dgm:prSet custT="1"/>
      <dgm:spPr>
        <a:xfrm>
          <a:off x="1490955" y="3825001"/>
          <a:ext cx="1037997" cy="8623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AU" sz="1600">
              <a:solidFill>
                <a:sysClr val="window" lastClr="FFFFFF"/>
              </a:solidFill>
              <a:latin typeface="Calibri"/>
              <a:ea typeface="+mn-ea"/>
              <a:cs typeface="+mn-cs"/>
            </a:rPr>
            <a:t>Finance</a:t>
          </a:r>
        </a:p>
      </dgm:t>
    </dgm:pt>
    <dgm:pt modelId="{F020F819-5C4F-4B4F-8176-454F08B289B2}" type="parTrans" cxnId="{301B1C07-E789-4F08-8BFA-1DA14A1E562B}">
      <dgm:prSet/>
      <dgm:spPr>
        <a:xfrm>
          <a:off x="2009954" y="3104236"/>
          <a:ext cx="1466467" cy="720765"/>
        </a:xfrm>
        <a:noFill/>
        <a:ln w="25400" cap="flat" cmpd="sng" algn="ctr">
          <a:solidFill>
            <a:srgbClr val="4F81BD">
              <a:shade val="80000"/>
              <a:hueOff val="0"/>
              <a:satOff val="0"/>
              <a:lumOff val="0"/>
              <a:alphaOff val="0"/>
            </a:srgbClr>
          </a:solidFill>
          <a:prstDash val="solid"/>
        </a:ln>
        <a:effectLst/>
      </dgm:spPr>
      <dgm:t>
        <a:bodyPr/>
        <a:lstStyle/>
        <a:p>
          <a:endParaRPr lang="en-AU"/>
        </a:p>
      </dgm:t>
    </dgm:pt>
    <dgm:pt modelId="{0E64DF6C-8234-4FF3-AB64-B855E163E06E}" type="sibTrans" cxnId="{301B1C07-E789-4F08-8BFA-1DA14A1E562B}">
      <dgm:prSet/>
      <dgm:spPr/>
      <dgm:t>
        <a:bodyPr/>
        <a:lstStyle/>
        <a:p>
          <a:endParaRPr lang="en-AU"/>
        </a:p>
      </dgm:t>
    </dgm:pt>
    <dgm:pt modelId="{8A0DABF4-BF22-45E5-B876-49AABE97F453}">
      <dgm:prSet phldrT="[Text]" custT="1"/>
      <dgm:spPr>
        <a:xfrm>
          <a:off x="0" y="3630527"/>
          <a:ext cx="8859519" cy="1283066"/>
        </a:xfrm>
        <a:solidFill>
          <a:srgbClr val="4F81BD">
            <a:tint val="40000"/>
            <a:hueOff val="0"/>
            <a:satOff val="0"/>
            <a:lumOff val="0"/>
            <a:alphaOff val="0"/>
          </a:srgbClr>
        </a:solidFill>
        <a:ln>
          <a:noFill/>
        </a:ln>
        <a:effectLst/>
      </dgm:spPr>
      <dgm:t>
        <a:bodyPr/>
        <a:lstStyle/>
        <a:p>
          <a:pPr algn="l">
            <a:lnSpc>
              <a:spcPct val="100000"/>
            </a:lnSpc>
            <a:spcAft>
              <a:spcPts val="500"/>
            </a:spcAft>
          </a:pPr>
          <a:r>
            <a:rPr lang="en-AU" sz="1100">
              <a:solidFill>
                <a:srgbClr val="1F497D"/>
              </a:solidFill>
              <a:latin typeface="Calibri"/>
              <a:ea typeface="+mn-ea"/>
              <a:cs typeface="+mn-cs"/>
            </a:rPr>
            <a:t>- Specialist contributors to Targeted Solutions Program (i.e. resources to meet prioritised needs)</a:t>
          </a:r>
        </a:p>
        <a:p>
          <a:pPr algn="l">
            <a:lnSpc>
              <a:spcPct val="100000"/>
            </a:lnSpc>
            <a:spcAft>
              <a:spcPts val="500"/>
            </a:spcAft>
          </a:pPr>
          <a:r>
            <a:rPr lang="en-AU" sz="1100">
              <a:solidFill>
                <a:srgbClr val="1F497D"/>
              </a:solidFill>
              <a:latin typeface="Calibri"/>
              <a:ea typeface="+mn-ea"/>
              <a:cs typeface="+mn-cs"/>
            </a:rPr>
            <a:t>- Specialists drawn from academe and business</a:t>
          </a:r>
        </a:p>
        <a:p>
          <a:pPr algn="l">
            <a:lnSpc>
              <a:spcPct val="100000"/>
            </a:lnSpc>
            <a:spcAft>
              <a:spcPts val="500"/>
            </a:spcAft>
          </a:pPr>
          <a:r>
            <a:rPr lang="en-AU" sz="1100">
              <a:solidFill>
                <a:srgbClr val="1F497D"/>
              </a:solidFill>
              <a:latin typeface="Calibri"/>
              <a:ea typeface="+mn-ea"/>
              <a:cs typeface="+mn-cs"/>
            </a:rPr>
            <a:t>- Requires support capability (e.g. IT) and research infrastructure</a:t>
          </a:r>
        </a:p>
      </dgm:t>
      <dgm:extLst>
        <a:ext uri="{E40237B7-FDA0-4F09-8148-C483321AD2D9}">
          <dgm14:cNvPr xmlns:dgm14="http://schemas.microsoft.com/office/drawing/2010/diagram" id="0" name="" descr="Shows relationships between the Financial Regulator Assessment Board and the Office of Financial Research and Solutions. " title="Relationships in financial services"/>
        </a:ext>
      </dgm:extLst>
    </dgm:pt>
    <dgm:pt modelId="{6DE0F0CE-D9A5-4DE5-BB97-03DF3228A05D}" type="parTrans" cxnId="{98205CED-22AD-452B-B791-2E295537D417}">
      <dgm:prSet/>
      <dgm:spPr/>
      <dgm:t>
        <a:bodyPr/>
        <a:lstStyle/>
        <a:p>
          <a:endParaRPr lang="en-AU"/>
        </a:p>
      </dgm:t>
    </dgm:pt>
    <dgm:pt modelId="{3815ADA4-9E31-4648-865C-334689977DE1}" type="sibTrans" cxnId="{98205CED-22AD-452B-B791-2E295537D417}">
      <dgm:prSet/>
      <dgm:spPr/>
      <dgm:t>
        <a:bodyPr/>
        <a:lstStyle/>
        <a:p>
          <a:endParaRPr lang="en-AU"/>
        </a:p>
      </dgm:t>
    </dgm:pt>
    <dgm:pt modelId="{CA193D53-996C-4825-A001-14F41E510EF1}" type="pres">
      <dgm:prSet presAssocID="{295FFA70-51A5-462C-83B8-E8D598ECAFBE}" presName="mainComposite" presStyleCnt="0">
        <dgm:presLayoutVars>
          <dgm:chPref val="1"/>
          <dgm:dir val="rev"/>
          <dgm:animOne val="branch"/>
          <dgm:animLvl val="lvl"/>
          <dgm:resizeHandles val="exact"/>
        </dgm:presLayoutVars>
      </dgm:prSet>
      <dgm:spPr/>
      <dgm:t>
        <a:bodyPr/>
        <a:lstStyle/>
        <a:p>
          <a:endParaRPr lang="en-AU"/>
        </a:p>
      </dgm:t>
    </dgm:pt>
    <dgm:pt modelId="{08836B63-3965-466A-9B5E-3B42B24F7977}" type="pres">
      <dgm:prSet presAssocID="{295FFA70-51A5-462C-83B8-E8D598ECAFBE}" presName="hierFlow" presStyleCnt="0"/>
      <dgm:spPr/>
    </dgm:pt>
    <dgm:pt modelId="{E4E77D5C-F131-4C57-913D-D30A92560038}" type="pres">
      <dgm:prSet presAssocID="{295FFA70-51A5-462C-83B8-E8D598ECAFBE}" presName="firstBuf" presStyleCnt="0"/>
      <dgm:spPr/>
    </dgm:pt>
    <dgm:pt modelId="{2C78AFEC-61DE-4D94-A2FF-336F8F8D3CBE}" type="pres">
      <dgm:prSet presAssocID="{295FFA70-51A5-462C-83B8-E8D598ECAFBE}" presName="hierChild1" presStyleCnt="0">
        <dgm:presLayoutVars>
          <dgm:chPref val="1"/>
          <dgm:animOne val="branch"/>
          <dgm:animLvl val="lvl"/>
        </dgm:presLayoutVars>
      </dgm:prSet>
      <dgm:spPr/>
    </dgm:pt>
    <dgm:pt modelId="{CA805E72-8AEB-4288-927E-F3EE6715C640}" type="pres">
      <dgm:prSet presAssocID="{8AF82DFE-CE24-4463-A53D-0F93A169047E}" presName="Name14" presStyleCnt="0"/>
      <dgm:spPr/>
    </dgm:pt>
    <dgm:pt modelId="{EA6EF12A-C6D7-471F-8ECF-746063AD0603}" type="pres">
      <dgm:prSet presAssocID="{8AF82DFE-CE24-4463-A53D-0F93A169047E}" presName="level1Shape" presStyleLbl="node0" presStyleIdx="0" presStyleCnt="1" custScaleX="377008" custLinFactNeighborY="18772">
        <dgm:presLayoutVars>
          <dgm:chPref val="3"/>
        </dgm:presLayoutVars>
      </dgm:prSet>
      <dgm:spPr>
        <a:prstGeom prst="roundRect">
          <a:avLst>
            <a:gd name="adj" fmla="val 10000"/>
          </a:avLst>
        </a:prstGeom>
      </dgm:spPr>
      <dgm:t>
        <a:bodyPr/>
        <a:lstStyle/>
        <a:p>
          <a:endParaRPr lang="en-AU"/>
        </a:p>
      </dgm:t>
    </dgm:pt>
    <dgm:pt modelId="{37E9DAD3-FFCE-451A-89E7-C5C830E9019A}" type="pres">
      <dgm:prSet presAssocID="{8AF82DFE-CE24-4463-A53D-0F93A169047E}" presName="hierChild2" presStyleCnt="0"/>
      <dgm:spPr/>
    </dgm:pt>
    <dgm:pt modelId="{6BE73BC3-2B6E-4B54-9C64-338730CA4D76}" type="pres">
      <dgm:prSet presAssocID="{DA96C53F-EC31-4318-940A-22809F9C2B68}" presName="Name19" presStyleLbl="parChTrans1D2" presStyleIdx="0" presStyleCnt="2"/>
      <dgm:spPr>
        <a:custGeom>
          <a:avLst/>
          <a:gdLst/>
          <a:ahLst/>
          <a:cxnLst/>
          <a:rect l="0" t="0" r="0" b="0"/>
          <a:pathLst>
            <a:path>
              <a:moveTo>
                <a:pt x="0" y="0"/>
              </a:moveTo>
              <a:lnTo>
                <a:pt x="0" y="345145"/>
              </a:lnTo>
              <a:lnTo>
                <a:pt x="802453" y="345145"/>
              </a:lnTo>
              <a:lnTo>
                <a:pt x="802453" y="690291"/>
              </a:lnTo>
            </a:path>
          </a:pathLst>
        </a:custGeom>
      </dgm:spPr>
      <dgm:t>
        <a:bodyPr/>
        <a:lstStyle/>
        <a:p>
          <a:endParaRPr lang="en-AU"/>
        </a:p>
      </dgm:t>
    </dgm:pt>
    <dgm:pt modelId="{5B3A7141-305C-4A6F-AB36-CC82A0B6642B}" type="pres">
      <dgm:prSet presAssocID="{20BC6CF2-8FC4-4FE1-A7CD-A64BC5520397}" presName="Name21" presStyleCnt="0"/>
      <dgm:spPr/>
    </dgm:pt>
    <dgm:pt modelId="{C1684745-A24A-4F60-970A-D06C7CD3A242}" type="pres">
      <dgm:prSet presAssocID="{20BC6CF2-8FC4-4FE1-A7CD-A64BC5520397}" presName="level2Shape" presStyleLbl="node2" presStyleIdx="0" presStyleCnt="2" custScaleX="251595" custLinFactNeighborX="-5128" custLinFactNeighborY="40012"/>
      <dgm:spPr>
        <a:prstGeom prst="roundRect">
          <a:avLst>
            <a:gd name="adj" fmla="val 10000"/>
          </a:avLst>
        </a:prstGeom>
      </dgm:spPr>
      <dgm:t>
        <a:bodyPr/>
        <a:lstStyle/>
        <a:p>
          <a:endParaRPr lang="en-AU"/>
        </a:p>
      </dgm:t>
    </dgm:pt>
    <dgm:pt modelId="{5AE3E5CE-0484-43E9-A619-D78FC892A273}" type="pres">
      <dgm:prSet presAssocID="{20BC6CF2-8FC4-4FE1-A7CD-A64BC5520397}" presName="hierChild3" presStyleCnt="0"/>
      <dgm:spPr/>
    </dgm:pt>
    <dgm:pt modelId="{9B6B2A3A-EC06-410F-9826-0B2BE1ACC8F1}" type="pres">
      <dgm:prSet presAssocID="{B7D7F9B0-EA87-4344-9BE3-481A38242FC9}" presName="Name19" presStyleLbl="parChTrans1D3" presStyleIdx="0" presStyleCnt="3"/>
      <dgm:spPr>
        <a:custGeom>
          <a:avLst/>
          <a:gdLst/>
          <a:ahLst/>
          <a:cxnLst/>
          <a:rect l="0" t="0" r="0" b="0"/>
          <a:pathLst>
            <a:path>
              <a:moveTo>
                <a:pt x="0" y="0"/>
              </a:moveTo>
              <a:lnTo>
                <a:pt x="0" y="360382"/>
              </a:lnTo>
              <a:lnTo>
                <a:pt x="1086541" y="360382"/>
              </a:lnTo>
              <a:lnTo>
                <a:pt x="1086541" y="720765"/>
              </a:lnTo>
            </a:path>
          </a:pathLst>
        </a:custGeom>
      </dgm:spPr>
      <dgm:t>
        <a:bodyPr/>
        <a:lstStyle/>
        <a:p>
          <a:endParaRPr lang="en-AU"/>
        </a:p>
      </dgm:t>
    </dgm:pt>
    <dgm:pt modelId="{03A85869-88CC-491D-BA2E-1DA0FC97587E}" type="pres">
      <dgm:prSet presAssocID="{B438E070-F94F-4B14-8042-A6EE15131FC7}" presName="Name21" presStyleCnt="0"/>
      <dgm:spPr/>
    </dgm:pt>
    <dgm:pt modelId="{B8868113-6B90-4E7C-8ABC-D7A12B15A069}" type="pres">
      <dgm:prSet presAssocID="{B438E070-F94F-4B14-8042-A6EE15131FC7}" presName="level2Shape" presStyleLbl="node3" presStyleIdx="0" presStyleCnt="3" custScaleX="80250" custLinFactNeighborX="-34081" custLinFactNeighborY="57268"/>
      <dgm:spPr>
        <a:prstGeom prst="roundRect">
          <a:avLst>
            <a:gd name="adj" fmla="val 10000"/>
          </a:avLst>
        </a:prstGeom>
      </dgm:spPr>
      <dgm:t>
        <a:bodyPr/>
        <a:lstStyle/>
        <a:p>
          <a:endParaRPr lang="en-AU"/>
        </a:p>
      </dgm:t>
    </dgm:pt>
    <dgm:pt modelId="{CD9C2609-E8E2-458B-94C8-D898C62E9EC4}" type="pres">
      <dgm:prSet presAssocID="{B438E070-F94F-4B14-8042-A6EE15131FC7}" presName="hierChild3" presStyleCnt="0"/>
      <dgm:spPr/>
    </dgm:pt>
    <dgm:pt modelId="{A1C0DA4A-7103-4C32-B0C2-404F51536479}" type="pres">
      <dgm:prSet presAssocID="{73ED9ADA-3E0B-4C97-81FE-4BD6836F4320}" presName="Name19" presStyleLbl="parChTrans1D3" presStyleIdx="1" presStyleCnt="3"/>
      <dgm:spPr>
        <a:custGeom>
          <a:avLst/>
          <a:gdLst/>
          <a:ahLst/>
          <a:cxnLst/>
          <a:rect l="0" t="0" r="0" b="0"/>
          <a:pathLst>
            <a:path>
              <a:moveTo>
                <a:pt x="190124" y="0"/>
              </a:moveTo>
              <a:lnTo>
                <a:pt x="190124" y="360382"/>
              </a:lnTo>
              <a:lnTo>
                <a:pt x="0" y="360382"/>
              </a:lnTo>
              <a:lnTo>
                <a:pt x="0" y="720765"/>
              </a:lnTo>
            </a:path>
          </a:pathLst>
        </a:custGeom>
      </dgm:spPr>
      <dgm:t>
        <a:bodyPr/>
        <a:lstStyle/>
        <a:p>
          <a:endParaRPr lang="en-AU"/>
        </a:p>
      </dgm:t>
    </dgm:pt>
    <dgm:pt modelId="{F35338E6-49B8-49A0-9BE7-3D426C077606}" type="pres">
      <dgm:prSet presAssocID="{6DB7BEDC-13C6-486D-B091-410B0910929F}" presName="Name21" presStyleCnt="0"/>
      <dgm:spPr/>
    </dgm:pt>
    <dgm:pt modelId="{A4AF7CEC-9D4E-4440-83DA-6807C9F3D197}" type="pres">
      <dgm:prSet presAssocID="{6DB7BEDC-13C6-486D-B091-410B0910929F}" presName="level2Shape" presStyleLbl="node3" presStyleIdx="1" presStyleCnt="3" custScaleX="80250" custLinFactNeighborX="-68205" custLinFactNeighborY="57268"/>
      <dgm:spPr>
        <a:prstGeom prst="roundRect">
          <a:avLst>
            <a:gd name="adj" fmla="val 10000"/>
          </a:avLst>
        </a:prstGeom>
      </dgm:spPr>
      <dgm:t>
        <a:bodyPr/>
        <a:lstStyle/>
        <a:p>
          <a:endParaRPr lang="en-AU"/>
        </a:p>
      </dgm:t>
    </dgm:pt>
    <dgm:pt modelId="{624C6E59-A0E0-4D53-A5BB-0FC77579F92F}" type="pres">
      <dgm:prSet presAssocID="{6DB7BEDC-13C6-486D-B091-410B0910929F}" presName="hierChild3" presStyleCnt="0"/>
      <dgm:spPr/>
    </dgm:pt>
    <dgm:pt modelId="{F98BB568-A690-485E-8BEE-53F15F557163}" type="pres">
      <dgm:prSet presAssocID="{F020F819-5C4F-4B4F-8176-454F08B289B2}" presName="Name19" presStyleLbl="parChTrans1D3" presStyleIdx="2" presStyleCnt="3"/>
      <dgm:spPr>
        <a:custGeom>
          <a:avLst/>
          <a:gdLst/>
          <a:ahLst/>
          <a:cxnLst/>
          <a:rect l="0" t="0" r="0" b="0"/>
          <a:pathLst>
            <a:path>
              <a:moveTo>
                <a:pt x="1466467" y="0"/>
              </a:moveTo>
              <a:lnTo>
                <a:pt x="1466467" y="360382"/>
              </a:lnTo>
              <a:lnTo>
                <a:pt x="0" y="360382"/>
              </a:lnTo>
              <a:lnTo>
                <a:pt x="0" y="720765"/>
              </a:lnTo>
            </a:path>
          </a:pathLst>
        </a:custGeom>
      </dgm:spPr>
      <dgm:t>
        <a:bodyPr/>
        <a:lstStyle/>
        <a:p>
          <a:endParaRPr lang="en-AU"/>
        </a:p>
      </dgm:t>
    </dgm:pt>
    <dgm:pt modelId="{2834D987-0118-4284-BF0B-FD88DB30A072}" type="pres">
      <dgm:prSet presAssocID="{2F278DD5-37CC-4C9A-84AE-846AADF1F927}" presName="Name21" presStyleCnt="0"/>
      <dgm:spPr/>
    </dgm:pt>
    <dgm:pt modelId="{D9557CC6-12FF-4D0D-847D-A42D38DE79BA}" type="pres">
      <dgm:prSet presAssocID="{2F278DD5-37CC-4C9A-84AE-846AADF1F927}" presName="level2Shape" presStyleLbl="node3" presStyleIdx="2" presStyleCnt="3" custScaleX="80250" custLinFactX="-3861" custLinFactNeighborX="-100000" custLinFactNeighborY="57268"/>
      <dgm:spPr>
        <a:prstGeom prst="roundRect">
          <a:avLst>
            <a:gd name="adj" fmla="val 10000"/>
          </a:avLst>
        </a:prstGeom>
      </dgm:spPr>
      <dgm:t>
        <a:bodyPr/>
        <a:lstStyle/>
        <a:p>
          <a:endParaRPr lang="en-AU"/>
        </a:p>
      </dgm:t>
    </dgm:pt>
    <dgm:pt modelId="{58BB8ECF-C5BE-4B7C-9F52-BF7F26F54A4A}" type="pres">
      <dgm:prSet presAssocID="{2F278DD5-37CC-4C9A-84AE-846AADF1F927}" presName="hierChild3" presStyleCnt="0"/>
      <dgm:spPr/>
    </dgm:pt>
    <dgm:pt modelId="{F1D68DD6-FE6B-4A7D-92E4-CA11710614EA}" type="pres">
      <dgm:prSet presAssocID="{BE31AD20-AC96-4DF7-840E-1AD0662379A9}" presName="Name19" presStyleLbl="parChTrans1D2" presStyleIdx="1" presStyleCnt="2"/>
      <dgm:spPr>
        <a:custGeom>
          <a:avLst/>
          <a:gdLst/>
          <a:ahLst/>
          <a:cxnLst/>
          <a:rect l="0" t="0" r="0" b="0"/>
          <a:pathLst>
            <a:path>
              <a:moveTo>
                <a:pt x="1765391" y="0"/>
              </a:moveTo>
              <a:lnTo>
                <a:pt x="1765391" y="345145"/>
              </a:lnTo>
              <a:lnTo>
                <a:pt x="0" y="345145"/>
              </a:lnTo>
              <a:lnTo>
                <a:pt x="0" y="690291"/>
              </a:lnTo>
            </a:path>
          </a:pathLst>
        </a:custGeom>
      </dgm:spPr>
      <dgm:t>
        <a:bodyPr/>
        <a:lstStyle/>
        <a:p>
          <a:endParaRPr lang="en-AU"/>
        </a:p>
      </dgm:t>
    </dgm:pt>
    <dgm:pt modelId="{86A0176B-8CA1-4ECA-BFFF-5AD86A0D4DA5}" type="pres">
      <dgm:prSet presAssocID="{930D0994-2698-4378-9D56-1FD272EDE7BB}" presName="Name21" presStyleCnt="0"/>
      <dgm:spPr/>
    </dgm:pt>
    <dgm:pt modelId="{A7B8E2D0-D6CC-4384-A220-02486BB3CAAA}" type="pres">
      <dgm:prSet presAssocID="{930D0994-2698-4378-9D56-1FD272EDE7BB}" presName="level2Shape" presStyleLbl="node2" presStyleIdx="1" presStyleCnt="2" custScaleX="104335" custLinFactNeighborX="4311" custLinFactNeighborY="40012"/>
      <dgm:spPr>
        <a:prstGeom prst="roundRect">
          <a:avLst>
            <a:gd name="adj" fmla="val 10000"/>
          </a:avLst>
        </a:prstGeom>
      </dgm:spPr>
      <dgm:t>
        <a:bodyPr/>
        <a:lstStyle/>
        <a:p>
          <a:endParaRPr lang="en-AU"/>
        </a:p>
      </dgm:t>
    </dgm:pt>
    <dgm:pt modelId="{640B744E-5432-47F1-B245-0AEFD74B70F9}" type="pres">
      <dgm:prSet presAssocID="{930D0994-2698-4378-9D56-1FD272EDE7BB}" presName="hierChild3" presStyleCnt="0"/>
      <dgm:spPr/>
    </dgm:pt>
    <dgm:pt modelId="{0DC88988-0A86-4F15-9B88-98354D473C07}" type="pres">
      <dgm:prSet presAssocID="{295FFA70-51A5-462C-83B8-E8D598ECAFBE}" presName="bgShapesFlow" presStyleCnt="0"/>
      <dgm:spPr/>
    </dgm:pt>
    <dgm:pt modelId="{B928E127-9FCF-4632-81C6-530C03569E20}" type="pres">
      <dgm:prSet presAssocID="{27BF930A-55C7-490A-8718-9C087623BB8E}" presName="rectComp" presStyleCnt="0"/>
      <dgm:spPr/>
    </dgm:pt>
    <dgm:pt modelId="{52F42BB8-7075-4CC8-9A79-F47B96460360}" type="pres">
      <dgm:prSet presAssocID="{27BF930A-55C7-490A-8718-9C087623BB8E}" presName="bgRect" presStyleLbl="bgShp" presStyleIdx="0" presStyleCnt="3" custScaleY="113151" custLinFactNeighborY="10915"/>
      <dgm:spPr>
        <a:prstGeom prst="roundRect">
          <a:avLst>
            <a:gd name="adj" fmla="val 10000"/>
          </a:avLst>
        </a:prstGeom>
      </dgm:spPr>
      <dgm:t>
        <a:bodyPr/>
        <a:lstStyle/>
        <a:p>
          <a:endParaRPr lang="en-AU"/>
        </a:p>
      </dgm:t>
    </dgm:pt>
    <dgm:pt modelId="{A66629F9-34DA-4399-9FD7-B4E5BD0D2385}" type="pres">
      <dgm:prSet presAssocID="{27BF930A-55C7-490A-8718-9C087623BB8E}" presName="bgRectTx" presStyleLbl="bgShp" presStyleIdx="0" presStyleCnt="3">
        <dgm:presLayoutVars>
          <dgm:bulletEnabled val="1"/>
        </dgm:presLayoutVars>
      </dgm:prSet>
      <dgm:spPr/>
      <dgm:t>
        <a:bodyPr/>
        <a:lstStyle/>
        <a:p>
          <a:endParaRPr lang="en-AU"/>
        </a:p>
      </dgm:t>
    </dgm:pt>
    <dgm:pt modelId="{71BF33CB-8E20-4804-88F8-3D05D6FB9B5E}" type="pres">
      <dgm:prSet presAssocID="{27BF930A-55C7-490A-8718-9C087623BB8E}" presName="spComp" presStyleCnt="0"/>
      <dgm:spPr/>
    </dgm:pt>
    <dgm:pt modelId="{D3067051-4C5B-487C-A3DE-F0B842367E8B}" type="pres">
      <dgm:prSet presAssocID="{27BF930A-55C7-490A-8718-9C087623BB8E}" presName="vSp" presStyleCnt="0"/>
      <dgm:spPr/>
    </dgm:pt>
    <dgm:pt modelId="{B5A68B1C-61AE-4B14-B23D-9C09AA8D7A1D}" type="pres">
      <dgm:prSet presAssocID="{FC6FC774-155A-473A-85EE-C12C87796488}" presName="rectComp" presStyleCnt="0"/>
      <dgm:spPr/>
    </dgm:pt>
    <dgm:pt modelId="{6F4FA6ED-B526-454B-B562-C0AA019FC190}" type="pres">
      <dgm:prSet presAssocID="{FC6FC774-155A-473A-85EE-C12C87796488}" presName="bgRect" presStyleLbl="bgShp" presStyleIdx="1" presStyleCnt="3" custScaleY="110720" custLinFactNeighborY="13040"/>
      <dgm:spPr>
        <a:prstGeom prst="roundRect">
          <a:avLst>
            <a:gd name="adj" fmla="val 10000"/>
          </a:avLst>
        </a:prstGeom>
      </dgm:spPr>
      <dgm:t>
        <a:bodyPr/>
        <a:lstStyle/>
        <a:p>
          <a:endParaRPr lang="en-AU"/>
        </a:p>
      </dgm:t>
    </dgm:pt>
    <dgm:pt modelId="{6C1A0572-FA05-430C-8E9E-3A5B1E40C1C7}" type="pres">
      <dgm:prSet presAssocID="{FC6FC774-155A-473A-85EE-C12C87796488}" presName="bgRectTx" presStyleLbl="bgShp" presStyleIdx="1" presStyleCnt="3">
        <dgm:presLayoutVars>
          <dgm:bulletEnabled val="1"/>
        </dgm:presLayoutVars>
      </dgm:prSet>
      <dgm:spPr/>
      <dgm:t>
        <a:bodyPr/>
        <a:lstStyle/>
        <a:p>
          <a:endParaRPr lang="en-AU"/>
        </a:p>
      </dgm:t>
    </dgm:pt>
    <dgm:pt modelId="{B4019D16-0E1A-4691-A167-E541726DF710}" type="pres">
      <dgm:prSet presAssocID="{FC6FC774-155A-473A-85EE-C12C87796488}" presName="spComp" presStyleCnt="0"/>
      <dgm:spPr/>
    </dgm:pt>
    <dgm:pt modelId="{1FC667AF-90DB-4B11-BEDC-F4D799EBB7B3}" type="pres">
      <dgm:prSet presAssocID="{FC6FC774-155A-473A-85EE-C12C87796488}" presName="vSp" presStyleCnt="0"/>
      <dgm:spPr/>
    </dgm:pt>
    <dgm:pt modelId="{56BC5804-0292-415F-BFBB-803EABC3CA2A}" type="pres">
      <dgm:prSet presAssocID="{8A0DABF4-BF22-45E5-B876-49AABE97F453}" presName="rectComp" presStyleCnt="0"/>
      <dgm:spPr/>
    </dgm:pt>
    <dgm:pt modelId="{2D81E516-FCAD-4612-88D1-8869ADB157E3}" type="pres">
      <dgm:prSet presAssocID="{8A0DABF4-BF22-45E5-B876-49AABE97F453}" presName="bgRect" presStyleLbl="bgShp" presStyleIdx="2" presStyleCnt="3" custScaleY="123996" custLinFactNeighborY="17658"/>
      <dgm:spPr>
        <a:prstGeom prst="roundRect">
          <a:avLst>
            <a:gd name="adj" fmla="val 10000"/>
          </a:avLst>
        </a:prstGeom>
      </dgm:spPr>
      <dgm:t>
        <a:bodyPr/>
        <a:lstStyle/>
        <a:p>
          <a:endParaRPr lang="en-AU"/>
        </a:p>
      </dgm:t>
    </dgm:pt>
    <dgm:pt modelId="{BEB693A8-46C9-426F-8B3C-124E698E3A37}" type="pres">
      <dgm:prSet presAssocID="{8A0DABF4-BF22-45E5-B876-49AABE97F453}" presName="bgRectTx" presStyleLbl="bgShp" presStyleIdx="2" presStyleCnt="3">
        <dgm:presLayoutVars>
          <dgm:bulletEnabled val="1"/>
        </dgm:presLayoutVars>
      </dgm:prSet>
      <dgm:spPr/>
      <dgm:t>
        <a:bodyPr/>
        <a:lstStyle/>
        <a:p>
          <a:endParaRPr lang="en-AU"/>
        </a:p>
      </dgm:t>
    </dgm:pt>
  </dgm:ptLst>
  <dgm:cxnLst>
    <dgm:cxn modelId="{A4FB7CCF-F4CA-485E-9536-B2DDF5FA080A}" type="presOf" srcId="{FC6FC774-155A-473A-85EE-C12C87796488}" destId="{6C1A0572-FA05-430C-8E9E-3A5B1E40C1C7}" srcOrd="1" destOrd="0" presId="urn:microsoft.com/office/officeart/2005/8/layout/hierarchy6"/>
    <dgm:cxn modelId="{27A9E427-E5AA-4BB5-A36B-0BAC7EE56224}" type="presOf" srcId="{930D0994-2698-4378-9D56-1FD272EDE7BB}" destId="{A7B8E2D0-D6CC-4384-A220-02486BB3CAAA}" srcOrd="0" destOrd="0" presId="urn:microsoft.com/office/officeart/2005/8/layout/hierarchy6"/>
    <dgm:cxn modelId="{BF2144C2-97FA-4FBD-BB21-867B1BEFF69E}" type="presOf" srcId="{B7D7F9B0-EA87-4344-9BE3-481A38242FC9}" destId="{9B6B2A3A-EC06-410F-9826-0B2BE1ACC8F1}" srcOrd="0" destOrd="0" presId="urn:microsoft.com/office/officeart/2005/8/layout/hierarchy6"/>
    <dgm:cxn modelId="{E8BDCD28-6469-4A43-82DD-011E799FAEFC}" type="presOf" srcId="{27BF930A-55C7-490A-8718-9C087623BB8E}" destId="{A66629F9-34DA-4399-9FD7-B4E5BD0D2385}" srcOrd="1" destOrd="0" presId="urn:microsoft.com/office/officeart/2005/8/layout/hierarchy6"/>
    <dgm:cxn modelId="{737FC6FD-97EF-41EB-A0CD-0B5C539B0E09}" srcId="{8AF82DFE-CE24-4463-A53D-0F93A169047E}" destId="{930D0994-2698-4378-9D56-1FD272EDE7BB}" srcOrd="1" destOrd="0" parTransId="{BE31AD20-AC96-4DF7-840E-1AD0662379A9}" sibTransId="{2011B72B-24C7-4D75-A5E9-9730E082013C}"/>
    <dgm:cxn modelId="{B4D5C73E-7CBA-432D-A98E-7BAD65B839DE}" type="presOf" srcId="{DA96C53F-EC31-4318-940A-22809F9C2B68}" destId="{6BE73BC3-2B6E-4B54-9C64-338730CA4D76}" srcOrd="0" destOrd="0" presId="urn:microsoft.com/office/officeart/2005/8/layout/hierarchy6"/>
    <dgm:cxn modelId="{46C66468-DB31-4C19-ACA3-C184518ACF84}" type="presOf" srcId="{BE31AD20-AC96-4DF7-840E-1AD0662379A9}" destId="{F1D68DD6-FE6B-4A7D-92E4-CA11710614EA}" srcOrd="0" destOrd="0" presId="urn:microsoft.com/office/officeart/2005/8/layout/hierarchy6"/>
    <dgm:cxn modelId="{9E135DA5-0901-4E4D-933F-760220026E0E}" type="presOf" srcId="{27BF930A-55C7-490A-8718-9C087623BB8E}" destId="{52F42BB8-7075-4CC8-9A79-F47B96460360}" srcOrd="0" destOrd="0" presId="urn:microsoft.com/office/officeart/2005/8/layout/hierarchy6"/>
    <dgm:cxn modelId="{00B67EFE-58DC-4F81-A33E-82588B0A781F}" srcId="{20BC6CF2-8FC4-4FE1-A7CD-A64BC5520397}" destId="{6DB7BEDC-13C6-486D-B091-410B0910929F}" srcOrd="1" destOrd="0" parTransId="{73ED9ADA-3E0B-4C97-81FE-4BD6836F4320}" sibTransId="{99CC7BBB-6153-4F1E-B2D7-CA22336712BF}"/>
    <dgm:cxn modelId="{8A914C87-3854-442D-9540-49B09F0E5AE6}" type="presOf" srcId="{FC6FC774-155A-473A-85EE-C12C87796488}" destId="{6F4FA6ED-B526-454B-B562-C0AA019FC190}" srcOrd="0" destOrd="0" presId="urn:microsoft.com/office/officeart/2005/8/layout/hierarchy6"/>
    <dgm:cxn modelId="{C8CD7753-9EF4-428B-B971-B0DBE3491CC1}" type="presOf" srcId="{295FFA70-51A5-462C-83B8-E8D598ECAFBE}" destId="{CA193D53-996C-4825-A001-14F41E510EF1}" srcOrd="0" destOrd="0" presId="urn:microsoft.com/office/officeart/2005/8/layout/hierarchy6"/>
    <dgm:cxn modelId="{C43F22C1-BBCC-41AF-852E-A2D0198C46FA}" type="presOf" srcId="{8A0DABF4-BF22-45E5-B876-49AABE97F453}" destId="{BEB693A8-46C9-426F-8B3C-124E698E3A37}" srcOrd="1" destOrd="0" presId="urn:microsoft.com/office/officeart/2005/8/layout/hierarchy6"/>
    <dgm:cxn modelId="{8493656B-8771-4226-AFB5-89FBEC53B1B5}" type="presOf" srcId="{20BC6CF2-8FC4-4FE1-A7CD-A64BC5520397}" destId="{C1684745-A24A-4F60-970A-D06C7CD3A242}" srcOrd="0" destOrd="0" presId="urn:microsoft.com/office/officeart/2005/8/layout/hierarchy6"/>
    <dgm:cxn modelId="{98205CED-22AD-452B-B791-2E295537D417}" srcId="{295FFA70-51A5-462C-83B8-E8D598ECAFBE}" destId="{8A0DABF4-BF22-45E5-B876-49AABE97F453}" srcOrd="3" destOrd="0" parTransId="{6DE0F0CE-D9A5-4DE5-BB97-03DF3228A05D}" sibTransId="{3815ADA4-9E31-4648-865C-334689977DE1}"/>
    <dgm:cxn modelId="{AC4B113E-232E-42CA-8321-EC957001C7AA}" srcId="{295FFA70-51A5-462C-83B8-E8D598ECAFBE}" destId="{FC6FC774-155A-473A-85EE-C12C87796488}" srcOrd="2" destOrd="0" parTransId="{6FA9AD34-C476-45E6-9ECB-BA5FDCFF54F3}" sibTransId="{33DE3407-56E5-4542-BFF7-668229CC90EB}"/>
    <dgm:cxn modelId="{64BB8A88-99CE-47D6-84BA-E40C7472B6A2}" srcId="{8AF82DFE-CE24-4463-A53D-0F93A169047E}" destId="{20BC6CF2-8FC4-4FE1-A7CD-A64BC5520397}" srcOrd="0" destOrd="0" parTransId="{DA96C53F-EC31-4318-940A-22809F9C2B68}" sibTransId="{309FB60D-C663-4145-B384-845348DEC5F9}"/>
    <dgm:cxn modelId="{B0D97764-2654-4490-96DA-1CB1A53BEF97}" type="presOf" srcId="{73ED9ADA-3E0B-4C97-81FE-4BD6836F4320}" destId="{A1C0DA4A-7103-4C32-B0C2-404F51536479}" srcOrd="0" destOrd="0" presId="urn:microsoft.com/office/officeart/2005/8/layout/hierarchy6"/>
    <dgm:cxn modelId="{3E6EB4CA-E0B8-457D-B53A-7481FBD3B69D}" type="presOf" srcId="{B438E070-F94F-4B14-8042-A6EE15131FC7}" destId="{B8868113-6B90-4E7C-8ABC-D7A12B15A069}" srcOrd="0" destOrd="0" presId="urn:microsoft.com/office/officeart/2005/8/layout/hierarchy6"/>
    <dgm:cxn modelId="{538D99C5-5D9E-4A65-BE2C-7D92E24DC428}" type="presOf" srcId="{6DB7BEDC-13C6-486D-B091-410B0910929F}" destId="{A4AF7CEC-9D4E-4440-83DA-6807C9F3D197}" srcOrd="0" destOrd="0" presId="urn:microsoft.com/office/officeart/2005/8/layout/hierarchy6"/>
    <dgm:cxn modelId="{E93E9511-4004-4143-B23B-84F4BAEB9E5E}" srcId="{295FFA70-51A5-462C-83B8-E8D598ECAFBE}" destId="{27BF930A-55C7-490A-8718-9C087623BB8E}" srcOrd="1" destOrd="0" parTransId="{EEBE45D0-50CD-4309-A7C9-EF55FBCDC0E9}" sibTransId="{662DF745-7CCE-4FEC-A967-99B534C7E8EF}"/>
    <dgm:cxn modelId="{CE97EE13-5A70-4B41-827F-619F01BFF142}" type="presOf" srcId="{2F278DD5-37CC-4C9A-84AE-846AADF1F927}" destId="{D9557CC6-12FF-4D0D-847D-A42D38DE79BA}" srcOrd="0" destOrd="0" presId="urn:microsoft.com/office/officeart/2005/8/layout/hierarchy6"/>
    <dgm:cxn modelId="{9EE8B426-334C-4BF7-983C-08F11B35E421}" srcId="{295FFA70-51A5-462C-83B8-E8D598ECAFBE}" destId="{8AF82DFE-CE24-4463-A53D-0F93A169047E}" srcOrd="0" destOrd="0" parTransId="{B666660F-1268-4E30-899D-30E51947DA2F}" sibTransId="{DD973DBD-2249-4D67-8E1C-FC29352DC617}"/>
    <dgm:cxn modelId="{71F20C6A-F7E5-4335-AD0A-15AF530FD0DF}" type="presOf" srcId="{8AF82DFE-CE24-4463-A53D-0F93A169047E}" destId="{EA6EF12A-C6D7-471F-8ECF-746063AD0603}" srcOrd="0" destOrd="0" presId="urn:microsoft.com/office/officeart/2005/8/layout/hierarchy6"/>
    <dgm:cxn modelId="{2BA27FA9-9580-485B-8268-6EB6045EE324}" type="presOf" srcId="{8A0DABF4-BF22-45E5-B876-49AABE97F453}" destId="{2D81E516-FCAD-4612-88D1-8869ADB157E3}" srcOrd="0" destOrd="0" presId="urn:microsoft.com/office/officeart/2005/8/layout/hierarchy6"/>
    <dgm:cxn modelId="{650E325E-5A68-4E3E-907D-50855E7B71EE}" srcId="{20BC6CF2-8FC4-4FE1-A7CD-A64BC5520397}" destId="{B438E070-F94F-4B14-8042-A6EE15131FC7}" srcOrd="0" destOrd="0" parTransId="{B7D7F9B0-EA87-4344-9BE3-481A38242FC9}" sibTransId="{EEF5ACC6-DC54-433A-AB09-588B2159A824}"/>
    <dgm:cxn modelId="{301B1C07-E789-4F08-8BFA-1DA14A1E562B}" srcId="{20BC6CF2-8FC4-4FE1-A7CD-A64BC5520397}" destId="{2F278DD5-37CC-4C9A-84AE-846AADF1F927}" srcOrd="2" destOrd="0" parTransId="{F020F819-5C4F-4B4F-8176-454F08B289B2}" sibTransId="{0E64DF6C-8234-4FF3-AB64-B855E163E06E}"/>
    <dgm:cxn modelId="{84970E51-AC9A-4908-8CC2-5C9ABE1F4566}" type="presOf" srcId="{F020F819-5C4F-4B4F-8176-454F08B289B2}" destId="{F98BB568-A690-485E-8BEE-53F15F557163}" srcOrd="0" destOrd="0" presId="urn:microsoft.com/office/officeart/2005/8/layout/hierarchy6"/>
    <dgm:cxn modelId="{75D5C859-CF8F-4565-9F5F-B9B85A95178B}" type="presParOf" srcId="{CA193D53-996C-4825-A001-14F41E510EF1}" destId="{08836B63-3965-466A-9B5E-3B42B24F7977}" srcOrd="0" destOrd="0" presId="urn:microsoft.com/office/officeart/2005/8/layout/hierarchy6"/>
    <dgm:cxn modelId="{AE986BD2-72B1-400D-9904-D0EECBCD8B12}" type="presParOf" srcId="{08836B63-3965-466A-9B5E-3B42B24F7977}" destId="{E4E77D5C-F131-4C57-913D-D30A92560038}" srcOrd="0" destOrd="0" presId="urn:microsoft.com/office/officeart/2005/8/layout/hierarchy6"/>
    <dgm:cxn modelId="{F556E274-A61A-45D2-BFF2-06E1A2FEFBC4}" type="presParOf" srcId="{08836B63-3965-466A-9B5E-3B42B24F7977}" destId="{2C78AFEC-61DE-4D94-A2FF-336F8F8D3CBE}" srcOrd="1" destOrd="0" presId="urn:microsoft.com/office/officeart/2005/8/layout/hierarchy6"/>
    <dgm:cxn modelId="{BA695B9A-51B9-43E5-8F36-D505AA08C5B2}" type="presParOf" srcId="{2C78AFEC-61DE-4D94-A2FF-336F8F8D3CBE}" destId="{CA805E72-8AEB-4288-927E-F3EE6715C640}" srcOrd="0" destOrd="0" presId="urn:microsoft.com/office/officeart/2005/8/layout/hierarchy6"/>
    <dgm:cxn modelId="{844A8FC1-B805-4D63-96D9-E07787382B30}" type="presParOf" srcId="{CA805E72-8AEB-4288-927E-F3EE6715C640}" destId="{EA6EF12A-C6D7-471F-8ECF-746063AD0603}" srcOrd="0" destOrd="0" presId="urn:microsoft.com/office/officeart/2005/8/layout/hierarchy6"/>
    <dgm:cxn modelId="{3F2F00A8-D2C0-45D6-AEF2-F80A8A75A92E}" type="presParOf" srcId="{CA805E72-8AEB-4288-927E-F3EE6715C640}" destId="{37E9DAD3-FFCE-451A-89E7-C5C830E9019A}" srcOrd="1" destOrd="0" presId="urn:microsoft.com/office/officeart/2005/8/layout/hierarchy6"/>
    <dgm:cxn modelId="{BB16B178-7B07-4893-B696-08D3B23C21E6}" type="presParOf" srcId="{37E9DAD3-FFCE-451A-89E7-C5C830E9019A}" destId="{6BE73BC3-2B6E-4B54-9C64-338730CA4D76}" srcOrd="0" destOrd="0" presId="urn:microsoft.com/office/officeart/2005/8/layout/hierarchy6"/>
    <dgm:cxn modelId="{E2BB62F0-555D-4DF5-84F4-E378394D42E8}" type="presParOf" srcId="{37E9DAD3-FFCE-451A-89E7-C5C830E9019A}" destId="{5B3A7141-305C-4A6F-AB36-CC82A0B6642B}" srcOrd="1" destOrd="0" presId="urn:microsoft.com/office/officeart/2005/8/layout/hierarchy6"/>
    <dgm:cxn modelId="{E2FAADE7-EA7F-4304-AB65-A611DDEBAEEB}" type="presParOf" srcId="{5B3A7141-305C-4A6F-AB36-CC82A0B6642B}" destId="{C1684745-A24A-4F60-970A-D06C7CD3A242}" srcOrd="0" destOrd="0" presId="urn:microsoft.com/office/officeart/2005/8/layout/hierarchy6"/>
    <dgm:cxn modelId="{31D131D8-1801-484F-8040-EBC02ADD4BFF}" type="presParOf" srcId="{5B3A7141-305C-4A6F-AB36-CC82A0B6642B}" destId="{5AE3E5CE-0484-43E9-A619-D78FC892A273}" srcOrd="1" destOrd="0" presId="urn:microsoft.com/office/officeart/2005/8/layout/hierarchy6"/>
    <dgm:cxn modelId="{9A1BCE53-FDFA-450E-B229-77374774461F}" type="presParOf" srcId="{5AE3E5CE-0484-43E9-A619-D78FC892A273}" destId="{9B6B2A3A-EC06-410F-9826-0B2BE1ACC8F1}" srcOrd="0" destOrd="0" presId="urn:microsoft.com/office/officeart/2005/8/layout/hierarchy6"/>
    <dgm:cxn modelId="{F4CFCD39-6A93-48D8-A414-13959D51E455}" type="presParOf" srcId="{5AE3E5CE-0484-43E9-A619-D78FC892A273}" destId="{03A85869-88CC-491D-BA2E-1DA0FC97587E}" srcOrd="1" destOrd="0" presId="urn:microsoft.com/office/officeart/2005/8/layout/hierarchy6"/>
    <dgm:cxn modelId="{FB6CD87F-7B79-4C95-81BA-088C7FBDAE90}" type="presParOf" srcId="{03A85869-88CC-491D-BA2E-1DA0FC97587E}" destId="{B8868113-6B90-4E7C-8ABC-D7A12B15A069}" srcOrd="0" destOrd="0" presId="urn:microsoft.com/office/officeart/2005/8/layout/hierarchy6"/>
    <dgm:cxn modelId="{CAED5DF0-7DF8-47D5-A4A5-63A106C647B2}" type="presParOf" srcId="{03A85869-88CC-491D-BA2E-1DA0FC97587E}" destId="{CD9C2609-E8E2-458B-94C8-D898C62E9EC4}" srcOrd="1" destOrd="0" presId="urn:microsoft.com/office/officeart/2005/8/layout/hierarchy6"/>
    <dgm:cxn modelId="{D3F7669C-9261-4D0F-9040-B6FA9C2F379C}" type="presParOf" srcId="{5AE3E5CE-0484-43E9-A619-D78FC892A273}" destId="{A1C0DA4A-7103-4C32-B0C2-404F51536479}" srcOrd="2" destOrd="0" presId="urn:microsoft.com/office/officeart/2005/8/layout/hierarchy6"/>
    <dgm:cxn modelId="{AF8953BC-7F57-43B6-B89D-112152FD194F}" type="presParOf" srcId="{5AE3E5CE-0484-43E9-A619-D78FC892A273}" destId="{F35338E6-49B8-49A0-9BE7-3D426C077606}" srcOrd="3" destOrd="0" presId="urn:microsoft.com/office/officeart/2005/8/layout/hierarchy6"/>
    <dgm:cxn modelId="{C6389EAE-A0B1-42F4-A82B-3DD1C09D99D0}" type="presParOf" srcId="{F35338E6-49B8-49A0-9BE7-3D426C077606}" destId="{A4AF7CEC-9D4E-4440-83DA-6807C9F3D197}" srcOrd="0" destOrd="0" presId="urn:microsoft.com/office/officeart/2005/8/layout/hierarchy6"/>
    <dgm:cxn modelId="{7557E4C8-5A0E-4F7D-B09F-27AFF0F7E65C}" type="presParOf" srcId="{F35338E6-49B8-49A0-9BE7-3D426C077606}" destId="{624C6E59-A0E0-4D53-A5BB-0FC77579F92F}" srcOrd="1" destOrd="0" presId="urn:microsoft.com/office/officeart/2005/8/layout/hierarchy6"/>
    <dgm:cxn modelId="{6E637598-3A71-4637-9ED1-9FE09CA931F6}" type="presParOf" srcId="{5AE3E5CE-0484-43E9-A619-D78FC892A273}" destId="{F98BB568-A690-485E-8BEE-53F15F557163}" srcOrd="4" destOrd="0" presId="urn:microsoft.com/office/officeart/2005/8/layout/hierarchy6"/>
    <dgm:cxn modelId="{86237F2A-D383-4CB5-9753-2ADBA2442C3F}" type="presParOf" srcId="{5AE3E5CE-0484-43E9-A619-D78FC892A273}" destId="{2834D987-0118-4284-BF0B-FD88DB30A072}" srcOrd="5" destOrd="0" presId="urn:microsoft.com/office/officeart/2005/8/layout/hierarchy6"/>
    <dgm:cxn modelId="{EEEEB5D0-C91C-4DB3-B71B-004EC3457B1C}" type="presParOf" srcId="{2834D987-0118-4284-BF0B-FD88DB30A072}" destId="{D9557CC6-12FF-4D0D-847D-A42D38DE79BA}" srcOrd="0" destOrd="0" presId="urn:microsoft.com/office/officeart/2005/8/layout/hierarchy6"/>
    <dgm:cxn modelId="{DD4411DF-D762-41F6-876D-94A6376AD308}" type="presParOf" srcId="{2834D987-0118-4284-BF0B-FD88DB30A072}" destId="{58BB8ECF-C5BE-4B7C-9F52-BF7F26F54A4A}" srcOrd="1" destOrd="0" presId="urn:microsoft.com/office/officeart/2005/8/layout/hierarchy6"/>
    <dgm:cxn modelId="{604DBB4D-ED9E-46CA-A627-67228C927B4A}" type="presParOf" srcId="{37E9DAD3-FFCE-451A-89E7-C5C830E9019A}" destId="{F1D68DD6-FE6B-4A7D-92E4-CA11710614EA}" srcOrd="2" destOrd="0" presId="urn:microsoft.com/office/officeart/2005/8/layout/hierarchy6"/>
    <dgm:cxn modelId="{3DB4D74C-438A-4ECD-96EC-3FC8F438F4BA}" type="presParOf" srcId="{37E9DAD3-FFCE-451A-89E7-C5C830E9019A}" destId="{86A0176B-8CA1-4ECA-BFFF-5AD86A0D4DA5}" srcOrd="3" destOrd="0" presId="urn:microsoft.com/office/officeart/2005/8/layout/hierarchy6"/>
    <dgm:cxn modelId="{FB804812-BA88-4C19-B63F-1C7C1E2B962E}" type="presParOf" srcId="{86A0176B-8CA1-4ECA-BFFF-5AD86A0D4DA5}" destId="{A7B8E2D0-D6CC-4384-A220-02486BB3CAAA}" srcOrd="0" destOrd="0" presId="urn:microsoft.com/office/officeart/2005/8/layout/hierarchy6"/>
    <dgm:cxn modelId="{21CA4B0B-64C4-4CCC-B542-56812F3E7A97}" type="presParOf" srcId="{86A0176B-8CA1-4ECA-BFFF-5AD86A0D4DA5}" destId="{640B744E-5432-47F1-B245-0AEFD74B70F9}" srcOrd="1" destOrd="0" presId="urn:microsoft.com/office/officeart/2005/8/layout/hierarchy6"/>
    <dgm:cxn modelId="{90C94DF4-518B-4F70-B995-9276D0B58DB8}" type="presParOf" srcId="{CA193D53-996C-4825-A001-14F41E510EF1}" destId="{0DC88988-0A86-4F15-9B88-98354D473C07}" srcOrd="1" destOrd="0" presId="urn:microsoft.com/office/officeart/2005/8/layout/hierarchy6"/>
    <dgm:cxn modelId="{D73A1A9C-13CE-42A0-838A-9AC7703D57F6}" type="presParOf" srcId="{0DC88988-0A86-4F15-9B88-98354D473C07}" destId="{B928E127-9FCF-4632-81C6-530C03569E20}" srcOrd="0" destOrd="0" presId="urn:microsoft.com/office/officeart/2005/8/layout/hierarchy6"/>
    <dgm:cxn modelId="{C090928B-2B42-44C2-B8AF-130D6A8D8E55}" type="presParOf" srcId="{B928E127-9FCF-4632-81C6-530C03569E20}" destId="{52F42BB8-7075-4CC8-9A79-F47B96460360}" srcOrd="0" destOrd="0" presId="urn:microsoft.com/office/officeart/2005/8/layout/hierarchy6"/>
    <dgm:cxn modelId="{7AA61676-C586-42D1-AD40-8DDB66918101}" type="presParOf" srcId="{B928E127-9FCF-4632-81C6-530C03569E20}" destId="{A66629F9-34DA-4399-9FD7-B4E5BD0D2385}" srcOrd="1" destOrd="0" presId="urn:microsoft.com/office/officeart/2005/8/layout/hierarchy6"/>
    <dgm:cxn modelId="{7DA9445D-43F7-4B28-9D07-FD82772A316E}" type="presParOf" srcId="{0DC88988-0A86-4F15-9B88-98354D473C07}" destId="{71BF33CB-8E20-4804-88F8-3D05D6FB9B5E}" srcOrd="1" destOrd="0" presId="urn:microsoft.com/office/officeart/2005/8/layout/hierarchy6"/>
    <dgm:cxn modelId="{BD5A9ABA-DB81-45F5-904F-F45C3BC2EEB6}" type="presParOf" srcId="{71BF33CB-8E20-4804-88F8-3D05D6FB9B5E}" destId="{D3067051-4C5B-487C-A3DE-F0B842367E8B}" srcOrd="0" destOrd="0" presId="urn:microsoft.com/office/officeart/2005/8/layout/hierarchy6"/>
    <dgm:cxn modelId="{A62D7D0F-1BF2-405D-AAAA-AEECCE361865}" type="presParOf" srcId="{0DC88988-0A86-4F15-9B88-98354D473C07}" destId="{B5A68B1C-61AE-4B14-B23D-9C09AA8D7A1D}" srcOrd="2" destOrd="0" presId="urn:microsoft.com/office/officeart/2005/8/layout/hierarchy6"/>
    <dgm:cxn modelId="{FD256943-2CB1-48D1-9C3A-68AFB000276C}" type="presParOf" srcId="{B5A68B1C-61AE-4B14-B23D-9C09AA8D7A1D}" destId="{6F4FA6ED-B526-454B-B562-C0AA019FC190}" srcOrd="0" destOrd="0" presId="urn:microsoft.com/office/officeart/2005/8/layout/hierarchy6"/>
    <dgm:cxn modelId="{5180E0A4-2B1B-457C-9D42-98E5EE19453D}" type="presParOf" srcId="{B5A68B1C-61AE-4B14-B23D-9C09AA8D7A1D}" destId="{6C1A0572-FA05-430C-8E9E-3A5B1E40C1C7}" srcOrd="1" destOrd="0" presId="urn:microsoft.com/office/officeart/2005/8/layout/hierarchy6"/>
    <dgm:cxn modelId="{AA3D1E67-D63A-4E4F-B1F3-043E5EC3EBF1}" type="presParOf" srcId="{0DC88988-0A86-4F15-9B88-98354D473C07}" destId="{B4019D16-0E1A-4691-A167-E541726DF710}" srcOrd="3" destOrd="0" presId="urn:microsoft.com/office/officeart/2005/8/layout/hierarchy6"/>
    <dgm:cxn modelId="{5A34AC02-1103-4AB7-9C4A-8E0CD75EEF71}" type="presParOf" srcId="{B4019D16-0E1A-4691-A167-E541726DF710}" destId="{1FC667AF-90DB-4B11-BEDC-F4D799EBB7B3}" srcOrd="0" destOrd="0" presId="urn:microsoft.com/office/officeart/2005/8/layout/hierarchy6"/>
    <dgm:cxn modelId="{76996725-FB8F-408D-8407-44000721C1F2}" type="presParOf" srcId="{0DC88988-0A86-4F15-9B88-98354D473C07}" destId="{56BC5804-0292-415F-BFBB-803EABC3CA2A}" srcOrd="4" destOrd="0" presId="urn:microsoft.com/office/officeart/2005/8/layout/hierarchy6"/>
    <dgm:cxn modelId="{3638D887-1AD8-471D-BAD1-A09D2FDA845C}" type="presParOf" srcId="{56BC5804-0292-415F-BFBB-803EABC3CA2A}" destId="{2D81E516-FCAD-4612-88D1-8869ADB157E3}" srcOrd="0" destOrd="0" presId="urn:microsoft.com/office/officeart/2005/8/layout/hierarchy6"/>
    <dgm:cxn modelId="{DD4478C4-B50B-493F-999E-8BC40DC5F0CE}" type="presParOf" srcId="{56BC5804-0292-415F-BFBB-803EABC3CA2A}" destId="{BEB693A8-46C9-426F-8B3C-124E698E3A37}"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81E516-FCAD-4612-88D1-8869ADB157E3}">
      <dsp:nvSpPr>
        <dsp:cNvPr id="0" name=""/>
        <dsp:cNvSpPr/>
      </dsp:nvSpPr>
      <dsp:spPr>
        <a:xfrm>
          <a:off x="0" y="3427002"/>
          <a:ext cx="9479280" cy="1556477"/>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100000"/>
            </a:lnSpc>
            <a:spcBef>
              <a:spcPct val="0"/>
            </a:spcBef>
            <a:spcAft>
              <a:spcPts val="500"/>
            </a:spcAft>
          </a:pPr>
          <a:r>
            <a:rPr lang="en-AU" sz="1100" kern="1200">
              <a:solidFill>
                <a:srgbClr val="1F497D"/>
              </a:solidFill>
              <a:latin typeface="Calibri"/>
              <a:ea typeface="+mn-ea"/>
              <a:cs typeface="+mn-cs"/>
            </a:rPr>
            <a:t>- Specialist contributors to Targeted Solutions Program (i.e. resources to meet prioritised needs)</a:t>
          </a:r>
        </a:p>
        <a:p>
          <a:pPr lvl="0" algn="l" defTabSz="488950">
            <a:lnSpc>
              <a:spcPct val="100000"/>
            </a:lnSpc>
            <a:spcBef>
              <a:spcPct val="0"/>
            </a:spcBef>
            <a:spcAft>
              <a:spcPts val="500"/>
            </a:spcAft>
          </a:pPr>
          <a:r>
            <a:rPr lang="en-AU" sz="1100" kern="1200">
              <a:solidFill>
                <a:srgbClr val="1F497D"/>
              </a:solidFill>
              <a:latin typeface="Calibri"/>
              <a:ea typeface="+mn-ea"/>
              <a:cs typeface="+mn-cs"/>
            </a:rPr>
            <a:t>- Specialists drawn from academe and business</a:t>
          </a:r>
        </a:p>
        <a:p>
          <a:pPr lvl="0" algn="l" defTabSz="488950">
            <a:lnSpc>
              <a:spcPct val="100000"/>
            </a:lnSpc>
            <a:spcBef>
              <a:spcPct val="0"/>
            </a:spcBef>
            <a:spcAft>
              <a:spcPts val="500"/>
            </a:spcAft>
          </a:pPr>
          <a:r>
            <a:rPr lang="en-AU" sz="1100" kern="1200">
              <a:solidFill>
                <a:srgbClr val="1F497D"/>
              </a:solidFill>
              <a:latin typeface="Calibri"/>
              <a:ea typeface="+mn-ea"/>
              <a:cs typeface="+mn-cs"/>
            </a:rPr>
            <a:t>- Requires support capability (e.g. IT) and research infrastructure</a:t>
          </a:r>
        </a:p>
      </dsp:txBody>
      <dsp:txXfrm>
        <a:off x="6635495" y="3427002"/>
        <a:ext cx="2843784" cy="1556477"/>
      </dsp:txXfrm>
    </dsp:sp>
    <dsp:sp modelId="{6F4FA6ED-B526-454B-B562-C0AA019FC190}">
      <dsp:nvSpPr>
        <dsp:cNvPr id="0" name=""/>
        <dsp:cNvSpPr/>
      </dsp:nvSpPr>
      <dsp:spPr>
        <a:xfrm>
          <a:off x="0" y="1892445"/>
          <a:ext cx="9479280" cy="1389828"/>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488950">
            <a:lnSpc>
              <a:spcPct val="90000"/>
            </a:lnSpc>
            <a:spcBef>
              <a:spcPct val="0"/>
            </a:spcBef>
            <a:spcAft>
              <a:spcPct val="35000"/>
            </a:spcAft>
          </a:pPr>
          <a:r>
            <a:rPr lang="en-AU" sz="1100" kern="1200">
              <a:solidFill>
                <a:srgbClr val="1F497D"/>
              </a:solidFill>
              <a:latin typeface="Calibri"/>
              <a:ea typeface="+mn-ea"/>
              <a:cs typeface="+mn-cs"/>
            </a:rPr>
            <a:t>OFRS is an implementation capability:</a:t>
          </a:r>
        </a:p>
        <a:p>
          <a:pPr lvl="0" algn="l" defTabSz="488950">
            <a:lnSpc>
              <a:spcPct val="90000"/>
            </a:lnSpc>
            <a:spcBef>
              <a:spcPct val="0"/>
            </a:spcBef>
            <a:spcAft>
              <a:spcPct val="35000"/>
            </a:spcAft>
          </a:pPr>
          <a:r>
            <a:rPr lang="en-AU" sz="1100" kern="1200">
              <a:solidFill>
                <a:srgbClr val="1F497D"/>
              </a:solidFill>
              <a:latin typeface="Calibri"/>
              <a:ea typeface="+mn-ea"/>
              <a:cs typeface="+mn-cs"/>
            </a:rPr>
            <a:t>- Prioritise research and solution development</a:t>
          </a:r>
        </a:p>
        <a:p>
          <a:pPr lvl="0" algn="l" defTabSz="488950">
            <a:lnSpc>
              <a:spcPct val="90000"/>
            </a:lnSpc>
            <a:spcBef>
              <a:spcPct val="0"/>
            </a:spcBef>
            <a:spcAft>
              <a:spcPct val="35000"/>
            </a:spcAft>
          </a:pPr>
          <a:r>
            <a:rPr lang="en-AU" sz="1100" kern="1200">
              <a:solidFill>
                <a:srgbClr val="1F497D"/>
              </a:solidFill>
              <a:latin typeface="Calibri"/>
              <a:ea typeface="+mn-ea"/>
              <a:cs typeface="+mn-cs"/>
            </a:rPr>
            <a:t>- Administers Targeted Solutions Program</a:t>
          </a:r>
        </a:p>
        <a:p>
          <a:pPr lvl="0" algn="l" defTabSz="488950">
            <a:lnSpc>
              <a:spcPct val="90000"/>
            </a:lnSpc>
            <a:spcBef>
              <a:spcPct val="0"/>
            </a:spcBef>
            <a:spcAft>
              <a:spcPct val="35000"/>
            </a:spcAft>
          </a:pPr>
          <a:r>
            <a:rPr lang="en-AU" sz="1100" kern="1200">
              <a:solidFill>
                <a:srgbClr val="1F497D"/>
              </a:solidFill>
              <a:latin typeface="Calibri"/>
              <a:ea typeface="+mn-ea"/>
              <a:cs typeface="+mn-cs"/>
            </a:rPr>
            <a:t>- Provide services to execute regulating reform agenda e.g. facilitate consultation</a:t>
          </a:r>
        </a:p>
      </dsp:txBody>
      <dsp:txXfrm>
        <a:off x="6635495" y="1892445"/>
        <a:ext cx="2843784" cy="1389828"/>
      </dsp:txXfrm>
    </dsp:sp>
    <dsp:sp modelId="{52F42BB8-7075-4CC8-9A79-F47B96460360}">
      <dsp:nvSpPr>
        <dsp:cNvPr id="0" name=""/>
        <dsp:cNvSpPr/>
      </dsp:nvSpPr>
      <dsp:spPr>
        <a:xfrm>
          <a:off x="0" y="236216"/>
          <a:ext cx="9479280" cy="1420343"/>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l" defTabSz="0">
            <a:lnSpc>
              <a:spcPct val="100000"/>
            </a:lnSpc>
            <a:spcBef>
              <a:spcPct val="0"/>
            </a:spcBef>
            <a:spcAft>
              <a:spcPts val="500"/>
            </a:spcAft>
          </a:pPr>
          <a:r>
            <a:rPr lang="en-AU" sz="1100" kern="1200">
              <a:solidFill>
                <a:srgbClr val="1F497D"/>
              </a:solidFill>
              <a:latin typeface="Calibri"/>
              <a:ea typeface="+mn-ea"/>
              <a:cs typeface="+mn-cs"/>
            </a:rPr>
            <a:t>- Regulator accountability</a:t>
          </a:r>
        </a:p>
        <a:p>
          <a:pPr lvl="0" algn="l" defTabSz="0">
            <a:lnSpc>
              <a:spcPct val="100000"/>
            </a:lnSpc>
            <a:spcBef>
              <a:spcPct val="0"/>
            </a:spcBef>
            <a:spcAft>
              <a:spcPts val="500"/>
            </a:spcAft>
          </a:pPr>
          <a:r>
            <a:rPr lang="en-AU" sz="1100" kern="1200">
              <a:solidFill>
                <a:srgbClr val="1F497D"/>
              </a:solidFill>
              <a:latin typeface="Calibri"/>
              <a:ea typeface="+mn-ea"/>
              <a:cs typeface="+mn-cs"/>
            </a:rPr>
            <a:t>- Governance includes a representative body (e.g. Treasury, regulators, academe, business)</a:t>
          </a:r>
        </a:p>
        <a:p>
          <a:pPr lvl="0" algn="l" defTabSz="0">
            <a:lnSpc>
              <a:spcPct val="100000"/>
            </a:lnSpc>
            <a:spcBef>
              <a:spcPct val="0"/>
            </a:spcBef>
            <a:spcAft>
              <a:spcPts val="500"/>
            </a:spcAft>
          </a:pPr>
          <a:r>
            <a:rPr lang="en-AU" sz="1100" kern="1200">
              <a:solidFill>
                <a:srgbClr val="1F497D"/>
              </a:solidFill>
              <a:latin typeface="Calibri"/>
              <a:ea typeface="+mn-ea"/>
              <a:cs typeface="+mn-cs"/>
            </a:rPr>
            <a:t>- Focus on Implementation e.g. regulatory reform</a:t>
          </a:r>
        </a:p>
      </dsp:txBody>
      <dsp:txXfrm>
        <a:off x="6635495" y="236216"/>
        <a:ext cx="2843784" cy="1420343"/>
      </dsp:txXfrm>
    </dsp:sp>
    <dsp:sp modelId="{EA6EF12A-C6D7-471F-8ECF-746063AD0603}">
      <dsp:nvSpPr>
        <dsp:cNvPr id="0" name=""/>
        <dsp:cNvSpPr/>
      </dsp:nvSpPr>
      <dsp:spPr>
        <a:xfrm>
          <a:off x="261941" y="400175"/>
          <a:ext cx="5915557" cy="10460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b="1" kern="1200">
              <a:solidFill>
                <a:sysClr val="window" lastClr="FFFFFF"/>
              </a:solidFill>
              <a:latin typeface="Calibri"/>
              <a:ea typeface="+mn-ea"/>
              <a:cs typeface="+mn-cs"/>
            </a:rPr>
            <a:t>Financial Regulator Assessment Board</a:t>
          </a:r>
        </a:p>
        <a:p>
          <a:pPr lvl="0" algn="ctr" defTabSz="711200">
            <a:lnSpc>
              <a:spcPct val="90000"/>
            </a:lnSpc>
            <a:spcBef>
              <a:spcPct val="0"/>
            </a:spcBef>
            <a:spcAft>
              <a:spcPct val="35000"/>
            </a:spcAft>
          </a:pPr>
          <a:r>
            <a:rPr lang="en-AU" sz="1200" kern="1200">
              <a:solidFill>
                <a:sysClr val="window" lastClr="FFFFFF"/>
              </a:solidFill>
              <a:latin typeface="Calibri"/>
              <a:ea typeface="+mn-ea"/>
              <a:cs typeface="+mn-cs"/>
            </a:rPr>
            <a:t>(or other supervisory governance body)</a:t>
          </a:r>
        </a:p>
      </dsp:txBody>
      <dsp:txXfrm>
        <a:off x="292579" y="430813"/>
        <a:ext cx="5854281" cy="984777"/>
      </dsp:txXfrm>
    </dsp:sp>
    <dsp:sp modelId="{6BE73BC3-2B6E-4B54-9C64-338730CA4D76}">
      <dsp:nvSpPr>
        <dsp:cNvPr id="0" name=""/>
        <dsp:cNvSpPr/>
      </dsp:nvSpPr>
      <dsp:spPr>
        <a:xfrm>
          <a:off x="3219720" y="1446228"/>
          <a:ext cx="973449" cy="640603"/>
        </a:xfrm>
        <a:custGeom>
          <a:avLst/>
          <a:gdLst/>
          <a:ahLst/>
          <a:cxnLst/>
          <a:rect l="0" t="0" r="0" b="0"/>
          <a:pathLst>
            <a:path>
              <a:moveTo>
                <a:pt x="0" y="0"/>
              </a:moveTo>
              <a:lnTo>
                <a:pt x="0" y="345145"/>
              </a:lnTo>
              <a:lnTo>
                <a:pt x="802453" y="345145"/>
              </a:lnTo>
              <a:lnTo>
                <a:pt x="802453" y="690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684745-A24A-4F60-970A-D06C7CD3A242}">
      <dsp:nvSpPr>
        <dsp:cNvPr id="0" name=""/>
        <dsp:cNvSpPr/>
      </dsp:nvSpPr>
      <dsp:spPr>
        <a:xfrm>
          <a:off x="2219306" y="2086831"/>
          <a:ext cx="3947726" cy="1046053"/>
        </a:xfrm>
        <a:prstGeom prst="roundRect">
          <a:avLst>
            <a:gd name="adj" fmla="val 10000"/>
          </a:avLst>
        </a:prstGeom>
        <a:solidFill>
          <a:schemeClr val="accent1">
            <a:lumMod val="50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b="1" kern="1200">
              <a:solidFill>
                <a:sysClr val="window" lastClr="FFFFFF"/>
              </a:solidFill>
              <a:latin typeface="Calibri"/>
              <a:ea typeface="+mn-ea"/>
              <a:cs typeface="+mn-cs"/>
            </a:rPr>
            <a:t>Office of Financial Research and Solutions (OFRS)</a:t>
          </a:r>
        </a:p>
      </dsp:txBody>
      <dsp:txXfrm>
        <a:off x="2249944" y="2117469"/>
        <a:ext cx="3886450" cy="984777"/>
      </dsp:txXfrm>
    </dsp:sp>
    <dsp:sp modelId="{9B6B2A3A-EC06-410F-9826-0B2BE1ACC8F1}">
      <dsp:nvSpPr>
        <dsp:cNvPr id="0" name=""/>
        <dsp:cNvSpPr/>
      </dsp:nvSpPr>
      <dsp:spPr>
        <a:xfrm>
          <a:off x="4193169" y="3132884"/>
          <a:ext cx="1275614" cy="598928"/>
        </a:xfrm>
        <a:custGeom>
          <a:avLst/>
          <a:gdLst/>
          <a:ahLst/>
          <a:cxnLst/>
          <a:rect l="0" t="0" r="0" b="0"/>
          <a:pathLst>
            <a:path>
              <a:moveTo>
                <a:pt x="0" y="0"/>
              </a:moveTo>
              <a:lnTo>
                <a:pt x="0" y="360382"/>
              </a:lnTo>
              <a:lnTo>
                <a:pt x="1086541" y="360382"/>
              </a:lnTo>
              <a:lnTo>
                <a:pt x="1086541" y="7207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8868113-6B90-4E7C-8ABC-D7A12B15A069}">
      <dsp:nvSpPr>
        <dsp:cNvPr id="0" name=""/>
        <dsp:cNvSpPr/>
      </dsp:nvSpPr>
      <dsp:spPr>
        <a:xfrm>
          <a:off x="4839191" y="3731813"/>
          <a:ext cx="1259186" cy="10460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Banking</a:t>
          </a:r>
        </a:p>
      </dsp:txBody>
      <dsp:txXfrm>
        <a:off x="4869829" y="3762451"/>
        <a:ext cx="1197910" cy="984777"/>
      </dsp:txXfrm>
    </dsp:sp>
    <dsp:sp modelId="{A1C0DA4A-7103-4C32-B0C2-404F51536479}">
      <dsp:nvSpPr>
        <dsp:cNvPr id="0" name=""/>
        <dsp:cNvSpPr/>
      </dsp:nvSpPr>
      <dsp:spPr>
        <a:xfrm>
          <a:off x="3203441" y="3132884"/>
          <a:ext cx="989728" cy="598928"/>
        </a:xfrm>
        <a:custGeom>
          <a:avLst/>
          <a:gdLst/>
          <a:ahLst/>
          <a:cxnLst/>
          <a:rect l="0" t="0" r="0" b="0"/>
          <a:pathLst>
            <a:path>
              <a:moveTo>
                <a:pt x="190124" y="0"/>
              </a:moveTo>
              <a:lnTo>
                <a:pt x="190124" y="360382"/>
              </a:lnTo>
              <a:lnTo>
                <a:pt x="0" y="360382"/>
              </a:lnTo>
              <a:lnTo>
                <a:pt x="0" y="7207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AF7CEC-9D4E-4440-83DA-6807C9F3D197}">
      <dsp:nvSpPr>
        <dsp:cNvPr id="0" name=""/>
        <dsp:cNvSpPr/>
      </dsp:nvSpPr>
      <dsp:spPr>
        <a:xfrm>
          <a:off x="2573847" y="3731813"/>
          <a:ext cx="1259186" cy="10460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Super</a:t>
          </a:r>
        </a:p>
      </dsp:txBody>
      <dsp:txXfrm>
        <a:off x="2604485" y="3762451"/>
        <a:ext cx="1197910" cy="984777"/>
      </dsp:txXfrm>
    </dsp:sp>
    <dsp:sp modelId="{F98BB568-A690-485E-8BEE-53F15F557163}">
      <dsp:nvSpPr>
        <dsp:cNvPr id="0" name=""/>
        <dsp:cNvSpPr/>
      </dsp:nvSpPr>
      <dsp:spPr>
        <a:xfrm>
          <a:off x="914059" y="3132884"/>
          <a:ext cx="3279110" cy="598928"/>
        </a:xfrm>
        <a:custGeom>
          <a:avLst/>
          <a:gdLst/>
          <a:ahLst/>
          <a:cxnLst/>
          <a:rect l="0" t="0" r="0" b="0"/>
          <a:pathLst>
            <a:path>
              <a:moveTo>
                <a:pt x="1466467" y="0"/>
              </a:moveTo>
              <a:lnTo>
                <a:pt x="1466467" y="360382"/>
              </a:lnTo>
              <a:lnTo>
                <a:pt x="0" y="360382"/>
              </a:lnTo>
              <a:lnTo>
                <a:pt x="0" y="7207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557CC6-12FF-4D0D-847D-A42D38DE79BA}">
      <dsp:nvSpPr>
        <dsp:cNvPr id="0" name=""/>
        <dsp:cNvSpPr/>
      </dsp:nvSpPr>
      <dsp:spPr>
        <a:xfrm>
          <a:off x="284465" y="3731813"/>
          <a:ext cx="1259186" cy="10460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Finance</a:t>
          </a:r>
        </a:p>
      </dsp:txBody>
      <dsp:txXfrm>
        <a:off x="315103" y="3762451"/>
        <a:ext cx="1197910" cy="984777"/>
      </dsp:txXfrm>
    </dsp:sp>
    <dsp:sp modelId="{F1D68DD6-FE6B-4A7D-92E4-CA11710614EA}">
      <dsp:nvSpPr>
        <dsp:cNvPr id="0" name=""/>
        <dsp:cNvSpPr/>
      </dsp:nvSpPr>
      <dsp:spPr>
        <a:xfrm>
          <a:off x="1078138" y="1446228"/>
          <a:ext cx="2141582" cy="640603"/>
        </a:xfrm>
        <a:custGeom>
          <a:avLst/>
          <a:gdLst/>
          <a:ahLst/>
          <a:cxnLst/>
          <a:rect l="0" t="0" r="0" b="0"/>
          <a:pathLst>
            <a:path>
              <a:moveTo>
                <a:pt x="1765391" y="0"/>
              </a:moveTo>
              <a:lnTo>
                <a:pt x="1765391" y="345145"/>
              </a:lnTo>
              <a:lnTo>
                <a:pt x="0" y="345145"/>
              </a:lnTo>
              <a:lnTo>
                <a:pt x="0" y="690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7B8E2D0-D6CC-4384-A220-02486BB3CAAA}">
      <dsp:nvSpPr>
        <dsp:cNvPr id="0" name=""/>
        <dsp:cNvSpPr/>
      </dsp:nvSpPr>
      <dsp:spPr>
        <a:xfrm>
          <a:off x="259588" y="2086831"/>
          <a:ext cx="1637099" cy="104605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AU" sz="1600" kern="1200">
              <a:solidFill>
                <a:sysClr val="window" lastClr="FFFFFF"/>
              </a:solidFill>
              <a:latin typeface="Calibri"/>
              <a:ea typeface="+mn-ea"/>
              <a:cs typeface="+mn-cs"/>
            </a:rPr>
            <a:t>Other responsibilities</a:t>
          </a:r>
        </a:p>
      </dsp:txBody>
      <dsp:txXfrm>
        <a:off x="290226" y="2117469"/>
        <a:ext cx="1575823" cy="98477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BCR1400115</SubmissionID>
    <OriginalFileName xmlns="ed110c73-9675-4a40-bedd-85eaf2417466">CIFR Submission - 9 December 2014.docx</OriginalFileName>
  </documentManagement>
</p:properties>
</file>

<file path=customXml/itemProps1.xml><?xml version="1.0" encoding="utf-8"?>
<ds:datastoreItem xmlns:ds="http://schemas.openxmlformats.org/officeDocument/2006/customXml" ds:itemID="{6E0F8B89-DE59-4307-8650-3F4A8A61052F}"/>
</file>

<file path=customXml/itemProps2.xml><?xml version="1.0" encoding="utf-8"?>
<ds:datastoreItem xmlns:ds="http://schemas.openxmlformats.org/officeDocument/2006/customXml" ds:itemID="{8B192C0D-826B-4625-9F75-3E1CA654B1F4}"/>
</file>

<file path=customXml/itemProps3.xml><?xml version="1.0" encoding="utf-8"?>
<ds:datastoreItem xmlns:ds="http://schemas.openxmlformats.org/officeDocument/2006/customXml" ds:itemID="{A25A5258-FF50-46B0-A415-7621DE334728}"/>
</file>

<file path=docProps/app.xml><?xml version="1.0" encoding="utf-8"?>
<Properties xmlns="http://schemas.openxmlformats.org/officeDocument/2006/extended-properties" xmlns:vt="http://schemas.openxmlformats.org/officeDocument/2006/docPropsVTypes">
  <Template>E7D73D8F.dotm</Template>
  <TotalTime>11</TotalTime>
  <Pages>23</Pages>
  <Words>6671</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44607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1_Boosting_the_commercial_return_CentreforInternationalFinanceandRegulation_12022015_BCR1400115.docx</dc:title>
  <dc:creator>Emily Stevenson</dc:creator>
  <cp:lastModifiedBy>Drew Menzies-McVey</cp:lastModifiedBy>
  <cp:revision>3</cp:revision>
  <dcterms:created xsi:type="dcterms:W3CDTF">2014-12-11T04:41:00Z</dcterms:created>
  <dcterms:modified xsi:type="dcterms:W3CDTF">2015-02-23T00:17:00Z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