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2E72B" w14:textId="77777777" w:rsidR="00B674ED" w:rsidRPr="00A53FF8" w:rsidRDefault="00D83330" w:rsidP="00C801B0">
      <w:pPr>
        <w:rPr>
          <w:rFonts w:cs="Times New Roman"/>
        </w:rPr>
      </w:pPr>
      <w:r w:rsidRPr="00A53FF8">
        <w:rPr>
          <w:rFonts w:cs="Times New Roman"/>
          <w:noProof/>
          <w:lang w:val="en-AU" w:eastAsia="en-AU"/>
        </w:rPr>
        <mc:AlternateContent>
          <mc:Choice Requires="wps">
            <w:drawing>
              <wp:anchor distT="0" distB="0" distL="114300" distR="114300" simplePos="0" relativeHeight="251658240" behindDoc="0" locked="0" layoutInCell="1" allowOverlap="1" wp14:anchorId="6CBA89DF" wp14:editId="4B482A4B">
                <wp:simplePos x="0" y="0"/>
                <wp:positionH relativeFrom="column">
                  <wp:posOffset>-1107440</wp:posOffset>
                </wp:positionH>
                <wp:positionV relativeFrom="paragraph">
                  <wp:posOffset>281305</wp:posOffset>
                </wp:positionV>
                <wp:extent cx="8030845" cy="8022590"/>
                <wp:effectExtent l="38100" t="38100" r="46355" b="355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0845" cy="8022590"/>
                        </a:xfrm>
                        <a:prstGeom prst="rect">
                          <a:avLst/>
                        </a:prstGeom>
                        <a:solidFill>
                          <a:srgbClr val="006FAB"/>
                        </a:solidFill>
                        <a:ln w="76200">
                          <a:solidFill>
                            <a:srgbClr val="ED1C24"/>
                          </a:solidFill>
                          <a:miter lim="800000"/>
                          <a:headEnd/>
                          <a:tailEnd/>
                        </a:ln>
                      </wps:spPr>
                      <wps:txbx>
                        <w:txbxContent>
                          <w:p w14:paraId="470579C7" w14:textId="77777777" w:rsidR="00382260" w:rsidRDefault="00382260" w:rsidP="00FA1D9C"/>
                          <w:p w14:paraId="381D900D" w14:textId="77777777" w:rsidR="00382260" w:rsidRDefault="00382260" w:rsidP="00FA1D9C"/>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2pt;margin-top:22.15pt;width:632.35pt;height:6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" fillcolor="#006fab" strokecolor="#ed1c24" strokeweight="6pt">
                <v:textbox>
                  <w:txbxContent>
                    <w:p w14:paraId="470579C7" w14:textId="77777777" w:rsidR="00382260" w:rsidRDefault="00382260" w:rsidP="00FA1D9C"/>
                    <w:p w14:paraId="381D900D" w14:textId="77777777" w:rsidR="00382260" w:rsidRDefault="00382260" w:rsidP="00FA1D9C"/>
                  </w:txbxContent>
                </v:textbox>
              </v:shape>
            </w:pict>
          </mc:Fallback>
        </mc:AlternateContent>
      </w:r>
    </w:p>
    <w:p w14:paraId="0ACB2395" w14:textId="77777777" w:rsidR="00B674ED" w:rsidRPr="00A53FF8" w:rsidRDefault="00B674ED" w:rsidP="00C801B0">
      <w:pPr>
        <w:rPr>
          <w:rFonts w:cs="Times New Roman"/>
        </w:rPr>
      </w:pPr>
    </w:p>
    <w:p w14:paraId="2E20BF21" w14:textId="77777777" w:rsidR="00B674ED" w:rsidRPr="00A53FF8" w:rsidRDefault="00B674ED" w:rsidP="00C801B0">
      <w:pPr>
        <w:rPr>
          <w:rFonts w:cs="Times New Roman"/>
        </w:rPr>
      </w:pPr>
    </w:p>
    <w:p w14:paraId="39513113" w14:textId="77777777" w:rsidR="00B674ED" w:rsidRPr="00A53FF8" w:rsidRDefault="00B674ED" w:rsidP="00C801B0">
      <w:pPr>
        <w:rPr>
          <w:rFonts w:cs="Times New Roman"/>
        </w:rPr>
      </w:pPr>
    </w:p>
    <w:p w14:paraId="7AD488CE" w14:textId="77777777" w:rsidR="00B674ED" w:rsidRPr="00A53FF8" w:rsidRDefault="00B674ED" w:rsidP="00C801B0">
      <w:pPr>
        <w:rPr>
          <w:rFonts w:cs="Times New Roman"/>
        </w:rPr>
      </w:pPr>
    </w:p>
    <w:p w14:paraId="46913E0C" w14:textId="77777777" w:rsidR="00B674ED" w:rsidRPr="00A53FF8" w:rsidRDefault="00B674ED" w:rsidP="00C801B0">
      <w:pPr>
        <w:rPr>
          <w:rFonts w:cs="Times New Roman"/>
        </w:rPr>
      </w:pPr>
    </w:p>
    <w:p w14:paraId="4D062BE6" w14:textId="77777777" w:rsidR="00B674ED" w:rsidRPr="00A53FF8" w:rsidRDefault="00D83330" w:rsidP="00C801B0">
      <w:pPr>
        <w:rPr>
          <w:rFonts w:cs="Times New Roman"/>
        </w:rPr>
      </w:pPr>
      <w:r w:rsidRPr="00A53FF8">
        <w:rPr>
          <w:rFonts w:cs="Times New Roman"/>
          <w:noProof/>
          <w:lang w:val="en-AU" w:eastAsia="en-AU"/>
        </w:rPr>
        <mc:AlternateContent>
          <mc:Choice Requires="wps">
            <w:drawing>
              <wp:anchor distT="0" distB="0" distL="114300" distR="114300" simplePos="0" relativeHeight="251659264" behindDoc="0" locked="0" layoutInCell="1" allowOverlap="1" wp14:anchorId="2A8B69DF" wp14:editId="416955B2">
                <wp:simplePos x="0" y="0"/>
                <wp:positionH relativeFrom="column">
                  <wp:posOffset>-120650</wp:posOffset>
                </wp:positionH>
                <wp:positionV relativeFrom="paragraph">
                  <wp:posOffset>196215</wp:posOffset>
                </wp:positionV>
                <wp:extent cx="5770880" cy="26485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880" cy="2648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28309" w14:textId="6432623B" w:rsidR="00382260" w:rsidRPr="00AE00F3" w:rsidRDefault="00382260" w:rsidP="00FA1D9C">
                            <w:pPr>
                              <w:jc w:val="center"/>
                              <w:rPr>
                                <w:b/>
                                <w:color w:val="FFFFFF"/>
                                <w:sz w:val="48"/>
                                <w:szCs w:val="48"/>
                              </w:rPr>
                            </w:pPr>
                            <w:r w:rsidRPr="00AE00F3">
                              <w:rPr>
                                <w:b/>
                                <w:color w:val="FFFFFF"/>
                                <w:sz w:val="48"/>
                                <w:szCs w:val="48"/>
                              </w:rPr>
                              <w:t>Australian Catholic University (</w:t>
                            </w:r>
                            <w:proofErr w:type="spellStart"/>
                            <w:r w:rsidRPr="00AE00F3">
                              <w:rPr>
                                <w:b/>
                                <w:color w:val="FFFFFF"/>
                                <w:sz w:val="48"/>
                                <w:szCs w:val="48"/>
                              </w:rPr>
                              <w:t>ACU</w:t>
                            </w:r>
                            <w:proofErr w:type="spellEnd"/>
                            <w:r w:rsidRPr="00AE00F3">
                              <w:rPr>
                                <w:b/>
                                <w:color w:val="FFFFFF"/>
                                <w:sz w:val="48"/>
                                <w:szCs w:val="48"/>
                              </w:rPr>
                              <w:t xml:space="preserve">) </w:t>
                            </w:r>
                            <w:r w:rsidR="007D3C6F">
                              <w:rPr>
                                <w:b/>
                                <w:color w:val="FFFFFF"/>
                                <w:sz w:val="48"/>
                                <w:szCs w:val="48"/>
                              </w:rPr>
                              <w:t>Response</w:t>
                            </w:r>
                            <w:r w:rsidRPr="00AE00F3">
                              <w:rPr>
                                <w:b/>
                                <w:color w:val="FFFFFF"/>
                                <w:sz w:val="48"/>
                                <w:szCs w:val="48"/>
                              </w:rPr>
                              <w:t xml:space="preserve"> to the </w:t>
                            </w:r>
                            <w:r w:rsidR="00C17C39">
                              <w:rPr>
                                <w:b/>
                                <w:color w:val="FFFFFF"/>
                                <w:sz w:val="48"/>
                                <w:szCs w:val="48"/>
                              </w:rPr>
                              <w:t xml:space="preserve">Australian Government Paper </w:t>
                            </w:r>
                            <w:r w:rsidR="00C17C39">
                              <w:rPr>
                                <w:b/>
                                <w:i/>
                                <w:color w:val="FFFFFF"/>
                                <w:sz w:val="48"/>
                                <w:szCs w:val="48"/>
                              </w:rPr>
                              <w:t>Boosting the Commercial Returns from Research</w:t>
                            </w:r>
                          </w:p>
                          <w:p w14:paraId="5A59B953" w14:textId="4408D6C7" w:rsidR="00382260" w:rsidRPr="00AE00F3" w:rsidRDefault="00C17C39" w:rsidP="00FA1D9C">
                            <w:pPr>
                              <w:jc w:val="center"/>
                              <w:rPr>
                                <w:b/>
                                <w:color w:val="FFFFFF"/>
                                <w:sz w:val="32"/>
                                <w:szCs w:val="32"/>
                              </w:rPr>
                            </w:pPr>
                            <w:r>
                              <w:rPr>
                                <w:b/>
                                <w:color w:val="FFFFFF"/>
                                <w:sz w:val="32"/>
                                <w:szCs w:val="32"/>
                              </w:rPr>
                              <w:t>November</w:t>
                            </w:r>
                            <w:r w:rsidR="00382260" w:rsidRPr="00AE00F3">
                              <w:rPr>
                                <w:b/>
                                <w:color w:val="FFFFFF"/>
                                <w:sz w:val="32"/>
                                <w:szCs w:val="32"/>
                              </w:rPr>
                              <w:t xml:space="preserve"> 2014</w:t>
                            </w:r>
                          </w:p>
                          <w:p w14:paraId="3F2782D0" w14:textId="77777777" w:rsidR="00382260" w:rsidRPr="00AE00F3" w:rsidRDefault="00382260" w:rsidP="00FA1D9C">
                            <w:pPr>
                              <w:jc w:val="center"/>
                              <w:rPr>
                                <w:b/>
                                <w:color w:val="FFFFFF"/>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9.5pt;margin-top:15.45pt;width:454.4pt;height:2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" filled="f" stroked="f" strokeweight=".5pt">
                <v:path arrowok="t"/>
                <v:textbox>
                  <w:txbxContent>
                    <w:p w14:paraId="0BB28309" w14:textId="6432623B" w:rsidR="00382260" w:rsidRPr="00AE00F3" w:rsidRDefault="00382260" w:rsidP="00FA1D9C">
                      <w:pPr>
                        <w:jc w:val="center"/>
                        <w:rPr>
                          <w:b/>
                          <w:color w:val="FFFFFF"/>
                          <w:sz w:val="48"/>
                          <w:szCs w:val="48"/>
                        </w:rPr>
                      </w:pPr>
                      <w:r w:rsidRPr="00AE00F3">
                        <w:rPr>
                          <w:b/>
                          <w:color w:val="FFFFFF"/>
                          <w:sz w:val="48"/>
                          <w:szCs w:val="48"/>
                        </w:rPr>
                        <w:t>Australian Catholic University (</w:t>
                      </w:r>
                      <w:proofErr w:type="spellStart"/>
                      <w:r w:rsidRPr="00AE00F3">
                        <w:rPr>
                          <w:b/>
                          <w:color w:val="FFFFFF"/>
                          <w:sz w:val="48"/>
                          <w:szCs w:val="48"/>
                        </w:rPr>
                        <w:t>ACU</w:t>
                      </w:r>
                      <w:proofErr w:type="spellEnd"/>
                      <w:r w:rsidRPr="00AE00F3">
                        <w:rPr>
                          <w:b/>
                          <w:color w:val="FFFFFF"/>
                          <w:sz w:val="48"/>
                          <w:szCs w:val="48"/>
                        </w:rPr>
                        <w:t xml:space="preserve">) </w:t>
                      </w:r>
                      <w:r w:rsidR="007D3C6F">
                        <w:rPr>
                          <w:b/>
                          <w:color w:val="FFFFFF"/>
                          <w:sz w:val="48"/>
                          <w:szCs w:val="48"/>
                        </w:rPr>
                        <w:t>Response</w:t>
                      </w:r>
                      <w:r w:rsidRPr="00AE00F3">
                        <w:rPr>
                          <w:b/>
                          <w:color w:val="FFFFFF"/>
                          <w:sz w:val="48"/>
                          <w:szCs w:val="48"/>
                        </w:rPr>
                        <w:t xml:space="preserve"> to the </w:t>
                      </w:r>
                      <w:r w:rsidR="00C17C39">
                        <w:rPr>
                          <w:b/>
                          <w:color w:val="FFFFFF"/>
                          <w:sz w:val="48"/>
                          <w:szCs w:val="48"/>
                        </w:rPr>
                        <w:t xml:space="preserve">Australian Government Paper </w:t>
                      </w:r>
                      <w:r w:rsidR="00C17C39">
                        <w:rPr>
                          <w:b/>
                          <w:i/>
                          <w:color w:val="FFFFFF"/>
                          <w:sz w:val="48"/>
                          <w:szCs w:val="48"/>
                        </w:rPr>
                        <w:t>Boosting the Commercial Returns from Research</w:t>
                      </w:r>
                    </w:p>
                    <w:p w14:paraId="5A59B953" w14:textId="4408D6C7" w:rsidR="00382260" w:rsidRPr="00AE00F3" w:rsidRDefault="00C17C39" w:rsidP="00FA1D9C">
                      <w:pPr>
                        <w:jc w:val="center"/>
                        <w:rPr>
                          <w:b/>
                          <w:color w:val="FFFFFF"/>
                          <w:sz w:val="32"/>
                          <w:szCs w:val="32"/>
                        </w:rPr>
                      </w:pPr>
                      <w:r>
                        <w:rPr>
                          <w:b/>
                          <w:color w:val="FFFFFF"/>
                          <w:sz w:val="32"/>
                          <w:szCs w:val="32"/>
                        </w:rPr>
                        <w:t>November</w:t>
                      </w:r>
                      <w:r w:rsidR="00382260" w:rsidRPr="00AE00F3">
                        <w:rPr>
                          <w:b/>
                          <w:color w:val="FFFFFF"/>
                          <w:sz w:val="32"/>
                          <w:szCs w:val="32"/>
                        </w:rPr>
                        <w:t xml:space="preserve"> 2014</w:t>
                      </w:r>
                    </w:p>
                    <w:p w14:paraId="3F2782D0" w14:textId="77777777" w:rsidR="00382260" w:rsidRPr="00AE00F3" w:rsidRDefault="00382260" w:rsidP="00FA1D9C">
                      <w:pPr>
                        <w:jc w:val="center"/>
                        <w:rPr>
                          <w:b/>
                          <w:color w:val="FFFFFF"/>
                          <w:sz w:val="48"/>
                          <w:szCs w:val="48"/>
                        </w:rPr>
                      </w:pPr>
                    </w:p>
                  </w:txbxContent>
                </v:textbox>
              </v:shape>
            </w:pict>
          </mc:Fallback>
        </mc:AlternateContent>
      </w:r>
    </w:p>
    <w:p w14:paraId="00CEF2B8" w14:textId="77777777" w:rsidR="00B674ED" w:rsidRPr="00A53FF8" w:rsidRDefault="00B674ED" w:rsidP="00C801B0">
      <w:pPr>
        <w:rPr>
          <w:rFonts w:cs="Times New Roman"/>
        </w:rPr>
      </w:pPr>
    </w:p>
    <w:p w14:paraId="1E42405B" w14:textId="77777777" w:rsidR="00B674ED" w:rsidRPr="00A53FF8" w:rsidRDefault="00B674ED" w:rsidP="00C801B0">
      <w:pPr>
        <w:rPr>
          <w:rFonts w:cs="Times New Roman"/>
        </w:rPr>
      </w:pPr>
    </w:p>
    <w:p w14:paraId="6EABAFC9" w14:textId="77777777" w:rsidR="00B674ED" w:rsidRPr="00A53FF8" w:rsidRDefault="00B674ED" w:rsidP="00C801B0">
      <w:pPr>
        <w:rPr>
          <w:rFonts w:cs="Times New Roman"/>
        </w:rPr>
      </w:pPr>
    </w:p>
    <w:p w14:paraId="4B83975C" w14:textId="77777777" w:rsidR="00B674ED" w:rsidRPr="00A53FF8" w:rsidRDefault="00B674ED" w:rsidP="00C801B0">
      <w:pPr>
        <w:rPr>
          <w:rFonts w:cs="Times New Roman"/>
        </w:rPr>
      </w:pPr>
    </w:p>
    <w:p w14:paraId="125284DC" w14:textId="77777777" w:rsidR="00B674ED" w:rsidRPr="00A53FF8" w:rsidRDefault="00B674ED" w:rsidP="00C801B0">
      <w:pPr>
        <w:rPr>
          <w:rFonts w:cs="Times New Roman"/>
        </w:rPr>
      </w:pPr>
    </w:p>
    <w:p w14:paraId="02BF96A3" w14:textId="77777777" w:rsidR="00B674ED" w:rsidRPr="00A53FF8" w:rsidRDefault="00B674ED" w:rsidP="00C801B0">
      <w:pPr>
        <w:rPr>
          <w:rFonts w:cs="Times New Roman"/>
        </w:rPr>
      </w:pPr>
    </w:p>
    <w:p w14:paraId="0B028CDC" w14:textId="77777777" w:rsidR="00B674ED" w:rsidRPr="00A53FF8" w:rsidRDefault="00B674ED" w:rsidP="00C801B0">
      <w:pPr>
        <w:rPr>
          <w:rFonts w:cs="Times New Roman"/>
        </w:rPr>
      </w:pPr>
    </w:p>
    <w:p w14:paraId="7BE29CC0" w14:textId="77777777" w:rsidR="00B674ED" w:rsidRPr="00A53FF8" w:rsidRDefault="00B674ED" w:rsidP="00C801B0">
      <w:pPr>
        <w:rPr>
          <w:rFonts w:cs="Times New Roman"/>
        </w:rPr>
      </w:pPr>
    </w:p>
    <w:p w14:paraId="3FA477DD" w14:textId="77777777" w:rsidR="00B674ED" w:rsidRPr="00A53FF8" w:rsidRDefault="00B674ED" w:rsidP="00C801B0">
      <w:pPr>
        <w:rPr>
          <w:rFonts w:cs="Times New Roman"/>
        </w:rPr>
      </w:pPr>
    </w:p>
    <w:p w14:paraId="2397293C" w14:textId="77777777" w:rsidR="00B674ED" w:rsidRPr="00A53FF8" w:rsidRDefault="00B674ED" w:rsidP="00C801B0">
      <w:pPr>
        <w:rPr>
          <w:rFonts w:cs="Times New Roman"/>
        </w:rPr>
      </w:pPr>
    </w:p>
    <w:p w14:paraId="7915B55D" w14:textId="77777777" w:rsidR="00B674ED" w:rsidRPr="00A53FF8" w:rsidRDefault="00B674ED" w:rsidP="00C801B0">
      <w:pPr>
        <w:rPr>
          <w:rFonts w:cs="Times New Roman"/>
        </w:rPr>
      </w:pPr>
    </w:p>
    <w:p w14:paraId="50DBB76E" w14:textId="77777777" w:rsidR="00B674ED" w:rsidRPr="00A53FF8" w:rsidRDefault="00B674ED" w:rsidP="00C801B0">
      <w:pPr>
        <w:rPr>
          <w:rFonts w:cs="Times New Roman"/>
        </w:rPr>
      </w:pPr>
    </w:p>
    <w:p w14:paraId="1818E08A" w14:textId="77777777" w:rsidR="00B674ED" w:rsidRPr="00A53FF8" w:rsidRDefault="00B674ED" w:rsidP="00C801B0">
      <w:pPr>
        <w:rPr>
          <w:rFonts w:cs="Times New Roman"/>
        </w:rPr>
      </w:pPr>
    </w:p>
    <w:p w14:paraId="0D6ABEFD" w14:textId="77777777" w:rsidR="00B674ED" w:rsidRPr="00A53FF8" w:rsidRDefault="00B674ED" w:rsidP="00C801B0">
      <w:pPr>
        <w:rPr>
          <w:rFonts w:cs="Times New Roman"/>
        </w:rPr>
      </w:pPr>
    </w:p>
    <w:p w14:paraId="532DB3DF" w14:textId="77777777" w:rsidR="00B674ED" w:rsidRPr="00A53FF8" w:rsidRDefault="00B674ED" w:rsidP="00C801B0">
      <w:pPr>
        <w:rPr>
          <w:rFonts w:cs="Times New Roman"/>
        </w:rPr>
      </w:pPr>
    </w:p>
    <w:p w14:paraId="1B5A4230" w14:textId="77777777" w:rsidR="00B674ED" w:rsidRPr="00A53FF8" w:rsidRDefault="00B674ED" w:rsidP="00C801B0">
      <w:pPr>
        <w:rPr>
          <w:rFonts w:cs="Times New Roman"/>
        </w:rPr>
      </w:pPr>
    </w:p>
    <w:p w14:paraId="70A9EC8C" w14:textId="77777777" w:rsidR="00B674ED" w:rsidRPr="00A53FF8" w:rsidRDefault="00B674ED" w:rsidP="00C801B0">
      <w:pPr>
        <w:rPr>
          <w:rFonts w:cs="Times New Roman"/>
        </w:rPr>
      </w:pPr>
    </w:p>
    <w:p w14:paraId="41E4B124" w14:textId="77777777" w:rsidR="00B674ED" w:rsidRPr="00A53FF8" w:rsidRDefault="00B674ED" w:rsidP="00C801B0">
      <w:pPr>
        <w:rPr>
          <w:rFonts w:cs="Times New Roman"/>
        </w:rPr>
      </w:pPr>
    </w:p>
    <w:p w14:paraId="7D6C9CB3" w14:textId="77777777" w:rsidR="00B674ED" w:rsidRPr="00A53FF8" w:rsidRDefault="00B674ED" w:rsidP="00C801B0">
      <w:pPr>
        <w:rPr>
          <w:rFonts w:cs="Times New Roman"/>
        </w:rPr>
      </w:pPr>
    </w:p>
    <w:p w14:paraId="4F16E69E" w14:textId="2F9362B7" w:rsidR="00B674ED" w:rsidRPr="00A53FF8" w:rsidRDefault="00B674ED" w:rsidP="004F06EC">
      <w:pPr>
        <w:pStyle w:val="Title"/>
      </w:pPr>
      <w:r w:rsidRPr="00A53FF8">
        <w:lastRenderedPageBreak/>
        <w:t>AUSTRALIAN CATHOLIC UNIVERSITY (</w:t>
      </w:r>
      <w:proofErr w:type="spellStart"/>
      <w:r w:rsidRPr="00A53FF8">
        <w:t>ACU</w:t>
      </w:r>
      <w:proofErr w:type="spellEnd"/>
      <w:r w:rsidRPr="00A53FF8">
        <w:t xml:space="preserve">) </w:t>
      </w:r>
      <w:r w:rsidR="007D3C6F">
        <w:t xml:space="preserve">RESPONSE TO THE AUSTRALIAN GOVERNMENT PAPER </w:t>
      </w:r>
      <w:r w:rsidR="007D3C6F">
        <w:rPr>
          <w:i/>
        </w:rPr>
        <w:t>BOOSTING THE COMMERCIAL RETURNS FROM RESEARCH</w:t>
      </w:r>
    </w:p>
    <w:p w14:paraId="7EF3EDE8" w14:textId="2583602C" w:rsidR="00B674ED" w:rsidRPr="00A53FF8" w:rsidRDefault="007D3C6F" w:rsidP="00C801B0">
      <w:pPr>
        <w:jc w:val="both"/>
        <w:rPr>
          <w:rFonts w:cs="Times New Roman"/>
          <w:b/>
        </w:rPr>
      </w:pPr>
      <w:r>
        <w:rPr>
          <w:rFonts w:cs="Times New Roman"/>
          <w:b/>
        </w:rPr>
        <w:t>November</w:t>
      </w:r>
      <w:r w:rsidR="00B674ED" w:rsidRPr="00A53FF8">
        <w:rPr>
          <w:rFonts w:cs="Times New Roman"/>
          <w:b/>
        </w:rPr>
        <w:t xml:space="preserve"> 2014</w:t>
      </w:r>
    </w:p>
    <w:sdt>
      <w:sdtPr>
        <w:rPr>
          <w:rFonts w:ascii="Times New Roman" w:eastAsia="Calibri" w:hAnsi="Times New Roman" w:cs="Times New Roman"/>
          <w:b w:val="0"/>
          <w:bCs w:val="0"/>
          <w:color w:val="auto"/>
          <w:sz w:val="22"/>
          <w:szCs w:val="22"/>
          <w:lang w:val="en-AU"/>
        </w:rPr>
        <w:id w:val="451978435"/>
        <w:docPartObj>
          <w:docPartGallery w:val="Table of Contents"/>
          <w:docPartUnique/>
        </w:docPartObj>
      </w:sdtPr>
      <w:sdtEndPr>
        <w:rPr>
          <w:rFonts w:asciiTheme="minorHAnsi" w:eastAsiaTheme="minorEastAsia" w:hAnsiTheme="minorHAnsi"/>
          <w:noProof/>
          <w:lang w:val="en-US"/>
        </w:rPr>
      </w:sdtEndPr>
      <w:sdtContent>
        <w:p w14:paraId="6EFACD39" w14:textId="77777777" w:rsidR="006C6371" w:rsidRPr="00A53FF8" w:rsidRDefault="006C6371">
          <w:pPr>
            <w:pStyle w:val="TOCHeading"/>
            <w:rPr>
              <w:rFonts w:ascii="Times New Roman" w:hAnsi="Times New Roman" w:cs="Times New Roman"/>
            </w:rPr>
          </w:pPr>
          <w:r w:rsidRPr="00A53FF8">
            <w:rPr>
              <w:rFonts w:ascii="Times New Roman" w:hAnsi="Times New Roman" w:cs="Times New Roman"/>
            </w:rPr>
            <w:t>Table of Contents</w:t>
          </w:r>
        </w:p>
        <w:p w14:paraId="40C60A12" w14:textId="77777777" w:rsidR="004D0EE5" w:rsidRDefault="006C6371">
          <w:pPr>
            <w:pStyle w:val="TOC1"/>
            <w:tabs>
              <w:tab w:val="right" w:leader="dot" w:pos="9060"/>
            </w:tabs>
            <w:rPr>
              <w:noProof/>
              <w:lang w:eastAsia="en-AU"/>
            </w:rPr>
          </w:pPr>
          <w:r w:rsidRPr="00A53FF8">
            <w:rPr>
              <w:rFonts w:cs="Times New Roman"/>
            </w:rPr>
            <w:fldChar w:fldCharType="begin"/>
          </w:r>
          <w:r w:rsidRPr="00A53FF8">
            <w:rPr>
              <w:rFonts w:cs="Times New Roman"/>
            </w:rPr>
            <w:instrText xml:space="preserve"> TOC \o "1-3" \h \z \u </w:instrText>
          </w:r>
          <w:r w:rsidRPr="00A53FF8">
            <w:rPr>
              <w:rFonts w:cs="Times New Roman"/>
            </w:rPr>
            <w:fldChar w:fldCharType="separate"/>
          </w:r>
          <w:hyperlink w:anchor="_Toc405536643" w:history="1">
            <w:r w:rsidR="004D0EE5" w:rsidRPr="00EB4E41">
              <w:rPr>
                <w:rStyle w:val="Hyperlink"/>
                <w:noProof/>
              </w:rPr>
              <w:t>Executive Summary</w:t>
            </w:r>
            <w:r w:rsidR="004D0EE5">
              <w:rPr>
                <w:noProof/>
                <w:webHidden/>
              </w:rPr>
              <w:tab/>
            </w:r>
            <w:r w:rsidR="004D0EE5">
              <w:rPr>
                <w:noProof/>
                <w:webHidden/>
              </w:rPr>
              <w:fldChar w:fldCharType="begin"/>
            </w:r>
            <w:r w:rsidR="004D0EE5">
              <w:rPr>
                <w:noProof/>
                <w:webHidden/>
              </w:rPr>
              <w:instrText xml:space="preserve"> PAGEREF _Toc405536643 \h </w:instrText>
            </w:r>
            <w:r w:rsidR="004D0EE5">
              <w:rPr>
                <w:noProof/>
                <w:webHidden/>
              </w:rPr>
            </w:r>
            <w:r w:rsidR="004D0EE5">
              <w:rPr>
                <w:noProof/>
                <w:webHidden/>
              </w:rPr>
              <w:fldChar w:fldCharType="separate"/>
            </w:r>
            <w:r w:rsidR="00FF065F">
              <w:rPr>
                <w:noProof/>
                <w:webHidden/>
              </w:rPr>
              <w:t>3</w:t>
            </w:r>
            <w:r w:rsidR="004D0EE5">
              <w:rPr>
                <w:noProof/>
                <w:webHidden/>
              </w:rPr>
              <w:fldChar w:fldCharType="end"/>
            </w:r>
          </w:hyperlink>
        </w:p>
        <w:p w14:paraId="087D2C0F" w14:textId="77777777" w:rsidR="004D0EE5" w:rsidRDefault="00FF065F">
          <w:pPr>
            <w:pStyle w:val="TOC1"/>
            <w:tabs>
              <w:tab w:val="right" w:leader="dot" w:pos="9060"/>
            </w:tabs>
            <w:rPr>
              <w:noProof/>
              <w:lang w:eastAsia="en-AU"/>
            </w:rPr>
          </w:pPr>
          <w:hyperlink w:anchor="_Toc405536644" w:history="1">
            <w:r w:rsidR="004D0EE5" w:rsidRPr="00EB4E41">
              <w:rPr>
                <w:rStyle w:val="Hyperlink"/>
                <w:noProof/>
              </w:rPr>
              <w:t>I.  Collaboration between Researchers and Industry</w:t>
            </w:r>
            <w:r w:rsidR="004D0EE5">
              <w:rPr>
                <w:noProof/>
                <w:webHidden/>
              </w:rPr>
              <w:tab/>
            </w:r>
            <w:r w:rsidR="004D0EE5">
              <w:rPr>
                <w:noProof/>
                <w:webHidden/>
              </w:rPr>
              <w:fldChar w:fldCharType="begin"/>
            </w:r>
            <w:r w:rsidR="004D0EE5">
              <w:rPr>
                <w:noProof/>
                <w:webHidden/>
              </w:rPr>
              <w:instrText xml:space="preserve"> PAGEREF _Toc405536644 \h </w:instrText>
            </w:r>
            <w:r w:rsidR="004D0EE5">
              <w:rPr>
                <w:noProof/>
                <w:webHidden/>
              </w:rPr>
            </w:r>
            <w:r w:rsidR="004D0EE5">
              <w:rPr>
                <w:noProof/>
                <w:webHidden/>
              </w:rPr>
              <w:fldChar w:fldCharType="separate"/>
            </w:r>
            <w:r>
              <w:rPr>
                <w:noProof/>
                <w:webHidden/>
              </w:rPr>
              <w:t>5</w:t>
            </w:r>
            <w:r w:rsidR="004D0EE5">
              <w:rPr>
                <w:noProof/>
                <w:webHidden/>
              </w:rPr>
              <w:fldChar w:fldCharType="end"/>
            </w:r>
          </w:hyperlink>
        </w:p>
        <w:p w14:paraId="450FF4EB" w14:textId="77777777" w:rsidR="004D0EE5" w:rsidRDefault="00FF065F">
          <w:pPr>
            <w:pStyle w:val="TOC2"/>
            <w:tabs>
              <w:tab w:val="right" w:leader="dot" w:pos="9060"/>
            </w:tabs>
            <w:rPr>
              <w:noProof/>
              <w:lang w:eastAsia="en-AU"/>
            </w:rPr>
          </w:pPr>
          <w:hyperlink w:anchor="_Toc405536645" w:history="1">
            <w:r w:rsidR="004D0EE5" w:rsidRPr="00EB4E41">
              <w:rPr>
                <w:rStyle w:val="Hyperlink"/>
                <w:noProof/>
              </w:rPr>
              <w:t>Additional Investment in the ARC Linkage Funding Scheme</w:t>
            </w:r>
            <w:r w:rsidR="004D0EE5">
              <w:rPr>
                <w:noProof/>
                <w:webHidden/>
              </w:rPr>
              <w:tab/>
            </w:r>
            <w:r w:rsidR="004D0EE5">
              <w:rPr>
                <w:noProof/>
                <w:webHidden/>
              </w:rPr>
              <w:fldChar w:fldCharType="begin"/>
            </w:r>
            <w:r w:rsidR="004D0EE5">
              <w:rPr>
                <w:noProof/>
                <w:webHidden/>
              </w:rPr>
              <w:instrText xml:space="preserve"> PAGEREF _Toc405536645 \h </w:instrText>
            </w:r>
            <w:r w:rsidR="004D0EE5">
              <w:rPr>
                <w:noProof/>
                <w:webHidden/>
              </w:rPr>
            </w:r>
            <w:r w:rsidR="004D0EE5">
              <w:rPr>
                <w:noProof/>
                <w:webHidden/>
              </w:rPr>
              <w:fldChar w:fldCharType="separate"/>
            </w:r>
            <w:r>
              <w:rPr>
                <w:noProof/>
                <w:webHidden/>
              </w:rPr>
              <w:t>5</w:t>
            </w:r>
            <w:r w:rsidR="004D0EE5">
              <w:rPr>
                <w:noProof/>
                <w:webHidden/>
              </w:rPr>
              <w:fldChar w:fldCharType="end"/>
            </w:r>
          </w:hyperlink>
        </w:p>
        <w:p w14:paraId="1033C16D" w14:textId="77777777" w:rsidR="004D0EE5" w:rsidRDefault="00FF065F">
          <w:pPr>
            <w:pStyle w:val="TOC2"/>
            <w:tabs>
              <w:tab w:val="right" w:leader="dot" w:pos="9060"/>
            </w:tabs>
            <w:rPr>
              <w:noProof/>
              <w:lang w:eastAsia="en-AU"/>
            </w:rPr>
          </w:pPr>
          <w:hyperlink w:anchor="_Toc405536646" w:history="1">
            <w:r w:rsidR="004D0EE5" w:rsidRPr="00EB4E41">
              <w:rPr>
                <w:rStyle w:val="Hyperlink"/>
                <w:noProof/>
              </w:rPr>
              <w:t>Ensure Sufficient Incentive for Industry to Engage in Research Collaborations</w:t>
            </w:r>
            <w:r w:rsidR="004D0EE5">
              <w:rPr>
                <w:noProof/>
                <w:webHidden/>
              </w:rPr>
              <w:tab/>
            </w:r>
            <w:r w:rsidR="004D0EE5">
              <w:rPr>
                <w:noProof/>
                <w:webHidden/>
              </w:rPr>
              <w:fldChar w:fldCharType="begin"/>
            </w:r>
            <w:r w:rsidR="004D0EE5">
              <w:rPr>
                <w:noProof/>
                <w:webHidden/>
              </w:rPr>
              <w:instrText xml:space="preserve"> PAGEREF _Toc405536646 \h </w:instrText>
            </w:r>
            <w:r w:rsidR="004D0EE5">
              <w:rPr>
                <w:noProof/>
                <w:webHidden/>
              </w:rPr>
            </w:r>
            <w:r w:rsidR="004D0EE5">
              <w:rPr>
                <w:noProof/>
                <w:webHidden/>
              </w:rPr>
              <w:fldChar w:fldCharType="separate"/>
            </w:r>
            <w:r>
              <w:rPr>
                <w:noProof/>
                <w:webHidden/>
              </w:rPr>
              <w:t>7</w:t>
            </w:r>
            <w:r w:rsidR="004D0EE5">
              <w:rPr>
                <w:noProof/>
                <w:webHidden/>
              </w:rPr>
              <w:fldChar w:fldCharType="end"/>
            </w:r>
          </w:hyperlink>
        </w:p>
        <w:p w14:paraId="2C903536" w14:textId="77777777" w:rsidR="004D0EE5" w:rsidRDefault="00FF065F">
          <w:pPr>
            <w:pStyle w:val="TOC2"/>
            <w:tabs>
              <w:tab w:val="right" w:leader="dot" w:pos="9060"/>
            </w:tabs>
            <w:rPr>
              <w:noProof/>
              <w:lang w:eastAsia="en-AU"/>
            </w:rPr>
          </w:pPr>
          <w:hyperlink w:anchor="_Toc405536647" w:history="1">
            <w:r w:rsidR="004D0EE5" w:rsidRPr="00EB4E41">
              <w:rPr>
                <w:rStyle w:val="Hyperlink"/>
                <w:noProof/>
              </w:rPr>
              <w:t>Lift the Profile of University Research Capacity with Industry</w:t>
            </w:r>
            <w:r w:rsidR="004D0EE5">
              <w:rPr>
                <w:noProof/>
                <w:webHidden/>
              </w:rPr>
              <w:tab/>
            </w:r>
            <w:r w:rsidR="004D0EE5">
              <w:rPr>
                <w:noProof/>
                <w:webHidden/>
              </w:rPr>
              <w:fldChar w:fldCharType="begin"/>
            </w:r>
            <w:r w:rsidR="004D0EE5">
              <w:rPr>
                <w:noProof/>
                <w:webHidden/>
              </w:rPr>
              <w:instrText xml:space="preserve"> PAGEREF _Toc405536647 \h </w:instrText>
            </w:r>
            <w:r w:rsidR="004D0EE5">
              <w:rPr>
                <w:noProof/>
                <w:webHidden/>
              </w:rPr>
            </w:r>
            <w:r w:rsidR="004D0EE5">
              <w:rPr>
                <w:noProof/>
                <w:webHidden/>
              </w:rPr>
              <w:fldChar w:fldCharType="separate"/>
            </w:r>
            <w:r>
              <w:rPr>
                <w:noProof/>
                <w:webHidden/>
              </w:rPr>
              <w:t>8</w:t>
            </w:r>
            <w:r w:rsidR="004D0EE5">
              <w:rPr>
                <w:noProof/>
                <w:webHidden/>
              </w:rPr>
              <w:fldChar w:fldCharType="end"/>
            </w:r>
          </w:hyperlink>
        </w:p>
        <w:p w14:paraId="33561E74" w14:textId="77777777" w:rsidR="004D0EE5" w:rsidRDefault="00FF065F">
          <w:pPr>
            <w:pStyle w:val="TOC2"/>
            <w:tabs>
              <w:tab w:val="right" w:leader="dot" w:pos="9060"/>
            </w:tabs>
            <w:rPr>
              <w:noProof/>
              <w:lang w:eastAsia="en-AU"/>
            </w:rPr>
          </w:pPr>
          <w:hyperlink w:anchor="_Toc405536648" w:history="1">
            <w:r w:rsidR="004D0EE5" w:rsidRPr="00EB4E41">
              <w:rPr>
                <w:rStyle w:val="Hyperlink"/>
                <w:noProof/>
              </w:rPr>
              <w:t>Encourage Fractional Appointments or Staff Secondments between Universities and Industry</w:t>
            </w:r>
            <w:r w:rsidR="004D0EE5">
              <w:rPr>
                <w:noProof/>
                <w:webHidden/>
              </w:rPr>
              <w:tab/>
            </w:r>
            <w:r w:rsidR="004D0EE5">
              <w:rPr>
                <w:noProof/>
                <w:webHidden/>
              </w:rPr>
              <w:fldChar w:fldCharType="begin"/>
            </w:r>
            <w:r w:rsidR="004D0EE5">
              <w:rPr>
                <w:noProof/>
                <w:webHidden/>
              </w:rPr>
              <w:instrText xml:space="preserve"> PAGEREF _Toc405536648 \h </w:instrText>
            </w:r>
            <w:r w:rsidR="004D0EE5">
              <w:rPr>
                <w:noProof/>
                <w:webHidden/>
              </w:rPr>
            </w:r>
            <w:r w:rsidR="004D0EE5">
              <w:rPr>
                <w:noProof/>
                <w:webHidden/>
              </w:rPr>
              <w:fldChar w:fldCharType="separate"/>
            </w:r>
            <w:r>
              <w:rPr>
                <w:noProof/>
                <w:webHidden/>
              </w:rPr>
              <w:t>10</w:t>
            </w:r>
            <w:r w:rsidR="004D0EE5">
              <w:rPr>
                <w:noProof/>
                <w:webHidden/>
              </w:rPr>
              <w:fldChar w:fldCharType="end"/>
            </w:r>
          </w:hyperlink>
        </w:p>
        <w:p w14:paraId="09DB06B6" w14:textId="77777777" w:rsidR="004D0EE5" w:rsidRDefault="00FF065F">
          <w:pPr>
            <w:pStyle w:val="TOC1"/>
            <w:tabs>
              <w:tab w:val="right" w:leader="dot" w:pos="9060"/>
            </w:tabs>
            <w:rPr>
              <w:noProof/>
              <w:lang w:eastAsia="en-AU"/>
            </w:rPr>
          </w:pPr>
          <w:hyperlink w:anchor="_Toc405536649" w:history="1">
            <w:r w:rsidR="004D0EE5" w:rsidRPr="00EB4E41">
              <w:rPr>
                <w:rStyle w:val="Hyperlink"/>
                <w:noProof/>
              </w:rPr>
              <w:t>II. Research Excellence and Targeted Research Efforts</w:t>
            </w:r>
            <w:r w:rsidR="004D0EE5">
              <w:rPr>
                <w:noProof/>
                <w:webHidden/>
              </w:rPr>
              <w:tab/>
            </w:r>
            <w:r w:rsidR="004D0EE5">
              <w:rPr>
                <w:noProof/>
                <w:webHidden/>
              </w:rPr>
              <w:fldChar w:fldCharType="begin"/>
            </w:r>
            <w:r w:rsidR="004D0EE5">
              <w:rPr>
                <w:noProof/>
                <w:webHidden/>
              </w:rPr>
              <w:instrText xml:space="preserve"> PAGEREF _Toc405536649 \h </w:instrText>
            </w:r>
            <w:r w:rsidR="004D0EE5">
              <w:rPr>
                <w:noProof/>
                <w:webHidden/>
              </w:rPr>
            </w:r>
            <w:r w:rsidR="004D0EE5">
              <w:rPr>
                <w:noProof/>
                <w:webHidden/>
              </w:rPr>
              <w:fldChar w:fldCharType="separate"/>
            </w:r>
            <w:r>
              <w:rPr>
                <w:noProof/>
                <w:webHidden/>
              </w:rPr>
              <w:t>10</w:t>
            </w:r>
            <w:r w:rsidR="004D0EE5">
              <w:rPr>
                <w:noProof/>
                <w:webHidden/>
              </w:rPr>
              <w:fldChar w:fldCharType="end"/>
            </w:r>
          </w:hyperlink>
        </w:p>
        <w:p w14:paraId="329D1AEE" w14:textId="77777777" w:rsidR="004D0EE5" w:rsidRDefault="00FF065F">
          <w:pPr>
            <w:pStyle w:val="TOC2"/>
            <w:tabs>
              <w:tab w:val="right" w:leader="dot" w:pos="9060"/>
            </w:tabs>
            <w:rPr>
              <w:noProof/>
              <w:lang w:eastAsia="en-AU"/>
            </w:rPr>
          </w:pPr>
          <w:hyperlink w:anchor="_Toc405536650" w:history="1">
            <w:r w:rsidR="004D0EE5" w:rsidRPr="00EB4E41">
              <w:rPr>
                <w:rStyle w:val="Hyperlink"/>
                <w:noProof/>
              </w:rPr>
              <w:t>Supporting Universities to Develop Research Specialisations and Niche Areas of Research for National Innovation and Advancement</w:t>
            </w:r>
            <w:r w:rsidR="004D0EE5">
              <w:rPr>
                <w:noProof/>
                <w:webHidden/>
              </w:rPr>
              <w:tab/>
            </w:r>
            <w:r w:rsidR="004D0EE5">
              <w:rPr>
                <w:noProof/>
                <w:webHidden/>
              </w:rPr>
              <w:fldChar w:fldCharType="begin"/>
            </w:r>
            <w:r w:rsidR="004D0EE5">
              <w:rPr>
                <w:noProof/>
                <w:webHidden/>
              </w:rPr>
              <w:instrText xml:space="preserve"> PAGEREF _Toc405536650 \h </w:instrText>
            </w:r>
            <w:r w:rsidR="004D0EE5">
              <w:rPr>
                <w:noProof/>
                <w:webHidden/>
              </w:rPr>
            </w:r>
            <w:r w:rsidR="004D0EE5">
              <w:rPr>
                <w:noProof/>
                <w:webHidden/>
              </w:rPr>
              <w:fldChar w:fldCharType="separate"/>
            </w:r>
            <w:r>
              <w:rPr>
                <w:noProof/>
                <w:webHidden/>
              </w:rPr>
              <w:t>10</w:t>
            </w:r>
            <w:r w:rsidR="004D0EE5">
              <w:rPr>
                <w:noProof/>
                <w:webHidden/>
              </w:rPr>
              <w:fldChar w:fldCharType="end"/>
            </w:r>
          </w:hyperlink>
        </w:p>
        <w:p w14:paraId="501EF9BF" w14:textId="77777777" w:rsidR="004D0EE5" w:rsidRDefault="00FF065F">
          <w:pPr>
            <w:pStyle w:val="TOC2"/>
            <w:tabs>
              <w:tab w:val="right" w:leader="dot" w:pos="9060"/>
            </w:tabs>
            <w:rPr>
              <w:noProof/>
              <w:lang w:eastAsia="en-AU"/>
            </w:rPr>
          </w:pPr>
          <w:hyperlink w:anchor="_Toc405536651" w:history="1">
            <w:r w:rsidR="004D0EE5" w:rsidRPr="00EB4E41">
              <w:rPr>
                <w:rStyle w:val="Hyperlink"/>
                <w:noProof/>
              </w:rPr>
              <w:t>Promoting Strategic Research Intensification</w:t>
            </w:r>
            <w:r w:rsidR="004D0EE5">
              <w:rPr>
                <w:noProof/>
                <w:webHidden/>
              </w:rPr>
              <w:tab/>
            </w:r>
            <w:r w:rsidR="004D0EE5">
              <w:rPr>
                <w:noProof/>
                <w:webHidden/>
              </w:rPr>
              <w:fldChar w:fldCharType="begin"/>
            </w:r>
            <w:r w:rsidR="004D0EE5">
              <w:rPr>
                <w:noProof/>
                <w:webHidden/>
              </w:rPr>
              <w:instrText xml:space="preserve"> PAGEREF _Toc405536651 \h </w:instrText>
            </w:r>
            <w:r w:rsidR="004D0EE5">
              <w:rPr>
                <w:noProof/>
                <w:webHidden/>
              </w:rPr>
            </w:r>
            <w:r w:rsidR="004D0EE5">
              <w:rPr>
                <w:noProof/>
                <w:webHidden/>
              </w:rPr>
              <w:fldChar w:fldCharType="separate"/>
            </w:r>
            <w:r>
              <w:rPr>
                <w:noProof/>
                <w:webHidden/>
              </w:rPr>
              <w:t>14</w:t>
            </w:r>
            <w:r w:rsidR="004D0EE5">
              <w:rPr>
                <w:noProof/>
                <w:webHidden/>
              </w:rPr>
              <w:fldChar w:fldCharType="end"/>
            </w:r>
          </w:hyperlink>
        </w:p>
        <w:p w14:paraId="4F5FF3B2" w14:textId="77777777" w:rsidR="004D0EE5" w:rsidRDefault="00FF065F">
          <w:pPr>
            <w:pStyle w:val="TOC2"/>
            <w:tabs>
              <w:tab w:val="right" w:leader="dot" w:pos="9060"/>
            </w:tabs>
            <w:rPr>
              <w:noProof/>
              <w:lang w:eastAsia="en-AU"/>
            </w:rPr>
          </w:pPr>
          <w:hyperlink w:anchor="_Toc405536652" w:history="1">
            <w:r w:rsidR="004D0EE5" w:rsidRPr="00EB4E41">
              <w:rPr>
                <w:rStyle w:val="Hyperlink"/>
                <w:noProof/>
              </w:rPr>
              <w:t>Build International Research Engagement and Collaboration</w:t>
            </w:r>
            <w:r w:rsidR="004D0EE5">
              <w:rPr>
                <w:noProof/>
                <w:webHidden/>
              </w:rPr>
              <w:tab/>
            </w:r>
            <w:r w:rsidR="004D0EE5">
              <w:rPr>
                <w:noProof/>
                <w:webHidden/>
              </w:rPr>
              <w:fldChar w:fldCharType="begin"/>
            </w:r>
            <w:r w:rsidR="004D0EE5">
              <w:rPr>
                <w:noProof/>
                <w:webHidden/>
              </w:rPr>
              <w:instrText xml:space="preserve"> PAGEREF _Toc405536652 \h </w:instrText>
            </w:r>
            <w:r w:rsidR="004D0EE5">
              <w:rPr>
                <w:noProof/>
                <w:webHidden/>
              </w:rPr>
            </w:r>
            <w:r w:rsidR="004D0EE5">
              <w:rPr>
                <w:noProof/>
                <w:webHidden/>
              </w:rPr>
              <w:fldChar w:fldCharType="separate"/>
            </w:r>
            <w:r>
              <w:rPr>
                <w:noProof/>
                <w:webHidden/>
              </w:rPr>
              <w:t>15</w:t>
            </w:r>
            <w:r w:rsidR="004D0EE5">
              <w:rPr>
                <w:noProof/>
                <w:webHidden/>
              </w:rPr>
              <w:fldChar w:fldCharType="end"/>
            </w:r>
          </w:hyperlink>
        </w:p>
        <w:p w14:paraId="2F14CF4D" w14:textId="77777777" w:rsidR="004D0EE5" w:rsidRDefault="00FF065F">
          <w:pPr>
            <w:pStyle w:val="TOC1"/>
            <w:tabs>
              <w:tab w:val="right" w:leader="dot" w:pos="9060"/>
            </w:tabs>
            <w:rPr>
              <w:noProof/>
              <w:lang w:eastAsia="en-AU"/>
            </w:rPr>
          </w:pPr>
          <w:hyperlink w:anchor="_Toc405536653" w:history="1">
            <w:r w:rsidR="004D0EE5" w:rsidRPr="00EB4E41">
              <w:rPr>
                <w:rStyle w:val="Hyperlink"/>
                <w:noProof/>
              </w:rPr>
              <w:t>Appendix A - Australian Catholic University (ACU) Profile</w:t>
            </w:r>
            <w:r w:rsidR="004D0EE5">
              <w:rPr>
                <w:noProof/>
                <w:webHidden/>
              </w:rPr>
              <w:tab/>
            </w:r>
            <w:r w:rsidR="004D0EE5">
              <w:rPr>
                <w:noProof/>
                <w:webHidden/>
              </w:rPr>
              <w:fldChar w:fldCharType="begin"/>
            </w:r>
            <w:r w:rsidR="004D0EE5">
              <w:rPr>
                <w:noProof/>
                <w:webHidden/>
              </w:rPr>
              <w:instrText xml:space="preserve"> PAGEREF _Toc405536653 \h </w:instrText>
            </w:r>
            <w:r w:rsidR="004D0EE5">
              <w:rPr>
                <w:noProof/>
                <w:webHidden/>
              </w:rPr>
            </w:r>
            <w:r w:rsidR="004D0EE5">
              <w:rPr>
                <w:noProof/>
                <w:webHidden/>
              </w:rPr>
              <w:fldChar w:fldCharType="separate"/>
            </w:r>
            <w:r>
              <w:rPr>
                <w:noProof/>
                <w:webHidden/>
              </w:rPr>
              <w:t>17</w:t>
            </w:r>
            <w:r w:rsidR="004D0EE5">
              <w:rPr>
                <w:noProof/>
                <w:webHidden/>
              </w:rPr>
              <w:fldChar w:fldCharType="end"/>
            </w:r>
          </w:hyperlink>
        </w:p>
        <w:p w14:paraId="56E9BD0E" w14:textId="77777777" w:rsidR="006C6371" w:rsidRPr="003A5139" w:rsidRDefault="006C6371" w:rsidP="003A5139">
          <w:pPr>
            <w:rPr>
              <w:rFonts w:cs="Times New Roman"/>
            </w:rPr>
            <w:sectPr w:rsidR="006C6371" w:rsidRPr="003A5139" w:rsidSect="00355932">
              <w:headerReference w:type="default" r:id="rId12"/>
              <w:footerReference w:type="default" r:id="rId13"/>
              <w:headerReference w:type="first" r:id="rId14"/>
              <w:footerReference w:type="first" r:id="rId15"/>
              <w:pgSz w:w="11906" w:h="16838"/>
              <w:pgMar w:top="1666" w:right="1418" w:bottom="1276" w:left="1418" w:header="708" w:footer="737" w:gutter="0"/>
              <w:cols w:space="708"/>
              <w:titlePg/>
              <w:docGrid w:linePitch="360"/>
            </w:sectPr>
          </w:pPr>
          <w:r w:rsidRPr="00A53FF8">
            <w:rPr>
              <w:rFonts w:cs="Times New Roman"/>
              <w:b/>
              <w:bCs/>
              <w:noProof/>
            </w:rPr>
            <w:fldChar w:fldCharType="end"/>
          </w:r>
        </w:p>
      </w:sdtContent>
    </w:sdt>
    <w:p w14:paraId="1A763D26" w14:textId="77777777" w:rsidR="007D0F91" w:rsidRDefault="007D0F91" w:rsidP="004276BF">
      <w:pPr>
        <w:jc w:val="both"/>
        <w:rPr>
          <w:rFonts w:cs="Times New Roman"/>
        </w:rPr>
      </w:pPr>
    </w:p>
    <w:p w14:paraId="1A4496DD" w14:textId="4EE9CE7B" w:rsidR="00EA0583" w:rsidRDefault="00BD2862" w:rsidP="00EA0583">
      <w:pPr>
        <w:pStyle w:val="Heading1"/>
      </w:pPr>
      <w:bookmarkStart w:id="0" w:name="_Toc405536643"/>
      <w:r>
        <w:t>Executive Summary</w:t>
      </w:r>
      <w:bookmarkEnd w:id="0"/>
    </w:p>
    <w:p w14:paraId="6C18C959" w14:textId="532AB669" w:rsidR="00313DC7" w:rsidRDefault="00B674ED" w:rsidP="007B18CE">
      <w:pPr>
        <w:jc w:val="both"/>
        <w:rPr>
          <w:rFonts w:cs="Times New Roman"/>
        </w:rPr>
      </w:pPr>
      <w:r w:rsidRPr="00A53FF8">
        <w:rPr>
          <w:rFonts w:cs="Times New Roman"/>
        </w:rPr>
        <w:t>Australian Catholic University (</w:t>
      </w:r>
      <w:proofErr w:type="spellStart"/>
      <w:r w:rsidRPr="00A53FF8">
        <w:rPr>
          <w:rFonts w:cs="Times New Roman"/>
        </w:rPr>
        <w:t>ACU</w:t>
      </w:r>
      <w:proofErr w:type="spellEnd"/>
      <w:r w:rsidRPr="00A53FF8">
        <w:rPr>
          <w:rFonts w:cs="Times New Roman"/>
        </w:rPr>
        <w:t xml:space="preserve">) welcomes the opportunity to </w:t>
      </w:r>
      <w:r w:rsidR="00E462B2">
        <w:rPr>
          <w:rFonts w:cs="Times New Roman"/>
        </w:rPr>
        <w:t xml:space="preserve">respond to the Australian Government’s paper </w:t>
      </w:r>
      <w:proofErr w:type="gramStart"/>
      <w:r w:rsidR="00E462B2">
        <w:rPr>
          <w:rFonts w:cs="Times New Roman"/>
          <w:i/>
        </w:rPr>
        <w:t>Boosting</w:t>
      </w:r>
      <w:proofErr w:type="gramEnd"/>
      <w:r w:rsidR="00E462B2">
        <w:rPr>
          <w:rFonts w:cs="Times New Roman"/>
          <w:i/>
        </w:rPr>
        <w:t xml:space="preserve"> the Commercial Returns from Research.</w:t>
      </w:r>
      <w:r w:rsidR="004276BF" w:rsidRPr="004276BF">
        <w:rPr>
          <w:rFonts w:cs="Times New Roman"/>
        </w:rPr>
        <w:t xml:space="preserve"> </w:t>
      </w:r>
      <w:proofErr w:type="spellStart"/>
      <w:r w:rsidR="004276BF">
        <w:rPr>
          <w:rFonts w:cs="Times New Roman"/>
        </w:rPr>
        <w:t>ACU</w:t>
      </w:r>
      <w:proofErr w:type="spellEnd"/>
      <w:r w:rsidR="004276BF">
        <w:rPr>
          <w:rFonts w:cs="Times New Roman"/>
        </w:rPr>
        <w:t xml:space="preserve"> supports the Government’s initiative to </w:t>
      </w:r>
      <w:r w:rsidR="005437D9">
        <w:rPr>
          <w:rFonts w:cs="Times New Roman"/>
        </w:rPr>
        <w:t xml:space="preserve">explore opportunities to </w:t>
      </w:r>
      <w:r w:rsidR="004276BF">
        <w:rPr>
          <w:rFonts w:cs="Times New Roman"/>
        </w:rPr>
        <w:t>improve Australia’s economic performance through better translation of research into commercial outcomes.</w:t>
      </w:r>
    </w:p>
    <w:p w14:paraId="11056C08" w14:textId="77777777" w:rsidR="0024196C" w:rsidRDefault="003154B2" w:rsidP="007B18CE">
      <w:pPr>
        <w:jc w:val="both"/>
        <w:rPr>
          <w:rFonts w:cs="Times New Roman"/>
        </w:rPr>
      </w:pPr>
      <w:proofErr w:type="spellStart"/>
      <w:r>
        <w:rPr>
          <w:rFonts w:cs="Times New Roman"/>
        </w:rPr>
        <w:t>ACU</w:t>
      </w:r>
      <w:proofErr w:type="spellEnd"/>
      <w:r>
        <w:rPr>
          <w:rFonts w:cs="Times New Roman"/>
        </w:rPr>
        <w:t xml:space="preserve"> </w:t>
      </w:r>
      <w:proofErr w:type="spellStart"/>
      <w:r>
        <w:rPr>
          <w:rFonts w:cs="Times New Roman"/>
        </w:rPr>
        <w:t>recognises</w:t>
      </w:r>
      <w:proofErr w:type="spellEnd"/>
      <w:r>
        <w:rPr>
          <w:rFonts w:cs="Times New Roman"/>
        </w:rPr>
        <w:t xml:space="preserve"> that </w:t>
      </w:r>
      <w:r w:rsidR="003A7029">
        <w:rPr>
          <w:rFonts w:cs="Times New Roman"/>
        </w:rPr>
        <w:t>b</w:t>
      </w:r>
      <w:r w:rsidR="004276BF">
        <w:rPr>
          <w:rFonts w:cs="Times New Roman"/>
        </w:rPr>
        <w:t>etter translatin</w:t>
      </w:r>
      <w:r w:rsidR="00FB4763">
        <w:rPr>
          <w:rFonts w:cs="Times New Roman"/>
        </w:rPr>
        <w:t xml:space="preserve">g </w:t>
      </w:r>
      <w:r w:rsidR="004276BF">
        <w:rPr>
          <w:rFonts w:cs="Times New Roman"/>
        </w:rPr>
        <w:t>rese</w:t>
      </w:r>
      <w:r>
        <w:rPr>
          <w:rFonts w:cs="Times New Roman"/>
        </w:rPr>
        <w:t>arch into commercial outcomes is</w:t>
      </w:r>
      <w:r w:rsidR="004276BF">
        <w:rPr>
          <w:rFonts w:cs="Times New Roman"/>
        </w:rPr>
        <w:t xml:space="preserve"> a key part of d</w:t>
      </w:r>
      <w:r>
        <w:rPr>
          <w:rFonts w:cs="Times New Roman"/>
        </w:rPr>
        <w:t>riving innovation in Australia,</w:t>
      </w:r>
      <w:r w:rsidR="004276BF">
        <w:rPr>
          <w:rFonts w:cs="Times New Roman"/>
        </w:rPr>
        <w:t xml:space="preserve"> growing research capacity</w:t>
      </w:r>
      <w:r>
        <w:rPr>
          <w:rFonts w:cs="Times New Roman"/>
        </w:rPr>
        <w:t xml:space="preserve">, and boosting </w:t>
      </w:r>
      <w:r w:rsidR="00B53B1B">
        <w:rPr>
          <w:rFonts w:cs="Times New Roman"/>
        </w:rPr>
        <w:t xml:space="preserve">national </w:t>
      </w:r>
      <w:r>
        <w:rPr>
          <w:rFonts w:cs="Times New Roman"/>
        </w:rPr>
        <w:t>productivity</w:t>
      </w:r>
      <w:r w:rsidR="00327BF2">
        <w:rPr>
          <w:rFonts w:cs="Times New Roman"/>
        </w:rPr>
        <w:t xml:space="preserve">. </w:t>
      </w:r>
    </w:p>
    <w:p w14:paraId="1A3BF59A" w14:textId="5E824DD9" w:rsidR="00114F9A" w:rsidRDefault="0024196C" w:rsidP="004276BF">
      <w:pPr>
        <w:jc w:val="both"/>
        <w:rPr>
          <w:rFonts w:cs="Times New Roman"/>
        </w:rPr>
      </w:pPr>
      <w:r>
        <w:rPr>
          <w:rFonts w:cs="Times New Roman"/>
        </w:rPr>
        <w:t xml:space="preserve">As a university with a unique specialisation and core strengths in Education and Health, </w:t>
      </w:r>
      <w:proofErr w:type="spellStart"/>
      <w:r>
        <w:rPr>
          <w:rFonts w:cs="Times New Roman"/>
        </w:rPr>
        <w:t>ACU’s</w:t>
      </w:r>
      <w:proofErr w:type="spellEnd"/>
      <w:r>
        <w:rPr>
          <w:rFonts w:cs="Times New Roman"/>
        </w:rPr>
        <w:t xml:space="preserve"> key industry partners are the public sector and Education and Health services providers. </w:t>
      </w:r>
      <w:r w:rsidR="008106AD">
        <w:rPr>
          <w:rFonts w:cs="Times New Roman"/>
        </w:rPr>
        <w:t>From</w:t>
      </w:r>
      <w:r>
        <w:rPr>
          <w:rFonts w:cs="Times New Roman"/>
        </w:rPr>
        <w:t xml:space="preserve"> this </w:t>
      </w:r>
      <w:r w:rsidR="008106AD">
        <w:rPr>
          <w:rFonts w:cs="Times New Roman"/>
        </w:rPr>
        <w:t>perspective</w:t>
      </w:r>
      <w:r>
        <w:rPr>
          <w:rFonts w:cs="Times New Roman"/>
        </w:rPr>
        <w:t xml:space="preserve">, achieving commercial outcomes through </w:t>
      </w:r>
      <w:r w:rsidR="00903E35">
        <w:rPr>
          <w:rFonts w:cs="Times New Roman"/>
        </w:rPr>
        <w:t xml:space="preserve">research </w:t>
      </w:r>
      <w:r>
        <w:rPr>
          <w:rFonts w:cs="Times New Roman"/>
        </w:rPr>
        <w:t xml:space="preserve">may not necessarily </w:t>
      </w:r>
      <w:r w:rsidR="00F97B39">
        <w:rPr>
          <w:rFonts w:cs="Times New Roman"/>
        </w:rPr>
        <w:t>involve</w:t>
      </w:r>
      <w:r w:rsidR="006D6303">
        <w:rPr>
          <w:rFonts w:cs="Times New Roman"/>
        </w:rPr>
        <w:t xml:space="preserve"> </w:t>
      </w:r>
      <w:r>
        <w:rPr>
          <w:rFonts w:cs="Times New Roman"/>
        </w:rPr>
        <w:t>generating ideas to design products that create large profits in a commercial private sector sense</w:t>
      </w:r>
      <w:r w:rsidR="006F4B3C">
        <w:rPr>
          <w:rFonts w:cs="Times New Roman"/>
        </w:rPr>
        <w:t xml:space="preserve">. </w:t>
      </w:r>
      <w:r w:rsidR="004B603F">
        <w:rPr>
          <w:rFonts w:cs="Times New Roman"/>
        </w:rPr>
        <w:t xml:space="preserve">Rather, it </w:t>
      </w:r>
      <w:r w:rsidR="00C63DA8">
        <w:rPr>
          <w:rFonts w:cs="Times New Roman"/>
        </w:rPr>
        <w:t xml:space="preserve">may </w:t>
      </w:r>
      <w:r w:rsidR="005C7748">
        <w:rPr>
          <w:rFonts w:cs="Times New Roman"/>
        </w:rPr>
        <w:t xml:space="preserve">more significantly </w:t>
      </w:r>
      <w:r w:rsidR="004B603F">
        <w:rPr>
          <w:rFonts w:cs="Times New Roman"/>
        </w:rPr>
        <w:t>involve generating research findings that create service delivery efficiencies and</w:t>
      </w:r>
      <w:r w:rsidR="003A2F53">
        <w:rPr>
          <w:rFonts w:cs="Times New Roman"/>
        </w:rPr>
        <w:t xml:space="preserve"> other</w:t>
      </w:r>
      <w:r w:rsidR="004B603F">
        <w:rPr>
          <w:rFonts w:cs="Times New Roman"/>
        </w:rPr>
        <w:t xml:space="preserve"> research that can save government and industry money, whether in the immediate or longer term</w:t>
      </w:r>
      <w:r w:rsidR="00B65209">
        <w:rPr>
          <w:rFonts w:cs="Times New Roman"/>
        </w:rPr>
        <w:t>, or</w:t>
      </w:r>
      <w:r w:rsidR="001F71F8">
        <w:rPr>
          <w:rFonts w:cs="Times New Roman"/>
        </w:rPr>
        <w:t xml:space="preserve"> </w:t>
      </w:r>
      <w:r w:rsidR="00B65209">
        <w:rPr>
          <w:rFonts w:cs="Times New Roman"/>
        </w:rPr>
        <w:t>improve productivity</w:t>
      </w:r>
      <w:r w:rsidR="004B603F">
        <w:rPr>
          <w:rFonts w:cs="Times New Roman"/>
        </w:rPr>
        <w:t>.</w:t>
      </w:r>
    </w:p>
    <w:p w14:paraId="72973BC1" w14:textId="699F798E" w:rsidR="0024196C" w:rsidRDefault="00114F9A" w:rsidP="004276BF">
      <w:pPr>
        <w:jc w:val="both"/>
        <w:rPr>
          <w:rFonts w:cs="Times New Roman"/>
        </w:rPr>
      </w:pPr>
      <w:r>
        <w:rPr>
          <w:rFonts w:cs="Times New Roman"/>
        </w:rPr>
        <w:t>Achieving ‘commercial outcomes’, particularly in the public sector and service-delivery contexts, is about driving the dollar further.</w:t>
      </w:r>
      <w:r w:rsidRPr="00DA2D97">
        <w:rPr>
          <w:rFonts w:cs="Times New Roman"/>
        </w:rPr>
        <w:t xml:space="preserve"> </w:t>
      </w:r>
      <w:r>
        <w:rPr>
          <w:rFonts w:cs="Times New Roman"/>
        </w:rPr>
        <w:t xml:space="preserve">For instance, research into disease prevention that assists in lowering illness in the population, or into </w:t>
      </w:r>
      <w:r w:rsidR="005C7748">
        <w:rPr>
          <w:rFonts w:cs="Times New Roman"/>
        </w:rPr>
        <w:t xml:space="preserve">new </w:t>
      </w:r>
      <w:r w:rsidR="005C0FE8">
        <w:rPr>
          <w:rFonts w:cs="Times New Roman"/>
        </w:rPr>
        <w:t xml:space="preserve">hospital </w:t>
      </w:r>
      <w:r w:rsidR="00F03C01">
        <w:rPr>
          <w:rFonts w:cs="Times New Roman"/>
        </w:rPr>
        <w:t>management system</w:t>
      </w:r>
      <w:r w:rsidR="005C7748">
        <w:rPr>
          <w:rFonts w:cs="Times New Roman"/>
        </w:rPr>
        <w:t xml:space="preserve">s that </w:t>
      </w:r>
      <w:r w:rsidR="005E6E29">
        <w:rPr>
          <w:rFonts w:cs="Times New Roman"/>
        </w:rPr>
        <w:t xml:space="preserve">serves to </w:t>
      </w:r>
      <w:r w:rsidR="005C7748">
        <w:rPr>
          <w:rFonts w:cs="Times New Roman"/>
        </w:rPr>
        <w:t xml:space="preserve">improve </w:t>
      </w:r>
      <w:r w:rsidR="00F03C01">
        <w:rPr>
          <w:rFonts w:cs="Times New Roman"/>
        </w:rPr>
        <w:t>worker efficienc</w:t>
      </w:r>
      <w:r w:rsidR="005C0FE8">
        <w:rPr>
          <w:rFonts w:cs="Times New Roman"/>
        </w:rPr>
        <w:t>ies</w:t>
      </w:r>
      <w:r w:rsidR="00526816">
        <w:rPr>
          <w:rFonts w:cs="Times New Roman"/>
        </w:rPr>
        <w:t>,</w:t>
      </w:r>
      <w:r>
        <w:rPr>
          <w:rFonts w:cs="Times New Roman"/>
        </w:rPr>
        <w:t xml:space="preserve"> </w:t>
      </w:r>
      <w:r w:rsidR="007D7F46">
        <w:rPr>
          <w:rFonts w:cs="Times New Roman"/>
        </w:rPr>
        <w:t xml:space="preserve">can </w:t>
      </w:r>
      <w:r w:rsidR="0085568F">
        <w:rPr>
          <w:rFonts w:cs="Times New Roman"/>
        </w:rPr>
        <w:t>reduce</w:t>
      </w:r>
      <w:r>
        <w:rPr>
          <w:rFonts w:cs="Times New Roman"/>
        </w:rPr>
        <w:t xml:space="preserve"> government costs by </w:t>
      </w:r>
      <w:r w:rsidR="0085568F">
        <w:rPr>
          <w:rFonts w:cs="Times New Roman"/>
        </w:rPr>
        <w:t>lessening</w:t>
      </w:r>
      <w:r>
        <w:rPr>
          <w:rFonts w:cs="Times New Roman"/>
        </w:rPr>
        <w:t xml:space="preserve"> present and future burden on the healthcare system</w:t>
      </w:r>
      <w:r w:rsidR="007D7F46">
        <w:rPr>
          <w:rFonts w:cs="Times New Roman"/>
        </w:rPr>
        <w:t xml:space="preserve"> and boost</w:t>
      </w:r>
      <w:r w:rsidR="00E11997">
        <w:rPr>
          <w:rFonts w:cs="Times New Roman"/>
        </w:rPr>
        <w:t>ing</w:t>
      </w:r>
      <w:r w:rsidR="007D7F46">
        <w:rPr>
          <w:rFonts w:cs="Times New Roman"/>
        </w:rPr>
        <w:t xml:space="preserve"> productivity</w:t>
      </w:r>
      <w:r>
        <w:rPr>
          <w:rFonts w:cs="Times New Roman"/>
        </w:rPr>
        <w:t xml:space="preserve">. </w:t>
      </w:r>
      <w:r w:rsidR="002349C2">
        <w:rPr>
          <w:rFonts w:cs="Times New Roman"/>
        </w:rPr>
        <w:t>Our research</w:t>
      </w:r>
      <w:r>
        <w:rPr>
          <w:rFonts w:cs="Times New Roman"/>
        </w:rPr>
        <w:t xml:space="preserve"> </w:t>
      </w:r>
      <w:r w:rsidR="00117126">
        <w:rPr>
          <w:rFonts w:cs="Times New Roman"/>
        </w:rPr>
        <w:t xml:space="preserve">encompasses </w:t>
      </w:r>
      <w:r w:rsidR="002349C2">
        <w:rPr>
          <w:rFonts w:cs="Times New Roman"/>
        </w:rPr>
        <w:t xml:space="preserve">a public </w:t>
      </w:r>
      <w:r w:rsidR="004F6274">
        <w:rPr>
          <w:rFonts w:cs="Times New Roman"/>
        </w:rPr>
        <w:t>benefit that serves to improve wor</w:t>
      </w:r>
      <w:r w:rsidR="00117126">
        <w:rPr>
          <w:rFonts w:cs="Times New Roman"/>
        </w:rPr>
        <w:t>kforce productivity and support</w:t>
      </w:r>
      <w:r w:rsidR="004F6274">
        <w:rPr>
          <w:rFonts w:cs="Times New Roman"/>
        </w:rPr>
        <w:t xml:space="preserve"> national advancement. </w:t>
      </w:r>
    </w:p>
    <w:p w14:paraId="1CEB7083" w14:textId="0C898B45" w:rsidR="00E47072" w:rsidRPr="00A85936" w:rsidRDefault="00040ECC" w:rsidP="00C801B0">
      <w:pPr>
        <w:jc w:val="both"/>
        <w:rPr>
          <w:rFonts w:cs="Times New Roman"/>
        </w:rPr>
      </w:pPr>
      <w:r>
        <w:rPr>
          <w:rFonts w:cs="Times New Roman"/>
        </w:rPr>
        <w:t>I</w:t>
      </w:r>
      <w:r w:rsidR="00206BEB">
        <w:rPr>
          <w:rFonts w:cs="Times New Roman"/>
        </w:rPr>
        <w:t>nternational research and innovation systems</w:t>
      </w:r>
      <w:r w:rsidR="00E93F85" w:rsidRPr="00A85936">
        <w:rPr>
          <w:rFonts w:cs="Times New Roman"/>
        </w:rPr>
        <w:t xml:space="preserve"> that successfully translate their r</w:t>
      </w:r>
      <w:r w:rsidR="00206BEB">
        <w:rPr>
          <w:rFonts w:cs="Times New Roman"/>
        </w:rPr>
        <w:t>esearch into commercial outcomes</w:t>
      </w:r>
      <w:r w:rsidR="00054FC9">
        <w:rPr>
          <w:rFonts w:cs="Times New Roman"/>
        </w:rPr>
        <w:t xml:space="preserve"> </w:t>
      </w:r>
      <w:r w:rsidR="006E7A02">
        <w:rPr>
          <w:rFonts w:cs="Times New Roman"/>
        </w:rPr>
        <w:t>support and promote</w:t>
      </w:r>
      <w:r w:rsidR="006B6121">
        <w:rPr>
          <w:rFonts w:cs="Times New Roman"/>
        </w:rPr>
        <w:t xml:space="preserve"> the following objectives</w:t>
      </w:r>
      <w:r w:rsidR="00E47072" w:rsidRPr="00A85936">
        <w:rPr>
          <w:rStyle w:val="FootnoteReference"/>
        </w:rPr>
        <w:footnoteReference w:id="1"/>
      </w:r>
      <w:r w:rsidR="00E93F85" w:rsidRPr="00A85936">
        <w:rPr>
          <w:rFonts w:cs="Times New Roman"/>
        </w:rPr>
        <w:t>:</w:t>
      </w:r>
    </w:p>
    <w:p w14:paraId="505A7A2F" w14:textId="77777777" w:rsidR="00DF5F11" w:rsidRDefault="00DF5F11" w:rsidP="00DF5F11">
      <w:pPr>
        <w:pStyle w:val="ListParagraph"/>
        <w:numPr>
          <w:ilvl w:val="0"/>
          <w:numId w:val="35"/>
        </w:numPr>
        <w:jc w:val="both"/>
        <w:rPr>
          <w:rFonts w:ascii="Times New Roman" w:hAnsi="Times New Roman"/>
        </w:rPr>
      </w:pPr>
      <w:r w:rsidRPr="00A85936">
        <w:rPr>
          <w:rFonts w:ascii="Times New Roman" w:hAnsi="Times New Roman"/>
        </w:rPr>
        <w:t>Cooperation between researchers and industry</w:t>
      </w:r>
    </w:p>
    <w:p w14:paraId="2541CFE3" w14:textId="77777777" w:rsidR="0011752D" w:rsidRPr="00A85936" w:rsidRDefault="0011752D" w:rsidP="0011752D">
      <w:pPr>
        <w:pStyle w:val="ListParagraph"/>
        <w:numPr>
          <w:ilvl w:val="0"/>
          <w:numId w:val="35"/>
        </w:numPr>
        <w:jc w:val="both"/>
        <w:rPr>
          <w:rFonts w:ascii="Times New Roman" w:hAnsi="Times New Roman"/>
        </w:rPr>
      </w:pPr>
      <w:r w:rsidRPr="00A85936">
        <w:rPr>
          <w:rFonts w:ascii="Times New Roman" w:hAnsi="Times New Roman"/>
        </w:rPr>
        <w:t>Targeted research efforts</w:t>
      </w:r>
    </w:p>
    <w:p w14:paraId="2297EB8B" w14:textId="77777777" w:rsidR="0011752D" w:rsidRPr="00A85936" w:rsidRDefault="0011752D" w:rsidP="0011752D">
      <w:pPr>
        <w:pStyle w:val="ListParagraph"/>
        <w:numPr>
          <w:ilvl w:val="0"/>
          <w:numId w:val="35"/>
        </w:numPr>
        <w:jc w:val="both"/>
        <w:rPr>
          <w:rFonts w:ascii="Times New Roman" w:hAnsi="Times New Roman"/>
        </w:rPr>
      </w:pPr>
      <w:r w:rsidRPr="00A85936">
        <w:rPr>
          <w:rFonts w:ascii="Times New Roman" w:hAnsi="Times New Roman"/>
        </w:rPr>
        <w:t>Research excellence</w:t>
      </w:r>
    </w:p>
    <w:p w14:paraId="591AE616" w14:textId="4D2866CC" w:rsidR="00E47072" w:rsidRPr="00A85936" w:rsidRDefault="0011752D" w:rsidP="00E47072">
      <w:pPr>
        <w:pStyle w:val="ListParagraph"/>
        <w:numPr>
          <w:ilvl w:val="0"/>
          <w:numId w:val="35"/>
        </w:numPr>
        <w:jc w:val="both"/>
        <w:rPr>
          <w:rFonts w:ascii="Times New Roman" w:hAnsi="Times New Roman"/>
        </w:rPr>
      </w:pPr>
      <w:r>
        <w:rPr>
          <w:rFonts w:ascii="Times New Roman" w:hAnsi="Times New Roman"/>
        </w:rPr>
        <w:t>E</w:t>
      </w:r>
      <w:r w:rsidR="00BE710C" w:rsidRPr="00A85936">
        <w:rPr>
          <w:rFonts w:ascii="Times New Roman" w:hAnsi="Times New Roman"/>
        </w:rPr>
        <w:t xml:space="preserve">ntrepreneurship </w:t>
      </w:r>
    </w:p>
    <w:p w14:paraId="4B9C4B97" w14:textId="7D722DED" w:rsidR="00E47072" w:rsidRPr="00A85936" w:rsidRDefault="00054FC9" w:rsidP="00E47072">
      <w:pPr>
        <w:jc w:val="both"/>
        <w:rPr>
          <w:rFonts w:cs="Times New Roman"/>
        </w:rPr>
      </w:pPr>
      <w:proofErr w:type="spellStart"/>
      <w:r w:rsidRPr="00A85936">
        <w:rPr>
          <w:rFonts w:cs="Times New Roman"/>
        </w:rPr>
        <w:t>ACU</w:t>
      </w:r>
      <w:proofErr w:type="spellEnd"/>
      <w:r w:rsidRPr="00A85936">
        <w:rPr>
          <w:rFonts w:cs="Times New Roman"/>
        </w:rPr>
        <w:t xml:space="preserve"> </w:t>
      </w:r>
      <w:r>
        <w:rPr>
          <w:rFonts w:cs="Times New Roman"/>
        </w:rPr>
        <w:t xml:space="preserve">believes </w:t>
      </w:r>
      <w:r w:rsidR="00B4164A">
        <w:rPr>
          <w:rFonts w:cs="Times New Roman"/>
        </w:rPr>
        <w:t>in</w:t>
      </w:r>
      <w:r>
        <w:rPr>
          <w:rFonts w:cs="Times New Roman"/>
        </w:rPr>
        <w:t xml:space="preserve"> </w:t>
      </w:r>
      <w:r w:rsidR="00BB08A0">
        <w:rPr>
          <w:rFonts w:cs="Times New Roman"/>
        </w:rPr>
        <w:t xml:space="preserve">adopting </w:t>
      </w:r>
      <w:r>
        <w:rPr>
          <w:rFonts w:cs="Times New Roman"/>
        </w:rPr>
        <w:t>p</w:t>
      </w:r>
      <w:r w:rsidRPr="00A85936">
        <w:rPr>
          <w:rFonts w:cs="Times New Roman"/>
        </w:rPr>
        <w:t>ublic policy positions</w:t>
      </w:r>
      <w:r>
        <w:rPr>
          <w:rFonts w:cs="Times New Roman"/>
        </w:rPr>
        <w:t xml:space="preserve"> to advance these </w:t>
      </w:r>
      <w:r w:rsidR="00417265">
        <w:rPr>
          <w:rFonts w:cs="Times New Roman"/>
        </w:rPr>
        <w:t xml:space="preserve">objectives </w:t>
      </w:r>
      <w:r>
        <w:rPr>
          <w:rFonts w:cs="Times New Roman"/>
        </w:rPr>
        <w:t>in Australia’s research and innovation system</w:t>
      </w:r>
      <w:r w:rsidR="00E6505F">
        <w:rPr>
          <w:rFonts w:cs="Times New Roman"/>
        </w:rPr>
        <w:t xml:space="preserve"> </w:t>
      </w:r>
      <w:r w:rsidR="001D0EF9">
        <w:rPr>
          <w:rFonts w:cs="Times New Roman"/>
        </w:rPr>
        <w:t>and</w:t>
      </w:r>
      <w:r w:rsidR="00E6505F">
        <w:rPr>
          <w:rFonts w:cs="Times New Roman"/>
        </w:rPr>
        <w:t xml:space="preserve"> </w:t>
      </w:r>
      <w:r w:rsidR="001D0EF9">
        <w:rPr>
          <w:rFonts w:cs="Times New Roman"/>
        </w:rPr>
        <w:t>boost the commercial returns from research</w:t>
      </w:r>
      <w:r w:rsidR="001E5A84">
        <w:rPr>
          <w:rFonts w:cs="Times New Roman"/>
        </w:rPr>
        <w:t xml:space="preserve"> across the nation</w:t>
      </w:r>
      <w:r>
        <w:rPr>
          <w:rFonts w:cs="Times New Roman"/>
        </w:rPr>
        <w:t>.</w:t>
      </w:r>
      <w:r w:rsidR="00EB419C">
        <w:rPr>
          <w:rFonts w:cs="Times New Roman"/>
        </w:rPr>
        <w:t xml:space="preserve"> </w:t>
      </w:r>
      <w:r>
        <w:rPr>
          <w:rFonts w:cs="Times New Roman"/>
        </w:rPr>
        <w:t>They</w:t>
      </w:r>
      <w:r w:rsidR="005902AB">
        <w:rPr>
          <w:rFonts w:cs="Times New Roman"/>
        </w:rPr>
        <w:t xml:space="preserve"> are</w:t>
      </w:r>
      <w:r>
        <w:rPr>
          <w:rFonts w:cs="Times New Roman"/>
        </w:rPr>
        <w:t xml:space="preserve"> also</w:t>
      </w:r>
      <w:r w:rsidR="003C5E95">
        <w:rPr>
          <w:rFonts w:cs="Times New Roman"/>
        </w:rPr>
        <w:t xml:space="preserve"> </w:t>
      </w:r>
      <w:r>
        <w:rPr>
          <w:rFonts w:cs="Times New Roman"/>
        </w:rPr>
        <w:t>imperative if Australia is to remain globally competitive and boost national productivity into the future.</w:t>
      </w:r>
    </w:p>
    <w:p w14:paraId="47E3CAE6" w14:textId="77777777" w:rsidR="008B3C4B" w:rsidRDefault="008B3C4B" w:rsidP="00C801B0">
      <w:pPr>
        <w:jc w:val="both"/>
        <w:rPr>
          <w:rFonts w:cs="Times New Roman"/>
        </w:rPr>
      </w:pPr>
    </w:p>
    <w:p w14:paraId="4D49F605" w14:textId="0A4DA13F" w:rsidR="00F36E2C" w:rsidRPr="004F4AF7" w:rsidRDefault="00F36E2C" w:rsidP="00F36E2C">
      <w:pPr>
        <w:jc w:val="both"/>
        <w:rPr>
          <w:rFonts w:cs="Times New Roman"/>
        </w:rPr>
      </w:pPr>
      <w:r>
        <w:rPr>
          <w:rFonts w:cs="Times New Roman"/>
        </w:rPr>
        <w:lastRenderedPageBreak/>
        <w:t xml:space="preserve">There are opportunities to better engage industry </w:t>
      </w:r>
      <w:r w:rsidR="00BD548A">
        <w:rPr>
          <w:rFonts w:cs="Times New Roman"/>
        </w:rPr>
        <w:t>and</w:t>
      </w:r>
      <w:r>
        <w:rPr>
          <w:rFonts w:cs="Times New Roman"/>
        </w:rPr>
        <w:t xml:space="preserve"> university researchers in collaborative projects to boost the translation of research into commercial outcomes. </w:t>
      </w:r>
      <w:proofErr w:type="spellStart"/>
      <w:r>
        <w:rPr>
          <w:rFonts w:cs="Times New Roman"/>
        </w:rPr>
        <w:t>ACU</w:t>
      </w:r>
      <w:proofErr w:type="spellEnd"/>
      <w:r>
        <w:rPr>
          <w:rFonts w:cs="Times New Roman"/>
        </w:rPr>
        <w:t xml:space="preserve"> believes that government should</w:t>
      </w:r>
      <w:r w:rsidRPr="004F4AF7">
        <w:rPr>
          <w:rFonts w:cs="Times New Roman"/>
        </w:rPr>
        <w:t>:</w:t>
      </w:r>
    </w:p>
    <w:p w14:paraId="29700884" w14:textId="77777777" w:rsidR="00F36E2C" w:rsidRPr="00CE7B5A" w:rsidRDefault="00F36E2C" w:rsidP="00F36E2C">
      <w:pPr>
        <w:pStyle w:val="ListParagraph"/>
        <w:numPr>
          <w:ilvl w:val="0"/>
          <w:numId w:val="37"/>
        </w:numPr>
        <w:jc w:val="both"/>
        <w:rPr>
          <w:rFonts w:ascii="Times New Roman" w:hAnsi="Times New Roman"/>
        </w:rPr>
      </w:pPr>
      <w:r>
        <w:rPr>
          <w:rFonts w:ascii="Times New Roman" w:hAnsi="Times New Roman"/>
        </w:rPr>
        <w:t xml:space="preserve">Provide additional targeted </w:t>
      </w:r>
      <w:r w:rsidRPr="004F4AF7">
        <w:rPr>
          <w:rFonts w:ascii="Times New Roman" w:hAnsi="Times New Roman"/>
        </w:rPr>
        <w:t xml:space="preserve">investment in </w:t>
      </w:r>
      <w:r w:rsidRPr="003822CA">
        <w:rPr>
          <w:rFonts w:ascii="Times New Roman" w:hAnsi="Times New Roman"/>
        </w:rPr>
        <w:t>the Australian Research Council’s</w:t>
      </w:r>
      <w:r>
        <w:rPr>
          <w:rFonts w:ascii="Times New Roman" w:hAnsi="Times New Roman"/>
        </w:rPr>
        <w:t xml:space="preserve"> (</w:t>
      </w:r>
      <w:proofErr w:type="spellStart"/>
      <w:r>
        <w:rPr>
          <w:rFonts w:ascii="Times New Roman" w:hAnsi="Times New Roman"/>
        </w:rPr>
        <w:t>ARC’s</w:t>
      </w:r>
      <w:proofErr w:type="spellEnd"/>
      <w:r>
        <w:rPr>
          <w:rFonts w:ascii="Times New Roman" w:hAnsi="Times New Roman"/>
        </w:rPr>
        <w:t>)</w:t>
      </w:r>
      <w:r w:rsidRPr="003822CA">
        <w:rPr>
          <w:rFonts w:ascii="Times New Roman" w:hAnsi="Times New Roman"/>
        </w:rPr>
        <w:t xml:space="preserve"> Linkage </w:t>
      </w:r>
      <w:r>
        <w:rPr>
          <w:rFonts w:ascii="Times New Roman" w:hAnsi="Times New Roman"/>
        </w:rPr>
        <w:t xml:space="preserve">funding </w:t>
      </w:r>
      <w:r w:rsidRPr="003822CA">
        <w:rPr>
          <w:rFonts w:ascii="Times New Roman" w:hAnsi="Times New Roman"/>
        </w:rPr>
        <w:t>scheme</w:t>
      </w:r>
      <w:r>
        <w:rPr>
          <w:rFonts w:ascii="Times New Roman" w:hAnsi="Times New Roman"/>
        </w:rPr>
        <w:t xml:space="preserve"> to </w:t>
      </w:r>
      <w:r w:rsidRPr="00CE7B5A">
        <w:rPr>
          <w:rFonts w:ascii="Times New Roman" w:hAnsi="Times New Roman"/>
        </w:rPr>
        <w:t>support more university-industry research collaborations.</w:t>
      </w:r>
    </w:p>
    <w:p w14:paraId="4A037C9B" w14:textId="77777777" w:rsidR="00F36E2C" w:rsidRPr="00CE7B5A" w:rsidRDefault="00F36E2C" w:rsidP="00F36E2C">
      <w:pPr>
        <w:pStyle w:val="ListParagraph"/>
        <w:numPr>
          <w:ilvl w:val="0"/>
          <w:numId w:val="37"/>
        </w:numPr>
        <w:jc w:val="both"/>
        <w:rPr>
          <w:rFonts w:ascii="Times New Roman" w:hAnsi="Times New Roman"/>
        </w:rPr>
      </w:pPr>
      <w:r w:rsidRPr="00CE7B5A">
        <w:rPr>
          <w:rFonts w:ascii="Times New Roman" w:hAnsi="Times New Roman"/>
        </w:rPr>
        <w:t>More broadly, ensure that government funding provides sufficient incentive for industry to seek engagement in collaborative research projects by:</w:t>
      </w:r>
    </w:p>
    <w:p w14:paraId="02D0192F" w14:textId="77777777" w:rsidR="00F36E2C" w:rsidRPr="00CE7B5A" w:rsidRDefault="00F36E2C" w:rsidP="00F36E2C">
      <w:pPr>
        <w:pStyle w:val="ListParagraph"/>
        <w:numPr>
          <w:ilvl w:val="1"/>
          <w:numId w:val="37"/>
        </w:numPr>
        <w:jc w:val="both"/>
        <w:rPr>
          <w:rFonts w:ascii="Times New Roman" w:hAnsi="Times New Roman"/>
        </w:rPr>
      </w:pPr>
      <w:r w:rsidRPr="00CE7B5A">
        <w:rPr>
          <w:rFonts w:ascii="Times New Roman" w:hAnsi="Times New Roman"/>
        </w:rPr>
        <w:t>Ensuring that research grants adequately and fully fund projects to meet their objectives.</w:t>
      </w:r>
    </w:p>
    <w:p w14:paraId="0462CF82" w14:textId="77777777" w:rsidR="00F36E2C" w:rsidRPr="00CE7B5A" w:rsidRDefault="00F36E2C" w:rsidP="00F36E2C">
      <w:pPr>
        <w:pStyle w:val="ListParagraph"/>
        <w:numPr>
          <w:ilvl w:val="1"/>
          <w:numId w:val="37"/>
        </w:numPr>
        <w:jc w:val="both"/>
        <w:rPr>
          <w:rFonts w:ascii="Times New Roman" w:hAnsi="Times New Roman"/>
        </w:rPr>
      </w:pPr>
      <w:r w:rsidRPr="00CE7B5A">
        <w:rPr>
          <w:rFonts w:ascii="Times New Roman" w:hAnsi="Times New Roman"/>
        </w:rPr>
        <w:t xml:space="preserve">Exploring opportunities to reduce the administrative </w:t>
      </w:r>
      <w:r>
        <w:rPr>
          <w:rFonts w:ascii="Times New Roman" w:hAnsi="Times New Roman"/>
        </w:rPr>
        <w:t xml:space="preserve">and regulatory </w:t>
      </w:r>
      <w:r w:rsidRPr="00CE7B5A">
        <w:rPr>
          <w:rFonts w:ascii="Times New Roman" w:hAnsi="Times New Roman"/>
        </w:rPr>
        <w:t xml:space="preserve">burden of applying for government funding to counter any potential disincentives to industry </w:t>
      </w:r>
      <w:r>
        <w:rPr>
          <w:rFonts w:ascii="Times New Roman" w:hAnsi="Times New Roman"/>
        </w:rPr>
        <w:t xml:space="preserve">in </w:t>
      </w:r>
      <w:r w:rsidRPr="00CE7B5A">
        <w:rPr>
          <w:rFonts w:ascii="Times New Roman" w:hAnsi="Times New Roman"/>
        </w:rPr>
        <w:t>seeking engagement in collaborative research endeavours.</w:t>
      </w:r>
    </w:p>
    <w:p w14:paraId="541F818E" w14:textId="77777777" w:rsidR="0034210B" w:rsidRDefault="00F36E2C" w:rsidP="0034210B">
      <w:pPr>
        <w:pStyle w:val="ListParagraph"/>
        <w:numPr>
          <w:ilvl w:val="0"/>
          <w:numId w:val="42"/>
        </w:numPr>
        <w:jc w:val="both"/>
        <w:rPr>
          <w:rFonts w:ascii="Times New Roman" w:hAnsi="Times New Roman"/>
        </w:rPr>
      </w:pPr>
      <w:r w:rsidRPr="0035148C">
        <w:rPr>
          <w:rFonts w:ascii="Times New Roman" w:hAnsi="Times New Roman"/>
        </w:rPr>
        <w:t>Explore opportunities to lift the profile of research undertaken at universities and their particular research capacities with industry, to encourage industry to come to universities to innovate or solve business and service delivery issues.</w:t>
      </w:r>
    </w:p>
    <w:p w14:paraId="5867F39D" w14:textId="37393D58" w:rsidR="0034210B" w:rsidRPr="0034210B" w:rsidRDefault="0034210B" w:rsidP="0034210B">
      <w:pPr>
        <w:pStyle w:val="ListParagraph"/>
        <w:numPr>
          <w:ilvl w:val="0"/>
          <w:numId w:val="42"/>
        </w:numPr>
        <w:jc w:val="both"/>
        <w:rPr>
          <w:rFonts w:ascii="Times New Roman" w:hAnsi="Times New Roman"/>
        </w:rPr>
      </w:pPr>
      <w:r w:rsidRPr="0034210B">
        <w:rPr>
          <w:rFonts w:ascii="Times New Roman" w:hAnsi="Times New Roman"/>
        </w:rPr>
        <w:t xml:space="preserve">Encourage fractional appointments or staff secondments between universities and industry. </w:t>
      </w:r>
    </w:p>
    <w:p w14:paraId="26B1E5C9" w14:textId="6CA440DD" w:rsidR="00B674ED" w:rsidRDefault="00BD2862" w:rsidP="00C801B0">
      <w:pPr>
        <w:jc w:val="both"/>
        <w:rPr>
          <w:rFonts w:cs="Times New Roman"/>
        </w:rPr>
      </w:pPr>
      <w:r>
        <w:rPr>
          <w:rFonts w:cs="Times New Roman"/>
        </w:rPr>
        <w:t>To better target research efforts, support research excellence</w:t>
      </w:r>
      <w:r w:rsidR="008E7963">
        <w:rPr>
          <w:rFonts w:cs="Times New Roman"/>
        </w:rPr>
        <w:t>,</w:t>
      </w:r>
      <w:r>
        <w:rPr>
          <w:rFonts w:cs="Times New Roman"/>
        </w:rPr>
        <w:t xml:space="preserve"> and encourage </w:t>
      </w:r>
      <w:r w:rsidR="008E7963">
        <w:rPr>
          <w:rFonts w:cs="Times New Roman"/>
        </w:rPr>
        <w:t>entrepreneurship in Australia</w:t>
      </w:r>
      <w:r w:rsidR="00A04872">
        <w:rPr>
          <w:rFonts w:cs="Times New Roman"/>
        </w:rPr>
        <w:t xml:space="preserve">, </w:t>
      </w:r>
      <w:proofErr w:type="spellStart"/>
      <w:r w:rsidR="00B674ED" w:rsidRPr="00A53FF8">
        <w:rPr>
          <w:rFonts w:cs="Times New Roman"/>
        </w:rPr>
        <w:t>ACU</w:t>
      </w:r>
      <w:proofErr w:type="spellEnd"/>
      <w:r w:rsidR="00B674ED" w:rsidRPr="00A53FF8">
        <w:rPr>
          <w:rFonts w:cs="Times New Roman"/>
        </w:rPr>
        <w:t xml:space="preserve"> believes that</w:t>
      </w:r>
      <w:r w:rsidR="00975F51">
        <w:rPr>
          <w:rFonts w:cs="Times New Roman"/>
        </w:rPr>
        <w:t xml:space="preserve"> </w:t>
      </w:r>
      <w:r w:rsidR="00B674ED" w:rsidRPr="00A53FF8">
        <w:rPr>
          <w:rFonts w:cs="Times New Roman"/>
        </w:rPr>
        <w:t>government must:</w:t>
      </w:r>
    </w:p>
    <w:p w14:paraId="11C9109C" w14:textId="77777777" w:rsidR="003F1DD8" w:rsidRDefault="00B674ED" w:rsidP="003F1DD8">
      <w:pPr>
        <w:pStyle w:val="ListParagraph"/>
        <w:numPr>
          <w:ilvl w:val="0"/>
          <w:numId w:val="25"/>
        </w:numPr>
        <w:jc w:val="both"/>
        <w:rPr>
          <w:rFonts w:ascii="Times New Roman" w:hAnsi="Times New Roman"/>
        </w:rPr>
      </w:pPr>
      <w:r w:rsidRPr="00A53FF8">
        <w:rPr>
          <w:rFonts w:ascii="Times New Roman" w:hAnsi="Times New Roman"/>
        </w:rPr>
        <w:t xml:space="preserve">Support a diversified research landscape where universities are funded to undertake quality research and </w:t>
      </w:r>
      <w:r w:rsidR="00841B82" w:rsidRPr="00A53FF8">
        <w:rPr>
          <w:rFonts w:ascii="Times New Roman" w:hAnsi="Times New Roman"/>
        </w:rPr>
        <w:t xml:space="preserve">play to their </w:t>
      </w:r>
      <w:r w:rsidR="00472799" w:rsidRPr="00A53FF8">
        <w:rPr>
          <w:rFonts w:ascii="Times New Roman" w:hAnsi="Times New Roman"/>
        </w:rPr>
        <w:t>particular</w:t>
      </w:r>
      <w:r w:rsidR="003375F6" w:rsidRPr="00A53FF8">
        <w:rPr>
          <w:rFonts w:ascii="Times New Roman" w:hAnsi="Times New Roman"/>
        </w:rPr>
        <w:t xml:space="preserve"> demonstrated</w:t>
      </w:r>
      <w:r w:rsidR="00472799" w:rsidRPr="00A53FF8">
        <w:rPr>
          <w:rFonts w:ascii="Times New Roman" w:hAnsi="Times New Roman"/>
        </w:rPr>
        <w:t xml:space="preserve"> </w:t>
      </w:r>
      <w:r w:rsidR="00841B82" w:rsidRPr="00A53FF8">
        <w:rPr>
          <w:rFonts w:ascii="Times New Roman" w:hAnsi="Times New Roman"/>
        </w:rPr>
        <w:t>research strengths</w:t>
      </w:r>
      <w:r w:rsidRPr="00A53FF8">
        <w:rPr>
          <w:rFonts w:ascii="Times New Roman" w:hAnsi="Times New Roman"/>
        </w:rPr>
        <w:t>.</w:t>
      </w:r>
    </w:p>
    <w:p w14:paraId="2107E7BD" w14:textId="77777777" w:rsidR="00E15640" w:rsidRPr="00A53FF8" w:rsidRDefault="00E15640" w:rsidP="00E15640">
      <w:pPr>
        <w:pStyle w:val="ListParagraph"/>
        <w:numPr>
          <w:ilvl w:val="0"/>
          <w:numId w:val="27"/>
        </w:numPr>
        <w:jc w:val="both"/>
        <w:rPr>
          <w:rFonts w:ascii="Times New Roman" w:hAnsi="Times New Roman"/>
        </w:rPr>
      </w:pPr>
      <w:r w:rsidRPr="00A53FF8">
        <w:rPr>
          <w:rFonts w:ascii="Times New Roman" w:hAnsi="Times New Roman"/>
        </w:rPr>
        <w:t>Endorse strategies that support research intensification across all universities, promoting:</w:t>
      </w:r>
    </w:p>
    <w:p w14:paraId="4751F422" w14:textId="77777777" w:rsidR="00E15640" w:rsidRPr="00A53FF8" w:rsidRDefault="00E15640" w:rsidP="00E15640">
      <w:pPr>
        <w:pStyle w:val="ListParagraph"/>
        <w:numPr>
          <w:ilvl w:val="1"/>
          <w:numId w:val="27"/>
        </w:numPr>
        <w:jc w:val="both"/>
        <w:rPr>
          <w:rFonts w:ascii="Times New Roman" w:hAnsi="Times New Roman"/>
        </w:rPr>
      </w:pPr>
      <w:r w:rsidRPr="00A53FF8">
        <w:rPr>
          <w:rFonts w:ascii="Times New Roman" w:hAnsi="Times New Roman"/>
        </w:rPr>
        <w:t>Greater concentrations of research excellence.</w:t>
      </w:r>
    </w:p>
    <w:p w14:paraId="2E0F9837" w14:textId="77777777" w:rsidR="00E15640" w:rsidRDefault="00E15640" w:rsidP="00E15640">
      <w:pPr>
        <w:pStyle w:val="ListParagraph"/>
        <w:numPr>
          <w:ilvl w:val="1"/>
          <w:numId w:val="27"/>
        </w:numPr>
        <w:jc w:val="both"/>
        <w:rPr>
          <w:rFonts w:ascii="Times New Roman" w:hAnsi="Times New Roman"/>
        </w:rPr>
      </w:pPr>
      <w:r w:rsidRPr="00A53FF8">
        <w:rPr>
          <w:rFonts w:ascii="Times New Roman" w:hAnsi="Times New Roman"/>
        </w:rPr>
        <w:t>Competitive and strategic allocation of resources based on 1) well-articulated research plans and 2) rigorous assessment of performance.</w:t>
      </w:r>
    </w:p>
    <w:p w14:paraId="26EFD165" w14:textId="19C1F811" w:rsidR="00E15640" w:rsidRPr="00AF1D9E" w:rsidRDefault="00E15640" w:rsidP="00E15640">
      <w:pPr>
        <w:pStyle w:val="ListParagraph"/>
        <w:numPr>
          <w:ilvl w:val="0"/>
          <w:numId w:val="26"/>
        </w:numPr>
        <w:jc w:val="both"/>
        <w:rPr>
          <w:rFonts w:ascii="Times New Roman" w:hAnsi="Times New Roman"/>
          <w:b/>
          <w:u w:val="single"/>
        </w:rPr>
      </w:pPr>
      <w:r w:rsidRPr="00A53FF8">
        <w:rPr>
          <w:rFonts w:ascii="Times New Roman" w:hAnsi="Times New Roman"/>
        </w:rPr>
        <w:t>Focus on quality over quantity in research assessment and administration. This would better serve research and innovation in Australia and more effectively advance the objective of high quality research, by freeing up additional resources for better investment in actual research and quality researchers.</w:t>
      </w:r>
    </w:p>
    <w:p w14:paraId="1D2D0AD8" w14:textId="77777777" w:rsidR="00E15640" w:rsidRPr="00944CA5" w:rsidRDefault="00E15640" w:rsidP="00E15640">
      <w:pPr>
        <w:pStyle w:val="ListParagraph"/>
        <w:numPr>
          <w:ilvl w:val="0"/>
          <w:numId w:val="26"/>
        </w:numPr>
        <w:jc w:val="both"/>
        <w:rPr>
          <w:rFonts w:ascii="Times New Roman" w:hAnsi="Times New Roman"/>
          <w:b/>
          <w:u w:val="single"/>
        </w:rPr>
      </w:pPr>
      <w:r w:rsidRPr="00A53FF8">
        <w:rPr>
          <w:rFonts w:ascii="Times New Roman" w:hAnsi="Times New Roman"/>
        </w:rPr>
        <w:t>Facilitate active engagement in strategies to build international research engagement and collaborations. There is significant advantage to be gained from tapping into research talent and advances overseas by collaborating with the world’s leading researchers and research institutes.</w:t>
      </w:r>
    </w:p>
    <w:p w14:paraId="698EFA2D" w14:textId="15183337" w:rsidR="00881260" w:rsidRDefault="00881260" w:rsidP="00881260">
      <w:pPr>
        <w:pStyle w:val="ListParagraph"/>
        <w:numPr>
          <w:ilvl w:val="0"/>
          <w:numId w:val="25"/>
        </w:numPr>
        <w:jc w:val="both"/>
        <w:rPr>
          <w:rFonts w:ascii="Times New Roman" w:hAnsi="Times New Roman"/>
        </w:rPr>
      </w:pPr>
      <w:r w:rsidRPr="00A53FF8">
        <w:rPr>
          <w:rFonts w:ascii="Times New Roman" w:hAnsi="Times New Roman"/>
        </w:rPr>
        <w:t>Encourage universities to align</w:t>
      </w:r>
      <w:r w:rsidR="000B38FA">
        <w:rPr>
          <w:rFonts w:ascii="Times New Roman" w:hAnsi="Times New Roman"/>
        </w:rPr>
        <w:t xml:space="preserve"> </w:t>
      </w:r>
      <w:r w:rsidR="000B38FA" w:rsidRPr="00A53FF8">
        <w:rPr>
          <w:rFonts w:ascii="Times New Roman" w:hAnsi="Times New Roman"/>
        </w:rPr>
        <w:t>research</w:t>
      </w:r>
      <w:r w:rsidRPr="00A53FF8">
        <w:rPr>
          <w:rFonts w:ascii="Times New Roman" w:hAnsi="Times New Roman"/>
        </w:rPr>
        <w:t xml:space="preserve"> with their particular </w:t>
      </w:r>
      <w:r w:rsidR="000B38FA" w:rsidRPr="00A53FF8">
        <w:rPr>
          <w:rFonts w:ascii="Times New Roman" w:hAnsi="Times New Roman"/>
        </w:rPr>
        <w:t xml:space="preserve">teaching </w:t>
      </w:r>
      <w:r w:rsidRPr="00A53FF8">
        <w:rPr>
          <w:rFonts w:ascii="Times New Roman" w:hAnsi="Times New Roman"/>
        </w:rPr>
        <w:t>strengths.</w:t>
      </w:r>
    </w:p>
    <w:p w14:paraId="2D207175" w14:textId="3B7B4E5B" w:rsidR="00B674ED" w:rsidRDefault="00B674ED" w:rsidP="003F1DD8">
      <w:pPr>
        <w:pStyle w:val="ListParagraph"/>
        <w:numPr>
          <w:ilvl w:val="0"/>
          <w:numId w:val="25"/>
        </w:numPr>
        <w:jc w:val="both"/>
        <w:rPr>
          <w:rFonts w:ascii="Times New Roman" w:hAnsi="Times New Roman"/>
        </w:rPr>
      </w:pPr>
      <w:r w:rsidRPr="00A53FF8">
        <w:rPr>
          <w:rFonts w:ascii="Times New Roman" w:hAnsi="Times New Roman"/>
        </w:rPr>
        <w:t>Secure a policy environment which</w:t>
      </w:r>
      <w:r w:rsidR="003F1DD8" w:rsidRPr="00A53FF8">
        <w:rPr>
          <w:rFonts w:ascii="Times New Roman" w:hAnsi="Times New Roman"/>
        </w:rPr>
        <w:t xml:space="preserve"> r</w:t>
      </w:r>
      <w:r w:rsidR="00152B86" w:rsidRPr="00A53FF8">
        <w:rPr>
          <w:rFonts w:ascii="Times New Roman" w:hAnsi="Times New Roman"/>
        </w:rPr>
        <w:t>ecognises that u</w:t>
      </w:r>
      <w:r w:rsidRPr="00A53FF8">
        <w:rPr>
          <w:rFonts w:ascii="Times New Roman" w:hAnsi="Times New Roman"/>
        </w:rPr>
        <w:t>niversities that are growing</w:t>
      </w:r>
      <w:r w:rsidR="00621BDE" w:rsidRPr="00A53FF8">
        <w:rPr>
          <w:rFonts w:ascii="Times New Roman" w:hAnsi="Times New Roman"/>
        </w:rPr>
        <w:t xml:space="preserve"> research </w:t>
      </w:r>
      <w:r w:rsidR="001A4B5A" w:rsidRPr="00A53FF8">
        <w:rPr>
          <w:rFonts w:ascii="Times New Roman" w:hAnsi="Times New Roman"/>
        </w:rPr>
        <w:t>capacity</w:t>
      </w:r>
      <w:r w:rsidRPr="00A53FF8">
        <w:rPr>
          <w:rFonts w:ascii="Times New Roman" w:hAnsi="Times New Roman"/>
        </w:rPr>
        <w:t xml:space="preserve"> need to be supported and allowed sufficient time to develop their research strengths.</w:t>
      </w:r>
    </w:p>
    <w:p w14:paraId="3DB8DD5E" w14:textId="77777777" w:rsidR="00472799" w:rsidRPr="00A53FF8" w:rsidRDefault="00472799" w:rsidP="00C801B0">
      <w:pPr>
        <w:pStyle w:val="ListParagraph"/>
        <w:numPr>
          <w:ilvl w:val="0"/>
          <w:numId w:val="26"/>
        </w:numPr>
        <w:jc w:val="both"/>
        <w:rPr>
          <w:rFonts w:ascii="Times New Roman" w:hAnsi="Times New Roman"/>
          <w:b/>
          <w:u w:val="single"/>
        </w:rPr>
      </w:pPr>
      <w:proofErr w:type="spellStart"/>
      <w:r w:rsidRPr="00A53FF8">
        <w:rPr>
          <w:rFonts w:ascii="Times New Roman" w:hAnsi="Times New Roman"/>
        </w:rPr>
        <w:t>Recognise</w:t>
      </w:r>
      <w:proofErr w:type="spellEnd"/>
      <w:r w:rsidRPr="00A53FF8">
        <w:rPr>
          <w:rFonts w:ascii="Times New Roman" w:hAnsi="Times New Roman"/>
        </w:rPr>
        <w:t xml:space="preserve"> the vital</w:t>
      </w:r>
      <w:bookmarkStart w:id="1" w:name="_GoBack"/>
      <w:bookmarkEnd w:id="1"/>
      <w:r w:rsidRPr="00A53FF8">
        <w:rPr>
          <w:rFonts w:ascii="Times New Roman" w:hAnsi="Times New Roman"/>
        </w:rPr>
        <w:t xml:space="preserve"> connection between </w:t>
      </w:r>
      <w:r w:rsidR="001F7C70" w:rsidRPr="00A53FF8">
        <w:rPr>
          <w:rFonts w:ascii="Times New Roman" w:hAnsi="Times New Roman"/>
        </w:rPr>
        <w:t xml:space="preserve">university </w:t>
      </w:r>
      <w:r w:rsidRPr="00A53FF8">
        <w:rPr>
          <w:rFonts w:ascii="Times New Roman" w:hAnsi="Times New Roman"/>
        </w:rPr>
        <w:t xml:space="preserve">research and teaching, </w:t>
      </w:r>
      <w:r w:rsidR="001F7C70" w:rsidRPr="00A53FF8">
        <w:rPr>
          <w:rFonts w:ascii="Times New Roman" w:hAnsi="Times New Roman"/>
        </w:rPr>
        <w:t xml:space="preserve">which underpin scholarship and innovation. </w:t>
      </w:r>
    </w:p>
    <w:p w14:paraId="00954B43" w14:textId="77777777" w:rsidR="00AF1D9E" w:rsidRPr="00AF1D9E" w:rsidRDefault="00AF1D9E" w:rsidP="00AF1D9E">
      <w:pPr>
        <w:pStyle w:val="ListParagraph"/>
        <w:jc w:val="both"/>
        <w:rPr>
          <w:rFonts w:ascii="Times New Roman" w:hAnsi="Times New Roman"/>
          <w:b/>
          <w:u w:val="single"/>
        </w:rPr>
      </w:pPr>
    </w:p>
    <w:p w14:paraId="72C38BFB" w14:textId="77777777" w:rsidR="00944CA5" w:rsidRDefault="00944CA5" w:rsidP="00944CA5">
      <w:pPr>
        <w:pStyle w:val="ListParagraph"/>
      </w:pPr>
    </w:p>
    <w:p w14:paraId="1EE91F14" w14:textId="77777777" w:rsidR="006C6371" w:rsidRPr="00A53FF8" w:rsidRDefault="006C6371" w:rsidP="006C6371">
      <w:pPr>
        <w:pStyle w:val="Heading1"/>
        <w:sectPr w:rsidR="006C6371" w:rsidRPr="00A53FF8" w:rsidSect="00EE70A2">
          <w:pgSz w:w="11906" w:h="16838"/>
          <w:pgMar w:top="1666" w:right="1418" w:bottom="1276" w:left="1418" w:header="708" w:footer="737" w:gutter="0"/>
          <w:cols w:space="708"/>
          <w:titlePg/>
          <w:docGrid w:linePitch="360"/>
        </w:sectPr>
      </w:pPr>
    </w:p>
    <w:p w14:paraId="058D6152" w14:textId="011DD234" w:rsidR="00AA4D88" w:rsidRPr="00F55F0A" w:rsidRDefault="00BE710C" w:rsidP="00E47072">
      <w:pPr>
        <w:pStyle w:val="Heading1"/>
      </w:pPr>
      <w:bookmarkStart w:id="2" w:name="_Toc405536644"/>
      <w:r w:rsidRPr="00F55F0A">
        <w:lastRenderedPageBreak/>
        <w:t>I.</w:t>
      </w:r>
      <w:r w:rsidR="00AA4D88" w:rsidRPr="00F55F0A">
        <w:t xml:space="preserve">  </w:t>
      </w:r>
      <w:r w:rsidR="005169B6">
        <w:t>C</w:t>
      </w:r>
      <w:r w:rsidR="00AA4D88" w:rsidRPr="00F55F0A">
        <w:t>o</w:t>
      </w:r>
      <w:r w:rsidR="000E1DEC">
        <w:t>llaboration</w:t>
      </w:r>
      <w:r w:rsidR="00AA4D88" w:rsidRPr="00F55F0A">
        <w:t xml:space="preserve"> between </w:t>
      </w:r>
      <w:r w:rsidR="00F55F0A">
        <w:t>R</w:t>
      </w:r>
      <w:r w:rsidR="00AA4D88" w:rsidRPr="00F55F0A">
        <w:t xml:space="preserve">esearchers and </w:t>
      </w:r>
      <w:r w:rsidR="00F55F0A">
        <w:t>I</w:t>
      </w:r>
      <w:r w:rsidR="00AA4D88" w:rsidRPr="00F55F0A">
        <w:t>ndustry</w:t>
      </w:r>
      <w:bookmarkEnd w:id="2"/>
      <w:r w:rsidRPr="00F55F0A">
        <w:t xml:space="preserve"> </w:t>
      </w:r>
    </w:p>
    <w:p w14:paraId="4135373F" w14:textId="755B408F" w:rsidR="0073428C" w:rsidRDefault="005242BE" w:rsidP="004F4AF7">
      <w:pPr>
        <w:jc w:val="both"/>
        <w:rPr>
          <w:rFonts w:cs="Times New Roman"/>
        </w:rPr>
      </w:pPr>
      <w:r>
        <w:rPr>
          <w:rFonts w:cs="Times New Roman"/>
        </w:rPr>
        <w:t>T</w:t>
      </w:r>
      <w:r w:rsidR="0073428C">
        <w:rPr>
          <w:rFonts w:cs="Times New Roman"/>
        </w:rPr>
        <w:t xml:space="preserve">here </w:t>
      </w:r>
      <w:r>
        <w:rPr>
          <w:rFonts w:cs="Times New Roman"/>
        </w:rPr>
        <w:t xml:space="preserve">is opportunity to </w:t>
      </w:r>
      <w:r w:rsidR="0073428C">
        <w:rPr>
          <w:rFonts w:cs="Times New Roman"/>
        </w:rPr>
        <w:t>better engage industry and university researchers in collaborative</w:t>
      </w:r>
      <w:r w:rsidR="006F3F4A">
        <w:rPr>
          <w:rFonts w:cs="Times New Roman"/>
        </w:rPr>
        <w:t xml:space="preserve"> projects</w:t>
      </w:r>
      <w:r w:rsidR="00BE5402">
        <w:rPr>
          <w:rFonts w:cs="Times New Roman"/>
        </w:rPr>
        <w:t xml:space="preserve"> </w:t>
      </w:r>
      <w:r w:rsidR="0073428C">
        <w:rPr>
          <w:rFonts w:cs="Times New Roman"/>
        </w:rPr>
        <w:t>to boost the translation of research into commercial outcomes.</w:t>
      </w:r>
    </w:p>
    <w:p w14:paraId="2D75A5B1" w14:textId="58DBF280" w:rsidR="004F4AF7" w:rsidRPr="004F4AF7" w:rsidRDefault="00E83F2E" w:rsidP="004F4AF7">
      <w:pPr>
        <w:jc w:val="both"/>
        <w:rPr>
          <w:rFonts w:cs="Times New Roman"/>
        </w:rPr>
      </w:pPr>
      <w:proofErr w:type="spellStart"/>
      <w:r>
        <w:rPr>
          <w:rFonts w:cs="Times New Roman"/>
        </w:rPr>
        <w:t>ACU</w:t>
      </w:r>
      <w:proofErr w:type="spellEnd"/>
      <w:r>
        <w:rPr>
          <w:rFonts w:cs="Times New Roman"/>
        </w:rPr>
        <w:t xml:space="preserve"> believes that </w:t>
      </w:r>
      <w:r w:rsidR="0068404E">
        <w:rPr>
          <w:rFonts w:cs="Times New Roman"/>
        </w:rPr>
        <w:t>government should</w:t>
      </w:r>
      <w:r w:rsidR="004F4AF7" w:rsidRPr="004F4AF7">
        <w:rPr>
          <w:rFonts w:cs="Times New Roman"/>
        </w:rPr>
        <w:t>:</w:t>
      </w:r>
    </w:p>
    <w:p w14:paraId="29816F3C" w14:textId="7C345C83" w:rsidR="004F4AF7" w:rsidRPr="00CE7B5A" w:rsidRDefault="00E22437" w:rsidP="00EE7FEC">
      <w:pPr>
        <w:pStyle w:val="ListParagraph"/>
        <w:numPr>
          <w:ilvl w:val="0"/>
          <w:numId w:val="37"/>
        </w:numPr>
        <w:jc w:val="both"/>
        <w:rPr>
          <w:rFonts w:ascii="Times New Roman" w:hAnsi="Times New Roman"/>
        </w:rPr>
      </w:pPr>
      <w:r>
        <w:rPr>
          <w:rFonts w:ascii="Times New Roman" w:hAnsi="Times New Roman"/>
        </w:rPr>
        <w:t>Provide a</w:t>
      </w:r>
      <w:r w:rsidR="004B5727">
        <w:rPr>
          <w:rFonts w:ascii="Times New Roman" w:hAnsi="Times New Roman"/>
        </w:rPr>
        <w:t xml:space="preserve">dditional </w:t>
      </w:r>
      <w:r w:rsidR="000C54D8">
        <w:rPr>
          <w:rFonts w:ascii="Times New Roman" w:hAnsi="Times New Roman"/>
        </w:rPr>
        <w:t xml:space="preserve">targeted </w:t>
      </w:r>
      <w:r w:rsidR="004F4AF7" w:rsidRPr="004F4AF7">
        <w:rPr>
          <w:rFonts w:ascii="Times New Roman" w:hAnsi="Times New Roman"/>
        </w:rPr>
        <w:t xml:space="preserve">investment in </w:t>
      </w:r>
      <w:r w:rsidR="004F4AF7" w:rsidRPr="003822CA">
        <w:rPr>
          <w:rFonts w:ascii="Times New Roman" w:hAnsi="Times New Roman"/>
        </w:rPr>
        <w:t>the Australian Research Council’s</w:t>
      </w:r>
      <w:r w:rsidR="00F03213">
        <w:rPr>
          <w:rFonts w:ascii="Times New Roman" w:hAnsi="Times New Roman"/>
        </w:rPr>
        <w:t xml:space="preserve"> (</w:t>
      </w:r>
      <w:proofErr w:type="spellStart"/>
      <w:r w:rsidR="00F03213">
        <w:rPr>
          <w:rFonts w:ascii="Times New Roman" w:hAnsi="Times New Roman"/>
        </w:rPr>
        <w:t>ARC’s</w:t>
      </w:r>
      <w:proofErr w:type="spellEnd"/>
      <w:r w:rsidR="00F03213">
        <w:rPr>
          <w:rFonts w:ascii="Times New Roman" w:hAnsi="Times New Roman"/>
        </w:rPr>
        <w:t>)</w:t>
      </w:r>
      <w:r w:rsidR="004F4AF7" w:rsidRPr="003822CA">
        <w:rPr>
          <w:rFonts w:ascii="Times New Roman" w:hAnsi="Times New Roman"/>
        </w:rPr>
        <w:t xml:space="preserve"> Linkage </w:t>
      </w:r>
      <w:r w:rsidR="00EC6103">
        <w:rPr>
          <w:rFonts w:ascii="Times New Roman" w:hAnsi="Times New Roman"/>
        </w:rPr>
        <w:t xml:space="preserve">funding </w:t>
      </w:r>
      <w:r w:rsidR="004F4AF7" w:rsidRPr="003822CA">
        <w:rPr>
          <w:rFonts w:ascii="Times New Roman" w:hAnsi="Times New Roman"/>
        </w:rPr>
        <w:t>scheme</w:t>
      </w:r>
      <w:r w:rsidR="0073428C">
        <w:rPr>
          <w:rFonts w:ascii="Times New Roman" w:hAnsi="Times New Roman"/>
        </w:rPr>
        <w:t xml:space="preserve"> to </w:t>
      </w:r>
      <w:r w:rsidR="0073428C" w:rsidRPr="00CE7B5A">
        <w:rPr>
          <w:rFonts w:ascii="Times New Roman" w:hAnsi="Times New Roman"/>
        </w:rPr>
        <w:t xml:space="preserve">support more university-industry </w:t>
      </w:r>
      <w:r w:rsidR="00C92960" w:rsidRPr="00CE7B5A">
        <w:rPr>
          <w:rFonts w:ascii="Times New Roman" w:hAnsi="Times New Roman"/>
        </w:rPr>
        <w:t xml:space="preserve">research </w:t>
      </w:r>
      <w:r w:rsidR="0073428C" w:rsidRPr="00CE7B5A">
        <w:rPr>
          <w:rFonts w:ascii="Times New Roman" w:hAnsi="Times New Roman"/>
        </w:rPr>
        <w:t>collaborations</w:t>
      </w:r>
      <w:r w:rsidR="000C54D8" w:rsidRPr="00CE7B5A">
        <w:rPr>
          <w:rFonts w:ascii="Times New Roman" w:hAnsi="Times New Roman"/>
        </w:rPr>
        <w:t>.</w:t>
      </w:r>
    </w:p>
    <w:p w14:paraId="05635C28" w14:textId="367ED542" w:rsidR="0073428C" w:rsidRPr="00CE7B5A" w:rsidRDefault="000C54D8" w:rsidP="00497697">
      <w:pPr>
        <w:pStyle w:val="ListParagraph"/>
        <w:numPr>
          <w:ilvl w:val="0"/>
          <w:numId w:val="37"/>
        </w:numPr>
        <w:jc w:val="both"/>
        <w:rPr>
          <w:rFonts w:ascii="Times New Roman" w:hAnsi="Times New Roman"/>
        </w:rPr>
      </w:pPr>
      <w:r w:rsidRPr="00CE7B5A">
        <w:rPr>
          <w:rFonts w:ascii="Times New Roman" w:hAnsi="Times New Roman"/>
        </w:rPr>
        <w:t>More broadly, ensure that government funding provides s</w:t>
      </w:r>
      <w:r w:rsidR="00E83F2E" w:rsidRPr="00CE7B5A">
        <w:rPr>
          <w:rFonts w:ascii="Times New Roman" w:hAnsi="Times New Roman"/>
        </w:rPr>
        <w:t xml:space="preserve">ufficient </w:t>
      </w:r>
      <w:r w:rsidR="00064769" w:rsidRPr="00CE7B5A">
        <w:rPr>
          <w:rFonts w:ascii="Times New Roman" w:hAnsi="Times New Roman"/>
        </w:rPr>
        <w:t>incentive for industry to seek engagement</w:t>
      </w:r>
      <w:r w:rsidR="00E83F2E" w:rsidRPr="00CE7B5A">
        <w:rPr>
          <w:rFonts w:ascii="Times New Roman" w:hAnsi="Times New Roman"/>
        </w:rPr>
        <w:t xml:space="preserve"> </w:t>
      </w:r>
      <w:r w:rsidR="00FA3E7A" w:rsidRPr="00CE7B5A">
        <w:rPr>
          <w:rFonts w:ascii="Times New Roman" w:hAnsi="Times New Roman"/>
        </w:rPr>
        <w:t xml:space="preserve">in </w:t>
      </w:r>
      <w:r w:rsidR="006024CC" w:rsidRPr="00CE7B5A">
        <w:rPr>
          <w:rFonts w:ascii="Times New Roman" w:hAnsi="Times New Roman"/>
        </w:rPr>
        <w:t xml:space="preserve">collaborative </w:t>
      </w:r>
      <w:r w:rsidR="00FA3E7A" w:rsidRPr="00CE7B5A">
        <w:rPr>
          <w:rFonts w:ascii="Times New Roman" w:hAnsi="Times New Roman"/>
        </w:rPr>
        <w:t xml:space="preserve">research </w:t>
      </w:r>
      <w:r w:rsidR="00E83F2E" w:rsidRPr="00CE7B5A">
        <w:rPr>
          <w:rFonts w:ascii="Times New Roman" w:hAnsi="Times New Roman"/>
        </w:rPr>
        <w:t>projects</w:t>
      </w:r>
      <w:r w:rsidR="00064769" w:rsidRPr="00CE7B5A">
        <w:rPr>
          <w:rFonts w:ascii="Times New Roman" w:hAnsi="Times New Roman"/>
        </w:rPr>
        <w:t xml:space="preserve"> </w:t>
      </w:r>
      <w:r w:rsidR="00E83F2E" w:rsidRPr="00CE7B5A">
        <w:rPr>
          <w:rFonts w:ascii="Times New Roman" w:hAnsi="Times New Roman"/>
        </w:rPr>
        <w:t>b</w:t>
      </w:r>
      <w:r w:rsidR="00E85E1F" w:rsidRPr="00CE7B5A">
        <w:rPr>
          <w:rFonts w:ascii="Times New Roman" w:hAnsi="Times New Roman"/>
        </w:rPr>
        <w:t>y</w:t>
      </w:r>
      <w:r w:rsidR="0073428C" w:rsidRPr="00CE7B5A">
        <w:rPr>
          <w:rFonts w:ascii="Times New Roman" w:hAnsi="Times New Roman"/>
        </w:rPr>
        <w:t>:</w:t>
      </w:r>
    </w:p>
    <w:p w14:paraId="484E1943" w14:textId="6B261643" w:rsidR="004B5727" w:rsidRPr="00CE7B5A" w:rsidRDefault="0073428C" w:rsidP="0073428C">
      <w:pPr>
        <w:pStyle w:val="ListParagraph"/>
        <w:numPr>
          <w:ilvl w:val="1"/>
          <w:numId w:val="37"/>
        </w:numPr>
        <w:jc w:val="both"/>
        <w:rPr>
          <w:rFonts w:ascii="Times New Roman" w:hAnsi="Times New Roman"/>
        </w:rPr>
      </w:pPr>
      <w:r w:rsidRPr="00CE7B5A">
        <w:rPr>
          <w:rFonts w:ascii="Times New Roman" w:hAnsi="Times New Roman"/>
        </w:rPr>
        <w:t>E</w:t>
      </w:r>
      <w:r w:rsidR="00E83F2E" w:rsidRPr="00CE7B5A">
        <w:rPr>
          <w:rFonts w:ascii="Times New Roman" w:hAnsi="Times New Roman"/>
        </w:rPr>
        <w:t xml:space="preserve">nsuring that </w:t>
      </w:r>
      <w:r w:rsidR="000C54D8" w:rsidRPr="00CE7B5A">
        <w:rPr>
          <w:rFonts w:ascii="Times New Roman" w:hAnsi="Times New Roman"/>
        </w:rPr>
        <w:t>re</w:t>
      </w:r>
      <w:r w:rsidR="00E83F2E" w:rsidRPr="00CE7B5A">
        <w:rPr>
          <w:rFonts w:ascii="Times New Roman" w:hAnsi="Times New Roman"/>
        </w:rPr>
        <w:t xml:space="preserve">search grants </w:t>
      </w:r>
      <w:r w:rsidR="00797590" w:rsidRPr="00CE7B5A">
        <w:rPr>
          <w:rFonts w:ascii="Times New Roman" w:hAnsi="Times New Roman"/>
        </w:rPr>
        <w:t xml:space="preserve">adequately </w:t>
      </w:r>
      <w:r w:rsidR="00E83F2E" w:rsidRPr="00CE7B5A">
        <w:rPr>
          <w:rFonts w:ascii="Times New Roman" w:hAnsi="Times New Roman"/>
        </w:rPr>
        <w:t xml:space="preserve">and </w:t>
      </w:r>
      <w:r w:rsidR="004F4AF7" w:rsidRPr="00CE7B5A">
        <w:rPr>
          <w:rFonts w:ascii="Times New Roman" w:hAnsi="Times New Roman"/>
        </w:rPr>
        <w:t xml:space="preserve">fully fund projects </w:t>
      </w:r>
      <w:r w:rsidR="00936005" w:rsidRPr="00CE7B5A">
        <w:rPr>
          <w:rFonts w:ascii="Times New Roman" w:hAnsi="Times New Roman"/>
        </w:rPr>
        <w:t>to</w:t>
      </w:r>
      <w:r w:rsidR="004F4AF7" w:rsidRPr="00CE7B5A">
        <w:rPr>
          <w:rFonts w:ascii="Times New Roman" w:hAnsi="Times New Roman"/>
        </w:rPr>
        <w:t xml:space="preserve"> meet their objectives.</w:t>
      </w:r>
    </w:p>
    <w:p w14:paraId="759CDBA0" w14:textId="6EF0A52A" w:rsidR="00041EBA" w:rsidRPr="00CE7B5A" w:rsidRDefault="00041EBA" w:rsidP="0073428C">
      <w:pPr>
        <w:pStyle w:val="ListParagraph"/>
        <w:numPr>
          <w:ilvl w:val="1"/>
          <w:numId w:val="37"/>
        </w:numPr>
        <w:jc w:val="both"/>
        <w:rPr>
          <w:rFonts w:ascii="Times New Roman" w:hAnsi="Times New Roman"/>
        </w:rPr>
      </w:pPr>
      <w:r w:rsidRPr="00CE7B5A">
        <w:rPr>
          <w:rFonts w:ascii="Times New Roman" w:hAnsi="Times New Roman"/>
        </w:rPr>
        <w:t>Explor</w:t>
      </w:r>
      <w:r w:rsidR="0073428C" w:rsidRPr="00CE7B5A">
        <w:rPr>
          <w:rFonts w:ascii="Times New Roman" w:hAnsi="Times New Roman"/>
        </w:rPr>
        <w:t>ing</w:t>
      </w:r>
      <w:r w:rsidRPr="00CE7B5A">
        <w:rPr>
          <w:rFonts w:ascii="Times New Roman" w:hAnsi="Times New Roman"/>
        </w:rPr>
        <w:t xml:space="preserve"> opportunities to reduce the </w:t>
      </w:r>
      <w:r w:rsidR="0073428C" w:rsidRPr="00CE7B5A">
        <w:rPr>
          <w:rFonts w:ascii="Times New Roman" w:hAnsi="Times New Roman"/>
        </w:rPr>
        <w:t xml:space="preserve">administrative </w:t>
      </w:r>
      <w:r w:rsidR="003925F0">
        <w:rPr>
          <w:rFonts w:ascii="Times New Roman" w:hAnsi="Times New Roman"/>
        </w:rPr>
        <w:t xml:space="preserve">and regulatory </w:t>
      </w:r>
      <w:r w:rsidRPr="00CE7B5A">
        <w:rPr>
          <w:rFonts w:ascii="Times New Roman" w:hAnsi="Times New Roman"/>
        </w:rPr>
        <w:t>burden</w:t>
      </w:r>
      <w:r w:rsidR="00E22437" w:rsidRPr="00CE7B5A">
        <w:rPr>
          <w:rFonts w:ascii="Times New Roman" w:hAnsi="Times New Roman"/>
        </w:rPr>
        <w:t xml:space="preserve"> </w:t>
      </w:r>
      <w:r w:rsidRPr="00CE7B5A">
        <w:rPr>
          <w:rFonts w:ascii="Times New Roman" w:hAnsi="Times New Roman"/>
        </w:rPr>
        <w:t xml:space="preserve">of </w:t>
      </w:r>
      <w:r w:rsidR="0073428C" w:rsidRPr="00CE7B5A">
        <w:rPr>
          <w:rFonts w:ascii="Times New Roman" w:hAnsi="Times New Roman"/>
        </w:rPr>
        <w:t xml:space="preserve">applying for government funding to </w:t>
      </w:r>
      <w:r w:rsidR="006024CC" w:rsidRPr="00CE7B5A">
        <w:rPr>
          <w:rFonts w:ascii="Times New Roman" w:hAnsi="Times New Roman"/>
        </w:rPr>
        <w:t xml:space="preserve">counter any potential disincentives to industry </w:t>
      </w:r>
      <w:r w:rsidR="003A2C1B">
        <w:rPr>
          <w:rFonts w:ascii="Times New Roman" w:hAnsi="Times New Roman"/>
        </w:rPr>
        <w:t xml:space="preserve">in </w:t>
      </w:r>
      <w:r w:rsidR="006024CC" w:rsidRPr="00CE7B5A">
        <w:rPr>
          <w:rFonts w:ascii="Times New Roman" w:hAnsi="Times New Roman"/>
        </w:rPr>
        <w:t>seeking engagement in</w:t>
      </w:r>
      <w:r w:rsidRPr="00CE7B5A">
        <w:rPr>
          <w:rFonts w:ascii="Times New Roman" w:hAnsi="Times New Roman"/>
        </w:rPr>
        <w:t xml:space="preserve"> </w:t>
      </w:r>
      <w:r w:rsidR="00E22437" w:rsidRPr="00CE7B5A">
        <w:rPr>
          <w:rFonts w:ascii="Times New Roman" w:hAnsi="Times New Roman"/>
        </w:rPr>
        <w:t>collaborative</w:t>
      </w:r>
      <w:r w:rsidR="006024CC" w:rsidRPr="00CE7B5A">
        <w:rPr>
          <w:rFonts w:ascii="Times New Roman" w:hAnsi="Times New Roman"/>
        </w:rPr>
        <w:t xml:space="preserve"> </w:t>
      </w:r>
      <w:r w:rsidR="0073428C" w:rsidRPr="00CE7B5A">
        <w:rPr>
          <w:rFonts w:ascii="Times New Roman" w:hAnsi="Times New Roman"/>
        </w:rPr>
        <w:t xml:space="preserve">research </w:t>
      </w:r>
      <w:r w:rsidR="00E22437" w:rsidRPr="00CE7B5A">
        <w:rPr>
          <w:rFonts w:ascii="Times New Roman" w:hAnsi="Times New Roman"/>
        </w:rPr>
        <w:t>endeavours</w:t>
      </w:r>
      <w:r w:rsidRPr="00CE7B5A">
        <w:rPr>
          <w:rFonts w:ascii="Times New Roman" w:hAnsi="Times New Roman"/>
        </w:rPr>
        <w:t>.</w:t>
      </w:r>
    </w:p>
    <w:p w14:paraId="3938A57C" w14:textId="45113451" w:rsidR="00041EBA" w:rsidRDefault="00E22437" w:rsidP="00EE7FEC">
      <w:pPr>
        <w:pStyle w:val="ListParagraph"/>
        <w:numPr>
          <w:ilvl w:val="0"/>
          <w:numId w:val="42"/>
        </w:numPr>
        <w:jc w:val="both"/>
        <w:rPr>
          <w:rFonts w:ascii="Times New Roman" w:hAnsi="Times New Roman"/>
        </w:rPr>
      </w:pPr>
      <w:r w:rsidRPr="0035148C">
        <w:rPr>
          <w:rFonts w:ascii="Times New Roman" w:hAnsi="Times New Roman"/>
        </w:rPr>
        <w:t>Explore opportunities to l</w:t>
      </w:r>
      <w:r w:rsidR="00041EBA" w:rsidRPr="0035148C">
        <w:rPr>
          <w:rFonts w:ascii="Times New Roman" w:hAnsi="Times New Roman"/>
        </w:rPr>
        <w:t xml:space="preserve">ift the profile of research undertaken at universities and </w:t>
      </w:r>
      <w:r w:rsidR="007B22D8" w:rsidRPr="0035148C">
        <w:rPr>
          <w:rFonts w:ascii="Times New Roman" w:hAnsi="Times New Roman"/>
        </w:rPr>
        <w:t>their particular research capacities with industry</w:t>
      </w:r>
      <w:r w:rsidR="00041EBA" w:rsidRPr="0035148C">
        <w:rPr>
          <w:rFonts w:ascii="Times New Roman" w:hAnsi="Times New Roman"/>
        </w:rPr>
        <w:t xml:space="preserve">, to </w:t>
      </w:r>
      <w:r w:rsidR="00CE7B5A" w:rsidRPr="0035148C">
        <w:rPr>
          <w:rFonts w:ascii="Times New Roman" w:hAnsi="Times New Roman"/>
        </w:rPr>
        <w:t>e</w:t>
      </w:r>
      <w:r w:rsidR="00041EBA" w:rsidRPr="0035148C">
        <w:rPr>
          <w:rFonts w:ascii="Times New Roman" w:hAnsi="Times New Roman"/>
        </w:rPr>
        <w:t>ncourage industry to come to universities</w:t>
      </w:r>
      <w:r w:rsidR="00CE7B5A" w:rsidRPr="0035148C">
        <w:rPr>
          <w:rFonts w:ascii="Times New Roman" w:hAnsi="Times New Roman"/>
        </w:rPr>
        <w:t xml:space="preserve"> </w:t>
      </w:r>
      <w:r w:rsidR="00041EBA" w:rsidRPr="0035148C">
        <w:rPr>
          <w:rFonts w:ascii="Times New Roman" w:hAnsi="Times New Roman"/>
        </w:rPr>
        <w:t>to</w:t>
      </w:r>
      <w:r w:rsidR="00CE7B5A" w:rsidRPr="0035148C">
        <w:rPr>
          <w:rFonts w:ascii="Times New Roman" w:hAnsi="Times New Roman"/>
        </w:rPr>
        <w:t xml:space="preserve"> innovate or solve business and service delivery issues.</w:t>
      </w:r>
      <w:r w:rsidRPr="0035148C">
        <w:rPr>
          <w:rFonts w:ascii="Times New Roman" w:hAnsi="Times New Roman"/>
        </w:rPr>
        <w:t xml:space="preserve"> </w:t>
      </w:r>
    </w:p>
    <w:p w14:paraId="083F3134" w14:textId="77777777" w:rsidR="002521FC" w:rsidRPr="0034210B" w:rsidRDefault="002521FC" w:rsidP="002521FC">
      <w:pPr>
        <w:pStyle w:val="ListParagraph"/>
        <w:numPr>
          <w:ilvl w:val="0"/>
          <w:numId w:val="42"/>
        </w:numPr>
        <w:jc w:val="both"/>
        <w:rPr>
          <w:rFonts w:ascii="Times New Roman" w:hAnsi="Times New Roman"/>
        </w:rPr>
      </w:pPr>
      <w:r w:rsidRPr="0034210B">
        <w:rPr>
          <w:rFonts w:ascii="Times New Roman" w:hAnsi="Times New Roman"/>
        </w:rPr>
        <w:t xml:space="preserve">Encourage fractional appointments or staff secondments between universities and industry. </w:t>
      </w:r>
    </w:p>
    <w:p w14:paraId="6A8AFD55" w14:textId="4C5E656E" w:rsidR="00C62DAC" w:rsidRDefault="00C62DAC" w:rsidP="00C62DAC">
      <w:pPr>
        <w:pStyle w:val="Heading2"/>
      </w:pPr>
      <w:bookmarkStart w:id="3" w:name="_Toc405536645"/>
      <w:r>
        <w:t>Additional Investment in the ARC Linkage Funding Scheme</w:t>
      </w:r>
      <w:bookmarkEnd w:id="3"/>
    </w:p>
    <w:p w14:paraId="50ED1574" w14:textId="04C00EE4" w:rsidR="008C7862" w:rsidRDefault="00FD63D3" w:rsidP="00FD63D3">
      <w:pPr>
        <w:jc w:val="both"/>
        <w:rPr>
          <w:rFonts w:cs="Times New Roman"/>
        </w:rPr>
      </w:pPr>
      <w:proofErr w:type="spellStart"/>
      <w:r w:rsidRPr="004B6F7E">
        <w:rPr>
          <w:rFonts w:cs="Times New Roman"/>
        </w:rPr>
        <w:t>ACU</w:t>
      </w:r>
      <w:proofErr w:type="spellEnd"/>
      <w:r w:rsidRPr="004B6F7E">
        <w:rPr>
          <w:rFonts w:cs="Times New Roman"/>
        </w:rPr>
        <w:t xml:space="preserve"> believes that there is significant advantage to be gained through additional</w:t>
      </w:r>
      <w:r>
        <w:rPr>
          <w:rFonts w:cs="Times New Roman"/>
        </w:rPr>
        <w:t xml:space="preserve"> targeted</w:t>
      </w:r>
      <w:r w:rsidRPr="004B6F7E">
        <w:rPr>
          <w:rFonts w:cs="Times New Roman"/>
        </w:rPr>
        <w:t xml:space="preserve"> government investment </w:t>
      </w:r>
      <w:r w:rsidR="00B34CA8">
        <w:rPr>
          <w:rFonts w:cs="Times New Roman"/>
        </w:rPr>
        <w:t>in</w:t>
      </w:r>
      <w:r>
        <w:rPr>
          <w:rFonts w:cs="Times New Roman"/>
        </w:rPr>
        <w:t xml:space="preserve"> the </w:t>
      </w:r>
      <w:r w:rsidR="006D494E" w:rsidRPr="004F4AF7">
        <w:rPr>
          <w:rFonts w:cs="Times New Roman"/>
        </w:rPr>
        <w:t>Australian Research Council’s (</w:t>
      </w:r>
      <w:proofErr w:type="spellStart"/>
      <w:r w:rsidR="006D494E" w:rsidRPr="004F4AF7">
        <w:rPr>
          <w:rFonts w:cs="Times New Roman"/>
        </w:rPr>
        <w:t>ARC’s</w:t>
      </w:r>
      <w:proofErr w:type="spellEnd"/>
      <w:r w:rsidR="006D494E" w:rsidRPr="004F4AF7">
        <w:rPr>
          <w:rFonts w:cs="Times New Roman"/>
        </w:rPr>
        <w:t xml:space="preserve">) </w:t>
      </w:r>
      <w:r w:rsidRPr="00EC0FDF">
        <w:rPr>
          <w:rFonts w:cs="Times New Roman"/>
        </w:rPr>
        <w:t xml:space="preserve">Linkage </w:t>
      </w:r>
      <w:r>
        <w:rPr>
          <w:rFonts w:cs="Times New Roman"/>
        </w:rPr>
        <w:t>funding</w:t>
      </w:r>
      <w:r w:rsidRPr="00EC0FDF">
        <w:rPr>
          <w:rFonts w:cs="Times New Roman"/>
        </w:rPr>
        <w:t xml:space="preserve"> sche</w:t>
      </w:r>
      <w:r>
        <w:rPr>
          <w:rFonts w:cs="Times New Roman"/>
        </w:rPr>
        <w:t xml:space="preserve">me to support university-industry collaborations. </w:t>
      </w:r>
    </w:p>
    <w:p w14:paraId="1C90EC9F" w14:textId="1EEE3504" w:rsidR="00DE531C" w:rsidRDefault="00FD63D3" w:rsidP="00FD63D3">
      <w:pPr>
        <w:jc w:val="both"/>
        <w:rPr>
          <w:rFonts w:cs="Times New Roman"/>
        </w:rPr>
      </w:pPr>
      <w:r>
        <w:rPr>
          <w:rFonts w:cs="Times New Roman"/>
        </w:rPr>
        <w:t xml:space="preserve">A particular point that has been made </w:t>
      </w:r>
      <w:r w:rsidR="00B6505B">
        <w:rPr>
          <w:rFonts w:cs="Times New Roman"/>
        </w:rPr>
        <w:t xml:space="preserve">with respect to research </w:t>
      </w:r>
      <w:r w:rsidR="00F421FD">
        <w:rPr>
          <w:rFonts w:cs="Times New Roman"/>
        </w:rPr>
        <w:t xml:space="preserve">undertakings </w:t>
      </w:r>
      <w:r>
        <w:rPr>
          <w:rFonts w:cs="Times New Roman"/>
        </w:rPr>
        <w:t>is that institutions</w:t>
      </w:r>
      <w:r w:rsidR="00DE531C">
        <w:rPr>
          <w:rFonts w:cs="Times New Roman"/>
        </w:rPr>
        <w:t>:</w:t>
      </w:r>
    </w:p>
    <w:p w14:paraId="71018A07" w14:textId="55B675B5" w:rsidR="00FD63D3" w:rsidRPr="00364C61" w:rsidRDefault="00FD63D3" w:rsidP="00DE531C">
      <w:pPr>
        <w:ind w:left="720"/>
        <w:jc w:val="both"/>
        <w:rPr>
          <w:rFonts w:eastAsia="Times New Roman" w:cs="Times New Roman"/>
          <w:lang w:eastAsia="en-AU"/>
        </w:rPr>
      </w:pPr>
      <w:r>
        <w:rPr>
          <w:rFonts w:cs="Times New Roman"/>
        </w:rPr>
        <w:t>“</w:t>
      </w:r>
      <w:r w:rsidR="00DE531C">
        <w:rPr>
          <w:rFonts w:cs="Times New Roman"/>
        </w:rPr>
        <w:t>…</w:t>
      </w:r>
      <w:r>
        <w:rPr>
          <w:rFonts w:cs="Times New Roman"/>
        </w:rPr>
        <w:t xml:space="preserve">work </w:t>
      </w:r>
      <w:r w:rsidRPr="00364C61">
        <w:rPr>
          <w:rFonts w:eastAsia="Times New Roman" w:cs="Times New Roman"/>
          <w:lang w:eastAsia="en-AU"/>
        </w:rPr>
        <w:t>on activities which get measured and rewarded. As universities are not really rewarded for collaboration, the funding formula has to change to specifically reward collaboration.</w:t>
      </w:r>
      <w:r>
        <w:rPr>
          <w:rFonts w:eastAsia="Times New Roman" w:cs="Times New Roman"/>
          <w:lang w:eastAsia="en-AU"/>
        </w:rPr>
        <w:t>.</w:t>
      </w:r>
      <w:r w:rsidRPr="00364C61">
        <w:rPr>
          <w:rFonts w:eastAsia="Times New Roman" w:cs="Times New Roman"/>
          <w:lang w:eastAsia="en-AU"/>
        </w:rPr>
        <w:t>.The introduction of some targeted schemes at around two to three percent of total R&amp;D funding (such as Third Stream funding and/or Knowledge Transfer Partnerships – as in the UK) would drive positive behaviour in universities and industry.”</w:t>
      </w:r>
      <w:r w:rsidRPr="00364C61">
        <w:rPr>
          <w:rStyle w:val="FootnoteReference"/>
          <w:rFonts w:eastAsia="Times New Roman"/>
          <w:lang w:eastAsia="en-AU"/>
        </w:rPr>
        <w:footnoteReference w:id="2"/>
      </w:r>
    </w:p>
    <w:p w14:paraId="0F9C3722" w14:textId="2870A6E9" w:rsidR="00255044" w:rsidRPr="007B78F9" w:rsidRDefault="00216C88" w:rsidP="007B78F9">
      <w:pPr>
        <w:jc w:val="both"/>
        <w:rPr>
          <w:rFonts w:cs="Times New Roman"/>
        </w:rPr>
      </w:pPr>
      <w:r w:rsidRPr="004F4AF7">
        <w:rPr>
          <w:rFonts w:cs="Times New Roman"/>
        </w:rPr>
        <w:t xml:space="preserve">The Linkage </w:t>
      </w:r>
      <w:r w:rsidR="00EC6103">
        <w:rPr>
          <w:rFonts w:cs="Times New Roman"/>
        </w:rPr>
        <w:t>funding</w:t>
      </w:r>
      <w:r w:rsidRPr="004F4AF7">
        <w:rPr>
          <w:rFonts w:cs="Times New Roman"/>
        </w:rPr>
        <w:t xml:space="preserve"> scheme </w:t>
      </w:r>
      <w:r w:rsidR="003066B2">
        <w:rPr>
          <w:rFonts w:cs="Times New Roman"/>
        </w:rPr>
        <w:t xml:space="preserve">plays a vital role in facilitating </w:t>
      </w:r>
      <w:r w:rsidRPr="004F4AF7">
        <w:rPr>
          <w:rFonts w:cs="Times New Roman"/>
        </w:rPr>
        <w:t xml:space="preserve">collaborative research </w:t>
      </w:r>
      <w:r w:rsidR="003066B2">
        <w:rPr>
          <w:rFonts w:cs="Times New Roman"/>
        </w:rPr>
        <w:t>pr</w:t>
      </w:r>
      <w:r w:rsidRPr="004F4AF7">
        <w:rPr>
          <w:rFonts w:cs="Times New Roman"/>
        </w:rPr>
        <w:t>ojects between higher education researchers and other part</w:t>
      </w:r>
      <w:r w:rsidR="00587A6F" w:rsidRPr="004F4AF7">
        <w:rPr>
          <w:rFonts w:cs="Times New Roman"/>
        </w:rPr>
        <w:t>s of</w:t>
      </w:r>
      <w:r w:rsidRPr="004F4AF7">
        <w:rPr>
          <w:rFonts w:cs="Times New Roman"/>
        </w:rPr>
        <w:t xml:space="preserve"> </w:t>
      </w:r>
      <w:r w:rsidR="00587A6F" w:rsidRPr="004F4AF7">
        <w:rPr>
          <w:rFonts w:cs="Times New Roman"/>
        </w:rPr>
        <w:t>Australia’s</w:t>
      </w:r>
      <w:r w:rsidRPr="004F4AF7">
        <w:rPr>
          <w:rFonts w:cs="Times New Roman"/>
        </w:rPr>
        <w:t xml:space="preserve"> innovation system</w:t>
      </w:r>
      <w:r w:rsidRPr="007B78F9">
        <w:rPr>
          <w:rFonts w:cs="Times New Roman"/>
        </w:rPr>
        <w:t xml:space="preserve">, </w:t>
      </w:r>
      <w:r w:rsidR="003066B2" w:rsidRPr="007B78F9">
        <w:rPr>
          <w:rFonts w:cs="Times New Roman"/>
        </w:rPr>
        <w:t>particularly</w:t>
      </w:r>
      <w:r w:rsidRPr="007B78F9">
        <w:rPr>
          <w:rFonts w:cs="Times New Roman"/>
        </w:rPr>
        <w:t xml:space="preserve"> industry. </w:t>
      </w:r>
      <w:proofErr w:type="gramStart"/>
      <w:r w:rsidR="006B0D68">
        <w:t>Linkage funding supports</w:t>
      </w:r>
      <w:r w:rsidR="00C52102">
        <w:t xml:space="preserve"> </w:t>
      </w:r>
      <w:r w:rsidR="006B0D68">
        <w:t>national and international research partnerships between researchers and business, industry, community organisations</w:t>
      </w:r>
      <w:r w:rsidR="00C52102">
        <w:t>,</w:t>
      </w:r>
      <w:r w:rsidR="006B0D68">
        <w:t xml:space="preserve"> and other publicly funded research agencies.</w:t>
      </w:r>
      <w:proofErr w:type="gramEnd"/>
      <w:r w:rsidR="006B0D68">
        <w:rPr>
          <w:rStyle w:val="FootnoteReference"/>
        </w:rPr>
        <w:footnoteReference w:id="3"/>
      </w:r>
      <w:r w:rsidR="006B0D68">
        <w:t xml:space="preserve"> </w:t>
      </w:r>
      <w:r w:rsidRPr="007B78F9">
        <w:rPr>
          <w:rFonts w:cs="Times New Roman"/>
        </w:rPr>
        <w:t xml:space="preserve">The </w:t>
      </w:r>
      <w:r w:rsidR="00587A6F" w:rsidRPr="007B78F9">
        <w:rPr>
          <w:rFonts w:cs="Times New Roman"/>
        </w:rPr>
        <w:t xml:space="preserve">scheme </w:t>
      </w:r>
      <w:r w:rsidR="00587A6F" w:rsidRPr="007B78F9">
        <w:rPr>
          <w:rFonts w:cs="Times New Roman"/>
        </w:rPr>
        <w:lastRenderedPageBreak/>
        <w:t>h</w:t>
      </w:r>
      <w:r w:rsidR="004F4AF7" w:rsidRPr="007B78F9">
        <w:rPr>
          <w:rFonts w:cs="Times New Roman"/>
        </w:rPr>
        <w:t xml:space="preserve">as been in operation since 2001 </w:t>
      </w:r>
      <w:r w:rsidR="00255044" w:rsidRPr="007B78F9">
        <w:rPr>
          <w:rFonts w:cs="Times New Roman"/>
        </w:rPr>
        <w:t>over which time it has been serving to deliver on its</w:t>
      </w:r>
      <w:r w:rsidR="004F4AF7" w:rsidRPr="007B78F9">
        <w:rPr>
          <w:rFonts w:cs="Times New Roman"/>
        </w:rPr>
        <w:t xml:space="preserve"> </w:t>
      </w:r>
      <w:r w:rsidR="005C29AC">
        <w:rPr>
          <w:rFonts w:cs="Times New Roman"/>
        </w:rPr>
        <w:t xml:space="preserve">targeted </w:t>
      </w:r>
      <w:r w:rsidR="004F4AF7" w:rsidRPr="007B78F9">
        <w:rPr>
          <w:rFonts w:cs="Times New Roman"/>
        </w:rPr>
        <w:t>objectives</w:t>
      </w:r>
      <w:r w:rsidR="00255044" w:rsidRPr="007B78F9">
        <w:rPr>
          <w:rFonts w:cs="Times New Roman"/>
        </w:rPr>
        <w:t xml:space="preserve"> to</w:t>
      </w:r>
      <w:r w:rsidR="00006D51">
        <w:rPr>
          <w:rStyle w:val="FootnoteReference"/>
        </w:rPr>
        <w:footnoteReference w:id="4"/>
      </w:r>
      <w:r w:rsidRPr="007B78F9">
        <w:rPr>
          <w:rFonts w:cs="Times New Roman"/>
        </w:rPr>
        <w:t>:</w:t>
      </w:r>
    </w:p>
    <w:p w14:paraId="1B163481" w14:textId="4A697578" w:rsidR="007B78F9" w:rsidRPr="007B78F9" w:rsidRDefault="007B78F9" w:rsidP="00F95A00">
      <w:pPr>
        <w:numPr>
          <w:ilvl w:val="0"/>
          <w:numId w:val="38"/>
        </w:numPr>
        <w:jc w:val="both"/>
        <w:rPr>
          <w:rFonts w:eastAsia="Times New Roman" w:cs="Times New Roman"/>
          <w:lang w:eastAsia="en-AU"/>
        </w:rPr>
      </w:pPr>
      <w:r w:rsidRPr="007B78F9">
        <w:rPr>
          <w:rFonts w:eastAsia="Times New Roman" w:cs="Times New Roman"/>
          <w:lang w:eastAsia="en-AU"/>
        </w:rPr>
        <w:t>Support the initiation and development of long-term strategic research alliances between higher education organisations and other organisations, including industry, in order to apply advanced knowledge to problems and/or to provide opportunities to obtain national economic, social or cultural benefits</w:t>
      </w:r>
      <w:r w:rsidR="00BC1F66">
        <w:rPr>
          <w:rFonts w:eastAsia="Times New Roman" w:cs="Times New Roman"/>
          <w:lang w:eastAsia="en-AU"/>
        </w:rPr>
        <w:t>.</w:t>
      </w:r>
    </w:p>
    <w:p w14:paraId="3DE8FCAD" w14:textId="4ACC6678" w:rsidR="007B78F9" w:rsidRPr="007B78F9" w:rsidRDefault="007B78F9" w:rsidP="00F95A00">
      <w:pPr>
        <w:numPr>
          <w:ilvl w:val="0"/>
          <w:numId w:val="38"/>
        </w:numPr>
        <w:jc w:val="both"/>
        <w:rPr>
          <w:rFonts w:eastAsia="Times New Roman" w:cs="Times New Roman"/>
          <w:lang w:eastAsia="en-AU"/>
        </w:rPr>
      </w:pPr>
      <w:r w:rsidRPr="007B78F9">
        <w:rPr>
          <w:rFonts w:eastAsia="Times New Roman" w:cs="Times New Roman"/>
          <w:lang w:eastAsia="en-AU"/>
        </w:rPr>
        <w:t>Provide opportunities for researchers to pursue internationally competitive research in collaboration with organisations outside the higher education sector, targeting those who have demonstrated a clear commitment to high-quality research</w:t>
      </w:r>
      <w:r w:rsidR="00BC1F66">
        <w:rPr>
          <w:rFonts w:eastAsia="Times New Roman" w:cs="Times New Roman"/>
          <w:lang w:eastAsia="en-AU"/>
        </w:rPr>
        <w:t>.</w:t>
      </w:r>
    </w:p>
    <w:p w14:paraId="2E324979" w14:textId="77777777" w:rsidR="007B78F9" w:rsidRPr="007B78F9" w:rsidRDefault="007B78F9" w:rsidP="00F95A00">
      <w:pPr>
        <w:numPr>
          <w:ilvl w:val="0"/>
          <w:numId w:val="38"/>
        </w:numPr>
        <w:jc w:val="both"/>
        <w:rPr>
          <w:rFonts w:eastAsia="Times New Roman" w:cs="Times New Roman"/>
          <w:lang w:eastAsia="en-AU"/>
        </w:rPr>
      </w:pPr>
      <w:r w:rsidRPr="007B78F9">
        <w:rPr>
          <w:rFonts w:eastAsia="Times New Roman" w:cs="Times New Roman"/>
          <w:lang w:eastAsia="en-AU"/>
        </w:rPr>
        <w:t xml:space="preserve">Encourage growth of a national pool of world-class researchers to meet the needs of the broader Australian innovation system. </w:t>
      </w:r>
    </w:p>
    <w:p w14:paraId="5A396B84" w14:textId="77777777" w:rsidR="007B78F9" w:rsidRDefault="007B78F9" w:rsidP="00F95A00">
      <w:pPr>
        <w:numPr>
          <w:ilvl w:val="0"/>
          <w:numId w:val="38"/>
        </w:numPr>
        <w:jc w:val="both"/>
        <w:rPr>
          <w:rFonts w:eastAsia="Times New Roman" w:cs="Times New Roman"/>
          <w:lang w:eastAsia="en-AU"/>
        </w:rPr>
      </w:pPr>
      <w:r w:rsidRPr="007B78F9">
        <w:rPr>
          <w:rFonts w:eastAsia="Times New Roman" w:cs="Times New Roman"/>
          <w:lang w:eastAsia="en-AU"/>
        </w:rPr>
        <w:t>Build the scale and focus of research in the Strategic Research Priorities.</w:t>
      </w:r>
    </w:p>
    <w:p w14:paraId="77B40BA6" w14:textId="21C320C5" w:rsidR="007E610D" w:rsidRDefault="0094492B" w:rsidP="00B858C0">
      <w:pPr>
        <w:jc w:val="both"/>
        <w:rPr>
          <w:rFonts w:cs="Times New Roman"/>
        </w:rPr>
      </w:pPr>
      <w:r>
        <w:rPr>
          <w:rFonts w:cs="Times New Roman"/>
        </w:rPr>
        <w:t>A notable benefit</w:t>
      </w:r>
      <w:r w:rsidR="00EA06EE">
        <w:rPr>
          <w:rFonts w:cs="Times New Roman"/>
        </w:rPr>
        <w:t xml:space="preserve"> and attraction</w:t>
      </w:r>
      <w:r>
        <w:rPr>
          <w:rFonts w:cs="Times New Roman"/>
        </w:rPr>
        <w:t xml:space="preserve"> of the </w:t>
      </w:r>
      <w:r w:rsidR="00E07AAE">
        <w:rPr>
          <w:rFonts w:cs="Times New Roman"/>
        </w:rPr>
        <w:t xml:space="preserve">Linkage </w:t>
      </w:r>
      <w:r>
        <w:rPr>
          <w:rFonts w:cs="Times New Roman"/>
        </w:rPr>
        <w:t>scheme is that i</w:t>
      </w:r>
      <w:r w:rsidRPr="00364C61">
        <w:rPr>
          <w:rFonts w:cs="Times New Roman"/>
        </w:rPr>
        <w:t xml:space="preserve">ndustry partners do not </w:t>
      </w:r>
      <w:r w:rsidR="001F3A1C">
        <w:rPr>
          <w:rFonts w:cs="Times New Roman"/>
        </w:rPr>
        <w:t xml:space="preserve">engage or </w:t>
      </w:r>
      <w:r w:rsidRPr="00364C61">
        <w:rPr>
          <w:rFonts w:cs="Times New Roman"/>
        </w:rPr>
        <w:t>invest</w:t>
      </w:r>
      <w:r>
        <w:rPr>
          <w:rFonts w:cs="Times New Roman"/>
        </w:rPr>
        <w:t xml:space="preserve"> </w:t>
      </w:r>
      <w:r w:rsidR="001B46B2">
        <w:rPr>
          <w:rFonts w:cs="Times New Roman"/>
        </w:rPr>
        <w:t xml:space="preserve">in </w:t>
      </w:r>
      <w:r>
        <w:rPr>
          <w:rFonts w:cs="Times New Roman"/>
        </w:rPr>
        <w:t xml:space="preserve">Linkage </w:t>
      </w:r>
      <w:r w:rsidR="001B46B2">
        <w:rPr>
          <w:rFonts w:cs="Times New Roman"/>
        </w:rPr>
        <w:t xml:space="preserve">projects </w:t>
      </w:r>
      <w:r>
        <w:rPr>
          <w:rFonts w:cs="Times New Roman"/>
        </w:rPr>
        <w:t xml:space="preserve">unless they consider </w:t>
      </w:r>
      <w:r w:rsidR="00CC0AA7">
        <w:rPr>
          <w:rFonts w:cs="Times New Roman"/>
        </w:rPr>
        <w:t>the research to be</w:t>
      </w:r>
      <w:r w:rsidR="00F96F33">
        <w:rPr>
          <w:rFonts w:cs="Times New Roman"/>
        </w:rPr>
        <w:t xml:space="preserve"> of relevance </w:t>
      </w:r>
      <w:r w:rsidR="007473F7">
        <w:rPr>
          <w:rFonts w:cs="Times New Roman"/>
        </w:rPr>
        <w:t xml:space="preserve">or strategic interest to them, </w:t>
      </w:r>
      <w:r w:rsidR="00F96F33">
        <w:rPr>
          <w:rFonts w:cs="Times New Roman"/>
        </w:rPr>
        <w:t xml:space="preserve">and that </w:t>
      </w:r>
      <w:r w:rsidR="007473F7">
        <w:rPr>
          <w:rFonts w:cs="Times New Roman"/>
        </w:rPr>
        <w:t xml:space="preserve">it </w:t>
      </w:r>
      <w:r w:rsidRPr="00364C61">
        <w:rPr>
          <w:rFonts w:cs="Times New Roman"/>
        </w:rPr>
        <w:t xml:space="preserve">will create benefits that translate into </w:t>
      </w:r>
      <w:r w:rsidR="0091665B">
        <w:rPr>
          <w:rFonts w:cs="Times New Roman"/>
        </w:rPr>
        <w:t xml:space="preserve">commercial </w:t>
      </w:r>
      <w:r w:rsidRPr="00364C61">
        <w:rPr>
          <w:rFonts w:cs="Times New Roman"/>
        </w:rPr>
        <w:t>outcomes</w:t>
      </w:r>
      <w:r w:rsidR="005C29AC">
        <w:rPr>
          <w:rFonts w:cs="Times New Roman"/>
        </w:rPr>
        <w:t>.</w:t>
      </w:r>
    </w:p>
    <w:p w14:paraId="726511B8" w14:textId="0A6F699B" w:rsidR="00A21F80" w:rsidRPr="004B6F7E" w:rsidRDefault="007E610D" w:rsidP="00B858C0">
      <w:pPr>
        <w:jc w:val="both"/>
        <w:rPr>
          <w:rFonts w:eastAsia="Times New Roman" w:cs="Times New Roman"/>
        </w:rPr>
      </w:pPr>
      <w:r>
        <w:rPr>
          <w:rFonts w:cs="Times New Roman"/>
        </w:rPr>
        <w:t xml:space="preserve">For example, </w:t>
      </w:r>
      <w:proofErr w:type="spellStart"/>
      <w:r w:rsidR="005C29AC" w:rsidRPr="004B6F7E">
        <w:rPr>
          <w:rFonts w:cs="Times New Roman"/>
        </w:rPr>
        <w:t>ACU’s</w:t>
      </w:r>
      <w:proofErr w:type="spellEnd"/>
      <w:r w:rsidR="005C29AC" w:rsidRPr="004B6F7E">
        <w:rPr>
          <w:rFonts w:cs="Times New Roman"/>
        </w:rPr>
        <w:t xml:space="preserve"> collaborative research </w:t>
      </w:r>
      <w:r w:rsidR="003F6EEF" w:rsidRPr="004B6F7E">
        <w:rPr>
          <w:rFonts w:cs="Times New Roman"/>
        </w:rPr>
        <w:t>project</w:t>
      </w:r>
      <w:r w:rsidR="005C29AC" w:rsidRPr="004B6F7E">
        <w:rPr>
          <w:rFonts w:cs="Times New Roman"/>
        </w:rPr>
        <w:t xml:space="preserve"> with</w:t>
      </w:r>
      <w:r w:rsidR="003F6EEF" w:rsidRPr="004B6F7E">
        <w:rPr>
          <w:rFonts w:cs="Times New Roman"/>
        </w:rPr>
        <w:t xml:space="preserve"> </w:t>
      </w:r>
      <w:r w:rsidR="005C29AC" w:rsidRPr="004B6F7E">
        <w:rPr>
          <w:rFonts w:cs="Times New Roman"/>
        </w:rPr>
        <w:t>the</w:t>
      </w:r>
      <w:r w:rsidR="00B23BB9">
        <w:rPr>
          <w:rFonts w:cs="Times New Roman"/>
        </w:rPr>
        <w:t xml:space="preserve"> NSW Police Force </w:t>
      </w:r>
      <w:r w:rsidR="005E5A21">
        <w:rPr>
          <w:rFonts w:cs="Times New Roman"/>
        </w:rPr>
        <w:t>(</w:t>
      </w:r>
      <w:proofErr w:type="spellStart"/>
      <w:r w:rsidR="005E5A21">
        <w:rPr>
          <w:rFonts w:cs="Times New Roman"/>
        </w:rPr>
        <w:t>NSWPF</w:t>
      </w:r>
      <w:proofErr w:type="spellEnd"/>
      <w:r w:rsidR="005E5A21">
        <w:rPr>
          <w:rFonts w:cs="Times New Roman"/>
        </w:rPr>
        <w:t xml:space="preserve">) </w:t>
      </w:r>
      <w:r w:rsidR="00B23BB9">
        <w:rPr>
          <w:rFonts w:cs="Times New Roman"/>
        </w:rPr>
        <w:t>(</w:t>
      </w:r>
      <w:r w:rsidR="005C29AC" w:rsidRPr="004B6F7E">
        <w:rPr>
          <w:rFonts w:cs="Times New Roman"/>
        </w:rPr>
        <w:t>industry partner</w:t>
      </w:r>
      <w:r w:rsidR="00B23BB9">
        <w:rPr>
          <w:rFonts w:cs="Times New Roman"/>
        </w:rPr>
        <w:t>),</w:t>
      </w:r>
      <w:r w:rsidR="003F6EEF" w:rsidRPr="004B6F7E">
        <w:rPr>
          <w:rFonts w:cs="Times New Roman"/>
        </w:rPr>
        <w:t xml:space="preserve"> and the University of Western Sydney (</w:t>
      </w:r>
      <w:proofErr w:type="spellStart"/>
      <w:r w:rsidR="003F6EEF" w:rsidRPr="004B6F7E">
        <w:rPr>
          <w:rFonts w:cs="Times New Roman"/>
        </w:rPr>
        <w:t>UWS</w:t>
      </w:r>
      <w:proofErr w:type="spellEnd"/>
      <w:r w:rsidR="003F6EEF" w:rsidRPr="004B6F7E">
        <w:rPr>
          <w:rFonts w:cs="Times New Roman"/>
        </w:rPr>
        <w:t>),</w:t>
      </w:r>
      <w:r w:rsidR="005C29AC" w:rsidRPr="004B6F7E">
        <w:rPr>
          <w:rFonts w:cs="Times New Roman"/>
        </w:rPr>
        <w:t xml:space="preserve"> was initiated to address the </w:t>
      </w:r>
      <w:proofErr w:type="spellStart"/>
      <w:r w:rsidR="005E5A21">
        <w:rPr>
          <w:rFonts w:cs="Times New Roman"/>
        </w:rPr>
        <w:t>NSWPF’s</w:t>
      </w:r>
      <w:proofErr w:type="spellEnd"/>
      <w:r w:rsidR="005C29AC" w:rsidRPr="004B6F7E">
        <w:rPr>
          <w:rFonts w:cs="Times New Roman"/>
        </w:rPr>
        <w:t xml:space="preserve"> </w:t>
      </w:r>
      <w:r w:rsidR="00A21F80" w:rsidRPr="004B6F7E">
        <w:rPr>
          <w:rFonts w:eastAsia="Times New Roman" w:cs="Times New Roman"/>
        </w:rPr>
        <w:t>concern</w:t>
      </w:r>
      <w:r w:rsidR="00A21F80" w:rsidRPr="004B6F7E">
        <w:rPr>
          <w:rFonts w:eastAsia="Times New Roman" w:cs="Times New Roman"/>
          <w:spacing w:val="33"/>
        </w:rPr>
        <w:t xml:space="preserve"> </w:t>
      </w:r>
      <w:r w:rsidR="00A21F80" w:rsidRPr="004B6F7E">
        <w:rPr>
          <w:rFonts w:eastAsia="Times New Roman" w:cs="Times New Roman"/>
        </w:rPr>
        <w:t>that</w:t>
      </w:r>
      <w:r w:rsidR="00A21F80" w:rsidRPr="004B6F7E">
        <w:rPr>
          <w:rFonts w:eastAsia="Times New Roman" w:cs="Times New Roman"/>
          <w:spacing w:val="28"/>
        </w:rPr>
        <w:t xml:space="preserve"> </w:t>
      </w:r>
      <w:r w:rsidR="00A21F80" w:rsidRPr="004B6F7E">
        <w:rPr>
          <w:rFonts w:eastAsia="Times New Roman" w:cs="Times New Roman"/>
        </w:rPr>
        <w:t>record</w:t>
      </w:r>
      <w:r w:rsidR="00A21F80" w:rsidRPr="004B6F7E">
        <w:rPr>
          <w:rFonts w:eastAsia="Times New Roman" w:cs="Times New Roman"/>
          <w:spacing w:val="23"/>
        </w:rPr>
        <w:t xml:space="preserve"> </w:t>
      </w:r>
      <w:r w:rsidR="00A21F80" w:rsidRPr="004B6F7E">
        <w:rPr>
          <w:rFonts w:eastAsia="Times New Roman" w:cs="Times New Roman"/>
        </w:rPr>
        <w:t>numbers</w:t>
      </w:r>
      <w:r w:rsidR="00A21F80" w:rsidRPr="004B6F7E">
        <w:rPr>
          <w:rFonts w:eastAsia="Times New Roman" w:cs="Times New Roman"/>
          <w:spacing w:val="1"/>
        </w:rPr>
        <w:t xml:space="preserve"> </w:t>
      </w:r>
      <w:r w:rsidR="00A21F80" w:rsidRPr="004B6F7E">
        <w:rPr>
          <w:rFonts w:eastAsia="Times New Roman" w:cs="Times New Roman"/>
        </w:rPr>
        <w:t>of</w:t>
      </w:r>
      <w:r w:rsidR="00A21F80" w:rsidRPr="004B6F7E">
        <w:rPr>
          <w:rFonts w:eastAsia="Times New Roman" w:cs="Times New Roman"/>
          <w:spacing w:val="25"/>
        </w:rPr>
        <w:t xml:space="preserve"> </w:t>
      </w:r>
      <w:r w:rsidR="00A21F80" w:rsidRPr="004B6F7E">
        <w:rPr>
          <w:rFonts w:eastAsia="Times New Roman" w:cs="Times New Roman"/>
        </w:rPr>
        <w:t>their</w:t>
      </w:r>
      <w:r w:rsidR="00A21F80" w:rsidRPr="004B6F7E">
        <w:rPr>
          <w:rFonts w:eastAsia="Times New Roman" w:cs="Times New Roman"/>
          <w:spacing w:val="25"/>
        </w:rPr>
        <w:t xml:space="preserve"> </w:t>
      </w:r>
      <w:r w:rsidR="00A21F80" w:rsidRPr="004B6F7E">
        <w:rPr>
          <w:rFonts w:eastAsia="Times New Roman" w:cs="Times New Roman"/>
        </w:rPr>
        <w:t>members are</w:t>
      </w:r>
      <w:r w:rsidR="00A21F80" w:rsidRPr="004B6F7E">
        <w:rPr>
          <w:rFonts w:eastAsia="Times New Roman" w:cs="Times New Roman"/>
          <w:spacing w:val="22"/>
        </w:rPr>
        <w:t xml:space="preserve"> </w:t>
      </w:r>
      <w:r w:rsidR="00A21F80" w:rsidRPr="004B6F7E">
        <w:rPr>
          <w:rFonts w:eastAsia="Times New Roman" w:cs="Times New Roman"/>
        </w:rPr>
        <w:t>on</w:t>
      </w:r>
      <w:r w:rsidR="00A21F80" w:rsidRPr="004B6F7E">
        <w:rPr>
          <w:rFonts w:eastAsia="Times New Roman" w:cs="Times New Roman"/>
          <w:spacing w:val="12"/>
        </w:rPr>
        <w:t xml:space="preserve"> </w:t>
      </w:r>
      <w:r w:rsidR="00A21F80" w:rsidRPr="004B6F7E">
        <w:rPr>
          <w:rFonts w:eastAsia="Times New Roman" w:cs="Times New Roman"/>
        </w:rPr>
        <w:t>psychological medical</w:t>
      </w:r>
      <w:r w:rsidR="00A21F80" w:rsidRPr="004B6F7E">
        <w:rPr>
          <w:rFonts w:eastAsia="Times New Roman" w:cs="Times New Roman"/>
          <w:spacing w:val="38"/>
        </w:rPr>
        <w:t xml:space="preserve"> </w:t>
      </w:r>
      <w:r w:rsidR="00A21F80" w:rsidRPr="004B6F7E">
        <w:rPr>
          <w:rFonts w:eastAsia="Times New Roman" w:cs="Times New Roman"/>
        </w:rPr>
        <w:t>leave</w:t>
      </w:r>
      <w:r w:rsidR="00A21F80" w:rsidRPr="004B6F7E">
        <w:rPr>
          <w:rFonts w:eastAsia="Times New Roman" w:cs="Times New Roman"/>
          <w:spacing w:val="30"/>
        </w:rPr>
        <w:t xml:space="preserve"> </w:t>
      </w:r>
      <w:r w:rsidR="00A21F80" w:rsidRPr="004B6F7E">
        <w:rPr>
          <w:rFonts w:eastAsia="Times New Roman" w:cs="Times New Roman"/>
        </w:rPr>
        <w:t>and</w:t>
      </w:r>
      <w:r w:rsidR="00A21F80" w:rsidRPr="004B6F7E">
        <w:rPr>
          <w:rFonts w:eastAsia="Times New Roman" w:cs="Times New Roman"/>
          <w:spacing w:val="24"/>
        </w:rPr>
        <w:t xml:space="preserve"> </w:t>
      </w:r>
      <w:r w:rsidR="00A21F80" w:rsidRPr="004B6F7E">
        <w:rPr>
          <w:rFonts w:eastAsia="Times New Roman" w:cs="Times New Roman"/>
        </w:rPr>
        <w:t>are</w:t>
      </w:r>
      <w:r w:rsidR="00A21F80" w:rsidRPr="004B6F7E">
        <w:rPr>
          <w:rFonts w:eastAsia="Times New Roman" w:cs="Times New Roman"/>
          <w:spacing w:val="19"/>
        </w:rPr>
        <w:t xml:space="preserve"> </w:t>
      </w:r>
      <w:r w:rsidR="00A21F80" w:rsidRPr="004B6F7E">
        <w:rPr>
          <w:rFonts w:eastAsia="Times New Roman" w:cs="Times New Roman"/>
        </w:rPr>
        <w:t>exiting</w:t>
      </w:r>
      <w:r w:rsidR="00507101">
        <w:rPr>
          <w:rFonts w:eastAsia="Times New Roman" w:cs="Times New Roman"/>
        </w:rPr>
        <w:t xml:space="preserve"> the Police </w:t>
      </w:r>
      <w:r w:rsidR="00006A82">
        <w:rPr>
          <w:rFonts w:eastAsia="Times New Roman" w:cs="Times New Roman"/>
        </w:rPr>
        <w:t>F</w:t>
      </w:r>
      <w:r w:rsidR="00A21F80" w:rsidRPr="004B6F7E">
        <w:rPr>
          <w:rFonts w:eastAsia="Times New Roman" w:cs="Times New Roman"/>
        </w:rPr>
        <w:t>orce</w:t>
      </w:r>
      <w:r w:rsidR="00A21F80" w:rsidRPr="004B6F7E">
        <w:rPr>
          <w:rFonts w:eastAsia="Times New Roman" w:cs="Times New Roman"/>
          <w:spacing w:val="30"/>
        </w:rPr>
        <w:t xml:space="preserve"> </w:t>
      </w:r>
      <w:r w:rsidR="00A21F80" w:rsidRPr="004B6F7E">
        <w:rPr>
          <w:rFonts w:eastAsia="Times New Roman" w:cs="Times New Roman"/>
        </w:rPr>
        <w:t>due</w:t>
      </w:r>
      <w:r w:rsidR="00A21F80" w:rsidRPr="004B6F7E">
        <w:rPr>
          <w:rFonts w:eastAsia="Times New Roman" w:cs="Times New Roman"/>
          <w:spacing w:val="15"/>
        </w:rPr>
        <w:t xml:space="preserve"> </w:t>
      </w:r>
      <w:r w:rsidR="00A21F80" w:rsidRPr="004B6F7E">
        <w:rPr>
          <w:rFonts w:eastAsia="Times New Roman" w:cs="Times New Roman"/>
          <w:w w:val="113"/>
        </w:rPr>
        <w:t xml:space="preserve">to </w:t>
      </w:r>
      <w:r w:rsidR="00A21F80" w:rsidRPr="004B6F7E">
        <w:rPr>
          <w:rFonts w:eastAsia="Times New Roman" w:cs="Times New Roman"/>
        </w:rPr>
        <w:t>psychological stress</w:t>
      </w:r>
      <w:r w:rsidR="00A21F80" w:rsidRPr="004B6F7E">
        <w:rPr>
          <w:rFonts w:eastAsia="Times New Roman" w:cs="Times New Roman"/>
          <w:spacing w:val="31"/>
        </w:rPr>
        <w:t xml:space="preserve"> </w:t>
      </w:r>
      <w:r w:rsidR="00A21F80" w:rsidRPr="004B6F7E">
        <w:rPr>
          <w:rFonts w:eastAsia="Times New Roman" w:cs="Times New Roman"/>
        </w:rPr>
        <w:t>and</w:t>
      </w:r>
      <w:r w:rsidR="00A21F80" w:rsidRPr="004B6F7E">
        <w:rPr>
          <w:rFonts w:eastAsia="Times New Roman" w:cs="Times New Roman"/>
          <w:spacing w:val="30"/>
        </w:rPr>
        <w:t xml:space="preserve"> </w:t>
      </w:r>
      <w:r w:rsidR="00A21F80" w:rsidRPr="004B6F7E">
        <w:rPr>
          <w:rFonts w:eastAsia="Times New Roman" w:cs="Times New Roman"/>
        </w:rPr>
        <w:t>trauma</w:t>
      </w:r>
      <w:r w:rsidR="00942E1E">
        <w:rPr>
          <w:rFonts w:eastAsia="Times New Roman" w:cs="Times New Roman"/>
        </w:rPr>
        <w:t xml:space="preserve"> (</w:t>
      </w:r>
      <w:r w:rsidR="00942E1E" w:rsidRPr="004B6F7E">
        <w:rPr>
          <w:rFonts w:eastAsia="Times New Roman" w:cs="Times New Roman"/>
        </w:rPr>
        <w:t>on</w:t>
      </w:r>
      <w:r w:rsidR="00942E1E" w:rsidRPr="004B6F7E">
        <w:rPr>
          <w:rFonts w:eastAsia="Times New Roman" w:cs="Times New Roman"/>
          <w:spacing w:val="33"/>
        </w:rPr>
        <w:t xml:space="preserve"> </w:t>
      </w:r>
      <w:r w:rsidR="00942E1E" w:rsidRPr="004B6F7E">
        <w:rPr>
          <w:rFonts w:eastAsia="Times New Roman" w:cs="Times New Roman"/>
        </w:rPr>
        <w:t>any</w:t>
      </w:r>
      <w:r w:rsidR="00942E1E" w:rsidRPr="004B6F7E">
        <w:rPr>
          <w:rFonts w:eastAsia="Times New Roman" w:cs="Times New Roman"/>
          <w:spacing w:val="13"/>
        </w:rPr>
        <w:t xml:space="preserve"> </w:t>
      </w:r>
      <w:r w:rsidR="00942E1E" w:rsidRPr="004B6F7E">
        <w:rPr>
          <w:rFonts w:eastAsia="Times New Roman" w:cs="Times New Roman"/>
        </w:rPr>
        <w:t>given</w:t>
      </w:r>
      <w:r w:rsidR="00942E1E" w:rsidRPr="004B6F7E">
        <w:rPr>
          <w:rFonts w:eastAsia="Times New Roman" w:cs="Times New Roman"/>
          <w:spacing w:val="42"/>
        </w:rPr>
        <w:t xml:space="preserve"> </w:t>
      </w:r>
      <w:r w:rsidR="00942E1E" w:rsidRPr="004B6F7E">
        <w:rPr>
          <w:rFonts w:eastAsia="Times New Roman" w:cs="Times New Roman"/>
        </w:rPr>
        <w:t>day,</w:t>
      </w:r>
      <w:r w:rsidR="00942E1E" w:rsidRPr="004B6F7E">
        <w:rPr>
          <w:rFonts w:eastAsia="Times New Roman" w:cs="Times New Roman"/>
          <w:spacing w:val="34"/>
        </w:rPr>
        <w:t xml:space="preserve"> </w:t>
      </w:r>
      <w:r w:rsidR="00942E1E" w:rsidRPr="004B6F7E">
        <w:rPr>
          <w:rFonts w:eastAsia="Times New Roman" w:cs="Times New Roman"/>
        </w:rPr>
        <w:t>an</w:t>
      </w:r>
      <w:r w:rsidR="00942E1E" w:rsidRPr="004B6F7E">
        <w:rPr>
          <w:rFonts w:eastAsia="Times New Roman" w:cs="Times New Roman"/>
          <w:spacing w:val="15"/>
        </w:rPr>
        <w:t xml:space="preserve"> </w:t>
      </w:r>
      <w:r w:rsidR="00942E1E" w:rsidRPr="004B6F7E">
        <w:rPr>
          <w:rFonts w:eastAsia="Times New Roman" w:cs="Times New Roman"/>
        </w:rPr>
        <w:t>average</w:t>
      </w:r>
      <w:r w:rsidR="00942E1E" w:rsidRPr="004B6F7E">
        <w:rPr>
          <w:rFonts w:eastAsia="Times New Roman" w:cs="Times New Roman"/>
          <w:spacing w:val="35"/>
        </w:rPr>
        <w:t xml:space="preserve"> </w:t>
      </w:r>
      <w:r w:rsidR="00942E1E" w:rsidRPr="004B6F7E">
        <w:rPr>
          <w:rFonts w:eastAsia="Times New Roman" w:cs="Times New Roman"/>
        </w:rPr>
        <w:t>of</w:t>
      </w:r>
      <w:r w:rsidR="00942E1E" w:rsidRPr="004B6F7E">
        <w:rPr>
          <w:rFonts w:eastAsia="Times New Roman" w:cs="Times New Roman"/>
          <w:spacing w:val="20"/>
        </w:rPr>
        <w:t xml:space="preserve"> </w:t>
      </w:r>
      <w:r w:rsidR="00942E1E" w:rsidRPr="004B6F7E">
        <w:rPr>
          <w:rFonts w:eastAsia="Times New Roman" w:cs="Times New Roman"/>
        </w:rPr>
        <w:t>12 per cent</w:t>
      </w:r>
      <w:r w:rsidR="00942E1E" w:rsidRPr="004B6F7E">
        <w:rPr>
          <w:rFonts w:eastAsia="Times New Roman" w:cs="Times New Roman"/>
          <w:spacing w:val="44"/>
        </w:rPr>
        <w:t xml:space="preserve"> </w:t>
      </w:r>
      <w:r w:rsidR="00942E1E" w:rsidRPr="004B6F7E">
        <w:rPr>
          <w:rFonts w:eastAsia="Times New Roman" w:cs="Times New Roman"/>
        </w:rPr>
        <w:t>of</w:t>
      </w:r>
      <w:r w:rsidR="00942E1E" w:rsidRPr="004B6F7E">
        <w:rPr>
          <w:rFonts w:eastAsia="Times New Roman" w:cs="Times New Roman"/>
          <w:spacing w:val="12"/>
        </w:rPr>
        <w:t xml:space="preserve"> </w:t>
      </w:r>
      <w:r w:rsidR="00942E1E" w:rsidRPr="004B6F7E">
        <w:rPr>
          <w:rFonts w:eastAsia="Times New Roman" w:cs="Times New Roman"/>
        </w:rPr>
        <w:t>the</w:t>
      </w:r>
      <w:r w:rsidR="00942E1E" w:rsidRPr="004B6F7E">
        <w:rPr>
          <w:rFonts w:eastAsia="Times New Roman" w:cs="Times New Roman"/>
          <w:spacing w:val="35"/>
        </w:rPr>
        <w:t xml:space="preserve"> </w:t>
      </w:r>
      <w:r w:rsidR="00942E1E" w:rsidRPr="004B6F7E">
        <w:rPr>
          <w:rFonts w:eastAsia="Times New Roman" w:cs="Times New Roman"/>
        </w:rPr>
        <w:t>workforce</w:t>
      </w:r>
      <w:r w:rsidR="00942E1E" w:rsidRPr="004B6F7E">
        <w:rPr>
          <w:rFonts w:eastAsia="Times New Roman" w:cs="Times New Roman"/>
          <w:spacing w:val="23"/>
        </w:rPr>
        <w:t xml:space="preserve"> </w:t>
      </w:r>
      <w:r w:rsidR="00942E1E" w:rsidRPr="004B6F7E">
        <w:rPr>
          <w:rFonts w:eastAsia="Times New Roman" w:cs="Times New Roman"/>
        </w:rPr>
        <w:t>is</w:t>
      </w:r>
      <w:r w:rsidR="00942E1E" w:rsidRPr="004B6F7E">
        <w:rPr>
          <w:rFonts w:eastAsia="Times New Roman" w:cs="Times New Roman"/>
          <w:spacing w:val="28"/>
        </w:rPr>
        <w:t xml:space="preserve"> </w:t>
      </w:r>
      <w:r w:rsidR="00942E1E" w:rsidRPr="004B6F7E">
        <w:rPr>
          <w:rFonts w:eastAsia="Times New Roman" w:cs="Times New Roman"/>
        </w:rPr>
        <w:t>unable</w:t>
      </w:r>
      <w:r w:rsidR="00942E1E" w:rsidRPr="004B6F7E">
        <w:rPr>
          <w:rFonts w:eastAsia="Times New Roman" w:cs="Times New Roman"/>
          <w:spacing w:val="45"/>
        </w:rPr>
        <w:t xml:space="preserve"> </w:t>
      </w:r>
      <w:r w:rsidR="00942E1E" w:rsidRPr="004B6F7E">
        <w:rPr>
          <w:rFonts w:eastAsia="Times New Roman" w:cs="Times New Roman"/>
        </w:rPr>
        <w:t>to</w:t>
      </w:r>
      <w:r w:rsidR="00942E1E" w:rsidRPr="004B6F7E">
        <w:rPr>
          <w:rFonts w:eastAsia="Times New Roman" w:cs="Times New Roman"/>
          <w:spacing w:val="19"/>
        </w:rPr>
        <w:t xml:space="preserve"> </w:t>
      </w:r>
      <w:r w:rsidR="00942E1E" w:rsidRPr="004B6F7E">
        <w:rPr>
          <w:rFonts w:eastAsia="Times New Roman" w:cs="Times New Roman"/>
          <w:w w:val="108"/>
        </w:rPr>
        <w:t xml:space="preserve">be </w:t>
      </w:r>
      <w:r w:rsidR="00942E1E" w:rsidRPr="004B6F7E">
        <w:rPr>
          <w:rFonts w:eastAsia="Times New Roman" w:cs="Times New Roman"/>
        </w:rPr>
        <w:t>deployed</w:t>
      </w:r>
      <w:r w:rsidR="00942E1E">
        <w:rPr>
          <w:rFonts w:eastAsia="Times New Roman" w:cs="Times New Roman"/>
        </w:rPr>
        <w:t>)</w:t>
      </w:r>
      <w:r w:rsidR="00A21F80" w:rsidRPr="004B6F7E">
        <w:rPr>
          <w:rFonts w:eastAsia="Times New Roman" w:cs="Times New Roman"/>
        </w:rPr>
        <w:t>.</w:t>
      </w:r>
      <w:r w:rsidR="005C29AC" w:rsidRPr="004B6F7E">
        <w:rPr>
          <w:rFonts w:eastAsia="Times New Roman" w:cs="Times New Roman"/>
        </w:rPr>
        <w:t xml:space="preserve"> </w:t>
      </w:r>
      <w:r w:rsidR="003F6EEF" w:rsidRPr="004B6F7E">
        <w:rPr>
          <w:rFonts w:eastAsia="Times New Roman" w:cs="Times New Roman"/>
        </w:rPr>
        <w:t>The NSW P</w:t>
      </w:r>
      <w:r w:rsidR="00B7401E" w:rsidRPr="004B6F7E">
        <w:rPr>
          <w:rFonts w:eastAsia="Times New Roman" w:cs="Times New Roman"/>
        </w:rPr>
        <w:t>olic</w:t>
      </w:r>
      <w:r w:rsidR="003F6EEF" w:rsidRPr="004B6F7E">
        <w:rPr>
          <w:rFonts w:eastAsia="Times New Roman" w:cs="Times New Roman"/>
        </w:rPr>
        <w:t>e</w:t>
      </w:r>
      <w:r w:rsidR="00B7401E" w:rsidRPr="004B6F7E">
        <w:rPr>
          <w:rFonts w:eastAsia="Times New Roman" w:cs="Times New Roman"/>
        </w:rPr>
        <w:t xml:space="preserve"> Commissioner Andrew </w:t>
      </w:r>
      <w:proofErr w:type="spellStart"/>
      <w:r w:rsidR="00B7401E" w:rsidRPr="004B6F7E">
        <w:rPr>
          <w:rFonts w:eastAsia="Times New Roman" w:cs="Times New Roman"/>
        </w:rPr>
        <w:t>Scipione</w:t>
      </w:r>
      <w:proofErr w:type="spellEnd"/>
      <w:r w:rsidR="00B7401E" w:rsidRPr="004B6F7E">
        <w:rPr>
          <w:rFonts w:eastAsia="Times New Roman" w:cs="Times New Roman"/>
        </w:rPr>
        <w:t xml:space="preserve"> particularly noted that </w:t>
      </w:r>
      <w:r w:rsidR="00B7401E" w:rsidRPr="004B6F7E">
        <w:rPr>
          <w:rFonts w:eastAsia="Times New Roman" w:cs="Times New Roman"/>
          <w:lang w:val="en" w:eastAsia="en-AU"/>
        </w:rPr>
        <w:t>“</w:t>
      </w:r>
      <w:r w:rsidR="008363F2" w:rsidRPr="004B6F7E">
        <w:rPr>
          <w:rFonts w:eastAsia="Times New Roman" w:cs="Times New Roman"/>
          <w:lang w:val="en" w:eastAsia="en-AU"/>
        </w:rPr>
        <w:t>b</w:t>
      </w:r>
      <w:r w:rsidR="00B7401E" w:rsidRPr="00366738">
        <w:rPr>
          <w:rFonts w:eastAsia="Times New Roman" w:cs="Times New Roman"/>
          <w:lang w:val="en" w:eastAsia="en-AU"/>
        </w:rPr>
        <w:t xml:space="preserve">y collaborating with academic researchers </w:t>
      </w:r>
      <w:r w:rsidR="00B7401E" w:rsidRPr="00B858C0">
        <w:rPr>
          <w:rFonts w:eastAsia="Times New Roman" w:cs="Times New Roman"/>
          <w:lang w:val="en" w:eastAsia="en-AU"/>
        </w:rPr>
        <w:t xml:space="preserve">from </w:t>
      </w:r>
      <w:proofErr w:type="spellStart"/>
      <w:r w:rsidR="00B7401E" w:rsidRPr="00B858C0">
        <w:rPr>
          <w:rFonts w:eastAsia="Times New Roman" w:cs="Times New Roman"/>
          <w:lang w:val="en" w:eastAsia="en-AU"/>
        </w:rPr>
        <w:t>ACU</w:t>
      </w:r>
      <w:proofErr w:type="spellEnd"/>
      <w:r w:rsidR="00B7401E" w:rsidRPr="00B858C0">
        <w:rPr>
          <w:rFonts w:eastAsia="Times New Roman" w:cs="Times New Roman"/>
          <w:lang w:val="en" w:eastAsia="en-AU"/>
        </w:rPr>
        <w:t xml:space="preserve"> and </w:t>
      </w:r>
      <w:proofErr w:type="spellStart"/>
      <w:r w:rsidR="00B7401E" w:rsidRPr="00B858C0">
        <w:rPr>
          <w:rFonts w:eastAsia="Times New Roman" w:cs="Times New Roman"/>
          <w:lang w:val="en" w:eastAsia="en-AU"/>
        </w:rPr>
        <w:t>UWS</w:t>
      </w:r>
      <w:proofErr w:type="spellEnd"/>
      <w:r w:rsidR="00B7401E" w:rsidRPr="00B858C0">
        <w:rPr>
          <w:rFonts w:eastAsia="Times New Roman" w:cs="Times New Roman"/>
          <w:lang w:val="en" w:eastAsia="en-AU"/>
        </w:rPr>
        <w:t>, [</w:t>
      </w:r>
      <w:r w:rsidR="004B6F7E" w:rsidRPr="00B858C0">
        <w:rPr>
          <w:rFonts w:eastAsia="Times New Roman" w:cs="Times New Roman"/>
          <w:lang w:val="en" w:eastAsia="en-AU"/>
        </w:rPr>
        <w:t>the NSW Police</w:t>
      </w:r>
      <w:r w:rsidR="00B7401E" w:rsidRPr="00B858C0">
        <w:rPr>
          <w:rFonts w:eastAsia="Times New Roman" w:cs="Times New Roman"/>
          <w:lang w:val="en" w:eastAsia="en-AU"/>
        </w:rPr>
        <w:t xml:space="preserve"> Force] hope to develop practical applications and policies to build on current initiatives of the Workforce Safety Command.”</w:t>
      </w:r>
      <w:r w:rsidR="004B6F7E" w:rsidRPr="00B858C0">
        <w:rPr>
          <w:rStyle w:val="FootnoteReference"/>
          <w:rFonts w:eastAsia="Times New Roman"/>
          <w:lang w:val="en" w:eastAsia="en-AU"/>
        </w:rPr>
        <w:footnoteReference w:id="5"/>
      </w:r>
      <w:r w:rsidR="00B7401E" w:rsidRPr="00B858C0">
        <w:rPr>
          <w:rFonts w:eastAsia="Times New Roman" w:cs="Times New Roman"/>
          <w:lang w:val="en" w:eastAsia="en-AU"/>
        </w:rPr>
        <w:t xml:space="preserve"> </w:t>
      </w:r>
      <w:r w:rsidR="005C29AC" w:rsidRPr="00B858C0">
        <w:rPr>
          <w:rFonts w:eastAsia="Times New Roman" w:cs="Times New Roman"/>
        </w:rPr>
        <w:t xml:space="preserve">The </w:t>
      </w:r>
      <w:r w:rsidR="00942E1E" w:rsidRPr="00B858C0">
        <w:rPr>
          <w:rFonts w:eastAsia="Times New Roman" w:cs="Times New Roman"/>
        </w:rPr>
        <w:t>research</w:t>
      </w:r>
      <w:r w:rsidR="00AC56BC" w:rsidRPr="00B858C0">
        <w:rPr>
          <w:rFonts w:eastAsia="Times New Roman" w:cs="Times New Roman"/>
        </w:rPr>
        <w:t xml:space="preserve"> is geared to </w:t>
      </w:r>
      <w:r w:rsidR="005C29AC" w:rsidRPr="00B858C0">
        <w:rPr>
          <w:rFonts w:eastAsia="Times New Roman" w:cs="Times New Roman"/>
          <w:w w:val="112"/>
        </w:rPr>
        <w:t>generate</w:t>
      </w:r>
      <w:r w:rsidR="005C29AC" w:rsidRPr="00B858C0">
        <w:rPr>
          <w:rFonts w:eastAsia="Times New Roman" w:cs="Times New Roman"/>
          <w:spacing w:val="44"/>
          <w:w w:val="112"/>
        </w:rPr>
        <w:t xml:space="preserve"> </w:t>
      </w:r>
      <w:r w:rsidR="005C29AC" w:rsidRPr="00B858C0">
        <w:rPr>
          <w:rFonts w:eastAsia="Times New Roman" w:cs="Times New Roman"/>
          <w:w w:val="112"/>
        </w:rPr>
        <w:t>strategies</w:t>
      </w:r>
      <w:r w:rsidR="005C29AC" w:rsidRPr="00B858C0">
        <w:rPr>
          <w:rFonts w:eastAsia="Times New Roman" w:cs="Times New Roman"/>
          <w:spacing w:val="35"/>
          <w:w w:val="112"/>
        </w:rPr>
        <w:t xml:space="preserve"> </w:t>
      </w:r>
      <w:r w:rsidR="005C29AC" w:rsidRPr="00B858C0">
        <w:rPr>
          <w:rFonts w:eastAsia="Times New Roman" w:cs="Times New Roman"/>
        </w:rPr>
        <w:t xml:space="preserve">for </w:t>
      </w:r>
      <w:r w:rsidR="005C29AC" w:rsidRPr="00B858C0">
        <w:rPr>
          <w:rFonts w:eastAsia="Times New Roman" w:cs="Times New Roman"/>
          <w:w w:val="111"/>
        </w:rPr>
        <w:t>improving</w:t>
      </w:r>
      <w:r w:rsidR="005C29AC" w:rsidRPr="00B858C0">
        <w:rPr>
          <w:rFonts w:eastAsia="Times New Roman" w:cs="Times New Roman"/>
          <w:spacing w:val="7"/>
          <w:w w:val="111"/>
        </w:rPr>
        <w:t xml:space="preserve"> </w:t>
      </w:r>
      <w:r w:rsidR="005C29AC" w:rsidRPr="00B858C0">
        <w:rPr>
          <w:rFonts w:eastAsia="Times New Roman" w:cs="Times New Roman"/>
          <w:w w:val="110"/>
        </w:rPr>
        <w:t xml:space="preserve">wellbeing, </w:t>
      </w:r>
      <w:r w:rsidR="005C29AC" w:rsidRPr="00B858C0">
        <w:rPr>
          <w:rFonts w:eastAsia="Times New Roman" w:cs="Times New Roman"/>
          <w:w w:val="108"/>
        </w:rPr>
        <w:t>resilience,</w:t>
      </w:r>
      <w:r w:rsidR="005C29AC" w:rsidRPr="00B858C0">
        <w:rPr>
          <w:rFonts w:eastAsia="Times New Roman" w:cs="Times New Roman"/>
          <w:spacing w:val="-18"/>
          <w:w w:val="108"/>
        </w:rPr>
        <w:t xml:space="preserve"> </w:t>
      </w:r>
      <w:r w:rsidR="005C29AC" w:rsidRPr="00B858C0">
        <w:rPr>
          <w:rFonts w:eastAsia="Times New Roman" w:cs="Times New Roman"/>
        </w:rPr>
        <w:t>and</w:t>
      </w:r>
      <w:r w:rsidR="005C29AC" w:rsidRPr="00B858C0">
        <w:rPr>
          <w:rFonts w:eastAsia="Times New Roman" w:cs="Times New Roman"/>
          <w:spacing w:val="44"/>
        </w:rPr>
        <w:t xml:space="preserve"> </w:t>
      </w:r>
      <w:r w:rsidR="005C29AC" w:rsidRPr="00B858C0">
        <w:rPr>
          <w:rFonts w:eastAsia="Times New Roman" w:cs="Times New Roman"/>
          <w:w w:val="114"/>
        </w:rPr>
        <w:t xml:space="preserve">retention in the </w:t>
      </w:r>
      <w:proofErr w:type="spellStart"/>
      <w:r w:rsidR="005E5A21" w:rsidRPr="00B858C0">
        <w:rPr>
          <w:rFonts w:eastAsia="Times New Roman" w:cs="Times New Roman"/>
          <w:w w:val="114"/>
        </w:rPr>
        <w:t>NSWPF</w:t>
      </w:r>
      <w:proofErr w:type="spellEnd"/>
      <w:r w:rsidR="005C29AC" w:rsidRPr="00B858C0">
        <w:rPr>
          <w:rFonts w:eastAsia="Times New Roman" w:cs="Times New Roman"/>
          <w:w w:val="114"/>
        </w:rPr>
        <w:t>, which will</w:t>
      </w:r>
      <w:r w:rsidR="00B7401E" w:rsidRPr="00B858C0">
        <w:rPr>
          <w:rFonts w:eastAsia="Times New Roman" w:cs="Times New Roman"/>
          <w:w w:val="114"/>
        </w:rPr>
        <w:t xml:space="preserve"> </w:t>
      </w:r>
      <w:r w:rsidR="005C29AC" w:rsidRPr="00B858C0">
        <w:rPr>
          <w:rFonts w:eastAsia="Times New Roman" w:cs="Times New Roman"/>
          <w:w w:val="114"/>
        </w:rPr>
        <w:t>boost workforce productivity</w:t>
      </w:r>
      <w:r w:rsidR="004B6F7E" w:rsidRPr="00B858C0">
        <w:rPr>
          <w:rFonts w:eastAsia="Times New Roman" w:cs="Times New Roman"/>
        </w:rPr>
        <w:t>.</w:t>
      </w:r>
      <w:r w:rsidR="005C29AC" w:rsidRPr="00B858C0">
        <w:rPr>
          <w:rStyle w:val="FootnoteReference"/>
          <w:rFonts w:eastAsia="Times New Roman"/>
        </w:rPr>
        <w:footnoteReference w:id="6"/>
      </w:r>
      <w:r w:rsidR="005C29AC" w:rsidRPr="00B858C0">
        <w:rPr>
          <w:rFonts w:eastAsia="Times New Roman" w:cs="Times New Roman"/>
        </w:rPr>
        <w:t xml:space="preserve"> </w:t>
      </w:r>
      <w:r w:rsidR="00AC56BC" w:rsidRPr="00B858C0">
        <w:rPr>
          <w:rFonts w:eastAsia="Times New Roman" w:cs="Times New Roman"/>
        </w:rPr>
        <w:t xml:space="preserve">The </w:t>
      </w:r>
      <w:r w:rsidR="003722F3" w:rsidRPr="00B858C0">
        <w:rPr>
          <w:rFonts w:eastAsia="Times New Roman" w:cs="Times New Roman"/>
        </w:rPr>
        <w:t>research collaboration</w:t>
      </w:r>
      <w:r w:rsidR="00AC56BC" w:rsidRPr="00B858C0">
        <w:rPr>
          <w:rFonts w:eastAsia="Times New Roman" w:cs="Times New Roman"/>
        </w:rPr>
        <w:t xml:space="preserve"> has been made possible through</w:t>
      </w:r>
      <w:r w:rsidR="00AC56BC" w:rsidRPr="00B858C0">
        <w:rPr>
          <w:rFonts w:cs="Times New Roman"/>
        </w:rPr>
        <w:t xml:space="preserve"> Linkage funding.</w:t>
      </w:r>
      <w:r w:rsidR="00AC56BC" w:rsidRPr="00B858C0">
        <w:rPr>
          <w:rStyle w:val="FootnoteReference"/>
        </w:rPr>
        <w:footnoteReference w:id="7"/>
      </w:r>
      <w:r w:rsidR="00AC56BC" w:rsidRPr="00B858C0">
        <w:rPr>
          <w:rFonts w:cs="Times New Roman"/>
        </w:rPr>
        <w:t xml:space="preserve"> </w:t>
      </w:r>
      <w:r w:rsidR="004B6F7E" w:rsidRPr="00B858C0">
        <w:rPr>
          <w:rFonts w:eastAsia="Times New Roman" w:cs="Times New Roman"/>
        </w:rPr>
        <w:t xml:space="preserve">In particular, it will directly address </w:t>
      </w:r>
      <w:r w:rsidR="00A21F80" w:rsidRPr="00B858C0">
        <w:rPr>
          <w:rFonts w:eastAsia="Times New Roman" w:cs="Times New Roman"/>
        </w:rPr>
        <w:t xml:space="preserve">the </w:t>
      </w:r>
      <w:r w:rsidR="00A21F80" w:rsidRPr="00B858C0">
        <w:rPr>
          <w:rFonts w:eastAsia="Times New Roman" w:cs="Times New Roman"/>
          <w:w w:val="114"/>
        </w:rPr>
        <w:t>national</w:t>
      </w:r>
      <w:r w:rsidR="00A21F80" w:rsidRPr="00B858C0">
        <w:rPr>
          <w:rFonts w:eastAsia="Times New Roman" w:cs="Times New Roman"/>
          <w:spacing w:val="25"/>
          <w:w w:val="114"/>
        </w:rPr>
        <w:t xml:space="preserve"> </w:t>
      </w:r>
      <w:r w:rsidR="00A21F80" w:rsidRPr="00B858C0">
        <w:rPr>
          <w:rFonts w:eastAsia="Times New Roman" w:cs="Times New Roman"/>
          <w:w w:val="114"/>
        </w:rPr>
        <w:t>Strategic</w:t>
      </w:r>
      <w:r w:rsidR="00A21F80" w:rsidRPr="00B858C0">
        <w:rPr>
          <w:rFonts w:eastAsia="Times New Roman" w:cs="Times New Roman"/>
          <w:spacing w:val="23"/>
          <w:w w:val="114"/>
        </w:rPr>
        <w:t xml:space="preserve"> </w:t>
      </w:r>
      <w:r w:rsidR="00A21F80" w:rsidRPr="00B858C0">
        <w:rPr>
          <w:rFonts w:eastAsia="Times New Roman" w:cs="Times New Roman"/>
          <w:w w:val="114"/>
        </w:rPr>
        <w:t>Research</w:t>
      </w:r>
      <w:r w:rsidR="00A21F80" w:rsidRPr="00B858C0">
        <w:rPr>
          <w:rFonts w:eastAsia="Times New Roman" w:cs="Times New Roman"/>
          <w:spacing w:val="29"/>
          <w:w w:val="114"/>
        </w:rPr>
        <w:t xml:space="preserve"> </w:t>
      </w:r>
      <w:r w:rsidR="00A21F80" w:rsidRPr="00B858C0">
        <w:rPr>
          <w:rFonts w:eastAsia="Times New Roman" w:cs="Times New Roman"/>
          <w:w w:val="114"/>
        </w:rPr>
        <w:t>Priority</w:t>
      </w:r>
      <w:r w:rsidR="00A21F80" w:rsidRPr="00B858C0">
        <w:rPr>
          <w:rFonts w:eastAsia="Times New Roman" w:cs="Times New Roman"/>
          <w:spacing w:val="49"/>
          <w:w w:val="114"/>
        </w:rPr>
        <w:t xml:space="preserve"> </w:t>
      </w:r>
      <w:r w:rsidR="008E526C">
        <w:rPr>
          <w:rFonts w:eastAsia="Times New Roman" w:cs="Times New Roman"/>
        </w:rPr>
        <w:t>of ‘lifting productivity and economic growth’; c</w:t>
      </w:r>
      <w:r w:rsidR="001169EC">
        <w:rPr>
          <w:rFonts w:eastAsia="Times New Roman" w:cs="Times New Roman"/>
          <w:w w:val="115"/>
        </w:rPr>
        <w:t xml:space="preserve">ontribute to maximising </w:t>
      </w:r>
      <w:r w:rsidR="00A21F80" w:rsidRPr="00B858C0">
        <w:rPr>
          <w:rFonts w:eastAsia="Times New Roman" w:cs="Times New Roman"/>
          <w:w w:val="107"/>
        </w:rPr>
        <w:t>Australia's</w:t>
      </w:r>
      <w:r w:rsidR="00A21F80" w:rsidRPr="00B858C0">
        <w:rPr>
          <w:rFonts w:eastAsia="Times New Roman" w:cs="Times New Roman"/>
          <w:spacing w:val="1"/>
          <w:w w:val="107"/>
        </w:rPr>
        <w:t xml:space="preserve"> </w:t>
      </w:r>
      <w:r w:rsidR="00A21F80" w:rsidRPr="00B858C0">
        <w:rPr>
          <w:rFonts w:eastAsia="Times New Roman" w:cs="Times New Roman"/>
        </w:rPr>
        <w:t>competitive</w:t>
      </w:r>
      <w:r w:rsidR="00A21F80" w:rsidRPr="00B858C0">
        <w:rPr>
          <w:rFonts w:eastAsia="Times New Roman" w:cs="Times New Roman"/>
          <w:spacing w:val="10"/>
        </w:rPr>
        <w:t xml:space="preserve"> </w:t>
      </w:r>
      <w:r w:rsidR="00A21F80" w:rsidRPr="00B858C0">
        <w:rPr>
          <w:rFonts w:eastAsia="Times New Roman" w:cs="Times New Roman"/>
        </w:rPr>
        <w:t>advantage</w:t>
      </w:r>
      <w:r w:rsidR="00A21F80" w:rsidRPr="00B858C0">
        <w:rPr>
          <w:rFonts w:eastAsia="Times New Roman" w:cs="Times New Roman"/>
          <w:spacing w:val="19"/>
        </w:rPr>
        <w:t xml:space="preserve"> </w:t>
      </w:r>
      <w:r w:rsidR="00A21F80" w:rsidRPr="00B858C0">
        <w:rPr>
          <w:rFonts w:eastAsia="Times New Roman" w:cs="Times New Roman"/>
        </w:rPr>
        <w:t>in</w:t>
      </w:r>
      <w:r w:rsidR="00A21F80" w:rsidRPr="00B858C0">
        <w:rPr>
          <w:rFonts w:eastAsia="Times New Roman" w:cs="Times New Roman"/>
          <w:spacing w:val="37"/>
        </w:rPr>
        <w:t xml:space="preserve"> </w:t>
      </w:r>
      <w:r w:rsidR="00A21F80" w:rsidRPr="00B858C0">
        <w:rPr>
          <w:rFonts w:eastAsia="Times New Roman" w:cs="Times New Roman"/>
        </w:rPr>
        <w:t>critical</w:t>
      </w:r>
      <w:r w:rsidR="00A21F80" w:rsidRPr="00B858C0">
        <w:rPr>
          <w:rFonts w:eastAsia="Times New Roman" w:cs="Times New Roman"/>
          <w:spacing w:val="8"/>
        </w:rPr>
        <w:t xml:space="preserve"> </w:t>
      </w:r>
      <w:r w:rsidR="00A21F80" w:rsidRPr="00B858C0">
        <w:rPr>
          <w:rFonts w:eastAsia="Times New Roman" w:cs="Times New Roman"/>
        </w:rPr>
        <w:t>sectors</w:t>
      </w:r>
      <w:r w:rsidR="004B6F7E" w:rsidRPr="00B858C0">
        <w:rPr>
          <w:rFonts w:eastAsia="Times New Roman" w:cs="Times New Roman"/>
          <w:spacing w:val="26"/>
        </w:rPr>
        <w:t>’</w:t>
      </w:r>
      <w:r w:rsidR="00A21F80" w:rsidRPr="00B858C0">
        <w:rPr>
          <w:rFonts w:eastAsia="Times New Roman" w:cs="Times New Roman"/>
          <w:i/>
          <w:spacing w:val="26"/>
        </w:rPr>
        <w:t xml:space="preserve"> </w:t>
      </w:r>
      <w:r w:rsidR="00A21F80" w:rsidRPr="00B858C0">
        <w:rPr>
          <w:rFonts w:eastAsia="Times New Roman" w:cs="Times New Roman"/>
          <w:w w:val="106"/>
        </w:rPr>
        <w:t xml:space="preserve">by </w:t>
      </w:r>
      <w:r w:rsidR="00A21F80" w:rsidRPr="00B858C0">
        <w:rPr>
          <w:rFonts w:eastAsia="Times New Roman" w:cs="Times New Roman"/>
          <w:w w:val="112"/>
        </w:rPr>
        <w:t>enhancing</w:t>
      </w:r>
      <w:r w:rsidR="00A21F80" w:rsidRPr="00B858C0">
        <w:rPr>
          <w:rFonts w:eastAsia="Times New Roman" w:cs="Times New Roman"/>
          <w:spacing w:val="29"/>
          <w:w w:val="112"/>
        </w:rPr>
        <w:t xml:space="preserve"> </w:t>
      </w:r>
      <w:r w:rsidR="00A21F80" w:rsidRPr="00B858C0">
        <w:rPr>
          <w:rFonts w:eastAsia="Times New Roman" w:cs="Times New Roman"/>
        </w:rPr>
        <w:t>the</w:t>
      </w:r>
      <w:r w:rsidR="00A21F80" w:rsidRPr="00B858C0">
        <w:rPr>
          <w:rFonts w:eastAsia="Times New Roman" w:cs="Times New Roman"/>
          <w:spacing w:val="21"/>
        </w:rPr>
        <w:t xml:space="preserve"> </w:t>
      </w:r>
      <w:r w:rsidR="00A21F80" w:rsidRPr="00B858C0">
        <w:rPr>
          <w:rFonts w:eastAsia="Times New Roman" w:cs="Times New Roman"/>
          <w:w w:val="111"/>
        </w:rPr>
        <w:t>long-term</w:t>
      </w:r>
      <w:r w:rsidR="00A21F80" w:rsidRPr="00B858C0">
        <w:rPr>
          <w:rFonts w:eastAsia="Times New Roman" w:cs="Times New Roman"/>
          <w:spacing w:val="31"/>
          <w:w w:val="111"/>
        </w:rPr>
        <w:t xml:space="preserve"> </w:t>
      </w:r>
      <w:r w:rsidR="00A21F80" w:rsidRPr="00B858C0">
        <w:rPr>
          <w:rFonts w:eastAsia="Times New Roman" w:cs="Times New Roman"/>
          <w:w w:val="111"/>
        </w:rPr>
        <w:t>viability</w:t>
      </w:r>
      <w:r w:rsidR="00A21F80" w:rsidRPr="00B858C0">
        <w:rPr>
          <w:rFonts w:eastAsia="Times New Roman" w:cs="Times New Roman"/>
          <w:spacing w:val="25"/>
          <w:w w:val="111"/>
        </w:rPr>
        <w:t xml:space="preserve"> </w:t>
      </w:r>
      <w:r w:rsidR="00A21F80" w:rsidRPr="00B858C0">
        <w:rPr>
          <w:rFonts w:eastAsia="Times New Roman" w:cs="Times New Roman"/>
        </w:rPr>
        <w:t>of</w:t>
      </w:r>
      <w:r w:rsidR="00A21F80" w:rsidRPr="00B858C0">
        <w:rPr>
          <w:rFonts w:eastAsia="Times New Roman" w:cs="Times New Roman"/>
          <w:spacing w:val="44"/>
        </w:rPr>
        <w:t xml:space="preserve"> </w:t>
      </w:r>
      <w:r w:rsidR="00A21F80" w:rsidRPr="00B858C0">
        <w:rPr>
          <w:rFonts w:eastAsia="Times New Roman" w:cs="Times New Roman"/>
        </w:rPr>
        <w:t>the</w:t>
      </w:r>
      <w:r w:rsidR="00A21F80" w:rsidRPr="00B858C0">
        <w:rPr>
          <w:rFonts w:eastAsia="Times New Roman" w:cs="Times New Roman"/>
          <w:spacing w:val="22"/>
        </w:rPr>
        <w:t xml:space="preserve"> </w:t>
      </w:r>
      <w:proofErr w:type="spellStart"/>
      <w:r w:rsidR="00A21F80" w:rsidRPr="00B858C0">
        <w:rPr>
          <w:rFonts w:eastAsia="Times New Roman" w:cs="Times New Roman"/>
          <w:w w:val="110"/>
        </w:rPr>
        <w:t>NSWPF</w:t>
      </w:r>
      <w:proofErr w:type="spellEnd"/>
      <w:r w:rsidR="00A21F80" w:rsidRPr="00B858C0">
        <w:rPr>
          <w:rFonts w:eastAsia="Times New Roman" w:cs="Times New Roman"/>
          <w:spacing w:val="19"/>
          <w:w w:val="110"/>
        </w:rPr>
        <w:t xml:space="preserve"> </w:t>
      </w:r>
      <w:r w:rsidR="00A21F80" w:rsidRPr="00B858C0">
        <w:rPr>
          <w:rFonts w:eastAsia="Times New Roman" w:cs="Times New Roman"/>
        </w:rPr>
        <w:t>as</w:t>
      </w:r>
      <w:r w:rsidR="00A21F80" w:rsidRPr="00B858C0">
        <w:rPr>
          <w:rFonts w:eastAsia="Times New Roman" w:cs="Times New Roman"/>
          <w:spacing w:val="45"/>
        </w:rPr>
        <w:t xml:space="preserve"> </w:t>
      </w:r>
      <w:r w:rsidR="00A21F80" w:rsidRPr="00B858C0">
        <w:rPr>
          <w:rFonts w:eastAsia="Times New Roman" w:cs="Times New Roman"/>
        </w:rPr>
        <w:t xml:space="preserve">a </w:t>
      </w:r>
      <w:r w:rsidR="00A21F80" w:rsidRPr="00B858C0">
        <w:rPr>
          <w:rFonts w:eastAsia="Times New Roman" w:cs="Times New Roman"/>
          <w:w w:val="113"/>
        </w:rPr>
        <w:t>critical</w:t>
      </w:r>
      <w:r w:rsidR="00A21F80" w:rsidRPr="00B858C0">
        <w:rPr>
          <w:rFonts w:eastAsia="Times New Roman" w:cs="Times New Roman"/>
          <w:spacing w:val="27"/>
          <w:w w:val="113"/>
        </w:rPr>
        <w:t xml:space="preserve"> </w:t>
      </w:r>
      <w:r w:rsidR="00A21F80" w:rsidRPr="00B858C0">
        <w:rPr>
          <w:rFonts w:eastAsia="Times New Roman" w:cs="Times New Roman"/>
        </w:rPr>
        <w:t xml:space="preserve">service </w:t>
      </w:r>
      <w:r w:rsidR="00A21F80" w:rsidRPr="00B858C0">
        <w:rPr>
          <w:rFonts w:eastAsia="Times New Roman" w:cs="Times New Roman"/>
          <w:w w:val="114"/>
        </w:rPr>
        <w:t>organisation;</w:t>
      </w:r>
      <w:r w:rsidR="00A21F80" w:rsidRPr="00B858C0">
        <w:rPr>
          <w:rFonts w:eastAsia="Times New Roman" w:cs="Times New Roman"/>
          <w:spacing w:val="17"/>
          <w:w w:val="114"/>
        </w:rPr>
        <w:t xml:space="preserve"> </w:t>
      </w:r>
      <w:r w:rsidR="00A21F80" w:rsidRPr="00B858C0">
        <w:rPr>
          <w:rFonts w:eastAsia="Times New Roman" w:cs="Times New Roman"/>
        </w:rPr>
        <w:t>and</w:t>
      </w:r>
      <w:r w:rsidR="004B6F7E" w:rsidRPr="00B858C0">
        <w:rPr>
          <w:rFonts w:eastAsia="Times New Roman" w:cs="Times New Roman"/>
        </w:rPr>
        <w:t xml:space="preserve"> deliver skills for the new economy </w:t>
      </w:r>
      <w:r w:rsidR="00A21F80" w:rsidRPr="00B858C0">
        <w:rPr>
          <w:rFonts w:eastAsia="Times New Roman" w:cs="Times New Roman"/>
        </w:rPr>
        <w:t>by</w:t>
      </w:r>
      <w:r w:rsidR="00A21F80" w:rsidRPr="00B858C0">
        <w:rPr>
          <w:rFonts w:eastAsia="Times New Roman" w:cs="Times New Roman"/>
          <w:spacing w:val="37"/>
        </w:rPr>
        <w:t xml:space="preserve"> </w:t>
      </w:r>
      <w:r w:rsidR="00A21F80" w:rsidRPr="00B858C0">
        <w:rPr>
          <w:rFonts w:eastAsia="Times New Roman" w:cs="Times New Roman"/>
          <w:w w:val="110"/>
        </w:rPr>
        <w:t>identifying</w:t>
      </w:r>
      <w:r w:rsidR="00A21F80" w:rsidRPr="00B858C0">
        <w:rPr>
          <w:rFonts w:eastAsia="Times New Roman" w:cs="Times New Roman"/>
          <w:spacing w:val="26"/>
          <w:w w:val="110"/>
        </w:rPr>
        <w:t xml:space="preserve"> </w:t>
      </w:r>
      <w:r w:rsidR="00A21F80" w:rsidRPr="00B858C0">
        <w:rPr>
          <w:rFonts w:eastAsia="Times New Roman" w:cs="Times New Roman"/>
          <w:w w:val="110"/>
        </w:rPr>
        <w:t xml:space="preserve">innovative </w:t>
      </w:r>
      <w:r w:rsidR="00A21F80" w:rsidRPr="00B858C0">
        <w:rPr>
          <w:rFonts w:eastAsia="Times New Roman" w:cs="Times New Roman"/>
          <w:w w:val="112"/>
        </w:rPr>
        <w:t>research-derived</w:t>
      </w:r>
      <w:r w:rsidR="004B6F7E" w:rsidRPr="00B858C0">
        <w:rPr>
          <w:rFonts w:eastAsia="Times New Roman" w:cs="Times New Roman"/>
          <w:spacing w:val="23"/>
          <w:w w:val="112"/>
        </w:rPr>
        <w:t xml:space="preserve"> </w:t>
      </w:r>
      <w:r w:rsidR="00A21F80" w:rsidRPr="00B858C0">
        <w:rPr>
          <w:rFonts w:eastAsia="Times New Roman" w:cs="Times New Roman"/>
          <w:w w:val="112"/>
        </w:rPr>
        <w:t>methods</w:t>
      </w:r>
      <w:r w:rsidR="00A21F80" w:rsidRPr="00B858C0">
        <w:rPr>
          <w:rFonts w:eastAsia="Times New Roman" w:cs="Times New Roman"/>
          <w:spacing w:val="-9"/>
          <w:w w:val="112"/>
        </w:rPr>
        <w:t xml:space="preserve"> </w:t>
      </w:r>
      <w:r w:rsidR="00A21F80" w:rsidRPr="00B858C0">
        <w:rPr>
          <w:rFonts w:eastAsia="Times New Roman" w:cs="Times New Roman"/>
        </w:rPr>
        <w:t>and</w:t>
      </w:r>
      <w:r w:rsidR="00A21F80" w:rsidRPr="00B858C0">
        <w:rPr>
          <w:rFonts w:eastAsia="Times New Roman" w:cs="Times New Roman"/>
          <w:spacing w:val="8"/>
        </w:rPr>
        <w:t xml:space="preserve"> </w:t>
      </w:r>
      <w:r w:rsidR="00A21F80" w:rsidRPr="00B858C0">
        <w:rPr>
          <w:rFonts w:eastAsia="Times New Roman" w:cs="Times New Roman"/>
        </w:rPr>
        <w:t>systems</w:t>
      </w:r>
      <w:r w:rsidR="00A21F80" w:rsidRPr="00B858C0">
        <w:rPr>
          <w:rFonts w:eastAsia="Times New Roman" w:cs="Times New Roman"/>
          <w:spacing w:val="1"/>
        </w:rPr>
        <w:t xml:space="preserve"> </w:t>
      </w:r>
      <w:r w:rsidR="00A21F80" w:rsidRPr="00B858C0">
        <w:rPr>
          <w:rFonts w:eastAsia="Times New Roman" w:cs="Times New Roman"/>
        </w:rPr>
        <w:t>needed to</w:t>
      </w:r>
      <w:r w:rsidR="00A21F80" w:rsidRPr="00B858C0">
        <w:rPr>
          <w:rFonts w:eastAsia="Times New Roman" w:cs="Times New Roman"/>
          <w:spacing w:val="24"/>
        </w:rPr>
        <w:t xml:space="preserve"> </w:t>
      </w:r>
      <w:r w:rsidR="004B6F7E" w:rsidRPr="00B858C0">
        <w:rPr>
          <w:rFonts w:eastAsia="Times New Roman" w:cs="Times New Roman"/>
          <w:spacing w:val="24"/>
        </w:rPr>
        <w:t>d</w:t>
      </w:r>
      <w:r w:rsidR="00A21F80" w:rsidRPr="00B858C0">
        <w:rPr>
          <w:rFonts w:eastAsia="Times New Roman" w:cs="Times New Roman"/>
        </w:rPr>
        <w:t xml:space="preserve">evelop </w:t>
      </w:r>
      <w:r w:rsidR="004B6F7E" w:rsidRPr="00B858C0">
        <w:rPr>
          <w:rFonts w:eastAsia="Times New Roman" w:cs="Times New Roman"/>
          <w:w w:val="111"/>
        </w:rPr>
        <w:t>Australia’</w:t>
      </w:r>
      <w:r w:rsidR="00A21F80" w:rsidRPr="00B858C0">
        <w:rPr>
          <w:rFonts w:eastAsia="Times New Roman" w:cs="Times New Roman"/>
          <w:w w:val="111"/>
        </w:rPr>
        <w:t xml:space="preserve">s </w:t>
      </w:r>
      <w:proofErr w:type="spellStart"/>
      <w:r w:rsidR="004B6F7E" w:rsidRPr="00B858C0">
        <w:rPr>
          <w:rFonts w:eastAsia="Times New Roman" w:cs="Times New Roman"/>
          <w:w w:val="111"/>
        </w:rPr>
        <w:t>NSW</w:t>
      </w:r>
      <w:r w:rsidR="00A21F80" w:rsidRPr="00B858C0">
        <w:rPr>
          <w:rFonts w:eastAsia="Times New Roman" w:cs="Times New Roman"/>
          <w:w w:val="111"/>
        </w:rPr>
        <w:t>PF</w:t>
      </w:r>
      <w:proofErr w:type="spellEnd"/>
      <w:r w:rsidR="00A21F80" w:rsidRPr="00B858C0">
        <w:rPr>
          <w:rFonts w:eastAsia="Times New Roman" w:cs="Times New Roman"/>
          <w:spacing w:val="-20"/>
          <w:w w:val="111"/>
        </w:rPr>
        <w:t xml:space="preserve"> </w:t>
      </w:r>
      <w:r w:rsidR="00A21F80" w:rsidRPr="00B858C0">
        <w:rPr>
          <w:rFonts w:eastAsia="Times New Roman" w:cs="Times New Roman"/>
          <w:w w:val="114"/>
        </w:rPr>
        <w:t>human</w:t>
      </w:r>
      <w:r w:rsidR="00A21F80" w:rsidRPr="00B858C0">
        <w:rPr>
          <w:rFonts w:eastAsia="Times New Roman" w:cs="Times New Roman"/>
          <w:spacing w:val="4"/>
          <w:w w:val="114"/>
        </w:rPr>
        <w:t xml:space="preserve"> </w:t>
      </w:r>
      <w:r w:rsidR="00A21F80" w:rsidRPr="00B858C0">
        <w:rPr>
          <w:rFonts w:eastAsia="Times New Roman" w:cs="Times New Roman"/>
          <w:w w:val="114"/>
        </w:rPr>
        <w:t>capital</w:t>
      </w:r>
      <w:r w:rsidR="00A21F80" w:rsidRPr="004B6F7E">
        <w:rPr>
          <w:rFonts w:eastAsia="Times New Roman" w:cs="Times New Roman"/>
          <w:w w:val="114"/>
        </w:rPr>
        <w:t>.</w:t>
      </w:r>
    </w:p>
    <w:p w14:paraId="1097C694" w14:textId="77777777" w:rsidR="005A029A" w:rsidRDefault="005A029A" w:rsidP="005A029A">
      <w:pPr>
        <w:jc w:val="both"/>
        <w:rPr>
          <w:rFonts w:cs="Times New Roman"/>
        </w:rPr>
      </w:pPr>
    </w:p>
    <w:p w14:paraId="5C4108B3" w14:textId="5AE740E6" w:rsidR="005A029A" w:rsidRPr="00364C61" w:rsidRDefault="008C7862" w:rsidP="005A029A">
      <w:pPr>
        <w:jc w:val="both"/>
        <w:rPr>
          <w:rFonts w:eastAsia="Times New Roman" w:cs="Times New Roman"/>
          <w:lang w:eastAsia="en-AU"/>
        </w:rPr>
      </w:pPr>
      <w:r>
        <w:rPr>
          <w:rFonts w:cs="Times New Roman"/>
        </w:rPr>
        <w:t>Additional targeted investment in the Linkage scheme, which has a proven track record of supporting research collaborations between universities and industry,</w:t>
      </w:r>
      <w:r w:rsidR="001C309A">
        <w:rPr>
          <w:rFonts w:cs="Times New Roman"/>
        </w:rPr>
        <w:t xml:space="preserve"> </w:t>
      </w:r>
      <w:r>
        <w:rPr>
          <w:rFonts w:cs="Times New Roman"/>
        </w:rPr>
        <w:t>would serve to boost the commercial returns from research</w:t>
      </w:r>
      <w:r w:rsidR="00AD064F">
        <w:rPr>
          <w:rFonts w:cs="Times New Roman"/>
        </w:rPr>
        <w:t xml:space="preserve"> by supporting more </w:t>
      </w:r>
      <w:r>
        <w:rPr>
          <w:rFonts w:cs="Times New Roman"/>
        </w:rPr>
        <w:t>research</w:t>
      </w:r>
      <w:r w:rsidR="00AD064F">
        <w:rPr>
          <w:rFonts w:cs="Times New Roman"/>
        </w:rPr>
        <w:t xml:space="preserve"> projects</w:t>
      </w:r>
      <w:r>
        <w:rPr>
          <w:rFonts w:cs="Times New Roman"/>
        </w:rPr>
        <w:t xml:space="preserve"> g</w:t>
      </w:r>
      <w:r w:rsidR="001C309A">
        <w:rPr>
          <w:rFonts w:cs="Times New Roman"/>
        </w:rPr>
        <w:t xml:space="preserve">eared to </w:t>
      </w:r>
      <w:r w:rsidR="00D64811">
        <w:rPr>
          <w:rFonts w:cs="Times New Roman"/>
        </w:rPr>
        <w:t>deliver</w:t>
      </w:r>
      <w:r w:rsidR="001C309A">
        <w:rPr>
          <w:rFonts w:cs="Times New Roman"/>
        </w:rPr>
        <w:t xml:space="preserve"> commercial outcomes, lift </w:t>
      </w:r>
      <w:r w:rsidR="00C92960">
        <w:rPr>
          <w:rFonts w:cs="Times New Roman"/>
        </w:rPr>
        <w:t xml:space="preserve">workforce </w:t>
      </w:r>
      <w:r w:rsidR="001C309A">
        <w:rPr>
          <w:rFonts w:cs="Times New Roman"/>
        </w:rPr>
        <w:t>productivity</w:t>
      </w:r>
      <w:r w:rsidR="00C92960">
        <w:rPr>
          <w:rFonts w:cs="Times New Roman"/>
        </w:rPr>
        <w:t>,</w:t>
      </w:r>
      <w:r w:rsidR="001C309A">
        <w:rPr>
          <w:rFonts w:cs="Times New Roman"/>
        </w:rPr>
        <w:t xml:space="preserve"> and </w:t>
      </w:r>
      <w:r w:rsidR="00B85A41">
        <w:rPr>
          <w:rFonts w:cs="Times New Roman"/>
        </w:rPr>
        <w:t>produce</w:t>
      </w:r>
      <w:r w:rsidR="001C309A">
        <w:rPr>
          <w:rFonts w:cs="Times New Roman"/>
        </w:rPr>
        <w:t xml:space="preserve"> public benefit</w:t>
      </w:r>
      <w:r w:rsidR="001C309A" w:rsidRPr="00EC0FDF">
        <w:rPr>
          <w:rFonts w:cs="Times New Roman"/>
        </w:rPr>
        <w:t>.</w:t>
      </w:r>
      <w:r w:rsidR="001C309A">
        <w:rPr>
          <w:rFonts w:cs="Times New Roman"/>
        </w:rPr>
        <w:t xml:space="preserve"> </w:t>
      </w:r>
    </w:p>
    <w:p w14:paraId="6A0A3C56" w14:textId="095B9B86" w:rsidR="00441896" w:rsidRPr="00EC0FDF" w:rsidRDefault="00556B2C" w:rsidP="00441896">
      <w:pPr>
        <w:jc w:val="both"/>
        <w:rPr>
          <w:rFonts w:cs="Times New Roman"/>
        </w:rPr>
      </w:pPr>
      <w:r>
        <w:rPr>
          <w:rFonts w:cs="Times New Roman"/>
        </w:rPr>
        <w:t>Directing additional</w:t>
      </w:r>
      <w:r w:rsidR="00216A6F">
        <w:rPr>
          <w:rFonts w:cs="Times New Roman"/>
        </w:rPr>
        <w:t xml:space="preserve"> i</w:t>
      </w:r>
      <w:r w:rsidR="009954D3">
        <w:rPr>
          <w:rFonts w:cs="Times New Roman"/>
        </w:rPr>
        <w:t xml:space="preserve">nvestment </w:t>
      </w:r>
      <w:r>
        <w:rPr>
          <w:rFonts w:cs="Times New Roman"/>
        </w:rPr>
        <w:t>to</w:t>
      </w:r>
      <w:r w:rsidR="007B78F9">
        <w:rPr>
          <w:rFonts w:cs="Times New Roman"/>
        </w:rPr>
        <w:t xml:space="preserve"> th</w:t>
      </w:r>
      <w:r w:rsidR="00CC5BDF">
        <w:rPr>
          <w:rFonts w:cs="Times New Roman"/>
        </w:rPr>
        <w:t>e</w:t>
      </w:r>
      <w:r w:rsidR="009954D3">
        <w:rPr>
          <w:rFonts w:cs="Times New Roman"/>
        </w:rPr>
        <w:t xml:space="preserve"> existing</w:t>
      </w:r>
      <w:r w:rsidR="007B78F9">
        <w:rPr>
          <w:rFonts w:cs="Times New Roman"/>
        </w:rPr>
        <w:t xml:space="preserve"> and effective</w:t>
      </w:r>
      <w:r w:rsidR="00CC5BDF">
        <w:rPr>
          <w:rFonts w:cs="Times New Roman"/>
        </w:rPr>
        <w:t xml:space="preserve"> </w:t>
      </w:r>
      <w:r w:rsidR="00216A6F">
        <w:rPr>
          <w:rFonts w:cs="Times New Roman"/>
        </w:rPr>
        <w:t xml:space="preserve">framework of the </w:t>
      </w:r>
      <w:r w:rsidR="00CC5BDF">
        <w:rPr>
          <w:rFonts w:cs="Times New Roman"/>
        </w:rPr>
        <w:t xml:space="preserve">Linkage </w:t>
      </w:r>
      <w:r w:rsidR="009954D3">
        <w:rPr>
          <w:rFonts w:cs="Times New Roman"/>
        </w:rPr>
        <w:t>scheme w</w:t>
      </w:r>
      <w:r>
        <w:rPr>
          <w:rFonts w:cs="Times New Roman"/>
        </w:rPr>
        <w:t xml:space="preserve">ould </w:t>
      </w:r>
      <w:r w:rsidR="009954D3">
        <w:rPr>
          <w:rFonts w:cs="Times New Roman"/>
        </w:rPr>
        <w:t xml:space="preserve">also save government significant administrative costs that would otherwise be required to set up </w:t>
      </w:r>
      <w:r w:rsidR="007B78F9">
        <w:rPr>
          <w:rFonts w:cs="Times New Roman"/>
        </w:rPr>
        <w:t xml:space="preserve">a </w:t>
      </w:r>
      <w:r w:rsidR="009954D3">
        <w:rPr>
          <w:rFonts w:cs="Times New Roman"/>
        </w:rPr>
        <w:t>n</w:t>
      </w:r>
      <w:r w:rsidR="007B78F9">
        <w:rPr>
          <w:rFonts w:cs="Times New Roman"/>
        </w:rPr>
        <w:t>ew scheme</w:t>
      </w:r>
      <w:r w:rsidR="009954D3">
        <w:rPr>
          <w:rFonts w:cs="Times New Roman"/>
        </w:rPr>
        <w:t>, and avoid unnecessary</w:t>
      </w:r>
      <w:r w:rsidR="007B78F9">
        <w:rPr>
          <w:rFonts w:cs="Times New Roman"/>
        </w:rPr>
        <w:t xml:space="preserve"> bureaucracy.</w:t>
      </w:r>
    </w:p>
    <w:p w14:paraId="0FFC1889" w14:textId="019D1EFF" w:rsidR="00C634CB" w:rsidRDefault="007D06D3" w:rsidP="007D06D3">
      <w:pPr>
        <w:pStyle w:val="Heading2"/>
        <w:rPr>
          <w:rFonts w:eastAsia="Times New Roman"/>
          <w:lang w:eastAsia="en-AU"/>
        </w:rPr>
      </w:pPr>
      <w:bookmarkStart w:id="4" w:name="_Toc405536646"/>
      <w:r>
        <w:t>E</w:t>
      </w:r>
      <w:r w:rsidRPr="00CE7B5A">
        <w:t xml:space="preserve">nsure </w:t>
      </w:r>
      <w:r>
        <w:t>S</w:t>
      </w:r>
      <w:r w:rsidRPr="00CE7B5A">
        <w:t>ufficient</w:t>
      </w:r>
      <w:r>
        <w:t xml:space="preserve"> I</w:t>
      </w:r>
      <w:r w:rsidRPr="00CE7B5A">
        <w:t xml:space="preserve">ncentive </w:t>
      </w:r>
      <w:r>
        <w:t>for Industry to Engage in Research Collaborations</w:t>
      </w:r>
      <w:bookmarkEnd w:id="4"/>
    </w:p>
    <w:p w14:paraId="132A7B1E" w14:textId="70B767E4" w:rsidR="00422AC2" w:rsidRPr="00ED1051" w:rsidRDefault="00422AC2" w:rsidP="00090BBB">
      <w:pPr>
        <w:jc w:val="both"/>
        <w:rPr>
          <w:rFonts w:cs="Times New Roman"/>
        </w:rPr>
      </w:pPr>
      <w:r>
        <w:t xml:space="preserve">If </w:t>
      </w:r>
      <w:r w:rsidR="0082166D">
        <w:t>the G</w:t>
      </w:r>
      <w:r>
        <w:t>overnment is committed to its objectives to better translate research into commercial outcomes in order to</w:t>
      </w:r>
      <w:r w:rsidR="00090BBB">
        <w:t xml:space="preserve"> grow research capacity,</w:t>
      </w:r>
      <w:r>
        <w:t xml:space="preserve"> drive innovation in Australia, and boost national productivity, then </w:t>
      </w:r>
      <w:r w:rsidR="0008453B">
        <w:t xml:space="preserve">it needs to ensure that </w:t>
      </w:r>
      <w:r>
        <w:t>research</w:t>
      </w:r>
      <w:r w:rsidR="00090BBB">
        <w:t xml:space="preserve"> and research </w:t>
      </w:r>
      <w:r w:rsidR="00090BBB" w:rsidRPr="00ED1051">
        <w:rPr>
          <w:rFonts w:cs="Times New Roman"/>
        </w:rPr>
        <w:t>funding schemes</w:t>
      </w:r>
      <w:r w:rsidRPr="00ED1051">
        <w:rPr>
          <w:rFonts w:cs="Times New Roman"/>
        </w:rPr>
        <w:t xml:space="preserve"> </w:t>
      </w:r>
      <w:r w:rsidR="00466FF2" w:rsidRPr="00ED1051">
        <w:rPr>
          <w:rFonts w:cs="Times New Roman"/>
        </w:rPr>
        <w:t>are</w:t>
      </w:r>
      <w:r w:rsidRPr="00ED1051">
        <w:rPr>
          <w:rFonts w:cs="Times New Roman"/>
        </w:rPr>
        <w:t xml:space="preserve"> adequately funded and supported.</w:t>
      </w:r>
    </w:p>
    <w:p w14:paraId="75CC4ECC" w14:textId="35C3189D" w:rsidR="007D06D3" w:rsidRPr="00ED1051" w:rsidRDefault="006F5873" w:rsidP="006F5873">
      <w:pPr>
        <w:jc w:val="both"/>
        <w:rPr>
          <w:rFonts w:cs="Times New Roman"/>
        </w:rPr>
      </w:pPr>
      <w:r w:rsidRPr="00ED1051">
        <w:rPr>
          <w:rFonts w:cs="Times New Roman"/>
        </w:rPr>
        <w:t xml:space="preserve">It is </w:t>
      </w:r>
      <w:r w:rsidR="00FF0DEE" w:rsidRPr="00ED1051">
        <w:rPr>
          <w:rFonts w:cs="Times New Roman"/>
        </w:rPr>
        <w:t>important</w:t>
      </w:r>
      <w:r w:rsidRPr="00ED1051">
        <w:rPr>
          <w:rFonts w:cs="Times New Roman"/>
        </w:rPr>
        <w:t xml:space="preserve"> that</w:t>
      </w:r>
      <w:r w:rsidR="007D06D3" w:rsidRPr="00ED1051">
        <w:rPr>
          <w:rFonts w:cs="Times New Roman"/>
        </w:rPr>
        <w:t xml:space="preserve"> government funding</w:t>
      </w:r>
      <w:r w:rsidR="00C56860">
        <w:rPr>
          <w:rFonts w:cs="Times New Roman"/>
        </w:rPr>
        <w:t xml:space="preserve"> supports the delivery of quality research and</w:t>
      </w:r>
      <w:r w:rsidR="007D06D3" w:rsidRPr="00ED1051">
        <w:rPr>
          <w:rFonts w:cs="Times New Roman"/>
        </w:rPr>
        <w:t xml:space="preserve"> provides sufficient incentive for industry to seek engagement in collaborative research projects</w:t>
      </w:r>
      <w:r w:rsidRPr="00ED1051">
        <w:rPr>
          <w:rFonts w:cs="Times New Roman"/>
        </w:rPr>
        <w:t xml:space="preserve">. Government should ensure that </w:t>
      </w:r>
      <w:r w:rsidR="007D06D3" w:rsidRPr="00ED1051">
        <w:rPr>
          <w:rFonts w:cs="Times New Roman"/>
        </w:rPr>
        <w:t>research grants adequately fund</w:t>
      </w:r>
      <w:r w:rsidRPr="00ED1051">
        <w:rPr>
          <w:rFonts w:cs="Times New Roman"/>
        </w:rPr>
        <w:t xml:space="preserve"> </w:t>
      </w:r>
      <w:r w:rsidR="007D06D3" w:rsidRPr="00ED1051">
        <w:rPr>
          <w:rFonts w:cs="Times New Roman"/>
        </w:rPr>
        <w:t>projects to meet their</w:t>
      </w:r>
      <w:r w:rsidRPr="00ED1051">
        <w:rPr>
          <w:rFonts w:cs="Times New Roman"/>
        </w:rPr>
        <w:t xml:space="preserve"> full</w:t>
      </w:r>
      <w:r w:rsidR="007D06D3" w:rsidRPr="00ED1051">
        <w:rPr>
          <w:rFonts w:cs="Times New Roman"/>
        </w:rPr>
        <w:t xml:space="preserve"> objectives</w:t>
      </w:r>
      <w:r w:rsidRPr="00ED1051">
        <w:rPr>
          <w:rFonts w:cs="Times New Roman"/>
        </w:rPr>
        <w:t xml:space="preserve">, as insufficient funding can </w:t>
      </w:r>
      <w:r w:rsidR="00C11090" w:rsidRPr="00ED1051">
        <w:rPr>
          <w:rFonts w:cs="Times New Roman"/>
        </w:rPr>
        <w:t>impact on research and the effective translation of findings to produce commercial outcomes</w:t>
      </w:r>
      <w:r w:rsidR="007D06D3" w:rsidRPr="00ED1051">
        <w:rPr>
          <w:rFonts w:cs="Times New Roman"/>
        </w:rPr>
        <w:t>.</w:t>
      </w:r>
    </w:p>
    <w:p w14:paraId="62A4B509" w14:textId="2EB801D7" w:rsidR="00C11090" w:rsidRPr="00ED1051" w:rsidRDefault="00C11090" w:rsidP="00C11090">
      <w:pPr>
        <w:jc w:val="both"/>
        <w:rPr>
          <w:rFonts w:cs="Times New Roman"/>
        </w:rPr>
      </w:pPr>
      <w:r w:rsidRPr="00ED1051">
        <w:rPr>
          <w:rFonts w:cs="Times New Roman"/>
        </w:rPr>
        <w:t xml:space="preserve">There is also a significant opportunity for government to explore options </w:t>
      </w:r>
      <w:r w:rsidR="007D06D3" w:rsidRPr="00ED1051">
        <w:rPr>
          <w:rFonts w:cs="Times New Roman"/>
        </w:rPr>
        <w:t>to reduce the administrative burden</w:t>
      </w:r>
      <w:r w:rsidRPr="00ED1051">
        <w:rPr>
          <w:rFonts w:cs="Times New Roman"/>
        </w:rPr>
        <w:t xml:space="preserve"> on industry and universities with respect to</w:t>
      </w:r>
      <w:r w:rsidR="007D06D3" w:rsidRPr="00ED1051">
        <w:rPr>
          <w:rFonts w:cs="Times New Roman"/>
        </w:rPr>
        <w:t xml:space="preserve"> applying for government funding</w:t>
      </w:r>
      <w:r w:rsidRPr="00ED1051">
        <w:rPr>
          <w:rFonts w:cs="Times New Roman"/>
        </w:rPr>
        <w:t xml:space="preserve">. This could serve to </w:t>
      </w:r>
      <w:r w:rsidR="007D06D3" w:rsidRPr="00ED1051">
        <w:rPr>
          <w:rFonts w:cs="Times New Roman"/>
        </w:rPr>
        <w:t>c</w:t>
      </w:r>
      <w:r w:rsidRPr="00ED1051">
        <w:rPr>
          <w:rFonts w:cs="Times New Roman"/>
        </w:rPr>
        <w:t>ounter potential</w:t>
      </w:r>
      <w:r w:rsidR="007D06D3" w:rsidRPr="00ED1051">
        <w:rPr>
          <w:rFonts w:cs="Times New Roman"/>
        </w:rPr>
        <w:t xml:space="preserve"> disincentives to industry in </w:t>
      </w:r>
      <w:r w:rsidRPr="00ED1051">
        <w:rPr>
          <w:rFonts w:cs="Times New Roman"/>
        </w:rPr>
        <w:t xml:space="preserve">initiating or </w:t>
      </w:r>
      <w:r w:rsidR="007D06D3" w:rsidRPr="00ED1051">
        <w:rPr>
          <w:rFonts w:cs="Times New Roman"/>
        </w:rPr>
        <w:t>seeking engagement in collaborative research endeavours.</w:t>
      </w:r>
      <w:r w:rsidR="00336731" w:rsidRPr="00ED1051">
        <w:rPr>
          <w:rFonts w:cs="Times New Roman"/>
        </w:rPr>
        <w:t xml:space="preserve"> For example,</w:t>
      </w:r>
      <w:r w:rsidR="00D77B54" w:rsidRPr="00ED1051">
        <w:rPr>
          <w:rFonts w:cs="Times New Roman"/>
        </w:rPr>
        <w:t xml:space="preserve"> a study </w:t>
      </w:r>
      <w:r w:rsidR="00336731" w:rsidRPr="00ED1051">
        <w:rPr>
          <w:rFonts w:cs="Times New Roman"/>
        </w:rPr>
        <w:t xml:space="preserve">of 2012 National Health and Medical Research Council </w:t>
      </w:r>
      <w:r w:rsidR="00322305">
        <w:rPr>
          <w:rFonts w:cs="Times New Roman"/>
        </w:rPr>
        <w:t xml:space="preserve">(NHMRC) </w:t>
      </w:r>
      <w:r w:rsidR="00336731" w:rsidRPr="00ED1051">
        <w:rPr>
          <w:rFonts w:cs="Times New Roman"/>
        </w:rPr>
        <w:t xml:space="preserve">Project Grants </w:t>
      </w:r>
      <w:r w:rsidR="00D77B54" w:rsidRPr="00ED1051">
        <w:rPr>
          <w:rFonts w:cs="Times New Roman"/>
        </w:rPr>
        <w:t xml:space="preserve">applicants </w:t>
      </w:r>
      <w:r w:rsidR="00336731" w:rsidRPr="00ED1051">
        <w:rPr>
          <w:rFonts w:cs="Times New Roman"/>
        </w:rPr>
        <w:t>estimated that each application took approximately ‘38 person days of work’.</w:t>
      </w:r>
      <w:r w:rsidR="00B8495F" w:rsidRPr="00ED1051">
        <w:rPr>
          <w:rStyle w:val="FootnoteReference"/>
        </w:rPr>
        <w:footnoteReference w:id="8"/>
      </w:r>
      <w:r w:rsidR="00336731" w:rsidRPr="00ED1051">
        <w:rPr>
          <w:rFonts w:cs="Times New Roman"/>
        </w:rPr>
        <w:t xml:space="preserve"> It further found that</w:t>
      </w:r>
      <w:r w:rsidR="00F7270B" w:rsidRPr="00ED1051">
        <w:rPr>
          <w:rFonts w:cs="Times New Roman"/>
        </w:rPr>
        <w:t xml:space="preserve"> across all applicants</w:t>
      </w:r>
      <w:r w:rsidR="00336731" w:rsidRPr="00ED1051">
        <w:rPr>
          <w:rFonts w:cs="Times New Roman"/>
        </w:rPr>
        <w:t xml:space="preserve"> a</w:t>
      </w:r>
      <w:r w:rsidR="00336731" w:rsidRPr="00ED1051">
        <w:rPr>
          <w:rFonts w:cs="Times New Roman"/>
          <w:lang w:val="en"/>
        </w:rPr>
        <w:t xml:space="preserve">n “estimated 550 working years of researchers' time…was spent preparing…3727 proposals, which translates into annual salary costs of </w:t>
      </w:r>
      <w:proofErr w:type="spellStart"/>
      <w:r w:rsidR="00336731" w:rsidRPr="00ED1051">
        <w:rPr>
          <w:rFonts w:cs="Times New Roman"/>
          <w:lang w:val="en"/>
        </w:rPr>
        <w:t>AU$66</w:t>
      </w:r>
      <w:proofErr w:type="spellEnd"/>
      <w:r w:rsidR="00336731" w:rsidRPr="00ED1051">
        <w:rPr>
          <w:rFonts w:cs="Times New Roman"/>
          <w:lang w:val="en"/>
        </w:rPr>
        <w:t xml:space="preserve"> million</w:t>
      </w:r>
      <w:r w:rsidR="00D77B54" w:rsidRPr="00ED1051">
        <w:rPr>
          <w:rFonts w:cs="Times New Roman"/>
          <w:lang w:val="en"/>
        </w:rPr>
        <w:t>.</w:t>
      </w:r>
      <w:r w:rsidR="00F7270B" w:rsidRPr="00ED1051">
        <w:rPr>
          <w:rFonts w:cs="Times New Roman"/>
          <w:lang w:val="en"/>
        </w:rPr>
        <w:t>”</w:t>
      </w:r>
      <w:r w:rsidR="00B8495F" w:rsidRPr="00ED1051">
        <w:rPr>
          <w:rStyle w:val="FootnoteReference"/>
          <w:lang w:val="en"/>
        </w:rPr>
        <w:footnoteReference w:id="9"/>
      </w:r>
      <w:r w:rsidR="00D77B54" w:rsidRPr="00ED1051">
        <w:rPr>
          <w:rFonts w:cs="Times New Roman"/>
          <w:lang w:val="en"/>
        </w:rPr>
        <w:t xml:space="preserve"> Among the 285 participants studied who submitted 632 proposals, only 21 per cent were successful.</w:t>
      </w:r>
      <w:r w:rsidR="00204E1D" w:rsidRPr="00ED1051">
        <w:rPr>
          <w:rStyle w:val="FootnoteReference"/>
          <w:lang w:val="en"/>
        </w:rPr>
        <w:footnoteReference w:id="10"/>
      </w:r>
    </w:p>
    <w:p w14:paraId="4427FF31" w14:textId="63C1F501" w:rsidR="0052687D" w:rsidRPr="00ED1051" w:rsidRDefault="00422AC2" w:rsidP="00C11090">
      <w:pPr>
        <w:jc w:val="both"/>
        <w:rPr>
          <w:rFonts w:cs="Times New Roman"/>
        </w:rPr>
      </w:pPr>
      <w:r w:rsidRPr="00ED1051">
        <w:rPr>
          <w:rFonts w:cs="Times New Roman"/>
        </w:rPr>
        <w:t>As the</w:t>
      </w:r>
      <w:r w:rsidR="0088560F" w:rsidRPr="00ED1051">
        <w:rPr>
          <w:rFonts w:cs="Times New Roman"/>
        </w:rPr>
        <w:t xml:space="preserve"> </w:t>
      </w:r>
      <w:r w:rsidR="0052687D" w:rsidRPr="00ED1051">
        <w:rPr>
          <w:rFonts w:cs="Times New Roman"/>
        </w:rPr>
        <w:t>Australian Academy of Technological Sciences and Engineering (</w:t>
      </w:r>
      <w:proofErr w:type="spellStart"/>
      <w:r w:rsidR="0052687D" w:rsidRPr="00ED1051">
        <w:rPr>
          <w:rFonts w:cs="Times New Roman"/>
        </w:rPr>
        <w:t>ATSE</w:t>
      </w:r>
      <w:proofErr w:type="spellEnd"/>
      <w:r w:rsidR="0052687D" w:rsidRPr="00ED1051">
        <w:rPr>
          <w:rFonts w:cs="Times New Roman"/>
        </w:rPr>
        <w:t>)</w:t>
      </w:r>
      <w:r w:rsidR="00396EEB" w:rsidRPr="00ED1051">
        <w:rPr>
          <w:rFonts w:cs="Times New Roman"/>
        </w:rPr>
        <w:t xml:space="preserve"> has identified:</w:t>
      </w:r>
    </w:p>
    <w:p w14:paraId="4D385103" w14:textId="3CDD6542" w:rsidR="0052687D" w:rsidRPr="00ED1051" w:rsidRDefault="0052687D" w:rsidP="0052687D">
      <w:pPr>
        <w:ind w:left="720"/>
        <w:jc w:val="both"/>
        <w:rPr>
          <w:rFonts w:eastAsia="Times New Roman" w:cs="Times New Roman"/>
          <w:lang w:eastAsia="en-AU"/>
        </w:rPr>
      </w:pPr>
      <w:r w:rsidRPr="00ED1051">
        <w:rPr>
          <w:rFonts w:eastAsia="Times New Roman" w:cs="Times New Roman"/>
          <w:lang w:eastAsia="en-AU"/>
        </w:rPr>
        <w:t>“</w:t>
      </w:r>
      <w:r w:rsidR="00AA32C7" w:rsidRPr="00ED1051">
        <w:rPr>
          <w:rFonts w:eastAsia="Times New Roman" w:cs="Times New Roman"/>
          <w:lang w:eastAsia="en-AU"/>
        </w:rPr>
        <w:t xml:space="preserve">[Co-operative Research Centre] </w:t>
      </w:r>
      <w:proofErr w:type="spellStart"/>
      <w:r w:rsidRPr="00ED1051">
        <w:rPr>
          <w:rFonts w:eastAsia="Times New Roman" w:cs="Times New Roman"/>
          <w:lang w:eastAsia="en-AU"/>
        </w:rPr>
        <w:t>CRC</w:t>
      </w:r>
      <w:proofErr w:type="spellEnd"/>
      <w:r w:rsidRPr="00ED1051">
        <w:rPr>
          <w:rFonts w:eastAsia="Times New Roman" w:cs="Times New Roman"/>
          <w:lang w:eastAsia="en-AU"/>
        </w:rPr>
        <w:t>, ARC Linkage, Enterprise Connect and Commercialisation Australia are all initiative in the right direction but are under-resourced.</w:t>
      </w:r>
      <w:r w:rsidR="001411B2" w:rsidRPr="00ED1051">
        <w:rPr>
          <w:rFonts w:eastAsia="Times New Roman" w:cs="Times New Roman"/>
          <w:lang w:eastAsia="en-AU"/>
        </w:rPr>
        <w:t>.</w:t>
      </w:r>
      <w:r w:rsidRPr="00ED1051">
        <w:rPr>
          <w:rFonts w:eastAsia="Times New Roman" w:cs="Times New Roman"/>
          <w:lang w:eastAsia="en-AU"/>
        </w:rPr>
        <w:t>.</w:t>
      </w:r>
    </w:p>
    <w:p w14:paraId="0488CD0A" w14:textId="77777777" w:rsidR="0052687D" w:rsidRPr="00ED1051" w:rsidRDefault="0052687D" w:rsidP="0052687D">
      <w:pPr>
        <w:jc w:val="both"/>
        <w:rPr>
          <w:rFonts w:eastAsia="Times New Roman" w:cs="Times New Roman"/>
          <w:lang w:eastAsia="en-AU"/>
        </w:rPr>
      </w:pPr>
    </w:p>
    <w:p w14:paraId="0F2EB028" w14:textId="4E2E0C89" w:rsidR="0052687D" w:rsidRPr="00ED1051" w:rsidRDefault="0052687D" w:rsidP="0052687D">
      <w:pPr>
        <w:ind w:left="720"/>
        <w:jc w:val="both"/>
        <w:rPr>
          <w:rFonts w:eastAsia="Times New Roman" w:cs="Times New Roman"/>
          <w:lang w:eastAsia="en-AU"/>
        </w:rPr>
      </w:pPr>
      <w:r w:rsidRPr="00ED1051">
        <w:rPr>
          <w:rFonts w:eastAsia="Times New Roman" w:cs="Times New Roman"/>
          <w:lang w:eastAsia="en-AU"/>
        </w:rPr>
        <w:lastRenderedPageBreak/>
        <w:t xml:space="preserve">Transaction costs of collaboration are too high. Legal complexities between industry and </w:t>
      </w:r>
      <w:r w:rsidR="001411B2" w:rsidRPr="00ED1051">
        <w:rPr>
          <w:rFonts w:eastAsia="Times New Roman" w:cs="Times New Roman"/>
          <w:lang w:eastAsia="en-AU"/>
        </w:rPr>
        <w:t xml:space="preserve">[Public Sector Research </w:t>
      </w:r>
      <w:proofErr w:type="spellStart"/>
      <w:r w:rsidR="001411B2" w:rsidRPr="00ED1051">
        <w:rPr>
          <w:rFonts w:eastAsia="Times New Roman" w:cs="Times New Roman"/>
          <w:lang w:eastAsia="en-AU"/>
        </w:rPr>
        <w:t>Organisations</w:t>
      </w:r>
      <w:proofErr w:type="spellEnd"/>
      <w:r w:rsidR="001411B2" w:rsidRPr="00ED1051">
        <w:rPr>
          <w:rFonts w:eastAsia="Times New Roman" w:cs="Times New Roman"/>
          <w:lang w:eastAsia="en-AU"/>
        </w:rPr>
        <w:t xml:space="preserve">] </w:t>
      </w:r>
      <w:proofErr w:type="spellStart"/>
      <w:r w:rsidRPr="00ED1051">
        <w:rPr>
          <w:rFonts w:eastAsia="Times New Roman" w:cs="Times New Roman"/>
          <w:lang w:eastAsia="en-AU"/>
        </w:rPr>
        <w:t>PSROs</w:t>
      </w:r>
      <w:proofErr w:type="spellEnd"/>
      <w:r w:rsidRPr="00ED1051">
        <w:rPr>
          <w:rFonts w:eastAsia="Times New Roman" w:cs="Times New Roman"/>
          <w:lang w:eastAsia="en-AU"/>
        </w:rPr>
        <w:t xml:space="preserve"> need to be simplified. They are presently too dominated by risk avoidance.</w:t>
      </w:r>
    </w:p>
    <w:p w14:paraId="6E48B0F4" w14:textId="77777777" w:rsidR="0052687D" w:rsidRPr="00ED1051" w:rsidRDefault="0052687D" w:rsidP="0052687D">
      <w:pPr>
        <w:ind w:left="720"/>
        <w:jc w:val="both"/>
        <w:rPr>
          <w:rFonts w:eastAsia="Times New Roman" w:cs="Times New Roman"/>
          <w:lang w:eastAsia="en-AU"/>
        </w:rPr>
      </w:pPr>
      <w:r w:rsidRPr="00ED1051">
        <w:rPr>
          <w:rFonts w:eastAsia="Times New Roman" w:cs="Times New Roman"/>
          <w:lang w:eastAsia="en-AU"/>
        </w:rPr>
        <w:t xml:space="preserve">Research </w:t>
      </w:r>
      <w:proofErr w:type="spellStart"/>
      <w:r w:rsidRPr="00ED1051">
        <w:rPr>
          <w:rFonts w:eastAsia="Times New Roman" w:cs="Times New Roman"/>
          <w:lang w:eastAsia="en-AU"/>
        </w:rPr>
        <w:t>organisations</w:t>
      </w:r>
      <w:proofErr w:type="spellEnd"/>
      <w:r w:rsidRPr="00ED1051">
        <w:rPr>
          <w:rFonts w:eastAsia="Times New Roman" w:cs="Times New Roman"/>
          <w:lang w:eastAsia="en-AU"/>
        </w:rPr>
        <w:t xml:space="preserve"> will work on activities which get measured and rewarded. As universities are not really rewarded for collaboration, the funding formula has to change to specifically reward collaboration. ERA in its present form is unlikely to change the amount of collaboration or the innovation dividend. The introduction of some targeted schemes at around two to three percent of total R&amp;D funding (such as Third Stream funding and/or Knowledge Transfer Partnerships – as in the UK) would drive positive behaviour in universities and industry.”</w:t>
      </w:r>
      <w:r w:rsidRPr="00ED1051">
        <w:rPr>
          <w:rStyle w:val="FootnoteReference"/>
          <w:rFonts w:eastAsia="Times New Roman"/>
          <w:lang w:eastAsia="en-AU"/>
        </w:rPr>
        <w:footnoteReference w:id="11"/>
      </w:r>
    </w:p>
    <w:p w14:paraId="5C2E45FB" w14:textId="697097EA" w:rsidR="0080787E" w:rsidRPr="004F06EC" w:rsidRDefault="00C11090" w:rsidP="004F06EC">
      <w:pPr>
        <w:jc w:val="both"/>
        <w:rPr>
          <w:rFonts w:cs="Times New Roman"/>
        </w:rPr>
      </w:pPr>
      <w:r w:rsidRPr="00ED1051">
        <w:rPr>
          <w:rFonts w:cs="Times New Roman"/>
        </w:rPr>
        <w:t xml:space="preserve">Providing additional funding and reducing the administrative and regulatory burden of public research funding application processes would </w:t>
      </w:r>
      <w:r w:rsidR="00C634CB" w:rsidRPr="00ED1051">
        <w:rPr>
          <w:rFonts w:cs="Times New Roman"/>
        </w:rPr>
        <w:t xml:space="preserve">provide greater incentives </w:t>
      </w:r>
      <w:r w:rsidRPr="00ED1051">
        <w:rPr>
          <w:rFonts w:cs="Times New Roman"/>
        </w:rPr>
        <w:t xml:space="preserve">for </w:t>
      </w:r>
      <w:r w:rsidR="00C634CB" w:rsidRPr="00ED1051">
        <w:rPr>
          <w:rFonts w:cs="Times New Roman"/>
        </w:rPr>
        <w:t xml:space="preserve">industry to </w:t>
      </w:r>
      <w:r w:rsidRPr="00ED1051">
        <w:rPr>
          <w:rFonts w:cs="Times New Roman"/>
        </w:rPr>
        <w:t>compete f</w:t>
      </w:r>
      <w:r w:rsidR="00C634CB" w:rsidRPr="00ED1051">
        <w:rPr>
          <w:rFonts w:cs="Times New Roman"/>
        </w:rPr>
        <w:t>or these grants</w:t>
      </w:r>
      <w:r w:rsidRPr="00ED1051">
        <w:rPr>
          <w:rFonts w:cs="Times New Roman"/>
        </w:rPr>
        <w:t xml:space="preserve"> and engage in research projects geared to produce commercial returns. If the funding on offer is insufficient and administrative processes are considered too burdensome, </w:t>
      </w:r>
      <w:r w:rsidR="003925F0" w:rsidRPr="00ED1051">
        <w:rPr>
          <w:rFonts w:cs="Times New Roman"/>
        </w:rPr>
        <w:t xml:space="preserve">industry </w:t>
      </w:r>
      <w:r w:rsidR="00311744" w:rsidRPr="00ED1051">
        <w:rPr>
          <w:rFonts w:cs="Times New Roman"/>
        </w:rPr>
        <w:t>may</w:t>
      </w:r>
      <w:r w:rsidR="003925F0" w:rsidRPr="00ED1051">
        <w:rPr>
          <w:rFonts w:cs="Times New Roman"/>
        </w:rPr>
        <w:t xml:space="preserve"> be disinclined to engage in these processes. From a business perspective, </w:t>
      </w:r>
      <w:r w:rsidR="00E20E99" w:rsidRPr="00ED1051">
        <w:rPr>
          <w:rFonts w:cs="Times New Roman"/>
        </w:rPr>
        <w:t xml:space="preserve">it may be considered commercially unviable </w:t>
      </w:r>
      <w:r w:rsidR="00C634CB" w:rsidRPr="00ED1051">
        <w:rPr>
          <w:rFonts w:cs="Times New Roman"/>
        </w:rPr>
        <w:t xml:space="preserve">to spend </w:t>
      </w:r>
      <w:r w:rsidR="00E20E99" w:rsidRPr="00ED1051">
        <w:rPr>
          <w:rFonts w:cs="Times New Roman"/>
        </w:rPr>
        <w:t xml:space="preserve">significant time and money </w:t>
      </w:r>
      <w:r w:rsidR="00C634CB" w:rsidRPr="00ED1051">
        <w:rPr>
          <w:rFonts w:cs="Times New Roman"/>
        </w:rPr>
        <w:t>on</w:t>
      </w:r>
      <w:r w:rsidR="00E20E99" w:rsidRPr="00ED1051">
        <w:rPr>
          <w:rFonts w:cs="Times New Roman"/>
        </w:rPr>
        <w:t xml:space="preserve"> substantial</w:t>
      </w:r>
      <w:r w:rsidR="00C634CB" w:rsidRPr="00ED1051">
        <w:rPr>
          <w:rFonts w:cs="Times New Roman"/>
        </w:rPr>
        <w:t xml:space="preserve"> paperwork when</w:t>
      </w:r>
      <w:r w:rsidR="00E20E99" w:rsidRPr="00ED1051">
        <w:rPr>
          <w:rFonts w:cs="Times New Roman"/>
        </w:rPr>
        <w:t xml:space="preserve"> the </w:t>
      </w:r>
      <w:r w:rsidR="00F36E2C" w:rsidRPr="00ED1051">
        <w:rPr>
          <w:rFonts w:cs="Times New Roman"/>
        </w:rPr>
        <w:t>prospect of successfully accessing a small pool of funding is</w:t>
      </w:r>
      <w:r w:rsidR="00E20E99" w:rsidRPr="00ED1051">
        <w:rPr>
          <w:rFonts w:cs="Times New Roman"/>
        </w:rPr>
        <w:t xml:space="preserve"> limited</w:t>
      </w:r>
      <w:r w:rsidR="00F36E2C" w:rsidRPr="00ED1051">
        <w:rPr>
          <w:rFonts w:cs="Times New Roman"/>
        </w:rPr>
        <w:t>,</w:t>
      </w:r>
      <w:r w:rsidR="00E20E99" w:rsidRPr="00ED1051">
        <w:rPr>
          <w:rFonts w:cs="Times New Roman"/>
        </w:rPr>
        <w:t xml:space="preserve"> and</w:t>
      </w:r>
      <w:r w:rsidR="00F36E2C" w:rsidRPr="00ED1051">
        <w:rPr>
          <w:rFonts w:cs="Times New Roman"/>
        </w:rPr>
        <w:t xml:space="preserve"> especially if</w:t>
      </w:r>
      <w:r w:rsidR="00E20E99" w:rsidRPr="00ED1051">
        <w:rPr>
          <w:rFonts w:cs="Times New Roman"/>
        </w:rPr>
        <w:t xml:space="preserve"> it </w:t>
      </w:r>
      <w:r w:rsidR="00136FEF" w:rsidRPr="00ED1051">
        <w:rPr>
          <w:rFonts w:cs="Times New Roman"/>
        </w:rPr>
        <w:t>will</w:t>
      </w:r>
      <w:r w:rsidR="00C634CB" w:rsidRPr="00ED1051">
        <w:rPr>
          <w:rFonts w:cs="Times New Roman"/>
        </w:rPr>
        <w:t xml:space="preserve"> not fully meet their funding requirements.</w:t>
      </w:r>
      <w:r w:rsidR="0074613B" w:rsidRPr="00ED1051">
        <w:rPr>
          <w:rFonts w:ascii="Times New Roman" w:hAnsi="Times New Roman" w:cs="Times New Roman"/>
        </w:rPr>
        <w:t xml:space="preserve"> </w:t>
      </w:r>
    </w:p>
    <w:p w14:paraId="70E3B776" w14:textId="223F9C7C" w:rsidR="00441896" w:rsidRPr="00EC0FDF" w:rsidRDefault="00942CDD" w:rsidP="00942CDD">
      <w:pPr>
        <w:pStyle w:val="Heading2"/>
      </w:pPr>
      <w:bookmarkStart w:id="5" w:name="_Toc405536647"/>
      <w:r>
        <w:t>L</w:t>
      </w:r>
      <w:r w:rsidRPr="00CE7B5A">
        <w:t xml:space="preserve">ift the </w:t>
      </w:r>
      <w:r w:rsidR="00991836">
        <w:t>P</w:t>
      </w:r>
      <w:r w:rsidRPr="00CE7B5A">
        <w:t xml:space="preserve">rofile of </w:t>
      </w:r>
      <w:r w:rsidR="00991836">
        <w:t>U</w:t>
      </w:r>
      <w:r>
        <w:t xml:space="preserve">niversity </w:t>
      </w:r>
      <w:r w:rsidR="00991836">
        <w:t>R</w:t>
      </w:r>
      <w:r>
        <w:t xml:space="preserve">esearch </w:t>
      </w:r>
      <w:r w:rsidR="00991836">
        <w:t>C</w:t>
      </w:r>
      <w:r w:rsidRPr="00CE7B5A">
        <w:t>apacit</w:t>
      </w:r>
      <w:r>
        <w:t>y</w:t>
      </w:r>
      <w:r w:rsidR="00991836">
        <w:t xml:space="preserve"> with I</w:t>
      </w:r>
      <w:r w:rsidRPr="00CE7B5A">
        <w:t>ndustry</w:t>
      </w:r>
      <w:bookmarkEnd w:id="5"/>
    </w:p>
    <w:p w14:paraId="599AA7B9" w14:textId="1555BF06" w:rsidR="0035148C" w:rsidRDefault="00253D4A" w:rsidP="0035148C">
      <w:pPr>
        <w:jc w:val="both"/>
      </w:pPr>
      <w:r>
        <w:t>Australia’s u</w:t>
      </w:r>
      <w:r w:rsidRPr="0035148C">
        <w:t xml:space="preserve">niversities are intellectual engine houses and </w:t>
      </w:r>
      <w:r>
        <w:t>host</w:t>
      </w:r>
      <w:r w:rsidRPr="0035148C">
        <w:t xml:space="preserve"> some of the world’s </w:t>
      </w:r>
      <w:r>
        <w:t xml:space="preserve">leading </w:t>
      </w:r>
      <w:r w:rsidRPr="0035148C">
        <w:t>researchers</w:t>
      </w:r>
      <w:r>
        <w:t xml:space="preserve">. There </w:t>
      </w:r>
      <w:r w:rsidR="003121D9">
        <w:t>is an opportunity</w:t>
      </w:r>
      <w:r>
        <w:t xml:space="preserve"> to </w:t>
      </w:r>
      <w:r w:rsidR="0035148C" w:rsidRPr="0035148C">
        <w:t>lift the profile of research undertaken at universities and their particular research capacities with industry, to encourage</w:t>
      </w:r>
      <w:r>
        <w:t xml:space="preserve"> and raise awareness of the incentives for</w:t>
      </w:r>
      <w:r w:rsidR="0035148C" w:rsidRPr="0035148C">
        <w:t xml:space="preserve"> industry to come to universities to innovate or solve business and service delivery issues. </w:t>
      </w:r>
    </w:p>
    <w:p w14:paraId="4E2EB6C2" w14:textId="01971879" w:rsidR="009C1ABC" w:rsidRDefault="00B52E65" w:rsidP="004F06EC">
      <w:r>
        <w:t>Australian universities support a</w:t>
      </w:r>
      <w:r w:rsidR="00253D4A">
        <w:t>nd advance</w:t>
      </w:r>
      <w:r>
        <w:t xml:space="preserve"> a diverse </w:t>
      </w:r>
      <w:r w:rsidR="00253D4A">
        <w:t xml:space="preserve">research sector, </w:t>
      </w:r>
      <w:r>
        <w:t xml:space="preserve">with different universities housing different research specialisations; often linked to the particular unique profiles of the individual university. This </w:t>
      </w:r>
      <w:r w:rsidR="004F4F3D" w:rsidRPr="00A53FF8">
        <w:t>stimulates innovation across a broad range of fields and communities across the nation.</w:t>
      </w:r>
      <w:r w:rsidR="006E1D70">
        <w:t xml:space="preserve"> </w:t>
      </w:r>
      <w:r w:rsidR="002D49D9">
        <w:t>Evidently i</w:t>
      </w:r>
      <w:r w:rsidR="00253D4A">
        <w:t xml:space="preserve">ndustry, including </w:t>
      </w:r>
      <w:r w:rsidR="003121D9">
        <w:t xml:space="preserve">key </w:t>
      </w:r>
      <w:r w:rsidR="00253D4A">
        <w:t>areas of public sector</w:t>
      </w:r>
      <w:r w:rsidR="003121D9">
        <w:t xml:space="preserve"> operation</w:t>
      </w:r>
      <w:r w:rsidR="00253D4A">
        <w:t>,</w:t>
      </w:r>
      <w:r w:rsidR="003121D9">
        <w:t xml:space="preserve"> can significantly benefit from </w:t>
      </w:r>
      <w:r w:rsidR="006A499C">
        <w:t xml:space="preserve">this </w:t>
      </w:r>
      <w:r w:rsidR="003121D9">
        <w:t xml:space="preserve">research </w:t>
      </w:r>
      <w:r w:rsidR="00041424">
        <w:t xml:space="preserve">expertise </w:t>
      </w:r>
      <w:r w:rsidR="003121D9">
        <w:t>to boost productivity or generate innovative ideas to propel their particular objectives. Greater collaboration</w:t>
      </w:r>
      <w:r w:rsidR="002D49D9">
        <w:t>, cooperation</w:t>
      </w:r>
      <w:r w:rsidR="003121D9">
        <w:t xml:space="preserve"> and alignment of university research</w:t>
      </w:r>
      <w:r w:rsidR="002D49D9">
        <w:t xml:space="preserve"> with industry needs can </w:t>
      </w:r>
      <w:r w:rsidR="003121D9">
        <w:t xml:space="preserve">lead to </w:t>
      </w:r>
      <w:r w:rsidR="002D49D9">
        <w:t>improved</w:t>
      </w:r>
      <w:r w:rsidR="003121D9">
        <w:t xml:space="preserve"> commercial outcomes, and this can be supported by raising the profile of university research to bring it into the consciousness of key industry figures. </w:t>
      </w:r>
    </w:p>
    <w:p w14:paraId="3BAA6703" w14:textId="71261361" w:rsidR="004F4F3D" w:rsidRPr="009F74A5" w:rsidRDefault="00253D4A" w:rsidP="004F06EC">
      <w:pPr>
        <w:rPr>
          <w:rFonts w:eastAsia="Times New Roman"/>
          <w:highlight w:val="yellow"/>
          <w:lang w:eastAsia="en-AU"/>
        </w:rPr>
      </w:pPr>
      <w:r>
        <w:t>If industry is to be more engaged in translating research into commercial outcomes, it is importa</w:t>
      </w:r>
      <w:r w:rsidR="007F7517">
        <w:t>nt to ensure that they are made</w:t>
      </w:r>
      <w:r w:rsidR="00FD22A3">
        <w:t xml:space="preserve"> </w:t>
      </w:r>
      <w:r w:rsidR="00AD552A">
        <w:t>e</w:t>
      </w:r>
      <w:r w:rsidR="00FD22A3">
        <w:t>specially</w:t>
      </w:r>
      <w:r w:rsidR="007F7517">
        <w:t xml:space="preserve"> </w:t>
      </w:r>
      <w:r>
        <w:t>aware of the research capacities and specialisations of universities.</w:t>
      </w:r>
    </w:p>
    <w:p w14:paraId="35F36F38" w14:textId="0F23A7FC" w:rsidR="009C1ABC" w:rsidRDefault="008224E5" w:rsidP="009C1ABC">
      <w:pPr>
        <w:jc w:val="both"/>
        <w:rPr>
          <w:rFonts w:cs="Times New Roman"/>
        </w:rPr>
      </w:pPr>
      <w:r>
        <w:rPr>
          <w:rFonts w:cs="Times New Roman"/>
        </w:rPr>
        <w:t>In our case f</w:t>
      </w:r>
      <w:r w:rsidR="009C1ABC">
        <w:rPr>
          <w:rFonts w:cs="Times New Roman"/>
        </w:rPr>
        <w:t>or instance</w:t>
      </w:r>
      <w:r w:rsidR="009C1ABC" w:rsidRPr="00D870AB">
        <w:rPr>
          <w:rFonts w:cs="Times New Roman"/>
        </w:rPr>
        <w:t>,</w:t>
      </w:r>
      <w:r w:rsidR="009C1ABC">
        <w:rPr>
          <w:rFonts w:cs="Times New Roman"/>
        </w:rPr>
        <w:t xml:space="preserve"> </w:t>
      </w:r>
      <w:r w:rsidR="007713E8">
        <w:rPr>
          <w:rFonts w:cs="Times New Roman"/>
        </w:rPr>
        <w:t xml:space="preserve">two examples of </w:t>
      </w:r>
      <w:r w:rsidR="009C1ABC">
        <w:rPr>
          <w:rFonts w:cs="Times New Roman"/>
        </w:rPr>
        <w:t xml:space="preserve">current research at </w:t>
      </w:r>
      <w:proofErr w:type="spellStart"/>
      <w:r w:rsidR="009C1ABC">
        <w:rPr>
          <w:rFonts w:cs="Times New Roman"/>
        </w:rPr>
        <w:t>ACU</w:t>
      </w:r>
      <w:proofErr w:type="spellEnd"/>
      <w:r w:rsidR="009C1ABC">
        <w:rPr>
          <w:rFonts w:cs="Times New Roman"/>
        </w:rPr>
        <w:t xml:space="preserve"> which is serving to deliver commercial outcomes, cost savings to gove</w:t>
      </w:r>
      <w:r w:rsidR="006E1D70">
        <w:rPr>
          <w:rFonts w:cs="Times New Roman"/>
        </w:rPr>
        <w:t xml:space="preserve">rnment and improve efficiencies </w:t>
      </w:r>
      <w:r w:rsidR="009C1ABC">
        <w:rPr>
          <w:rFonts w:cs="Times New Roman"/>
        </w:rPr>
        <w:t>include the following:</w:t>
      </w:r>
    </w:p>
    <w:p w14:paraId="56FE8904" w14:textId="77777777" w:rsidR="009C1ABC" w:rsidRPr="009C1ABC" w:rsidRDefault="009C1ABC" w:rsidP="009C1ABC">
      <w:pPr>
        <w:jc w:val="both"/>
        <w:rPr>
          <w:rFonts w:cs="Times New Roman"/>
        </w:rPr>
      </w:pPr>
    </w:p>
    <w:p w14:paraId="5FC1285E" w14:textId="77777777" w:rsidR="004F06EC" w:rsidRPr="004F06EC" w:rsidRDefault="009C1ABC" w:rsidP="006870C0">
      <w:pPr>
        <w:pStyle w:val="ListParagraph"/>
        <w:numPr>
          <w:ilvl w:val="0"/>
          <w:numId w:val="42"/>
        </w:numPr>
        <w:jc w:val="both"/>
        <w:rPr>
          <w:rFonts w:ascii="Times New Roman" w:hAnsi="Times New Roman"/>
        </w:rPr>
      </w:pPr>
      <w:proofErr w:type="spellStart"/>
      <w:r w:rsidRPr="004F06EC">
        <w:rPr>
          <w:lang w:val="en"/>
        </w:rPr>
        <w:lastRenderedPageBreak/>
        <w:t>ACU’s</w:t>
      </w:r>
      <w:proofErr w:type="spellEnd"/>
      <w:r w:rsidRPr="004F06EC">
        <w:rPr>
          <w:lang w:val="en"/>
        </w:rPr>
        <w:t xml:space="preserve"> Mary </w:t>
      </w:r>
      <w:proofErr w:type="spellStart"/>
      <w:r w:rsidRPr="004F06EC">
        <w:rPr>
          <w:lang w:val="en"/>
        </w:rPr>
        <w:t>MacKillop</w:t>
      </w:r>
      <w:proofErr w:type="spellEnd"/>
      <w:r w:rsidRPr="004F06EC">
        <w:rPr>
          <w:lang w:val="en"/>
        </w:rPr>
        <w:t xml:space="preserve"> Institute for Health Research has undertaken groundbreaking research and produced world-first evidence to show how the lives of tens of thousands of men and women with atrial fibrillation can be improved, through an effective post-hospital discharge program of home visits and specialist care, rather than the standard management system. The outcomes of the research will not only lead to improved patient outcomes, but will also reduce the burden on Australia’s hospital system and save significant costs for government and the healthcare system. Atrial fibrillation, from which almost 3.5 per cent of the Australian population suffers, is closely linked to debilitating and deadly strokes and heart failure. The estimated cost of atrial fibrillation is greater than 1 per cent of health care expenditure, with the greatest costs being associated with </w:t>
      </w:r>
      <w:proofErr w:type="spellStart"/>
      <w:r w:rsidRPr="004F06EC">
        <w:rPr>
          <w:lang w:val="en"/>
        </w:rPr>
        <w:t>hospitalisation</w:t>
      </w:r>
      <w:proofErr w:type="spellEnd"/>
      <w:r w:rsidRPr="004F06EC">
        <w:rPr>
          <w:lang w:val="en"/>
        </w:rPr>
        <w:t xml:space="preserve">. The annual rate of </w:t>
      </w:r>
      <w:proofErr w:type="spellStart"/>
      <w:r w:rsidRPr="004F06EC">
        <w:rPr>
          <w:lang w:val="en"/>
        </w:rPr>
        <w:t>hospitalisation</w:t>
      </w:r>
      <w:proofErr w:type="spellEnd"/>
      <w:r w:rsidRPr="004F06EC">
        <w:rPr>
          <w:lang w:val="en"/>
        </w:rPr>
        <w:t xml:space="preserve"> for </w:t>
      </w:r>
      <w:r w:rsidR="006E1D70" w:rsidRPr="004F06EC">
        <w:rPr>
          <w:lang w:val="en"/>
        </w:rPr>
        <w:t xml:space="preserve">atrial fibrillation </w:t>
      </w:r>
      <w:r w:rsidRPr="004F06EC">
        <w:rPr>
          <w:lang w:val="en"/>
        </w:rPr>
        <w:t xml:space="preserve">patients has tripled in the past 20 years and is expected to double again in the next 20 years. The world-first research study, ‘SAFETY’, conducted by </w:t>
      </w:r>
      <w:proofErr w:type="spellStart"/>
      <w:r w:rsidRPr="004F06EC">
        <w:rPr>
          <w:lang w:val="en"/>
        </w:rPr>
        <w:t>ACU</w:t>
      </w:r>
      <w:proofErr w:type="spellEnd"/>
      <w:r w:rsidRPr="004F06EC">
        <w:rPr>
          <w:lang w:val="en"/>
        </w:rPr>
        <w:t xml:space="preserve"> researchers has demonstrated that for every 100 patients with atrial fibrillation, the new program will reduce health care costs amounting to more than $500,000, deliver seven fewer deaths, 1000 fewer days of costly hospital stay, and 1000 more days alive and out-of-hospital.</w:t>
      </w:r>
      <w:r w:rsidRPr="009C1ABC">
        <w:rPr>
          <w:rStyle w:val="FootnoteReference"/>
          <w:rFonts w:ascii="Times New Roman" w:hAnsi="Times New Roman"/>
          <w:lang w:val="en"/>
        </w:rPr>
        <w:footnoteReference w:id="12"/>
      </w:r>
    </w:p>
    <w:p w14:paraId="0AE2B2D6" w14:textId="103683D4" w:rsidR="009C1ABC" w:rsidRPr="004F06EC" w:rsidRDefault="009C1ABC" w:rsidP="004F06EC">
      <w:pPr>
        <w:pStyle w:val="ListParagraph"/>
        <w:numPr>
          <w:ilvl w:val="0"/>
          <w:numId w:val="42"/>
        </w:numPr>
      </w:pPr>
      <w:proofErr w:type="spellStart"/>
      <w:r w:rsidRPr="004F06EC">
        <w:t>ACU</w:t>
      </w:r>
      <w:proofErr w:type="spellEnd"/>
      <w:r w:rsidRPr="004F06EC">
        <w:t xml:space="preserve"> researchers</w:t>
      </w:r>
      <w:r w:rsidRPr="004F06EC">
        <w:rPr>
          <w:b/>
        </w:rPr>
        <w:t xml:space="preserve"> </w:t>
      </w:r>
      <w:r w:rsidRPr="004F06EC">
        <w:t>are working</w:t>
      </w:r>
      <w:r w:rsidRPr="004F06EC">
        <w:rPr>
          <w:b/>
        </w:rPr>
        <w:t xml:space="preserve"> </w:t>
      </w:r>
      <w:r w:rsidRPr="004F06EC">
        <w:t>on a study to develop a regional health care program that reduces the risk of developing diabetes or cardiovascular disease (such as a heart attack or stroke) through better management of the risk factors that cause these diseases.</w:t>
      </w:r>
      <w:r w:rsidRPr="00E45C33">
        <w:rPr>
          <w:rStyle w:val="FootnoteReference"/>
          <w:rFonts w:ascii="Times New Roman" w:hAnsi="Times New Roman"/>
          <w:b/>
        </w:rPr>
        <w:footnoteReference w:id="13"/>
      </w:r>
      <w:r w:rsidRPr="004F06EC">
        <w:t xml:space="preserve"> If this program has positive results and is cost effective, more nurse-led clinics may be set-up in regional Australia to reduce death and ill-health from these diseases. This could reduce burden on the healthcare system and save government costs through disease prevention. Significantly, people living in regional areas have higher levels of these risk factors than people living in metropolitan areas. This is partly due to lower access to health care. </w:t>
      </w:r>
      <w:proofErr w:type="spellStart"/>
      <w:r w:rsidRPr="004F06EC">
        <w:t>ACU’s</w:t>
      </w:r>
      <w:proofErr w:type="spellEnd"/>
      <w:r w:rsidRPr="004F06EC">
        <w:t xml:space="preserve"> ‘MODERN’ research project will examine whether a regional nurse-facilitated program is cost effective and whether, compared to usual care, it can be optimised to identify and reduce risks in high risk individuals; serving to prevent these diseases. Cardiovascular disease is one of the leading causes of death worldwide, and claims the lives of one Australian every twelve minutes. It is also one of Australia’s largest and most expensive health problems. Diabetes, which affects four per cent of Australians, can lead to cardiovascular disease, and is the fastest growing chronic condition in Australia (around 280 people are newly diagnosed every day).</w:t>
      </w:r>
      <w:r w:rsidRPr="00E45C33">
        <w:rPr>
          <w:rStyle w:val="FootnoteReference"/>
          <w:rFonts w:ascii="Times New Roman" w:hAnsi="Times New Roman"/>
        </w:rPr>
        <w:footnoteReference w:id="14"/>
      </w:r>
    </w:p>
    <w:p w14:paraId="0EE8DA27" w14:textId="77777777" w:rsidR="00104760" w:rsidRDefault="00104760" w:rsidP="006870C0">
      <w:pPr>
        <w:pStyle w:val="Heading1"/>
      </w:pPr>
    </w:p>
    <w:p w14:paraId="1605BC39" w14:textId="01DB5B92" w:rsidR="00104760" w:rsidRDefault="00104760" w:rsidP="00104760">
      <w:pPr>
        <w:pStyle w:val="Heading2"/>
      </w:pPr>
      <w:bookmarkStart w:id="6" w:name="_Toc405536648"/>
      <w:r>
        <w:t>Encourage Fractional Appointments o</w:t>
      </w:r>
      <w:r w:rsidR="00646479">
        <w:t>r</w:t>
      </w:r>
      <w:r>
        <w:t xml:space="preserve"> Staff </w:t>
      </w:r>
      <w:r w:rsidR="00646479">
        <w:t>Secondments</w:t>
      </w:r>
      <w:r>
        <w:t xml:space="preserve"> between Universities and Industry</w:t>
      </w:r>
      <w:bookmarkEnd w:id="6"/>
    </w:p>
    <w:p w14:paraId="4140417F" w14:textId="059AF0A9" w:rsidR="009C2590" w:rsidRDefault="00646479" w:rsidP="00104760">
      <w:pPr>
        <w:jc w:val="both"/>
      </w:pPr>
      <w:r>
        <w:t xml:space="preserve">There </w:t>
      </w:r>
      <w:r w:rsidR="00926A98">
        <w:t>are opportunities</w:t>
      </w:r>
      <w:r>
        <w:t xml:space="preserve"> to </w:t>
      </w:r>
      <w:r w:rsidR="003E3855">
        <w:t xml:space="preserve">more </w:t>
      </w:r>
      <w:r>
        <w:t>directly engage universities and industry</w:t>
      </w:r>
      <w:r w:rsidR="003E3855">
        <w:t xml:space="preserve"> with each other</w:t>
      </w:r>
      <w:r>
        <w:t xml:space="preserve"> </w:t>
      </w:r>
      <w:r w:rsidR="003E3855">
        <w:t xml:space="preserve">through </w:t>
      </w:r>
      <w:r w:rsidR="00F873D3">
        <w:t xml:space="preserve">cross-institutional fractional appointments or staff exchange agreements, </w:t>
      </w:r>
      <w:r w:rsidR="003E3855">
        <w:t>which could facilitate and ass</w:t>
      </w:r>
      <w:r w:rsidR="00FE4720">
        <w:t>is</w:t>
      </w:r>
      <w:r w:rsidR="003E3855">
        <w:t>t in</w:t>
      </w:r>
      <w:r w:rsidR="00077A06">
        <w:t xml:space="preserve"> building understanding</w:t>
      </w:r>
      <w:r w:rsidR="00286A95">
        <w:t xml:space="preserve"> of research/industry issues</w:t>
      </w:r>
      <w:r w:rsidR="00077A06">
        <w:t xml:space="preserve"> and</w:t>
      </w:r>
      <w:r w:rsidR="00C918FB">
        <w:t xml:space="preserve"> in</w:t>
      </w:r>
      <w:r w:rsidR="003E3855">
        <w:t xml:space="preserve"> </w:t>
      </w:r>
      <w:r w:rsidR="00926A98">
        <w:t xml:space="preserve">identifying </w:t>
      </w:r>
      <w:r w:rsidR="00F873D3">
        <w:t xml:space="preserve">additional opportunities for </w:t>
      </w:r>
      <w:r w:rsidR="003E3855">
        <w:t xml:space="preserve">research collaborations </w:t>
      </w:r>
      <w:r>
        <w:t>geared to produce commercial outcomes.</w:t>
      </w:r>
    </w:p>
    <w:p w14:paraId="1F3359A8" w14:textId="4EAC11AD" w:rsidR="00853A6A" w:rsidRPr="009C1ABC" w:rsidRDefault="00646479" w:rsidP="00104760">
      <w:pPr>
        <w:jc w:val="both"/>
      </w:pPr>
      <w:proofErr w:type="spellStart"/>
      <w:r>
        <w:t>ACU</w:t>
      </w:r>
      <w:proofErr w:type="spellEnd"/>
      <w:r>
        <w:t xml:space="preserve"> has been actively working to build its research networks and to develop its core areas of research strength through fractional appointments, </w:t>
      </w:r>
      <w:r w:rsidR="009C2590">
        <w:t>both domestic and international. T</w:t>
      </w:r>
      <w:r>
        <w:t xml:space="preserve">his </w:t>
      </w:r>
      <w:r w:rsidR="00664A35">
        <w:t>includes</w:t>
      </w:r>
      <w:r>
        <w:t xml:space="preserve"> </w:t>
      </w:r>
      <w:r w:rsidR="009C2590">
        <w:t xml:space="preserve">some </w:t>
      </w:r>
      <w:r>
        <w:t xml:space="preserve">arrangements where </w:t>
      </w:r>
      <w:proofErr w:type="gramStart"/>
      <w:r>
        <w:t>staff</w:t>
      </w:r>
      <w:r w:rsidR="00664A35">
        <w:t xml:space="preserve"> </w:t>
      </w:r>
      <w:r>
        <w:t>work</w:t>
      </w:r>
      <w:proofErr w:type="gramEnd"/>
      <w:r>
        <w:t xml:space="preserve"> part-time at </w:t>
      </w:r>
      <w:proofErr w:type="spellStart"/>
      <w:r>
        <w:t>ACU</w:t>
      </w:r>
      <w:proofErr w:type="spellEnd"/>
      <w:r>
        <w:t xml:space="preserve"> and part-time at an industry partner. This initiative is building </w:t>
      </w:r>
      <w:proofErr w:type="spellStart"/>
      <w:r>
        <w:t>ACU’s</w:t>
      </w:r>
      <w:proofErr w:type="spellEnd"/>
      <w:r>
        <w:t xml:space="preserve"> professional networks and relationships and will s</w:t>
      </w:r>
      <w:r w:rsidR="0082389B">
        <w:t xml:space="preserve">erve to assist </w:t>
      </w:r>
      <w:proofErr w:type="spellStart"/>
      <w:r w:rsidR="0082389B">
        <w:t>ACU</w:t>
      </w:r>
      <w:proofErr w:type="spellEnd"/>
      <w:r w:rsidR="0082389B">
        <w:t xml:space="preserve"> to engage in more </w:t>
      </w:r>
      <w:r>
        <w:t xml:space="preserve">research initiatives that </w:t>
      </w:r>
      <w:r w:rsidR="009C2590">
        <w:t>generate</w:t>
      </w:r>
      <w:r>
        <w:t xml:space="preserve"> commercial outcomes.</w:t>
      </w:r>
    </w:p>
    <w:p w14:paraId="4C5113E3" w14:textId="32EBBE2B" w:rsidR="000405F3" w:rsidRPr="00F55F0A" w:rsidRDefault="00AA4D88" w:rsidP="00E47072">
      <w:pPr>
        <w:pStyle w:val="Heading1"/>
        <w:rPr>
          <w:highlight w:val="yellow"/>
        </w:rPr>
      </w:pPr>
      <w:bookmarkStart w:id="7" w:name="_Toc405536649"/>
      <w:r w:rsidRPr="00F55F0A">
        <w:t xml:space="preserve">II. </w:t>
      </w:r>
      <w:r w:rsidR="00BE710C" w:rsidRPr="00F55F0A">
        <w:t>Research Excellence and Targeted Research Efforts</w:t>
      </w:r>
      <w:bookmarkEnd w:id="7"/>
    </w:p>
    <w:p w14:paraId="2CE0EC76" w14:textId="239578D1" w:rsidR="0077520E" w:rsidRPr="00A85936" w:rsidRDefault="0077520E" w:rsidP="0077520E">
      <w:pPr>
        <w:jc w:val="both"/>
        <w:rPr>
          <w:rFonts w:cs="Times New Roman"/>
        </w:rPr>
      </w:pPr>
      <w:r>
        <w:rPr>
          <w:rFonts w:cs="Times New Roman"/>
        </w:rPr>
        <w:t xml:space="preserve">It is </w:t>
      </w:r>
      <w:proofErr w:type="spellStart"/>
      <w:r>
        <w:rPr>
          <w:rFonts w:cs="Times New Roman"/>
        </w:rPr>
        <w:t>recognised</w:t>
      </w:r>
      <w:proofErr w:type="spellEnd"/>
      <w:r>
        <w:rPr>
          <w:rFonts w:cs="Times New Roman"/>
        </w:rPr>
        <w:t xml:space="preserve"> that the international research and innovation systems</w:t>
      </w:r>
      <w:r w:rsidRPr="00A85936">
        <w:rPr>
          <w:rFonts w:cs="Times New Roman"/>
        </w:rPr>
        <w:t xml:space="preserve"> that successfully translate their r</w:t>
      </w:r>
      <w:r>
        <w:rPr>
          <w:rFonts w:cs="Times New Roman"/>
        </w:rPr>
        <w:t>esearch into commercial outcomes support and promote targeted research efforts, research excellence, and entrepreneurship.</w:t>
      </w:r>
      <w:r w:rsidRPr="00A85936">
        <w:rPr>
          <w:rStyle w:val="FootnoteReference"/>
        </w:rPr>
        <w:footnoteReference w:id="15"/>
      </w:r>
      <w:r>
        <w:rPr>
          <w:rFonts w:cs="Times New Roman"/>
        </w:rPr>
        <w:t xml:space="preserve"> </w:t>
      </w:r>
      <w:proofErr w:type="spellStart"/>
      <w:r>
        <w:rPr>
          <w:rFonts w:cs="Times New Roman"/>
        </w:rPr>
        <w:t>ACU</w:t>
      </w:r>
      <w:proofErr w:type="spellEnd"/>
      <w:r>
        <w:rPr>
          <w:rFonts w:cs="Times New Roman"/>
        </w:rPr>
        <w:t xml:space="preserve"> believes that these objectives can be advanced in Australia’s research and innovation system by:</w:t>
      </w:r>
    </w:p>
    <w:p w14:paraId="5A550720" w14:textId="3EC662AD" w:rsidR="002A5B3B" w:rsidRPr="002A5B3B" w:rsidRDefault="002A5B3B" w:rsidP="002A5B3B">
      <w:pPr>
        <w:pStyle w:val="ListParagraph"/>
        <w:numPr>
          <w:ilvl w:val="0"/>
          <w:numId w:val="44"/>
        </w:numPr>
        <w:rPr>
          <w:rFonts w:ascii="Times New Roman" w:hAnsi="Times New Roman"/>
        </w:rPr>
      </w:pPr>
      <w:r w:rsidRPr="002A5B3B">
        <w:rPr>
          <w:rFonts w:ascii="Times New Roman" w:hAnsi="Times New Roman"/>
        </w:rPr>
        <w:t>Support</w:t>
      </w:r>
      <w:r w:rsidR="0077520E">
        <w:rPr>
          <w:rFonts w:ascii="Times New Roman" w:hAnsi="Times New Roman"/>
        </w:rPr>
        <w:t>ing</w:t>
      </w:r>
      <w:r w:rsidRPr="002A5B3B">
        <w:rPr>
          <w:rFonts w:ascii="Times New Roman" w:hAnsi="Times New Roman"/>
        </w:rPr>
        <w:t xml:space="preserve"> universities to develop research specialisations and niche areas of research for national innovation and advancement</w:t>
      </w:r>
    </w:p>
    <w:p w14:paraId="393F7668" w14:textId="2A72B74E" w:rsidR="004318BB" w:rsidRPr="002A5B3B" w:rsidRDefault="0077520E" w:rsidP="002A5B3B">
      <w:pPr>
        <w:pStyle w:val="ListParagraph"/>
        <w:numPr>
          <w:ilvl w:val="0"/>
          <w:numId w:val="44"/>
        </w:numPr>
        <w:jc w:val="both"/>
        <w:rPr>
          <w:rFonts w:ascii="Times New Roman" w:hAnsi="Times New Roman"/>
          <w:noProof/>
        </w:rPr>
      </w:pPr>
      <w:r>
        <w:rPr>
          <w:rFonts w:ascii="Times New Roman" w:hAnsi="Times New Roman"/>
          <w:noProof/>
        </w:rPr>
        <w:t>Promoting</w:t>
      </w:r>
      <w:r w:rsidR="002A5B3B" w:rsidRPr="002A5B3B">
        <w:rPr>
          <w:rFonts w:ascii="Times New Roman" w:hAnsi="Times New Roman"/>
          <w:noProof/>
        </w:rPr>
        <w:t xml:space="preserve"> strategic research intensification</w:t>
      </w:r>
    </w:p>
    <w:p w14:paraId="092E8101" w14:textId="0DEEF764" w:rsidR="002A5B3B" w:rsidRPr="002A5B3B" w:rsidRDefault="002A5B3B" w:rsidP="002A5B3B">
      <w:pPr>
        <w:pStyle w:val="ListParagraph"/>
        <w:numPr>
          <w:ilvl w:val="0"/>
          <w:numId w:val="44"/>
        </w:numPr>
        <w:jc w:val="both"/>
        <w:rPr>
          <w:rFonts w:ascii="Times New Roman" w:hAnsi="Times New Roman"/>
          <w:noProof/>
        </w:rPr>
      </w:pPr>
      <w:r w:rsidRPr="002A5B3B">
        <w:rPr>
          <w:rFonts w:ascii="Times New Roman" w:hAnsi="Times New Roman"/>
          <w:noProof/>
        </w:rPr>
        <w:t>Build</w:t>
      </w:r>
      <w:r w:rsidR="0077520E">
        <w:rPr>
          <w:rFonts w:ascii="Times New Roman" w:hAnsi="Times New Roman"/>
          <w:noProof/>
        </w:rPr>
        <w:t>ing</w:t>
      </w:r>
      <w:r w:rsidRPr="002A5B3B">
        <w:rPr>
          <w:rFonts w:ascii="Times New Roman" w:hAnsi="Times New Roman"/>
          <w:noProof/>
        </w:rPr>
        <w:t xml:space="preserve"> international research</w:t>
      </w:r>
      <w:r>
        <w:rPr>
          <w:rFonts w:ascii="Times New Roman" w:hAnsi="Times New Roman"/>
          <w:noProof/>
        </w:rPr>
        <w:t xml:space="preserve"> engagement</w:t>
      </w:r>
      <w:r w:rsidRPr="002A5B3B">
        <w:rPr>
          <w:rFonts w:ascii="Times New Roman" w:hAnsi="Times New Roman"/>
          <w:noProof/>
        </w:rPr>
        <w:t xml:space="preserve"> and collaboration</w:t>
      </w:r>
    </w:p>
    <w:p w14:paraId="76BE9A33" w14:textId="77777777" w:rsidR="002A5B3B" w:rsidRDefault="002A5B3B" w:rsidP="002A5B3B">
      <w:pPr>
        <w:jc w:val="both"/>
        <w:rPr>
          <w:noProof/>
        </w:rPr>
      </w:pPr>
    </w:p>
    <w:p w14:paraId="35AB7EEA" w14:textId="2D44EB4C" w:rsidR="009D54B7" w:rsidRPr="00A53FF8" w:rsidRDefault="00F3013E" w:rsidP="00E47072">
      <w:pPr>
        <w:pStyle w:val="Heading2"/>
      </w:pPr>
      <w:bookmarkStart w:id="8" w:name="_Toc394910741"/>
      <w:bookmarkStart w:id="9" w:name="_Toc405536650"/>
      <w:r>
        <w:t>S</w:t>
      </w:r>
      <w:r w:rsidR="009D54B7" w:rsidRPr="00A53FF8">
        <w:t>upport</w:t>
      </w:r>
      <w:r w:rsidR="0077520E">
        <w:t>ing</w:t>
      </w:r>
      <w:r w:rsidR="006F3B84">
        <w:t xml:space="preserve"> U</w:t>
      </w:r>
      <w:r w:rsidR="009D54B7" w:rsidRPr="00A53FF8">
        <w:t xml:space="preserve">niversities to </w:t>
      </w:r>
      <w:r w:rsidR="006F3B84">
        <w:t>D</w:t>
      </w:r>
      <w:r w:rsidR="009D54B7" w:rsidRPr="00A53FF8">
        <w:t xml:space="preserve">evelop </w:t>
      </w:r>
      <w:r w:rsidR="006F3B84">
        <w:t>R</w:t>
      </w:r>
      <w:r w:rsidR="009D54B7" w:rsidRPr="00A53FF8">
        <w:t xml:space="preserve">esearch </w:t>
      </w:r>
      <w:r w:rsidR="006F3B84">
        <w:t>Specialisations and Niche A</w:t>
      </w:r>
      <w:r w:rsidR="009D54B7" w:rsidRPr="00A53FF8">
        <w:t xml:space="preserve">reas of </w:t>
      </w:r>
      <w:r w:rsidR="006F3B84">
        <w:t>Research for N</w:t>
      </w:r>
      <w:r w:rsidR="009D54B7" w:rsidRPr="00A53FF8">
        <w:t xml:space="preserve">ational </w:t>
      </w:r>
      <w:r w:rsidR="006F3B84">
        <w:t>I</w:t>
      </w:r>
      <w:r w:rsidR="009D54B7" w:rsidRPr="00A53FF8">
        <w:t xml:space="preserve">nnovation and </w:t>
      </w:r>
      <w:r w:rsidR="006F3B84">
        <w:t>A</w:t>
      </w:r>
      <w:r w:rsidR="009D54B7" w:rsidRPr="00A53FF8">
        <w:t>dvancement</w:t>
      </w:r>
      <w:bookmarkEnd w:id="8"/>
      <w:bookmarkEnd w:id="9"/>
    </w:p>
    <w:p w14:paraId="59C3C917" w14:textId="77777777" w:rsidR="009D54B7" w:rsidRPr="00A53FF8" w:rsidRDefault="009D54B7" w:rsidP="009D54B7">
      <w:pPr>
        <w:jc w:val="both"/>
        <w:rPr>
          <w:rFonts w:cs="Times New Roman"/>
        </w:rPr>
      </w:pPr>
      <w:proofErr w:type="spellStart"/>
      <w:r w:rsidRPr="00A53FF8">
        <w:rPr>
          <w:rFonts w:cs="Times New Roman"/>
        </w:rPr>
        <w:t>ACU</w:t>
      </w:r>
      <w:proofErr w:type="spellEnd"/>
      <w:r w:rsidRPr="00A53FF8">
        <w:rPr>
          <w:rFonts w:cs="Times New Roman"/>
        </w:rPr>
        <w:t xml:space="preserve"> supports a diversified research landscape in Australia where universities are funded to undertake quality research and play to their research strengths. </w:t>
      </w:r>
    </w:p>
    <w:p w14:paraId="592EF3C8" w14:textId="77777777" w:rsidR="009D54B7" w:rsidRPr="00A53FF8" w:rsidRDefault="009D54B7" w:rsidP="009D54B7">
      <w:pPr>
        <w:jc w:val="both"/>
        <w:rPr>
          <w:rFonts w:cs="Times New Roman"/>
        </w:rPr>
      </w:pPr>
      <w:r w:rsidRPr="00A53FF8">
        <w:rPr>
          <w:rFonts w:cs="Times New Roman"/>
        </w:rPr>
        <w:t xml:space="preserve">Universities should be supported to conduct quality research in their identified areas of speciality and to develop niche areas of expertise in line with their particular strengths and strategic objectives. </w:t>
      </w:r>
    </w:p>
    <w:p w14:paraId="53CFCFC5" w14:textId="31C1E0F0" w:rsidR="009D54B7" w:rsidRPr="00A53FF8" w:rsidRDefault="009D54B7" w:rsidP="009D54B7">
      <w:pPr>
        <w:jc w:val="both"/>
        <w:rPr>
          <w:rFonts w:cs="Times New Roman"/>
          <w:color w:val="FF0000"/>
        </w:rPr>
      </w:pPr>
      <w:r w:rsidRPr="00A53FF8">
        <w:rPr>
          <w:rFonts w:cs="Times New Roman"/>
        </w:rPr>
        <w:t>Universities that are growing</w:t>
      </w:r>
      <w:r w:rsidR="00E7344A">
        <w:rPr>
          <w:rFonts w:cs="Times New Roman"/>
        </w:rPr>
        <w:t xml:space="preserve"> their research capacity</w:t>
      </w:r>
      <w:r w:rsidRPr="00A53FF8">
        <w:rPr>
          <w:rFonts w:cs="Times New Roman"/>
        </w:rPr>
        <w:t xml:space="preserve"> need to be supported and allowed sufficient time to develop their research strengths, where they have a real capacity to do so.</w:t>
      </w:r>
    </w:p>
    <w:p w14:paraId="6FC823BE" w14:textId="083008AC" w:rsidR="009D54B7" w:rsidRPr="00A53FF8" w:rsidRDefault="009D54B7" w:rsidP="009D54B7">
      <w:pPr>
        <w:jc w:val="both"/>
        <w:rPr>
          <w:rFonts w:cs="Times New Roman"/>
        </w:rPr>
      </w:pPr>
      <w:proofErr w:type="spellStart"/>
      <w:r w:rsidRPr="00A53FF8">
        <w:rPr>
          <w:rFonts w:cs="Times New Roman"/>
        </w:rPr>
        <w:t>ACU</w:t>
      </w:r>
      <w:proofErr w:type="spellEnd"/>
      <w:r w:rsidRPr="00A53FF8">
        <w:rPr>
          <w:rFonts w:cs="Times New Roman"/>
        </w:rPr>
        <w:t xml:space="preserve"> </w:t>
      </w:r>
      <w:proofErr w:type="spellStart"/>
      <w:r w:rsidRPr="00A53FF8">
        <w:rPr>
          <w:rFonts w:cs="Times New Roman"/>
        </w:rPr>
        <w:t>recognises</w:t>
      </w:r>
      <w:proofErr w:type="spellEnd"/>
      <w:r w:rsidRPr="00A53FF8">
        <w:rPr>
          <w:rFonts w:cs="Times New Roman"/>
        </w:rPr>
        <w:t xml:space="preserve"> that all universities cannot produce quality research in all areas.</w:t>
      </w:r>
      <w:r w:rsidR="00084AF8">
        <w:rPr>
          <w:rFonts w:cs="Times New Roman"/>
        </w:rPr>
        <w:t xml:space="preserve"> </w:t>
      </w:r>
      <w:r w:rsidRPr="00F3013E">
        <w:rPr>
          <w:rFonts w:cs="Times New Roman"/>
        </w:rPr>
        <w:t>The benefit, however, of supporting competition and diversity within Australia’s</w:t>
      </w:r>
      <w:r w:rsidRPr="00A53FF8">
        <w:rPr>
          <w:rFonts w:cs="Times New Roman"/>
        </w:rPr>
        <w:t xml:space="preserve"> innovation system is that institutions are compelled to play to their respective strengths, which creates a dynamic research sector with a greater capacity to boost innovation. </w:t>
      </w:r>
    </w:p>
    <w:p w14:paraId="6C1020F0" w14:textId="77777777" w:rsidR="009D54B7" w:rsidRPr="00A53FF8" w:rsidRDefault="009D54B7" w:rsidP="009D54B7">
      <w:pPr>
        <w:jc w:val="both"/>
        <w:rPr>
          <w:rFonts w:cs="Times New Roman"/>
        </w:rPr>
      </w:pPr>
    </w:p>
    <w:p w14:paraId="41CC8D33" w14:textId="32649536" w:rsidR="009D54B7" w:rsidRPr="00A53FF8" w:rsidRDefault="009D54B7" w:rsidP="009D54B7">
      <w:pPr>
        <w:jc w:val="both"/>
        <w:rPr>
          <w:rFonts w:cs="Times New Roman"/>
        </w:rPr>
      </w:pPr>
      <w:r w:rsidRPr="00A53FF8">
        <w:rPr>
          <w:rFonts w:cs="Times New Roman"/>
        </w:rPr>
        <w:t>Some of the most valuable research findings and endeavours have come from universities that have had the opportunity and support to develop their particular research specialities, or to pursue niche areas of research. Much of this research often takes place in Australia’s smaller, younger and/or regional universities. It is important to recognise that institutional research priorities and strengths are often influenced by the unique circumstances of individual universities. For instance, an institution’s research priorities may stem from, complement or be shaped by the particular geographic location(s) in which the university is established; they may be designed to advance the particular mission of the university; they may have been developed to address areas of community need; or a combination of these and other factors. The bottom line is that supporting a diverse university and research system is essential to producing diverse and valuable research that advance</w:t>
      </w:r>
      <w:r w:rsidR="006938F4">
        <w:rPr>
          <w:rFonts w:cs="Times New Roman"/>
        </w:rPr>
        <w:t>s</w:t>
      </w:r>
      <w:r w:rsidRPr="00A53FF8">
        <w:rPr>
          <w:rFonts w:cs="Times New Roman"/>
        </w:rPr>
        <w:t xml:space="preserve"> innovation in Australia</w:t>
      </w:r>
      <w:r w:rsidR="00D35F52">
        <w:rPr>
          <w:rFonts w:cs="Times New Roman"/>
        </w:rPr>
        <w:t xml:space="preserve"> and deliver</w:t>
      </w:r>
      <w:r w:rsidR="006938F4">
        <w:rPr>
          <w:rFonts w:cs="Times New Roman"/>
        </w:rPr>
        <w:t>s</w:t>
      </w:r>
      <w:r w:rsidR="00D35F52">
        <w:rPr>
          <w:rFonts w:cs="Times New Roman"/>
        </w:rPr>
        <w:t xml:space="preserve"> commercial outcomes</w:t>
      </w:r>
      <w:r w:rsidR="006938F4">
        <w:rPr>
          <w:rFonts w:cs="Times New Roman"/>
        </w:rPr>
        <w:t xml:space="preserve"> in the public and private sectors</w:t>
      </w:r>
      <w:r w:rsidRPr="00A53FF8">
        <w:rPr>
          <w:rFonts w:cs="Times New Roman"/>
        </w:rPr>
        <w:t xml:space="preserve">. </w:t>
      </w:r>
    </w:p>
    <w:p w14:paraId="0D273492" w14:textId="77777777" w:rsidR="006938F4" w:rsidRPr="00A53FF8" w:rsidRDefault="006938F4" w:rsidP="006938F4">
      <w:pPr>
        <w:jc w:val="both"/>
        <w:rPr>
          <w:rFonts w:cs="Times New Roman"/>
        </w:rPr>
      </w:pPr>
      <w:bookmarkStart w:id="10" w:name="_Toc394910742"/>
      <w:r w:rsidRPr="00A53FF8">
        <w:rPr>
          <w:rFonts w:cs="Times New Roman"/>
        </w:rPr>
        <w:t>To illustrate:</w:t>
      </w:r>
    </w:p>
    <w:p w14:paraId="22F1B56B" w14:textId="77777777" w:rsidR="006938F4" w:rsidRPr="00CF352B" w:rsidRDefault="006938F4" w:rsidP="006938F4">
      <w:pPr>
        <w:pStyle w:val="NormalWeb"/>
        <w:numPr>
          <w:ilvl w:val="0"/>
          <w:numId w:val="19"/>
        </w:numPr>
        <w:spacing w:before="0" w:beforeAutospacing="0" w:after="0" w:afterAutospacing="0"/>
        <w:jc w:val="both"/>
        <w:rPr>
          <w:sz w:val="22"/>
          <w:szCs w:val="22"/>
        </w:rPr>
      </w:pPr>
      <w:proofErr w:type="spellStart"/>
      <w:r w:rsidRPr="00A53FF8">
        <w:rPr>
          <w:sz w:val="22"/>
          <w:szCs w:val="22"/>
        </w:rPr>
        <w:t>Deakin</w:t>
      </w:r>
      <w:proofErr w:type="spellEnd"/>
      <w:r w:rsidRPr="00A53FF8">
        <w:rPr>
          <w:sz w:val="22"/>
          <w:szCs w:val="22"/>
        </w:rPr>
        <w:t xml:space="preserve"> University (</w:t>
      </w:r>
      <w:proofErr w:type="spellStart"/>
      <w:r w:rsidRPr="00A53FF8">
        <w:rPr>
          <w:sz w:val="22"/>
          <w:szCs w:val="22"/>
        </w:rPr>
        <w:t>Deakin</w:t>
      </w:r>
      <w:proofErr w:type="spellEnd"/>
      <w:r w:rsidRPr="00A53FF8">
        <w:rPr>
          <w:sz w:val="22"/>
          <w:szCs w:val="22"/>
        </w:rPr>
        <w:t xml:space="preserve">): </w:t>
      </w:r>
      <w:proofErr w:type="spellStart"/>
      <w:r w:rsidRPr="00A53FF8">
        <w:rPr>
          <w:sz w:val="22"/>
          <w:szCs w:val="22"/>
        </w:rPr>
        <w:t>Deakin’s</w:t>
      </w:r>
      <w:proofErr w:type="spellEnd"/>
      <w:r w:rsidRPr="00A53FF8">
        <w:rPr>
          <w:sz w:val="22"/>
          <w:szCs w:val="22"/>
        </w:rPr>
        <w:t xml:space="preserve"> Institute for Frontier Materials (</w:t>
      </w:r>
      <w:proofErr w:type="spellStart"/>
      <w:r w:rsidRPr="00A53FF8">
        <w:rPr>
          <w:sz w:val="22"/>
          <w:szCs w:val="22"/>
        </w:rPr>
        <w:t>IFM</w:t>
      </w:r>
      <w:proofErr w:type="spellEnd"/>
      <w:r w:rsidRPr="00A53FF8">
        <w:rPr>
          <w:sz w:val="22"/>
          <w:szCs w:val="22"/>
        </w:rPr>
        <w:t>) advances the University’s research strengths in material science with a focus on innovative manufacturing technologies, and energy efficiency, resource and infrastructure sustainability, to address complex problems in the areas of energy, health, environment and manufacturing.</w:t>
      </w:r>
      <w:r w:rsidRPr="00A53FF8">
        <w:rPr>
          <w:rStyle w:val="FootnoteReference"/>
          <w:sz w:val="22"/>
          <w:szCs w:val="22"/>
        </w:rPr>
        <w:footnoteReference w:id="16"/>
      </w:r>
      <w:r w:rsidRPr="00A53FF8">
        <w:rPr>
          <w:sz w:val="22"/>
          <w:szCs w:val="22"/>
        </w:rPr>
        <w:t xml:space="preserve"> The </w:t>
      </w:r>
      <w:proofErr w:type="spellStart"/>
      <w:r w:rsidRPr="00A53FF8">
        <w:rPr>
          <w:sz w:val="22"/>
          <w:szCs w:val="22"/>
        </w:rPr>
        <w:t>IFM</w:t>
      </w:r>
      <w:proofErr w:type="spellEnd"/>
      <w:r w:rsidRPr="00A53FF8">
        <w:rPr>
          <w:sz w:val="22"/>
          <w:szCs w:val="22"/>
        </w:rPr>
        <w:t xml:space="preserve"> was established to “address some of the major challenges facing society through innovations in materials design and performance.</w:t>
      </w:r>
      <w:r w:rsidRPr="00A53FF8">
        <w:rPr>
          <w:rStyle w:val="FootnoteReference"/>
          <w:sz w:val="22"/>
          <w:szCs w:val="22"/>
        </w:rPr>
        <w:footnoteReference w:id="17"/>
      </w:r>
      <w:r w:rsidRPr="00A53FF8">
        <w:rPr>
          <w:sz w:val="22"/>
          <w:szCs w:val="22"/>
        </w:rPr>
        <w:t xml:space="preserve"> Deakin is also engaged in ground-breaking research in nanotechnology, a research area which “many believe will have a bigger impact on the future of humanity than the Internet”.</w:t>
      </w:r>
      <w:r w:rsidRPr="00A53FF8">
        <w:rPr>
          <w:rStyle w:val="FootnoteReference"/>
          <w:sz w:val="22"/>
          <w:szCs w:val="22"/>
        </w:rPr>
        <w:footnoteReference w:id="18"/>
      </w:r>
      <w:r w:rsidRPr="00A53FF8">
        <w:rPr>
          <w:sz w:val="22"/>
          <w:szCs w:val="22"/>
        </w:rPr>
        <w:t xml:space="preserve"> Research at Deakin’s $1.9 million world-class the facility </w:t>
      </w:r>
      <w:r w:rsidRPr="00CF352B">
        <w:rPr>
          <w:sz w:val="22"/>
          <w:szCs w:val="22"/>
        </w:rPr>
        <w:t>will have implications for developments in clean energy, environmental protection and health care, fibres and a number of other application areas. Deakin’s facility houses the world’s most powerful Atomic Force Microscope, the only one of its kind in Australia.</w:t>
      </w:r>
      <w:r w:rsidRPr="00CF352B">
        <w:rPr>
          <w:rStyle w:val="FootnoteReference"/>
          <w:sz w:val="22"/>
          <w:szCs w:val="22"/>
        </w:rPr>
        <w:footnoteReference w:id="19"/>
      </w:r>
    </w:p>
    <w:p w14:paraId="1FAB0F5C" w14:textId="77777777" w:rsidR="006938F4" w:rsidRPr="00A53FF8" w:rsidRDefault="006938F4" w:rsidP="006938F4">
      <w:pPr>
        <w:pStyle w:val="NormalWeb"/>
        <w:numPr>
          <w:ilvl w:val="0"/>
          <w:numId w:val="19"/>
        </w:numPr>
        <w:spacing w:before="0" w:beforeAutospacing="0" w:after="0" w:afterAutospacing="0"/>
        <w:jc w:val="both"/>
        <w:rPr>
          <w:sz w:val="22"/>
          <w:szCs w:val="22"/>
        </w:rPr>
      </w:pPr>
      <w:r w:rsidRPr="00A53FF8">
        <w:rPr>
          <w:sz w:val="22"/>
          <w:szCs w:val="22"/>
        </w:rPr>
        <w:t>James Cook University (</w:t>
      </w:r>
      <w:proofErr w:type="spellStart"/>
      <w:r w:rsidRPr="00A53FF8">
        <w:rPr>
          <w:sz w:val="22"/>
          <w:szCs w:val="22"/>
        </w:rPr>
        <w:t>JCU</w:t>
      </w:r>
      <w:proofErr w:type="spellEnd"/>
      <w:r w:rsidRPr="00A53FF8">
        <w:rPr>
          <w:sz w:val="22"/>
          <w:szCs w:val="22"/>
        </w:rPr>
        <w:t xml:space="preserve">) is now </w:t>
      </w:r>
      <w:proofErr w:type="spellStart"/>
      <w:r w:rsidRPr="00A53FF8">
        <w:rPr>
          <w:sz w:val="22"/>
          <w:szCs w:val="22"/>
        </w:rPr>
        <w:t>recognised</w:t>
      </w:r>
      <w:proofErr w:type="spellEnd"/>
      <w:r w:rsidRPr="00A53FF8">
        <w:rPr>
          <w:sz w:val="22"/>
          <w:szCs w:val="22"/>
        </w:rPr>
        <w:t xml:space="preserve"> as a world leader in tropical health and medical research and biotechnology. </w:t>
      </w:r>
      <w:proofErr w:type="spellStart"/>
      <w:r w:rsidRPr="00A53FF8">
        <w:rPr>
          <w:sz w:val="22"/>
          <w:szCs w:val="22"/>
        </w:rPr>
        <w:t>JCU</w:t>
      </w:r>
      <w:proofErr w:type="spellEnd"/>
      <w:r w:rsidRPr="00A53FF8">
        <w:rPr>
          <w:sz w:val="22"/>
          <w:szCs w:val="22"/>
        </w:rPr>
        <w:t xml:space="preserve"> makes a significant contribution to the health and economy of the community of northern Australia. </w:t>
      </w:r>
      <w:proofErr w:type="spellStart"/>
      <w:r w:rsidRPr="00A53FF8">
        <w:rPr>
          <w:sz w:val="22"/>
          <w:szCs w:val="22"/>
        </w:rPr>
        <w:t>JCU’s</w:t>
      </w:r>
      <w:proofErr w:type="spellEnd"/>
      <w:r w:rsidRPr="00A53FF8">
        <w:rPr>
          <w:sz w:val="22"/>
          <w:szCs w:val="22"/>
        </w:rPr>
        <w:t xml:space="preserve"> unique location - surrounded by the ecosystems of the rainforests of the wet tropics, the dry savannahs, and the Great Barrier Reef – has driven its research strengths and focus on the tropics, and enables researchers and students from </w:t>
      </w:r>
      <w:r w:rsidRPr="00A53FF8">
        <w:rPr>
          <w:sz w:val="22"/>
          <w:szCs w:val="22"/>
        </w:rPr>
        <w:lastRenderedPageBreak/>
        <w:t>Australia and overseas to study in a “diverse physical environment unparalleled by any university in the world.”</w:t>
      </w:r>
      <w:r w:rsidRPr="00A53FF8">
        <w:rPr>
          <w:rStyle w:val="FootnoteReference"/>
          <w:sz w:val="22"/>
          <w:szCs w:val="22"/>
        </w:rPr>
        <w:footnoteReference w:id="20"/>
      </w:r>
      <w:r w:rsidRPr="00A53FF8">
        <w:rPr>
          <w:sz w:val="22"/>
          <w:szCs w:val="22"/>
        </w:rPr>
        <w:t xml:space="preserve"> The tropical region, which includes Northern Australia, accounts for more than 40 per cent of the world’s population – a figure which is projected to grow to 50 per cent by 2050.</w:t>
      </w:r>
      <w:r w:rsidRPr="00A53FF8">
        <w:rPr>
          <w:rStyle w:val="FootnoteReference"/>
          <w:sz w:val="22"/>
          <w:szCs w:val="22"/>
        </w:rPr>
        <w:footnoteReference w:id="21"/>
      </w:r>
      <w:r w:rsidRPr="00A53FF8">
        <w:rPr>
          <w:sz w:val="22"/>
          <w:szCs w:val="22"/>
        </w:rPr>
        <w:t xml:space="preserve"> </w:t>
      </w:r>
      <w:proofErr w:type="spellStart"/>
      <w:r w:rsidRPr="00A53FF8">
        <w:rPr>
          <w:sz w:val="22"/>
          <w:szCs w:val="22"/>
        </w:rPr>
        <w:t>JCU’s</w:t>
      </w:r>
      <w:proofErr w:type="spellEnd"/>
      <w:r w:rsidRPr="00A53FF8">
        <w:rPr>
          <w:sz w:val="22"/>
          <w:szCs w:val="22"/>
        </w:rPr>
        <w:t xml:space="preserve"> Australian Institute of Tropical Health and Medicine (</w:t>
      </w:r>
      <w:proofErr w:type="spellStart"/>
      <w:r w:rsidRPr="00A53FF8">
        <w:rPr>
          <w:sz w:val="22"/>
          <w:szCs w:val="22"/>
        </w:rPr>
        <w:t>AITHM</w:t>
      </w:r>
      <w:proofErr w:type="spellEnd"/>
      <w:r w:rsidRPr="00A53FF8">
        <w:rPr>
          <w:sz w:val="22"/>
          <w:szCs w:val="22"/>
        </w:rPr>
        <w:t xml:space="preserve">) brings together a wide range of internationally recognised research experts in areas such as the control of vector borne diseases (dengue fever, malaria, and lymphatic </w:t>
      </w:r>
      <w:proofErr w:type="spellStart"/>
      <w:r w:rsidRPr="00A53FF8">
        <w:rPr>
          <w:sz w:val="22"/>
          <w:szCs w:val="22"/>
        </w:rPr>
        <w:t>filariasis</w:t>
      </w:r>
      <w:proofErr w:type="spellEnd"/>
      <w:r w:rsidRPr="00A53FF8">
        <w:rPr>
          <w:sz w:val="22"/>
          <w:szCs w:val="22"/>
        </w:rPr>
        <w:t>)</w:t>
      </w:r>
      <w:proofErr w:type="gramStart"/>
      <w:r w:rsidRPr="00A53FF8">
        <w:rPr>
          <w:sz w:val="22"/>
          <w:szCs w:val="22"/>
        </w:rPr>
        <w:t>,</w:t>
      </w:r>
      <w:proofErr w:type="gramEnd"/>
      <w:r>
        <w:rPr>
          <w:sz w:val="22"/>
          <w:szCs w:val="22"/>
        </w:rPr>
        <w:t xml:space="preserve"> </w:t>
      </w:r>
      <w:r w:rsidRPr="00A53FF8">
        <w:rPr>
          <w:sz w:val="22"/>
          <w:szCs w:val="22"/>
        </w:rPr>
        <w:t>Group A streptococcal infection, and amphibian and aquatic infections.</w:t>
      </w:r>
    </w:p>
    <w:p w14:paraId="3EE22AD3" w14:textId="77777777" w:rsidR="006938F4" w:rsidRPr="00A53FF8" w:rsidRDefault="006938F4" w:rsidP="006938F4">
      <w:pPr>
        <w:pStyle w:val="NormalWeb"/>
        <w:numPr>
          <w:ilvl w:val="0"/>
          <w:numId w:val="17"/>
        </w:numPr>
        <w:spacing w:before="0" w:beforeAutospacing="0" w:after="0" w:afterAutospacing="0"/>
        <w:jc w:val="both"/>
        <w:rPr>
          <w:sz w:val="22"/>
          <w:szCs w:val="22"/>
        </w:rPr>
      </w:pPr>
      <w:r w:rsidRPr="00A53FF8">
        <w:rPr>
          <w:sz w:val="22"/>
          <w:szCs w:val="22"/>
        </w:rPr>
        <w:t>University of Wollongong: The ‘Simulation, Modelling, Analysis, Research and Teaching’ (SMART) initiative at the University of Wollongong draws on the University’s proven research strengths in the areas of engineering, commerce, informatics, law, and science to holistically assess infrastructure solutions.</w:t>
      </w:r>
      <w:r w:rsidRPr="00A53FF8">
        <w:rPr>
          <w:rStyle w:val="FootnoteReference"/>
          <w:sz w:val="22"/>
          <w:szCs w:val="22"/>
        </w:rPr>
        <w:footnoteReference w:id="22"/>
      </w:r>
      <w:r w:rsidRPr="00A53FF8">
        <w:rPr>
          <w:sz w:val="22"/>
          <w:szCs w:val="22"/>
        </w:rPr>
        <w:t xml:space="preserve"> The research supports greater understanding of the interconnection and interdependencies of infrastructure assets and systems to drive multi-disciplinary infrastructure research and education. The SMART facility houses 30 integrated laboratories, a simulation and modelling hub, rail logistics research centre and 200 higher degree research students; and Australia’s first professorial chairs in infrastructure economics, infrastructure governance, infrastructure systems, and infrastructure modelling and simulation. This is one of the largest facilities of its type in the world. SMART is unique and is starting to play a major role nationally and internationally. For instance, the Universities of Oxford and Stanford recently invited the SMART unit to join them on major infrastructure bodies to assist them in advising their respective governments on critical infrastructure issues.</w:t>
      </w:r>
      <w:r w:rsidRPr="00A53FF8">
        <w:rPr>
          <w:rStyle w:val="FootnoteReference"/>
          <w:sz w:val="22"/>
          <w:szCs w:val="22"/>
        </w:rPr>
        <w:footnoteReference w:id="23"/>
      </w:r>
    </w:p>
    <w:p w14:paraId="42675403" w14:textId="77777777" w:rsidR="006938F4" w:rsidRPr="00A53FF8" w:rsidRDefault="006938F4" w:rsidP="006938F4">
      <w:pPr>
        <w:pStyle w:val="NormalWeb"/>
        <w:numPr>
          <w:ilvl w:val="0"/>
          <w:numId w:val="17"/>
        </w:numPr>
        <w:spacing w:before="0" w:beforeAutospacing="0" w:after="0" w:afterAutospacing="0"/>
        <w:jc w:val="both"/>
        <w:rPr>
          <w:sz w:val="22"/>
          <w:szCs w:val="22"/>
        </w:rPr>
      </w:pPr>
      <w:r w:rsidRPr="00A53FF8">
        <w:rPr>
          <w:sz w:val="22"/>
          <w:szCs w:val="22"/>
        </w:rPr>
        <w:t>University of New England (</w:t>
      </w:r>
      <w:proofErr w:type="spellStart"/>
      <w:r w:rsidRPr="00A53FF8">
        <w:rPr>
          <w:sz w:val="22"/>
          <w:szCs w:val="22"/>
        </w:rPr>
        <w:t>UNE</w:t>
      </w:r>
      <w:proofErr w:type="spellEnd"/>
      <w:r w:rsidRPr="00A53FF8">
        <w:rPr>
          <w:sz w:val="22"/>
          <w:szCs w:val="22"/>
        </w:rPr>
        <w:t>) (Australia’s oldest regional university)</w:t>
      </w:r>
      <w:r w:rsidRPr="00A53FF8">
        <w:rPr>
          <w:rStyle w:val="FootnoteReference"/>
          <w:sz w:val="22"/>
          <w:szCs w:val="22"/>
        </w:rPr>
        <w:footnoteReference w:id="24"/>
      </w:r>
      <w:r w:rsidRPr="00A53FF8">
        <w:rPr>
          <w:sz w:val="22"/>
          <w:szCs w:val="22"/>
        </w:rPr>
        <w:t xml:space="preserve">: </w:t>
      </w:r>
      <w:proofErr w:type="spellStart"/>
      <w:r w:rsidRPr="00A53FF8">
        <w:rPr>
          <w:sz w:val="22"/>
          <w:szCs w:val="22"/>
        </w:rPr>
        <w:t>UNE</w:t>
      </w:r>
      <w:proofErr w:type="spellEnd"/>
      <w:r w:rsidRPr="00A53FF8">
        <w:rPr>
          <w:sz w:val="22"/>
          <w:szCs w:val="22"/>
        </w:rPr>
        <w:t xml:space="preserve"> conducts research into precision agriculture which encompasses strategic responses to agricultural management practices, new enterprise and technological developments that can create advances in agriculture; such as in crop production. </w:t>
      </w:r>
      <w:proofErr w:type="spellStart"/>
      <w:r w:rsidRPr="00A53FF8">
        <w:rPr>
          <w:sz w:val="22"/>
          <w:szCs w:val="22"/>
        </w:rPr>
        <w:t>UNE’s</w:t>
      </w:r>
      <w:proofErr w:type="spellEnd"/>
      <w:r w:rsidRPr="00A53FF8">
        <w:rPr>
          <w:sz w:val="22"/>
          <w:szCs w:val="22"/>
        </w:rPr>
        <w:t xml:space="preserve"> Precision Agriculture Research Group (</w:t>
      </w:r>
      <w:proofErr w:type="spellStart"/>
      <w:r w:rsidRPr="00A53FF8">
        <w:rPr>
          <w:sz w:val="22"/>
          <w:szCs w:val="22"/>
        </w:rPr>
        <w:t>PARG</w:t>
      </w:r>
      <w:proofErr w:type="spellEnd"/>
      <w:r w:rsidRPr="00A53FF8">
        <w:rPr>
          <w:sz w:val="22"/>
          <w:szCs w:val="22"/>
        </w:rPr>
        <w:t>), formed in 2002, conducts multi-disciplinary research and runs numerous externally-funded research projects involving organisations such as the Grains Research and Development Corporation (</w:t>
      </w:r>
      <w:proofErr w:type="spellStart"/>
      <w:r w:rsidRPr="00A53FF8">
        <w:rPr>
          <w:sz w:val="22"/>
          <w:szCs w:val="22"/>
        </w:rPr>
        <w:t>GRDC</w:t>
      </w:r>
      <w:proofErr w:type="spellEnd"/>
      <w:r w:rsidRPr="00A53FF8">
        <w:rPr>
          <w:sz w:val="22"/>
          <w:szCs w:val="22"/>
        </w:rPr>
        <w:t>), Meat and Livestock Australia (MLA), Grape &amp; Wine Research &amp; Development Corporation (</w:t>
      </w:r>
      <w:proofErr w:type="spellStart"/>
      <w:r w:rsidRPr="00A53FF8">
        <w:rPr>
          <w:sz w:val="22"/>
          <w:szCs w:val="22"/>
        </w:rPr>
        <w:t>GWRDC</w:t>
      </w:r>
      <w:proofErr w:type="spellEnd"/>
      <w:r w:rsidRPr="00A53FF8">
        <w:rPr>
          <w:sz w:val="22"/>
          <w:szCs w:val="22"/>
        </w:rPr>
        <w:t>), and Sugar Research and Development Corporation (</w:t>
      </w:r>
      <w:proofErr w:type="spellStart"/>
      <w:r w:rsidRPr="00A53FF8">
        <w:rPr>
          <w:sz w:val="22"/>
          <w:szCs w:val="22"/>
        </w:rPr>
        <w:t>SRDC</w:t>
      </w:r>
      <w:proofErr w:type="spellEnd"/>
      <w:r w:rsidRPr="00A53FF8">
        <w:rPr>
          <w:sz w:val="22"/>
          <w:szCs w:val="22"/>
        </w:rPr>
        <w:t>). Researchers are equipped with some of the latest agricultural technology, and promote both industry-led research and research-led teaching.</w:t>
      </w:r>
      <w:r w:rsidRPr="00A53FF8">
        <w:rPr>
          <w:rStyle w:val="FootnoteReference"/>
          <w:sz w:val="22"/>
          <w:szCs w:val="22"/>
        </w:rPr>
        <w:footnoteReference w:id="25"/>
      </w:r>
      <w:r w:rsidRPr="00A53FF8">
        <w:rPr>
          <w:sz w:val="22"/>
          <w:szCs w:val="22"/>
        </w:rPr>
        <w:t xml:space="preserve"> Two </w:t>
      </w:r>
      <w:proofErr w:type="spellStart"/>
      <w:r w:rsidRPr="00A53FF8">
        <w:rPr>
          <w:sz w:val="22"/>
          <w:szCs w:val="22"/>
        </w:rPr>
        <w:t>UNE</w:t>
      </w:r>
      <w:proofErr w:type="spellEnd"/>
      <w:r w:rsidRPr="00A53FF8">
        <w:rPr>
          <w:sz w:val="22"/>
          <w:szCs w:val="22"/>
        </w:rPr>
        <w:t xml:space="preserve"> research students recently received </w:t>
      </w:r>
      <w:r w:rsidRPr="00A53FF8">
        <w:rPr>
          <w:sz w:val="22"/>
          <w:szCs w:val="22"/>
        </w:rPr>
        <w:lastRenderedPageBreak/>
        <w:t>international recognition at the 12</w:t>
      </w:r>
      <w:r w:rsidRPr="00A53FF8">
        <w:rPr>
          <w:sz w:val="22"/>
          <w:szCs w:val="22"/>
          <w:vertAlign w:val="superscript"/>
        </w:rPr>
        <w:t>th</w:t>
      </w:r>
      <w:r w:rsidRPr="00A53FF8">
        <w:rPr>
          <w:sz w:val="22"/>
          <w:szCs w:val="22"/>
        </w:rPr>
        <w:t xml:space="preserve"> International Conference of Precision Agriculture at Sacramento USA, receiving outstanding graduate student awards.</w:t>
      </w:r>
      <w:r w:rsidRPr="00A53FF8">
        <w:rPr>
          <w:rStyle w:val="FootnoteReference"/>
          <w:sz w:val="22"/>
          <w:szCs w:val="22"/>
        </w:rPr>
        <w:footnoteReference w:id="26"/>
      </w:r>
    </w:p>
    <w:p w14:paraId="7668955B" w14:textId="77777777" w:rsidR="006938F4" w:rsidRPr="00CF352B" w:rsidRDefault="006938F4" w:rsidP="006938F4">
      <w:pPr>
        <w:pStyle w:val="NormalWeb"/>
        <w:numPr>
          <w:ilvl w:val="0"/>
          <w:numId w:val="17"/>
        </w:numPr>
        <w:spacing w:before="0" w:beforeAutospacing="0" w:after="0" w:afterAutospacing="0"/>
        <w:jc w:val="both"/>
        <w:rPr>
          <w:sz w:val="22"/>
          <w:szCs w:val="22"/>
        </w:rPr>
      </w:pPr>
      <w:r w:rsidRPr="00CF352B">
        <w:rPr>
          <w:sz w:val="22"/>
          <w:szCs w:val="22"/>
        </w:rPr>
        <w:t>Australian Catholic University (</w:t>
      </w:r>
      <w:proofErr w:type="spellStart"/>
      <w:r w:rsidRPr="00CF352B">
        <w:rPr>
          <w:sz w:val="22"/>
          <w:szCs w:val="22"/>
        </w:rPr>
        <w:t>ACU</w:t>
      </w:r>
      <w:proofErr w:type="spellEnd"/>
      <w:r w:rsidRPr="00CF352B">
        <w:rPr>
          <w:sz w:val="22"/>
          <w:szCs w:val="22"/>
        </w:rPr>
        <w:t xml:space="preserve">): With the nation’s largest cohort of nursing students, </w:t>
      </w:r>
      <w:proofErr w:type="spellStart"/>
      <w:r w:rsidRPr="00CF352B">
        <w:rPr>
          <w:sz w:val="22"/>
          <w:szCs w:val="22"/>
        </w:rPr>
        <w:t>ACU</w:t>
      </w:r>
      <w:proofErr w:type="spellEnd"/>
      <w:r w:rsidRPr="00CF352B">
        <w:rPr>
          <w:sz w:val="22"/>
          <w:szCs w:val="22"/>
        </w:rPr>
        <w:t xml:space="preserve"> has achieved an outstanding profile in selected areas of research such as cardiovascular nursing. </w:t>
      </w:r>
      <w:proofErr w:type="spellStart"/>
      <w:r w:rsidRPr="00CF352B">
        <w:rPr>
          <w:sz w:val="22"/>
          <w:szCs w:val="22"/>
        </w:rPr>
        <w:t>ACU</w:t>
      </w:r>
      <w:proofErr w:type="spellEnd"/>
      <w:r w:rsidRPr="00CF352B">
        <w:rPr>
          <w:sz w:val="22"/>
          <w:szCs w:val="22"/>
        </w:rPr>
        <w:t xml:space="preserve"> ranks as </w:t>
      </w:r>
      <w:r w:rsidRPr="00E75FFD">
        <w:rPr>
          <w:sz w:val="22"/>
          <w:szCs w:val="22"/>
        </w:rPr>
        <w:t xml:space="preserve">number 3 on the world database, </w:t>
      </w:r>
      <w:proofErr w:type="spellStart"/>
      <w:r w:rsidRPr="00E75FFD">
        <w:rPr>
          <w:sz w:val="22"/>
          <w:szCs w:val="22"/>
        </w:rPr>
        <w:t>SciVal</w:t>
      </w:r>
      <w:proofErr w:type="spellEnd"/>
      <w:r w:rsidRPr="00E75FFD">
        <w:rPr>
          <w:sz w:val="22"/>
          <w:szCs w:val="22"/>
        </w:rPr>
        <w:t>, produced by Elsevier. The University also has distinctive strength</w:t>
      </w:r>
      <w:r w:rsidRPr="00CF352B">
        <w:rPr>
          <w:sz w:val="22"/>
          <w:szCs w:val="22"/>
        </w:rPr>
        <w:t xml:space="preserve"> in, for example, positive psychology and education, where it is arguably the nation’s leading research institution. </w:t>
      </w:r>
      <w:proofErr w:type="spellStart"/>
      <w:r w:rsidRPr="00CF352B">
        <w:rPr>
          <w:sz w:val="22"/>
          <w:szCs w:val="22"/>
        </w:rPr>
        <w:t>ACU’s</w:t>
      </w:r>
      <w:proofErr w:type="spellEnd"/>
      <w:r w:rsidRPr="00CF352B">
        <w:rPr>
          <w:sz w:val="22"/>
          <w:szCs w:val="22"/>
        </w:rPr>
        <w:t xml:space="preserve"> Institute for Positive Psychology and Education also houses the research team that established the nation’s most successful program in support of Aboriginal and Torres Strait Islander researchers (as measured by ARC Discovery Indigenous grants (see </w:t>
      </w:r>
      <w:proofErr w:type="spellStart"/>
      <w:r w:rsidRPr="00CF352B">
        <w:rPr>
          <w:sz w:val="22"/>
          <w:szCs w:val="22"/>
        </w:rPr>
        <w:t>Behrendt</w:t>
      </w:r>
      <w:proofErr w:type="spellEnd"/>
      <w:r w:rsidRPr="00CF352B">
        <w:rPr>
          <w:sz w:val="22"/>
          <w:szCs w:val="22"/>
        </w:rPr>
        <w:t xml:space="preserve"> report reference to </w:t>
      </w:r>
      <w:proofErr w:type="spellStart"/>
      <w:r w:rsidRPr="00CF352B">
        <w:rPr>
          <w:sz w:val="22"/>
          <w:szCs w:val="22"/>
        </w:rPr>
        <w:t>UWS</w:t>
      </w:r>
      <w:proofErr w:type="spellEnd"/>
      <w:r w:rsidRPr="00CF352B">
        <w:rPr>
          <w:sz w:val="22"/>
          <w:szCs w:val="22"/>
        </w:rPr>
        <w:t xml:space="preserve">—this team is now at </w:t>
      </w:r>
      <w:proofErr w:type="spellStart"/>
      <w:r w:rsidRPr="00CF352B">
        <w:rPr>
          <w:sz w:val="22"/>
          <w:szCs w:val="22"/>
        </w:rPr>
        <w:t>ACU</w:t>
      </w:r>
      <w:proofErr w:type="spellEnd"/>
      <w:r w:rsidRPr="00CF352B">
        <w:rPr>
          <w:sz w:val="22"/>
          <w:szCs w:val="22"/>
        </w:rPr>
        <w:t>).</w:t>
      </w:r>
    </w:p>
    <w:p w14:paraId="3F35345B" w14:textId="77777777" w:rsidR="006938F4" w:rsidRPr="00A53FF8" w:rsidRDefault="006938F4" w:rsidP="006938F4">
      <w:pPr>
        <w:pStyle w:val="NormalWeb"/>
        <w:numPr>
          <w:ilvl w:val="0"/>
          <w:numId w:val="19"/>
        </w:numPr>
        <w:spacing w:before="0" w:beforeAutospacing="0" w:after="0" w:afterAutospacing="0"/>
        <w:jc w:val="both"/>
        <w:rPr>
          <w:sz w:val="22"/>
          <w:szCs w:val="22"/>
        </w:rPr>
      </w:pPr>
      <w:r w:rsidRPr="00A53FF8">
        <w:rPr>
          <w:sz w:val="22"/>
          <w:szCs w:val="22"/>
        </w:rPr>
        <w:t xml:space="preserve">The University of the Sunshine Coast (USC) (established as a university only in 1996) has engaged in exceptional research in niche areas, including aquaculture, and sub-tropical and tropical hardwoods and continues to grow its research profile. For example, USC aquaculture researchers have been engaged, through the Seafood Co-operative Research Centre, in the spawning of the first southern </w:t>
      </w:r>
      <w:proofErr w:type="spellStart"/>
      <w:r w:rsidRPr="00A53FF8">
        <w:rPr>
          <w:sz w:val="22"/>
          <w:szCs w:val="22"/>
        </w:rPr>
        <w:t>bluefin</w:t>
      </w:r>
      <w:proofErr w:type="spellEnd"/>
      <w:r w:rsidRPr="00A53FF8">
        <w:rPr>
          <w:sz w:val="22"/>
          <w:szCs w:val="22"/>
        </w:rPr>
        <w:t xml:space="preserve"> tuna - </w:t>
      </w:r>
      <w:r w:rsidRPr="00A53FF8">
        <w:rPr>
          <w:i/>
          <w:sz w:val="22"/>
          <w:szCs w:val="22"/>
        </w:rPr>
        <w:t>Time</w:t>
      </w:r>
      <w:r w:rsidRPr="00A53FF8">
        <w:rPr>
          <w:sz w:val="22"/>
          <w:szCs w:val="22"/>
        </w:rPr>
        <w:t xml:space="preserve"> magazine ‘hailed it as the second most important invention of 2009’.</w:t>
      </w:r>
      <w:r w:rsidRPr="00A53FF8">
        <w:rPr>
          <w:rStyle w:val="FootnoteReference"/>
          <w:sz w:val="22"/>
          <w:szCs w:val="22"/>
        </w:rPr>
        <w:footnoteReference w:id="27"/>
      </w:r>
    </w:p>
    <w:p w14:paraId="3DD24796" w14:textId="77777777" w:rsidR="006938F4" w:rsidRPr="00A53FF8" w:rsidRDefault="006938F4" w:rsidP="006938F4">
      <w:pPr>
        <w:pStyle w:val="NormalWeb"/>
        <w:numPr>
          <w:ilvl w:val="0"/>
          <w:numId w:val="17"/>
        </w:numPr>
        <w:spacing w:before="0" w:beforeAutospacing="0" w:after="0" w:afterAutospacing="0"/>
        <w:jc w:val="both"/>
        <w:rPr>
          <w:sz w:val="22"/>
          <w:szCs w:val="22"/>
        </w:rPr>
      </w:pPr>
      <w:r w:rsidRPr="00CF352B">
        <w:rPr>
          <w:sz w:val="22"/>
          <w:szCs w:val="22"/>
        </w:rPr>
        <w:t>University of Tasmania (</w:t>
      </w:r>
      <w:proofErr w:type="spellStart"/>
      <w:r w:rsidRPr="00CF352B">
        <w:rPr>
          <w:sz w:val="22"/>
          <w:szCs w:val="22"/>
        </w:rPr>
        <w:t>UTA</w:t>
      </w:r>
      <w:r w:rsidRPr="00A53FF8">
        <w:rPr>
          <w:sz w:val="22"/>
          <w:szCs w:val="22"/>
        </w:rPr>
        <w:t>S</w:t>
      </w:r>
      <w:proofErr w:type="spellEnd"/>
      <w:r w:rsidRPr="00A53FF8">
        <w:rPr>
          <w:sz w:val="22"/>
          <w:szCs w:val="22"/>
        </w:rPr>
        <w:t xml:space="preserve">): The </w:t>
      </w:r>
      <w:proofErr w:type="spellStart"/>
      <w:r w:rsidRPr="00A53FF8">
        <w:rPr>
          <w:sz w:val="22"/>
          <w:szCs w:val="22"/>
        </w:rPr>
        <w:t>UTAS</w:t>
      </w:r>
      <w:proofErr w:type="spellEnd"/>
      <w:r w:rsidRPr="00A53FF8">
        <w:rPr>
          <w:sz w:val="22"/>
          <w:szCs w:val="22"/>
        </w:rPr>
        <w:t xml:space="preserve"> Institute for Marine and Antarctic Studies (</w:t>
      </w:r>
      <w:proofErr w:type="spellStart"/>
      <w:r w:rsidRPr="00A53FF8">
        <w:rPr>
          <w:sz w:val="22"/>
          <w:szCs w:val="22"/>
        </w:rPr>
        <w:t>IMAS</w:t>
      </w:r>
      <w:proofErr w:type="spellEnd"/>
      <w:r w:rsidRPr="00A53FF8">
        <w:rPr>
          <w:sz w:val="22"/>
          <w:szCs w:val="22"/>
        </w:rPr>
        <w:t xml:space="preserve">) has a vision to position </w:t>
      </w:r>
      <w:proofErr w:type="spellStart"/>
      <w:r w:rsidRPr="00A53FF8">
        <w:rPr>
          <w:sz w:val="22"/>
          <w:szCs w:val="22"/>
        </w:rPr>
        <w:t>UTAS</w:t>
      </w:r>
      <w:proofErr w:type="spellEnd"/>
      <w:r w:rsidRPr="00A53FF8">
        <w:rPr>
          <w:sz w:val="22"/>
          <w:szCs w:val="22"/>
        </w:rPr>
        <w:t xml:space="preserve"> as the leading institution for marine and Antarctic studies, and advances the University’s research strengths in these fields.</w:t>
      </w:r>
      <w:r w:rsidRPr="00A53FF8">
        <w:rPr>
          <w:rStyle w:val="FootnoteReference"/>
          <w:sz w:val="22"/>
          <w:szCs w:val="22"/>
        </w:rPr>
        <w:footnoteReference w:id="28"/>
      </w:r>
      <w:r w:rsidRPr="00A53FF8">
        <w:rPr>
          <w:sz w:val="22"/>
          <w:szCs w:val="22"/>
        </w:rPr>
        <w:t xml:space="preserve"> Research at </w:t>
      </w:r>
      <w:proofErr w:type="spellStart"/>
      <w:r w:rsidRPr="00A53FF8">
        <w:rPr>
          <w:sz w:val="22"/>
          <w:szCs w:val="22"/>
        </w:rPr>
        <w:t>UTAS</w:t>
      </w:r>
      <w:proofErr w:type="spellEnd"/>
      <w:r w:rsidRPr="00A53FF8">
        <w:rPr>
          <w:sz w:val="22"/>
          <w:szCs w:val="22"/>
        </w:rPr>
        <w:t xml:space="preserve"> covers a number of important areas including sustainable fisheries and aquaculture, coastal and estuarine ecology, marine biodiversity, Southern Ocean marine habitats, ocean governance and policy, and the Antarctic environment. </w:t>
      </w:r>
      <w:proofErr w:type="spellStart"/>
      <w:r w:rsidRPr="00A53FF8">
        <w:rPr>
          <w:sz w:val="22"/>
          <w:szCs w:val="22"/>
        </w:rPr>
        <w:t>IMAS</w:t>
      </w:r>
      <w:proofErr w:type="spellEnd"/>
      <w:r w:rsidRPr="00A53FF8">
        <w:rPr>
          <w:sz w:val="22"/>
          <w:szCs w:val="22"/>
        </w:rPr>
        <w:t xml:space="preserve"> hosts over 200 staff and 140 graduate students, supports 107 higher degree research students, and also offers specialised short courses in niche research areas.</w:t>
      </w:r>
      <w:r w:rsidRPr="00A53FF8">
        <w:rPr>
          <w:rStyle w:val="FootnoteReference"/>
          <w:sz w:val="22"/>
          <w:szCs w:val="22"/>
        </w:rPr>
        <w:footnoteReference w:id="29"/>
      </w:r>
      <w:r w:rsidRPr="00A53FF8">
        <w:rPr>
          <w:sz w:val="22"/>
          <w:szCs w:val="22"/>
        </w:rPr>
        <w:t xml:space="preserve"> It is playing an important role in pursuing multidisciplinary and interdisciplinary work to “advance understanding of temperate marine, Southern Ocean, and Antarctic environments”, and in facilitating sustainable development for the benefit of Australia and the rest of the world.</w:t>
      </w:r>
      <w:r w:rsidRPr="00A53FF8">
        <w:rPr>
          <w:rStyle w:val="FootnoteReference"/>
          <w:sz w:val="22"/>
          <w:szCs w:val="22"/>
        </w:rPr>
        <w:footnoteReference w:id="30"/>
      </w:r>
    </w:p>
    <w:p w14:paraId="34146303" w14:textId="77777777" w:rsidR="006938F4" w:rsidRDefault="006938F4" w:rsidP="006938F4"/>
    <w:p w14:paraId="11F60340" w14:textId="77777777" w:rsidR="001F4DAE" w:rsidRPr="006938F4" w:rsidRDefault="001F4DAE" w:rsidP="006938F4"/>
    <w:p w14:paraId="1A2CF1C5" w14:textId="5C11D78A" w:rsidR="006C3301" w:rsidRPr="00A53FF8" w:rsidRDefault="006C3301" w:rsidP="006C3301">
      <w:pPr>
        <w:pStyle w:val="Heading2"/>
        <w:rPr>
          <w:rFonts w:cs="Times New Roman"/>
        </w:rPr>
      </w:pPr>
      <w:bookmarkStart w:id="11" w:name="_Toc405536651"/>
      <w:r w:rsidRPr="00A53FF8">
        <w:rPr>
          <w:rFonts w:cs="Times New Roman"/>
        </w:rPr>
        <w:lastRenderedPageBreak/>
        <w:t>Promot</w:t>
      </w:r>
      <w:r w:rsidR="0077520E">
        <w:rPr>
          <w:rFonts w:cs="Times New Roman"/>
        </w:rPr>
        <w:t>ing</w:t>
      </w:r>
      <w:r w:rsidRPr="00A53FF8">
        <w:rPr>
          <w:rFonts w:cs="Times New Roman"/>
        </w:rPr>
        <w:t xml:space="preserve"> Strategic Research Intensification</w:t>
      </w:r>
      <w:bookmarkEnd w:id="10"/>
      <w:bookmarkEnd w:id="11"/>
    </w:p>
    <w:p w14:paraId="497B955F" w14:textId="77777777" w:rsidR="006C3301" w:rsidRPr="00A53FF8" w:rsidRDefault="006C3301" w:rsidP="006C3301">
      <w:pPr>
        <w:jc w:val="both"/>
        <w:rPr>
          <w:rFonts w:cs="Times New Roman"/>
        </w:rPr>
      </w:pPr>
      <w:proofErr w:type="spellStart"/>
      <w:r w:rsidRPr="00A53FF8">
        <w:rPr>
          <w:rFonts w:cs="Times New Roman"/>
        </w:rPr>
        <w:t>ACU</w:t>
      </w:r>
      <w:proofErr w:type="spellEnd"/>
      <w:r w:rsidRPr="00A53FF8">
        <w:rPr>
          <w:rFonts w:cs="Times New Roman"/>
        </w:rPr>
        <w:t xml:space="preserve"> promotes the adoption of strategies that support research intensification across all universities as this can produce:</w:t>
      </w:r>
    </w:p>
    <w:p w14:paraId="251E48BC" w14:textId="77777777" w:rsidR="006C3301" w:rsidRPr="00A53FF8" w:rsidRDefault="006C3301" w:rsidP="006C3301">
      <w:pPr>
        <w:pStyle w:val="ListParagraph"/>
        <w:numPr>
          <w:ilvl w:val="0"/>
          <w:numId w:val="32"/>
        </w:numPr>
        <w:jc w:val="both"/>
        <w:rPr>
          <w:rFonts w:ascii="Times New Roman" w:hAnsi="Times New Roman"/>
        </w:rPr>
      </w:pPr>
      <w:r w:rsidRPr="00A53FF8">
        <w:rPr>
          <w:rFonts w:ascii="Times New Roman" w:hAnsi="Times New Roman"/>
        </w:rPr>
        <w:t>Greater concentrations of research excellence.</w:t>
      </w:r>
    </w:p>
    <w:p w14:paraId="15D92B5E" w14:textId="77777777" w:rsidR="006C3301" w:rsidRPr="00A53FF8" w:rsidRDefault="006C3301" w:rsidP="006C3301">
      <w:pPr>
        <w:pStyle w:val="ListParagraph"/>
        <w:numPr>
          <w:ilvl w:val="0"/>
          <w:numId w:val="32"/>
        </w:numPr>
        <w:jc w:val="both"/>
        <w:rPr>
          <w:rFonts w:ascii="Times New Roman" w:hAnsi="Times New Roman"/>
        </w:rPr>
      </w:pPr>
      <w:r w:rsidRPr="00A53FF8">
        <w:rPr>
          <w:rFonts w:ascii="Times New Roman" w:hAnsi="Times New Roman"/>
        </w:rPr>
        <w:t>Competitive, efficient and strategic allocation of resources.</w:t>
      </w:r>
    </w:p>
    <w:p w14:paraId="7F594F65" w14:textId="77777777" w:rsidR="006C3301" w:rsidRPr="00A53FF8" w:rsidRDefault="006C3301" w:rsidP="006C3301">
      <w:pPr>
        <w:jc w:val="both"/>
        <w:rPr>
          <w:rFonts w:cs="Times New Roman"/>
        </w:rPr>
      </w:pPr>
      <w:r w:rsidRPr="00A53FF8">
        <w:rPr>
          <w:rFonts w:cs="Times New Roman"/>
        </w:rPr>
        <w:t>Quality research is facilitated by a concentration of quality researchers. Analysis of the research assessment exercises carried out in the UK since the mid-</w:t>
      </w:r>
      <w:proofErr w:type="spellStart"/>
      <w:r w:rsidRPr="00A53FF8">
        <w:rPr>
          <w:rFonts w:cs="Times New Roman"/>
        </w:rPr>
        <w:t>1980s</w:t>
      </w:r>
      <w:proofErr w:type="spellEnd"/>
      <w:r w:rsidRPr="00A53FF8">
        <w:rPr>
          <w:rFonts w:cs="Times New Roman"/>
        </w:rPr>
        <w:t xml:space="preserve"> demonstrates a correlation in most disciplines between a critical mass of researchers and the quality of their research. Critical mass provides the collegiality, interactions, team projects, and breadth of approach that drive much high quality research as well as a strong research environment for research higher degree candidates.</w:t>
      </w:r>
    </w:p>
    <w:p w14:paraId="00D3EDB3" w14:textId="338B3124" w:rsidR="006C3301" w:rsidRPr="00A53FF8" w:rsidRDefault="006C3301" w:rsidP="006C3301">
      <w:pPr>
        <w:jc w:val="both"/>
        <w:rPr>
          <w:rFonts w:cs="Times New Roman"/>
        </w:rPr>
      </w:pPr>
      <w:proofErr w:type="spellStart"/>
      <w:r w:rsidRPr="00A53FF8">
        <w:rPr>
          <w:rFonts w:cs="Times New Roman"/>
        </w:rPr>
        <w:t>ACU</w:t>
      </w:r>
      <w:proofErr w:type="spellEnd"/>
      <w:r w:rsidRPr="00A53FF8">
        <w:rPr>
          <w:rFonts w:cs="Times New Roman"/>
        </w:rPr>
        <w:t xml:space="preserve"> recently implemented a research intensification strategy to boost its research performance in strategically identified and targeted research areas. To underpin its plan fo</w:t>
      </w:r>
      <w:r>
        <w:rPr>
          <w:rFonts w:cs="Times New Roman"/>
        </w:rPr>
        <w:t xml:space="preserve">r research intensification, </w:t>
      </w:r>
      <w:proofErr w:type="spellStart"/>
      <w:r>
        <w:rPr>
          <w:rFonts w:cs="Times New Roman"/>
        </w:rPr>
        <w:t>ACU</w:t>
      </w:r>
      <w:proofErr w:type="spellEnd"/>
      <w:r>
        <w:rPr>
          <w:rFonts w:cs="Times New Roman"/>
        </w:rPr>
        <w:t xml:space="preserve"> abolished its multiple existing </w:t>
      </w:r>
      <w:r w:rsidRPr="00A53FF8">
        <w:rPr>
          <w:rFonts w:cs="Times New Roman"/>
        </w:rPr>
        <w:t xml:space="preserve">research centres and groups in 2013 and set about establishing </w:t>
      </w:r>
      <w:r w:rsidR="00C160D8">
        <w:rPr>
          <w:rFonts w:cs="Times New Roman"/>
        </w:rPr>
        <w:t>seven</w:t>
      </w:r>
      <w:r w:rsidRPr="00A53FF8">
        <w:rPr>
          <w:rFonts w:cs="Times New Roman"/>
        </w:rPr>
        <w:t xml:space="preserve"> new Research Institutes to align with the mission of the University</w:t>
      </w:r>
      <w:r w:rsidR="003A6640">
        <w:rPr>
          <w:rStyle w:val="FootnoteReference"/>
        </w:rPr>
        <w:footnoteReference w:id="31"/>
      </w:r>
      <w:r w:rsidRPr="00A53FF8">
        <w:rPr>
          <w:rFonts w:cs="Times New Roman"/>
        </w:rPr>
        <w:t>:</w:t>
      </w:r>
    </w:p>
    <w:p w14:paraId="0E55893F" w14:textId="38CB478E" w:rsidR="00C160D8" w:rsidRPr="00F638BF" w:rsidRDefault="00C160D8" w:rsidP="00C160D8">
      <w:pPr>
        <w:pStyle w:val="ListParagraph"/>
        <w:numPr>
          <w:ilvl w:val="0"/>
          <w:numId w:val="14"/>
        </w:numPr>
        <w:jc w:val="both"/>
        <w:rPr>
          <w:rFonts w:ascii="Times New Roman" w:hAnsi="Times New Roman"/>
        </w:rPr>
      </w:pPr>
      <w:r w:rsidRPr="0022625D">
        <w:rPr>
          <w:rFonts w:ascii="Times New Roman" w:hAnsi="Times New Roman"/>
        </w:rPr>
        <w:t xml:space="preserve">The Mary </w:t>
      </w:r>
      <w:proofErr w:type="spellStart"/>
      <w:r w:rsidRPr="0022625D">
        <w:rPr>
          <w:rFonts w:ascii="Times New Roman" w:hAnsi="Times New Roman"/>
        </w:rPr>
        <w:t>MacKillop</w:t>
      </w:r>
      <w:proofErr w:type="spellEnd"/>
      <w:r w:rsidRPr="0022625D">
        <w:rPr>
          <w:rFonts w:ascii="Times New Roman" w:hAnsi="Times New Roman"/>
        </w:rPr>
        <w:t xml:space="preserve"> Institute for Health Research</w:t>
      </w:r>
    </w:p>
    <w:p w14:paraId="027EF1FC" w14:textId="04ABBAE0" w:rsidR="00C160D8" w:rsidRPr="00F638BF" w:rsidRDefault="00C160D8" w:rsidP="00C160D8">
      <w:pPr>
        <w:pStyle w:val="ListParagraph"/>
        <w:numPr>
          <w:ilvl w:val="0"/>
          <w:numId w:val="14"/>
        </w:numPr>
        <w:jc w:val="both"/>
        <w:rPr>
          <w:rFonts w:ascii="Times New Roman" w:hAnsi="Times New Roman"/>
        </w:rPr>
      </w:pPr>
      <w:r w:rsidRPr="00F638BF">
        <w:rPr>
          <w:rFonts w:ascii="Times New Roman" w:hAnsi="Times New Roman"/>
        </w:rPr>
        <w:t>Institute for Positive Psychology and Education (</w:t>
      </w:r>
      <w:proofErr w:type="spellStart"/>
      <w:r w:rsidRPr="00F638BF">
        <w:rPr>
          <w:rFonts w:ascii="Times New Roman" w:hAnsi="Times New Roman"/>
        </w:rPr>
        <w:t>IPPE</w:t>
      </w:r>
      <w:proofErr w:type="spellEnd"/>
      <w:r w:rsidRPr="00F638BF">
        <w:rPr>
          <w:rFonts w:ascii="Times New Roman" w:hAnsi="Times New Roman"/>
        </w:rPr>
        <w:t>)</w:t>
      </w:r>
      <w:r>
        <w:rPr>
          <w:rFonts w:ascii="Times New Roman" w:hAnsi="Times New Roman"/>
        </w:rPr>
        <w:t xml:space="preserve"> </w:t>
      </w:r>
    </w:p>
    <w:p w14:paraId="5B15F795" w14:textId="0FCFC33D" w:rsidR="00C160D8" w:rsidRDefault="00C160D8" w:rsidP="00C160D8">
      <w:pPr>
        <w:pStyle w:val="ListParagraph"/>
        <w:numPr>
          <w:ilvl w:val="0"/>
          <w:numId w:val="14"/>
        </w:numPr>
        <w:jc w:val="both"/>
        <w:rPr>
          <w:rFonts w:ascii="Times New Roman" w:hAnsi="Times New Roman"/>
        </w:rPr>
      </w:pPr>
      <w:r>
        <w:rPr>
          <w:rFonts w:ascii="Times New Roman" w:hAnsi="Times New Roman"/>
        </w:rPr>
        <w:t xml:space="preserve">The Institute for Health and Ageing </w:t>
      </w:r>
    </w:p>
    <w:p w14:paraId="74C80152" w14:textId="275FF2F3" w:rsidR="00C160D8" w:rsidRDefault="00C160D8" w:rsidP="00C160D8">
      <w:pPr>
        <w:pStyle w:val="ListParagraph"/>
        <w:numPr>
          <w:ilvl w:val="0"/>
          <w:numId w:val="14"/>
        </w:numPr>
        <w:jc w:val="both"/>
        <w:rPr>
          <w:rFonts w:ascii="Times New Roman" w:hAnsi="Times New Roman"/>
        </w:rPr>
      </w:pPr>
      <w:r w:rsidRPr="00F638BF">
        <w:rPr>
          <w:rFonts w:ascii="Times New Roman" w:hAnsi="Times New Roman"/>
        </w:rPr>
        <w:t>Learning Sciences Institute of Australia (</w:t>
      </w:r>
      <w:proofErr w:type="spellStart"/>
      <w:r w:rsidRPr="00F638BF">
        <w:rPr>
          <w:rFonts w:ascii="Times New Roman" w:hAnsi="Times New Roman"/>
        </w:rPr>
        <w:t>LSIA</w:t>
      </w:r>
      <w:proofErr w:type="spellEnd"/>
      <w:r w:rsidRPr="00F638BF">
        <w:rPr>
          <w:rFonts w:ascii="Times New Roman" w:hAnsi="Times New Roman"/>
        </w:rPr>
        <w:t>)</w:t>
      </w:r>
    </w:p>
    <w:p w14:paraId="37E790BD" w14:textId="067DE8FD" w:rsidR="00C160D8" w:rsidRDefault="00C160D8" w:rsidP="00C160D8">
      <w:pPr>
        <w:pStyle w:val="ListParagraph"/>
        <w:numPr>
          <w:ilvl w:val="0"/>
          <w:numId w:val="14"/>
        </w:numPr>
        <w:jc w:val="both"/>
        <w:rPr>
          <w:rFonts w:ascii="Times New Roman" w:hAnsi="Times New Roman"/>
        </w:rPr>
      </w:pPr>
      <w:r w:rsidRPr="00F638BF">
        <w:rPr>
          <w:rFonts w:ascii="Times New Roman" w:hAnsi="Times New Roman"/>
        </w:rPr>
        <w:t>Institute for Social Justice</w:t>
      </w:r>
      <w:r>
        <w:rPr>
          <w:rFonts w:ascii="Times New Roman" w:hAnsi="Times New Roman"/>
        </w:rPr>
        <w:t xml:space="preserve"> </w:t>
      </w:r>
    </w:p>
    <w:p w14:paraId="49A8765B" w14:textId="0092D47F" w:rsidR="00C160D8" w:rsidRDefault="00C160D8" w:rsidP="00C160D8">
      <w:pPr>
        <w:pStyle w:val="ListParagraph"/>
        <w:numPr>
          <w:ilvl w:val="0"/>
          <w:numId w:val="14"/>
        </w:numPr>
        <w:jc w:val="both"/>
        <w:rPr>
          <w:rFonts w:ascii="Times New Roman" w:hAnsi="Times New Roman"/>
        </w:rPr>
      </w:pPr>
      <w:r w:rsidRPr="00F638BF">
        <w:rPr>
          <w:rFonts w:ascii="Times New Roman" w:hAnsi="Times New Roman"/>
        </w:rPr>
        <w:t>Institute for Religion and Critical Inquiry</w:t>
      </w:r>
    </w:p>
    <w:p w14:paraId="5ED156C6" w14:textId="3D7476F1" w:rsidR="00C160D8" w:rsidRPr="007E20CF" w:rsidRDefault="00C160D8" w:rsidP="00C160D8">
      <w:pPr>
        <w:pStyle w:val="ListParagraph"/>
        <w:numPr>
          <w:ilvl w:val="0"/>
          <w:numId w:val="14"/>
        </w:numPr>
        <w:jc w:val="both"/>
        <w:rPr>
          <w:rFonts w:ascii="Times New Roman" w:hAnsi="Times New Roman"/>
        </w:rPr>
      </w:pPr>
      <w:r>
        <w:rPr>
          <w:rFonts w:ascii="Times New Roman" w:hAnsi="Times New Roman"/>
        </w:rPr>
        <w:t>Institute for Religion, Politics and Society (</w:t>
      </w:r>
      <w:proofErr w:type="spellStart"/>
      <w:r>
        <w:rPr>
          <w:rFonts w:ascii="Times New Roman" w:hAnsi="Times New Roman"/>
        </w:rPr>
        <w:t>IRPS</w:t>
      </w:r>
      <w:proofErr w:type="spellEnd"/>
      <w:r>
        <w:rPr>
          <w:rFonts w:ascii="Times New Roman" w:hAnsi="Times New Roman"/>
        </w:rPr>
        <w:t xml:space="preserve">) </w:t>
      </w:r>
    </w:p>
    <w:p w14:paraId="10A28734" w14:textId="77777777" w:rsidR="006C3301" w:rsidRPr="00A53FF8" w:rsidRDefault="006C3301" w:rsidP="006C3301">
      <w:pPr>
        <w:jc w:val="both"/>
        <w:rPr>
          <w:rFonts w:cs="Times New Roman"/>
        </w:rPr>
      </w:pPr>
      <w:proofErr w:type="spellStart"/>
      <w:r w:rsidRPr="00A53FF8">
        <w:rPr>
          <w:rFonts w:cs="Times New Roman"/>
        </w:rPr>
        <w:t>ACU’s</w:t>
      </w:r>
      <w:proofErr w:type="spellEnd"/>
      <w:r w:rsidRPr="00A53FF8">
        <w:rPr>
          <w:rFonts w:cs="Times New Roman"/>
        </w:rPr>
        <w:t xml:space="preserve"> research intensification strategy is a whole of university approach involving Institutes and Faculties. It has involved the appointment of high profile, externally sourced, leaders to assume the directorships of these institutes, </w:t>
      </w:r>
      <w:r>
        <w:rPr>
          <w:rFonts w:cs="Times New Roman"/>
        </w:rPr>
        <w:t xml:space="preserve">and to </w:t>
      </w:r>
      <w:r w:rsidRPr="00A53FF8">
        <w:rPr>
          <w:rFonts w:cs="Times New Roman"/>
        </w:rPr>
        <w:t>work with high calibre Institute members and Centre/Program leaders. The strategy involves:</w:t>
      </w:r>
    </w:p>
    <w:p w14:paraId="46297FF6" w14:textId="77777777" w:rsidR="006C3301" w:rsidRPr="00A53FF8" w:rsidRDefault="006C3301" w:rsidP="004F06EC">
      <w:pPr>
        <w:pStyle w:val="ListParagraph"/>
        <w:numPr>
          <w:ilvl w:val="0"/>
          <w:numId w:val="46"/>
        </w:numPr>
      </w:pPr>
      <w:r w:rsidRPr="00A53FF8">
        <w:t xml:space="preserve">Strategically directing research funding to research proposals judged by external panels as being of excellent quality. </w:t>
      </w:r>
    </w:p>
    <w:p w14:paraId="411EED0D" w14:textId="77777777" w:rsidR="006C3301" w:rsidRPr="00A53FF8" w:rsidRDefault="006C3301" w:rsidP="004F06EC">
      <w:pPr>
        <w:pStyle w:val="ListParagraph"/>
        <w:numPr>
          <w:ilvl w:val="0"/>
          <w:numId w:val="46"/>
        </w:numPr>
      </w:pPr>
      <w:r w:rsidRPr="00A53FF8">
        <w:t xml:space="preserve">Highly selective recruitment of researchers to form the membership of </w:t>
      </w:r>
      <w:proofErr w:type="spellStart"/>
      <w:r w:rsidRPr="00A53FF8">
        <w:t>ACU’s</w:t>
      </w:r>
      <w:proofErr w:type="spellEnd"/>
      <w:r w:rsidRPr="00A53FF8">
        <w:t xml:space="preserve"> research institutes, based on assessment that requires that each academic staff member has:</w:t>
      </w:r>
    </w:p>
    <w:p w14:paraId="5A78E470" w14:textId="77777777" w:rsidR="006C3301" w:rsidRPr="00A53FF8" w:rsidRDefault="006C3301" w:rsidP="004F06EC">
      <w:pPr>
        <w:pStyle w:val="ListParagraph"/>
        <w:numPr>
          <w:ilvl w:val="1"/>
          <w:numId w:val="46"/>
        </w:numPr>
      </w:pPr>
      <w:r w:rsidRPr="00A53FF8">
        <w:t>The capacity to make a significant contribution to the research programs of an institute.</w:t>
      </w:r>
    </w:p>
    <w:p w14:paraId="6AE078EC" w14:textId="77777777" w:rsidR="006C3301" w:rsidRPr="00A53FF8" w:rsidRDefault="006C3301" w:rsidP="004F06EC">
      <w:pPr>
        <w:pStyle w:val="ListParagraph"/>
        <w:numPr>
          <w:ilvl w:val="1"/>
          <w:numId w:val="15"/>
        </w:numPr>
      </w:pPr>
      <w:r w:rsidRPr="00A53FF8">
        <w:t>A demonstrated record of outstanding research aligned with one or more of the programs of an institute - normally demonstrated by success in attracting grant income (category 1, national competitive grant schemes) leading to outputs published in leading national or international journals and with prestigious book publishing houses.</w:t>
      </w:r>
    </w:p>
    <w:p w14:paraId="408BE694" w14:textId="77777777" w:rsidR="006C3301" w:rsidRPr="00A53FF8" w:rsidRDefault="006C3301" w:rsidP="004F06EC">
      <w:pPr>
        <w:pStyle w:val="ListParagraph"/>
        <w:numPr>
          <w:ilvl w:val="0"/>
          <w:numId w:val="15"/>
        </w:numPr>
      </w:pPr>
      <w:r w:rsidRPr="00A53FF8">
        <w:lastRenderedPageBreak/>
        <w:t xml:space="preserve">Internal capacity building to support and enable high achieving early career and mid-career researchers to contribute to specific research programs, led by more experienced researchers; and to provide a clear pathway from a faculty into an institute. </w:t>
      </w:r>
    </w:p>
    <w:p w14:paraId="5219845F" w14:textId="77777777" w:rsidR="006C3301" w:rsidRPr="00F60171" w:rsidRDefault="006C3301" w:rsidP="004F06EC">
      <w:pPr>
        <w:pStyle w:val="ListParagraph"/>
        <w:numPr>
          <w:ilvl w:val="0"/>
          <w:numId w:val="15"/>
        </w:numPr>
      </w:pPr>
      <w:r w:rsidRPr="00A53FF8">
        <w:t xml:space="preserve">Staff membership of an institute is reviewed annually, as part of the academic staff member’s </w:t>
      </w:r>
      <w:r w:rsidRPr="00F60171">
        <w:t>Performance Review and Planning process.</w:t>
      </w:r>
    </w:p>
    <w:p w14:paraId="3679D04C" w14:textId="2AA632AE" w:rsidR="009A5505" w:rsidRPr="00A53FF8" w:rsidRDefault="009A5505" w:rsidP="00E47072">
      <w:pPr>
        <w:pStyle w:val="Heading2"/>
      </w:pPr>
      <w:bookmarkStart w:id="12" w:name="_Toc394910746"/>
      <w:bookmarkStart w:id="13" w:name="_Toc405536652"/>
      <w:r w:rsidRPr="00F60171">
        <w:rPr>
          <w:sz w:val="22"/>
          <w:szCs w:val="22"/>
        </w:rPr>
        <w:t>Build International</w:t>
      </w:r>
      <w:r w:rsidRPr="00A53FF8">
        <w:t xml:space="preserve"> Research Engagement and Collaboration</w:t>
      </w:r>
      <w:bookmarkEnd w:id="12"/>
      <w:bookmarkEnd w:id="13"/>
    </w:p>
    <w:p w14:paraId="6F8936C1" w14:textId="77777777" w:rsidR="00F3013E" w:rsidRPr="00AF4034" w:rsidRDefault="009A5505" w:rsidP="009A5505">
      <w:pPr>
        <w:jc w:val="both"/>
        <w:rPr>
          <w:rFonts w:cs="Times New Roman"/>
        </w:rPr>
      </w:pPr>
      <w:r w:rsidRPr="00AF4034">
        <w:rPr>
          <w:rFonts w:cs="Times New Roman"/>
        </w:rPr>
        <w:t xml:space="preserve">It is not financially viable or advantageous for Australia to seek to build research expertise and leadership in all areas of research. </w:t>
      </w:r>
      <w:r w:rsidR="00F3013E" w:rsidRPr="00AF4034">
        <w:rPr>
          <w:rFonts w:cs="Times New Roman"/>
        </w:rPr>
        <w:t>The Government has itself identified that “w</w:t>
      </w:r>
      <w:r w:rsidR="00F3013E" w:rsidRPr="00AF4034">
        <w:t>e cannot research everything and should focus research in the national interest.”</w:t>
      </w:r>
      <w:r w:rsidR="00F3013E" w:rsidRPr="00AF4034">
        <w:rPr>
          <w:rStyle w:val="FootnoteReference"/>
        </w:rPr>
        <w:footnoteReference w:id="32"/>
      </w:r>
      <w:r w:rsidR="00F3013E" w:rsidRPr="00AF4034">
        <w:t xml:space="preserve"> </w:t>
      </w:r>
      <w:r w:rsidRPr="00AF4034">
        <w:rPr>
          <w:rFonts w:cs="Times New Roman"/>
        </w:rPr>
        <w:t xml:space="preserve">The reality also is that Australia is a small country, and there is a limited pool of researchers in any given research area in the country. </w:t>
      </w:r>
    </w:p>
    <w:p w14:paraId="7125BB53" w14:textId="7E068D4F" w:rsidR="009A5505" w:rsidRPr="00AF4034" w:rsidRDefault="009A5505" w:rsidP="009A5505">
      <w:pPr>
        <w:jc w:val="both"/>
        <w:rPr>
          <w:rFonts w:cs="Times New Roman"/>
        </w:rPr>
      </w:pPr>
      <w:r w:rsidRPr="00AF4034">
        <w:rPr>
          <w:rFonts w:cs="Times New Roman"/>
        </w:rPr>
        <w:t>There is significant advantage to be gained from tapping into research talent and advances overseas by collaborating with the world’s leading researchers and research institutes.</w:t>
      </w:r>
    </w:p>
    <w:p w14:paraId="6F37085B" w14:textId="77777777" w:rsidR="009A5505" w:rsidRPr="00AF4034" w:rsidRDefault="009A5505" w:rsidP="009A5505">
      <w:pPr>
        <w:jc w:val="both"/>
        <w:rPr>
          <w:rFonts w:cs="Times New Roman"/>
        </w:rPr>
      </w:pPr>
      <w:r w:rsidRPr="00AF4034">
        <w:rPr>
          <w:rFonts w:cs="Times New Roman"/>
        </w:rPr>
        <w:t xml:space="preserve">At </w:t>
      </w:r>
      <w:proofErr w:type="spellStart"/>
      <w:r w:rsidRPr="00AF4034">
        <w:rPr>
          <w:rFonts w:cs="Times New Roman"/>
        </w:rPr>
        <w:t>ACU</w:t>
      </w:r>
      <w:proofErr w:type="spellEnd"/>
      <w:r w:rsidRPr="00AF4034">
        <w:rPr>
          <w:rFonts w:cs="Times New Roman"/>
        </w:rPr>
        <w:t xml:space="preserve">, we have been actively working to lift our research networks and widen our external reach to boost research in our core areas of strength. A particular strategy we have adopted to build our international research engagement and collaboration has been to offer fractional appointments to leading international researchers, to actively engage them in research in Australia through </w:t>
      </w:r>
      <w:proofErr w:type="spellStart"/>
      <w:r w:rsidRPr="00AF4034">
        <w:rPr>
          <w:rFonts w:cs="Times New Roman"/>
        </w:rPr>
        <w:t>ACU</w:t>
      </w:r>
      <w:proofErr w:type="spellEnd"/>
      <w:r w:rsidRPr="00AF4034">
        <w:rPr>
          <w:rFonts w:cs="Times New Roman"/>
        </w:rPr>
        <w:t xml:space="preserve">. This builds strong professional relationships and substantial research connections and opportunities for </w:t>
      </w:r>
      <w:proofErr w:type="spellStart"/>
      <w:r w:rsidRPr="00AF4034">
        <w:rPr>
          <w:rFonts w:cs="Times New Roman"/>
        </w:rPr>
        <w:t>ACU</w:t>
      </w:r>
      <w:proofErr w:type="spellEnd"/>
      <w:r w:rsidRPr="00AF4034">
        <w:rPr>
          <w:rFonts w:cs="Times New Roman"/>
        </w:rPr>
        <w:t xml:space="preserve"> researchers to engage in collaborative research projects with their international counterparts. It also concurrently, albeit indirectly, opens up </w:t>
      </w:r>
      <w:proofErr w:type="spellStart"/>
      <w:r w:rsidRPr="00AF4034">
        <w:rPr>
          <w:rFonts w:cs="Times New Roman"/>
        </w:rPr>
        <w:t>ACU</w:t>
      </w:r>
      <w:proofErr w:type="spellEnd"/>
      <w:r w:rsidRPr="00AF4034">
        <w:rPr>
          <w:rFonts w:cs="Times New Roman"/>
        </w:rPr>
        <w:t xml:space="preserve"> researchers’ access to the flow-on benefits of international research grants secured by these fractional appointees overseas and particularly, to the cutting-edge research projects in </w:t>
      </w:r>
      <w:proofErr w:type="spellStart"/>
      <w:r w:rsidRPr="00AF4034">
        <w:rPr>
          <w:rFonts w:cs="Times New Roman"/>
        </w:rPr>
        <w:t>ACU’s</w:t>
      </w:r>
      <w:proofErr w:type="spellEnd"/>
      <w:r w:rsidRPr="00AF4034">
        <w:rPr>
          <w:rFonts w:cs="Times New Roman"/>
        </w:rPr>
        <w:t xml:space="preserve"> core research areas. Developing and securing more fractional appointments of leading international researchers to work in Australian universities is an efficient way to leverage the best minds in Australia and the rest of the world.</w:t>
      </w:r>
    </w:p>
    <w:p w14:paraId="529D8050" w14:textId="77777777" w:rsidR="009A5505" w:rsidRPr="00A53FF8" w:rsidRDefault="009A5505" w:rsidP="009A5505">
      <w:pPr>
        <w:jc w:val="both"/>
        <w:rPr>
          <w:rFonts w:cs="Times New Roman"/>
        </w:rPr>
      </w:pPr>
      <w:r w:rsidRPr="00AF4034">
        <w:rPr>
          <w:rFonts w:cs="Times New Roman"/>
        </w:rPr>
        <w:t xml:space="preserve">Additionally as part of our research intensification strategy, and </w:t>
      </w:r>
      <w:proofErr w:type="spellStart"/>
      <w:r w:rsidRPr="00AF4034">
        <w:rPr>
          <w:rFonts w:cs="Times New Roman"/>
        </w:rPr>
        <w:t>recognising</w:t>
      </w:r>
      <w:proofErr w:type="spellEnd"/>
      <w:r w:rsidRPr="00AF4034">
        <w:rPr>
          <w:rFonts w:cs="Times New Roman"/>
        </w:rPr>
        <w:t xml:space="preserve"> the strategic benefits that international research collaborations offer to Australian research</w:t>
      </w:r>
      <w:r w:rsidRPr="00A53FF8">
        <w:rPr>
          <w:rFonts w:cs="Times New Roman"/>
        </w:rPr>
        <w:t xml:space="preserve">, </w:t>
      </w:r>
      <w:proofErr w:type="spellStart"/>
      <w:r w:rsidRPr="00A53FF8">
        <w:rPr>
          <w:rFonts w:cs="Times New Roman"/>
        </w:rPr>
        <w:t>ACU</w:t>
      </w:r>
      <w:proofErr w:type="spellEnd"/>
      <w:r w:rsidRPr="00A53FF8">
        <w:rPr>
          <w:rFonts w:cs="Times New Roman"/>
        </w:rPr>
        <w:t xml:space="preserve"> requires its new research institutes to achieve the research performance that will enable them to establish collaborations with national and international concentrations of high quality researchers in the relevant fields. The appointment of professorial fellows on a part-time basis is a key strategy in facilitating these international partnerships, and is especially important in developing opportunities for early-career and emerging researchers who should benefit from opportunities to visit the prestigious institutions from which the professorial fellows will be coming. Equally, </w:t>
      </w:r>
      <w:proofErr w:type="spellStart"/>
      <w:r w:rsidRPr="00A53FF8">
        <w:rPr>
          <w:rFonts w:cs="Times New Roman"/>
        </w:rPr>
        <w:t>ACU</w:t>
      </w:r>
      <w:proofErr w:type="spellEnd"/>
      <w:r w:rsidRPr="00A53FF8">
        <w:rPr>
          <w:rFonts w:cs="Times New Roman"/>
        </w:rPr>
        <w:t xml:space="preserve"> is strengthening its research institutes through the recruitment of exceptional researchers based full-time at </w:t>
      </w:r>
      <w:proofErr w:type="spellStart"/>
      <w:r w:rsidRPr="00A53FF8">
        <w:rPr>
          <w:rFonts w:cs="Times New Roman"/>
        </w:rPr>
        <w:t>ACU</w:t>
      </w:r>
      <w:proofErr w:type="spellEnd"/>
      <w:r w:rsidRPr="00A53FF8">
        <w:rPr>
          <w:rFonts w:cs="Times New Roman"/>
        </w:rPr>
        <w:t xml:space="preserve">. The institutes will carry a significant responsibility for strengthening </w:t>
      </w:r>
      <w:proofErr w:type="spellStart"/>
      <w:r w:rsidRPr="00A53FF8">
        <w:rPr>
          <w:rFonts w:cs="Times New Roman"/>
        </w:rPr>
        <w:t>ACU’s</w:t>
      </w:r>
      <w:proofErr w:type="spellEnd"/>
      <w:r w:rsidRPr="00A53FF8">
        <w:rPr>
          <w:rFonts w:cs="Times New Roman"/>
        </w:rPr>
        <w:t xml:space="preserve"> research performance, profile and reputation into the future.</w:t>
      </w:r>
    </w:p>
    <w:p w14:paraId="4A647398" w14:textId="3F019CCB" w:rsidR="009A5505" w:rsidRPr="00A53FF8" w:rsidRDefault="009A5505" w:rsidP="009A5505">
      <w:pPr>
        <w:jc w:val="both"/>
        <w:rPr>
          <w:rFonts w:cs="Times New Roman"/>
        </w:rPr>
      </w:pPr>
      <w:r w:rsidRPr="00A53FF8">
        <w:rPr>
          <w:rFonts w:cs="Times New Roman"/>
        </w:rPr>
        <w:t>As articulated, there are significant benefits to be accrued by supporting and cultivating international research collaboration to</w:t>
      </w:r>
      <w:r w:rsidR="001D1BCD">
        <w:rPr>
          <w:rFonts w:cs="Times New Roman"/>
        </w:rPr>
        <w:t xml:space="preserve"> boost the commercial returns from research and</w:t>
      </w:r>
      <w:r w:rsidRPr="00A53FF8">
        <w:rPr>
          <w:rFonts w:cs="Times New Roman"/>
        </w:rPr>
        <w:t xml:space="preserve"> advance innovation in Australia. The following are core benefits accrued through international research engagement and collaboration:</w:t>
      </w:r>
    </w:p>
    <w:p w14:paraId="0AB37759" w14:textId="77777777" w:rsidR="009A5505" w:rsidRPr="00A53FF8" w:rsidRDefault="009A5505" w:rsidP="009A5505">
      <w:pPr>
        <w:pStyle w:val="ListParagraph"/>
        <w:numPr>
          <w:ilvl w:val="0"/>
          <w:numId w:val="20"/>
        </w:numPr>
        <w:jc w:val="both"/>
        <w:rPr>
          <w:rFonts w:ascii="Times New Roman" w:hAnsi="Times New Roman"/>
        </w:rPr>
      </w:pPr>
      <w:r w:rsidRPr="00A53FF8">
        <w:rPr>
          <w:rFonts w:ascii="Times New Roman" w:hAnsi="Times New Roman"/>
        </w:rPr>
        <w:lastRenderedPageBreak/>
        <w:t>Supports resource efficiency - the skills, knowledge and facilities required to advance particular research projects are not always housed in an individual research institution or researcher. Research collaboration and the pooling of resources can produce research outcomes more efficiently.</w:t>
      </w:r>
    </w:p>
    <w:p w14:paraId="21F63EBE" w14:textId="77777777" w:rsidR="009A5505" w:rsidRPr="00A53FF8" w:rsidRDefault="009A5505" w:rsidP="009A5505">
      <w:pPr>
        <w:pStyle w:val="ListParagraph"/>
        <w:numPr>
          <w:ilvl w:val="0"/>
          <w:numId w:val="20"/>
        </w:numPr>
        <w:jc w:val="both"/>
        <w:rPr>
          <w:rFonts w:ascii="Times New Roman" w:hAnsi="Times New Roman"/>
        </w:rPr>
      </w:pPr>
      <w:r w:rsidRPr="00A53FF8">
        <w:rPr>
          <w:rFonts w:ascii="Times New Roman" w:hAnsi="Times New Roman"/>
          <w:iCs/>
        </w:rPr>
        <w:t>Facilitates the transfer of knowledge and skills –</w:t>
      </w:r>
      <w:r w:rsidRPr="00A53FF8">
        <w:rPr>
          <w:rFonts w:ascii="Times New Roman" w:hAnsi="Times New Roman"/>
        </w:rPr>
        <w:t xml:space="preserve"> Engagement in international research collaboration can transfer new knowledge to Australian researchers more quickly and increase the likelihood of it being utilised and translated into outcomes that benefit the community. </w:t>
      </w:r>
    </w:p>
    <w:p w14:paraId="7ED1B558" w14:textId="77777777" w:rsidR="009A5505" w:rsidRPr="00A53FF8" w:rsidRDefault="009A5505" w:rsidP="009A5505">
      <w:pPr>
        <w:pStyle w:val="ListParagraph"/>
        <w:numPr>
          <w:ilvl w:val="0"/>
          <w:numId w:val="20"/>
        </w:numPr>
        <w:jc w:val="both"/>
        <w:rPr>
          <w:rFonts w:ascii="Times New Roman" w:hAnsi="Times New Roman"/>
        </w:rPr>
      </w:pPr>
      <w:r w:rsidRPr="00A53FF8">
        <w:rPr>
          <w:rFonts w:ascii="Times New Roman" w:hAnsi="Times New Roman"/>
          <w:iCs/>
        </w:rPr>
        <w:t>Stimulates creativity -</w:t>
      </w:r>
      <w:r w:rsidRPr="00A53FF8">
        <w:rPr>
          <w:rFonts w:ascii="Times New Roman" w:hAnsi="Times New Roman"/>
        </w:rPr>
        <w:t xml:space="preserve"> </w:t>
      </w:r>
      <w:r>
        <w:rPr>
          <w:rFonts w:ascii="Times New Roman" w:hAnsi="Times New Roman"/>
        </w:rPr>
        <w:t>C</w:t>
      </w:r>
      <w:r w:rsidRPr="00A53FF8">
        <w:rPr>
          <w:rFonts w:ascii="Times New Roman" w:hAnsi="Times New Roman"/>
        </w:rPr>
        <w:t xml:space="preserve">ollaboration </w:t>
      </w:r>
      <w:r>
        <w:rPr>
          <w:rFonts w:ascii="Times New Roman" w:hAnsi="Times New Roman"/>
        </w:rPr>
        <w:t xml:space="preserve">supports </w:t>
      </w:r>
      <w:r w:rsidRPr="00A53FF8">
        <w:rPr>
          <w:rFonts w:ascii="Times New Roman" w:hAnsi="Times New Roman"/>
        </w:rPr>
        <w:t xml:space="preserve">the cross-fertilisation of ideas that may in turn </w:t>
      </w:r>
      <w:r>
        <w:rPr>
          <w:rFonts w:ascii="Times New Roman" w:hAnsi="Times New Roman"/>
        </w:rPr>
        <w:t>“</w:t>
      </w:r>
      <w:r w:rsidRPr="00A53FF8">
        <w:rPr>
          <w:rFonts w:ascii="Times New Roman" w:hAnsi="Times New Roman"/>
        </w:rPr>
        <w:t>generate new insights or perspectives that individuals</w:t>
      </w:r>
      <w:r>
        <w:rPr>
          <w:rFonts w:ascii="Times New Roman" w:hAnsi="Times New Roman"/>
        </w:rPr>
        <w:t>,</w:t>
      </w:r>
      <w:r w:rsidRPr="00A53FF8">
        <w:rPr>
          <w:rFonts w:ascii="Times New Roman" w:hAnsi="Times New Roman"/>
        </w:rPr>
        <w:t xml:space="preserve"> working on their own</w:t>
      </w:r>
      <w:r>
        <w:rPr>
          <w:rFonts w:ascii="Times New Roman" w:hAnsi="Times New Roman"/>
        </w:rPr>
        <w:t>,</w:t>
      </w:r>
      <w:r w:rsidRPr="00A53FF8">
        <w:rPr>
          <w:rFonts w:ascii="Times New Roman" w:hAnsi="Times New Roman"/>
        </w:rPr>
        <w:t xml:space="preserve"> would not have grasped or grasped as quickly.</w:t>
      </w:r>
      <w:r>
        <w:rPr>
          <w:rFonts w:ascii="Times New Roman" w:hAnsi="Times New Roman"/>
        </w:rPr>
        <w:t>”</w:t>
      </w:r>
      <w:r w:rsidRPr="00A53FF8">
        <w:rPr>
          <w:rStyle w:val="FootnoteReference"/>
          <w:rFonts w:ascii="Times New Roman" w:hAnsi="Times New Roman"/>
        </w:rPr>
        <w:footnoteReference w:id="33"/>
      </w:r>
      <w:r w:rsidRPr="00A53FF8">
        <w:rPr>
          <w:rFonts w:ascii="Times New Roman" w:hAnsi="Times New Roman"/>
        </w:rPr>
        <w:t xml:space="preserve"> Such benefits are likely to be the largest when the collaboration involves partners from more divergent backgrounds. </w:t>
      </w:r>
    </w:p>
    <w:p w14:paraId="4E26E542" w14:textId="77777777" w:rsidR="009A5505" w:rsidRPr="00A53FF8" w:rsidRDefault="009A5505" w:rsidP="009A5505">
      <w:pPr>
        <w:pStyle w:val="ListParagraph"/>
        <w:numPr>
          <w:ilvl w:val="0"/>
          <w:numId w:val="20"/>
        </w:numPr>
        <w:jc w:val="both"/>
        <w:rPr>
          <w:rFonts w:ascii="Times New Roman" w:hAnsi="Times New Roman"/>
        </w:rPr>
      </w:pPr>
      <w:r w:rsidRPr="00A53FF8">
        <w:rPr>
          <w:rFonts w:ascii="Times New Roman" w:hAnsi="Times New Roman"/>
          <w:iCs/>
        </w:rPr>
        <w:t>Extends research networks</w:t>
      </w:r>
      <w:r w:rsidRPr="00A53FF8">
        <w:rPr>
          <w:rFonts w:ascii="Times New Roman" w:hAnsi="Times New Roman"/>
        </w:rPr>
        <w:t xml:space="preserve"> and lifts productivity – Fostering international collaboration can extend the contacts individual researchers have with other researchers in their research fields around the world, who they can contact for information or advice to further their research and enhance research productivity.</w:t>
      </w:r>
    </w:p>
    <w:p w14:paraId="4535EB38" w14:textId="77777777" w:rsidR="009A5505" w:rsidRPr="00A53FF8" w:rsidRDefault="009A5505" w:rsidP="009A5505">
      <w:pPr>
        <w:pStyle w:val="ListParagraph"/>
        <w:numPr>
          <w:ilvl w:val="0"/>
          <w:numId w:val="20"/>
        </w:numPr>
        <w:jc w:val="both"/>
        <w:rPr>
          <w:rFonts w:ascii="Times New Roman" w:hAnsi="Times New Roman"/>
        </w:rPr>
      </w:pPr>
      <w:r w:rsidRPr="00A53FF8">
        <w:rPr>
          <w:rFonts w:ascii="Times New Roman" w:hAnsi="Times New Roman"/>
          <w:iCs/>
        </w:rPr>
        <w:t>Enhances research impact and dissemination</w:t>
      </w:r>
      <w:r w:rsidRPr="00A53FF8">
        <w:rPr>
          <w:rFonts w:ascii="Times New Roman" w:hAnsi="Times New Roman"/>
          <w:i/>
          <w:iCs/>
        </w:rPr>
        <w:t xml:space="preserve"> - </w:t>
      </w:r>
      <w:r w:rsidRPr="00A53FF8">
        <w:rPr>
          <w:rFonts w:ascii="Times New Roman" w:hAnsi="Times New Roman"/>
        </w:rPr>
        <w:t xml:space="preserve">Using the increased network capability, findings can be </w:t>
      </w:r>
      <w:r>
        <w:rPr>
          <w:rFonts w:ascii="Times New Roman" w:hAnsi="Times New Roman"/>
        </w:rPr>
        <w:t>“</w:t>
      </w:r>
      <w:r w:rsidRPr="00A53FF8">
        <w:rPr>
          <w:rFonts w:ascii="Times New Roman" w:hAnsi="Times New Roman"/>
        </w:rPr>
        <w:t>disseminated more widely, either formally through publications and conference presentations or informally through discussions</w:t>
      </w:r>
      <w:r>
        <w:rPr>
          <w:rFonts w:ascii="Times New Roman" w:hAnsi="Times New Roman"/>
        </w:rPr>
        <w:t>.</w:t>
      </w:r>
      <w:r w:rsidRPr="00A53FF8">
        <w:rPr>
          <w:rFonts w:ascii="Times New Roman" w:hAnsi="Times New Roman"/>
        </w:rPr>
        <w:t xml:space="preserve"> The chances are greater that literature review searches will produce one of the collaborating authors, increasing the likelihood that the results of the research will be located and used by others</w:t>
      </w:r>
      <w:r>
        <w:rPr>
          <w:rFonts w:ascii="Times New Roman" w:hAnsi="Times New Roman"/>
        </w:rPr>
        <w:t>.”</w:t>
      </w:r>
      <w:r>
        <w:rPr>
          <w:rStyle w:val="FootnoteReference"/>
          <w:rFonts w:ascii="Times New Roman" w:hAnsi="Times New Roman"/>
        </w:rPr>
        <w:footnoteReference w:id="34"/>
      </w:r>
      <w:r>
        <w:rPr>
          <w:rFonts w:ascii="Times New Roman" w:hAnsi="Times New Roman"/>
        </w:rPr>
        <w:t xml:space="preserve"> Consequently, the</w:t>
      </w:r>
      <w:r w:rsidRPr="00A53FF8">
        <w:rPr>
          <w:rFonts w:ascii="Times New Roman" w:hAnsi="Times New Roman"/>
        </w:rPr>
        <w:t xml:space="preserve"> findings are likely to have greater impact.</w:t>
      </w:r>
    </w:p>
    <w:p w14:paraId="408D9FCE" w14:textId="77777777" w:rsidR="009A5505" w:rsidRDefault="009A5505" w:rsidP="009A5505">
      <w:pPr>
        <w:pStyle w:val="PlainText"/>
        <w:rPr>
          <w:rFonts w:ascii="Times New Roman" w:hAnsi="Times New Roman" w:cs="Times New Roman"/>
          <w:szCs w:val="22"/>
          <w:highlight w:val="yellow"/>
        </w:rPr>
      </w:pPr>
    </w:p>
    <w:p w14:paraId="4D2BD83F" w14:textId="2787EB6B" w:rsidR="0029741A" w:rsidRDefault="0029741A" w:rsidP="00EE7FEC">
      <w:pPr>
        <w:jc w:val="both"/>
        <w:rPr>
          <w:rFonts w:cs="Times New Roman"/>
        </w:rPr>
      </w:pPr>
    </w:p>
    <w:p w14:paraId="6B6A4DD5" w14:textId="77777777" w:rsidR="00BE710C" w:rsidRDefault="00BE710C" w:rsidP="00EE7FEC">
      <w:pPr>
        <w:jc w:val="both"/>
        <w:rPr>
          <w:noProof/>
        </w:rPr>
      </w:pPr>
    </w:p>
    <w:p w14:paraId="510C9863" w14:textId="77777777" w:rsidR="004318BB" w:rsidRDefault="004318BB" w:rsidP="00F724AF">
      <w:pPr>
        <w:pStyle w:val="Heading1"/>
        <w:rPr>
          <w:noProof/>
        </w:rPr>
      </w:pPr>
      <w:r>
        <w:rPr>
          <w:noProof/>
        </w:rPr>
        <w:br w:type="page"/>
      </w:r>
    </w:p>
    <w:p w14:paraId="61B9CA6A" w14:textId="04A535C6" w:rsidR="000405F3" w:rsidRDefault="000405F3" w:rsidP="00F724AF">
      <w:pPr>
        <w:pStyle w:val="Heading1"/>
        <w:rPr>
          <w:b w:val="0"/>
        </w:rPr>
      </w:pPr>
      <w:bookmarkStart w:id="14" w:name="_Toc405536653"/>
      <w:r w:rsidRPr="000405F3">
        <w:rPr>
          <w:noProof/>
        </w:rPr>
        <w:lastRenderedPageBreak/>
        <w:t>A</w:t>
      </w:r>
      <w:r w:rsidR="00E801FF">
        <w:rPr>
          <w:noProof/>
        </w:rPr>
        <w:t xml:space="preserve">ppendix </w:t>
      </w:r>
      <w:r w:rsidRPr="00F724AF">
        <w:t>A</w:t>
      </w:r>
      <w:r w:rsidR="00F724AF" w:rsidRPr="00F724AF">
        <w:t xml:space="preserve"> - </w:t>
      </w:r>
      <w:r w:rsidRPr="00F724AF">
        <w:t>Australian Catholic University (</w:t>
      </w:r>
      <w:proofErr w:type="spellStart"/>
      <w:r w:rsidRPr="00F724AF">
        <w:t>ACU</w:t>
      </w:r>
      <w:proofErr w:type="spellEnd"/>
      <w:r w:rsidRPr="00F724AF">
        <w:t>) Profile</w:t>
      </w:r>
      <w:bookmarkEnd w:id="14"/>
    </w:p>
    <w:p w14:paraId="32709EBF" w14:textId="77777777" w:rsidR="00E366B6" w:rsidRPr="00F638BF" w:rsidRDefault="00E366B6" w:rsidP="00E366B6">
      <w:pPr>
        <w:jc w:val="both"/>
        <w:rPr>
          <w:rFonts w:cs="Times New Roman"/>
        </w:rPr>
      </w:pPr>
      <w:r w:rsidRPr="00F638BF">
        <w:rPr>
          <w:rFonts w:cs="Times New Roman"/>
        </w:rPr>
        <w:t>Australian Catholic University (</w:t>
      </w:r>
      <w:proofErr w:type="spellStart"/>
      <w:r w:rsidRPr="00F638BF">
        <w:rPr>
          <w:rFonts w:cs="Times New Roman"/>
        </w:rPr>
        <w:t>ACU</w:t>
      </w:r>
      <w:proofErr w:type="spellEnd"/>
      <w:r w:rsidRPr="00F638BF">
        <w:rPr>
          <w:rFonts w:cs="Times New Roman"/>
        </w:rPr>
        <w:t xml:space="preserve">) is a publicly funded Catholic university, open to people of all faiths and of none. </w:t>
      </w:r>
      <w:proofErr w:type="spellStart"/>
      <w:r w:rsidRPr="00F638BF">
        <w:rPr>
          <w:rFonts w:cs="Times New Roman"/>
        </w:rPr>
        <w:t>ACU</w:t>
      </w:r>
      <w:proofErr w:type="spellEnd"/>
      <w:r w:rsidRPr="00F638BF">
        <w:rPr>
          <w:rFonts w:cs="Times New Roman"/>
        </w:rPr>
        <w:t xml:space="preserve"> operates as a multi-jurisdictional university with seven campuses across four states and one territory. </w:t>
      </w:r>
      <w:proofErr w:type="spellStart"/>
      <w:r w:rsidRPr="00F638BF">
        <w:rPr>
          <w:rFonts w:cs="Times New Roman"/>
        </w:rPr>
        <w:t>ACU</w:t>
      </w:r>
      <w:proofErr w:type="spellEnd"/>
      <w:r w:rsidRPr="00F638BF">
        <w:rPr>
          <w:rFonts w:cs="Times New Roman"/>
        </w:rPr>
        <w:t xml:space="preserve"> campuses are located in North Sydney (NSW), Strathfield (NSW), Canberra (ACT), Melbourne (Victoria), Ballarat (Victoria), Brisbane (QLD) and Adelaide (SA). </w:t>
      </w:r>
    </w:p>
    <w:p w14:paraId="413D109B" w14:textId="77777777" w:rsidR="00E366B6" w:rsidRPr="00F638BF" w:rsidRDefault="00E366B6" w:rsidP="00E366B6">
      <w:pPr>
        <w:jc w:val="both"/>
        <w:rPr>
          <w:rFonts w:cs="Times New Roman"/>
        </w:rPr>
      </w:pPr>
      <w:proofErr w:type="spellStart"/>
      <w:r w:rsidRPr="00F638BF">
        <w:rPr>
          <w:rFonts w:cs="Times New Roman"/>
        </w:rPr>
        <w:t>ACU</w:t>
      </w:r>
      <w:proofErr w:type="spellEnd"/>
      <w:r w:rsidRPr="00F638BF">
        <w:rPr>
          <w:rFonts w:cs="Times New Roman"/>
        </w:rPr>
        <w:t xml:space="preserve"> is the largest Catholic university in the English speaking world.</w:t>
      </w:r>
    </w:p>
    <w:p w14:paraId="0FF896B4" w14:textId="77777777" w:rsidR="00E366B6" w:rsidRPr="00F638BF" w:rsidRDefault="00E366B6" w:rsidP="00E366B6">
      <w:pPr>
        <w:jc w:val="both"/>
        <w:rPr>
          <w:rFonts w:cs="Times New Roman"/>
        </w:rPr>
      </w:pPr>
      <w:r w:rsidRPr="00F638BF">
        <w:rPr>
          <w:rFonts w:cs="Times New Roman"/>
        </w:rPr>
        <w:t xml:space="preserve">Today, </w:t>
      </w:r>
      <w:proofErr w:type="spellStart"/>
      <w:r w:rsidRPr="00F638BF">
        <w:rPr>
          <w:rFonts w:cs="Times New Roman"/>
        </w:rPr>
        <w:t>ACU</w:t>
      </w:r>
      <w:proofErr w:type="spellEnd"/>
      <w:r w:rsidRPr="00F638BF">
        <w:rPr>
          <w:rFonts w:cs="Times New Roman"/>
        </w:rPr>
        <w:t xml:space="preserve"> has more than 30,000 students and over 1,800 staff.</w:t>
      </w:r>
    </w:p>
    <w:p w14:paraId="5905418F" w14:textId="77777777" w:rsidR="00E366B6" w:rsidRPr="00F638BF" w:rsidRDefault="00E366B6" w:rsidP="00E366B6">
      <w:pPr>
        <w:jc w:val="both"/>
        <w:rPr>
          <w:rFonts w:cs="Times New Roman"/>
        </w:rPr>
      </w:pPr>
      <w:r w:rsidRPr="00F638BF">
        <w:rPr>
          <w:rFonts w:cs="Times New Roman"/>
        </w:rPr>
        <w:t xml:space="preserve">While teaching, learning, and research at </w:t>
      </w:r>
      <w:proofErr w:type="spellStart"/>
      <w:r w:rsidRPr="00F638BF">
        <w:rPr>
          <w:rFonts w:cs="Times New Roman"/>
        </w:rPr>
        <w:t>ACU</w:t>
      </w:r>
      <w:proofErr w:type="spellEnd"/>
      <w:r w:rsidRPr="00F638BF">
        <w:rPr>
          <w:rFonts w:cs="Times New Roman"/>
        </w:rPr>
        <w:t xml:space="preserve"> is inspired by 2000 years of Catholic intellectual tradition, </w:t>
      </w:r>
      <w:proofErr w:type="spellStart"/>
      <w:r w:rsidRPr="00F638BF">
        <w:rPr>
          <w:rFonts w:cs="Times New Roman"/>
        </w:rPr>
        <w:t>ACU</w:t>
      </w:r>
      <w:proofErr w:type="spellEnd"/>
      <w:r w:rsidRPr="00F638BF">
        <w:rPr>
          <w:rFonts w:cs="Times New Roman"/>
        </w:rPr>
        <w:t xml:space="preserve"> is a diverse institution, attracting students and staff from a diverse range of faiths and backgrounds.</w:t>
      </w:r>
    </w:p>
    <w:p w14:paraId="52BEA59F" w14:textId="77777777" w:rsidR="00E366B6" w:rsidRPr="00F638BF" w:rsidRDefault="00E366B6" w:rsidP="00E366B6">
      <w:pPr>
        <w:jc w:val="both"/>
        <w:rPr>
          <w:rFonts w:cs="Times New Roman"/>
        </w:rPr>
      </w:pPr>
      <w:proofErr w:type="spellStart"/>
      <w:r w:rsidRPr="00F638BF">
        <w:rPr>
          <w:rFonts w:cs="Times New Roman"/>
        </w:rPr>
        <w:t>ACU</w:t>
      </w:r>
      <w:proofErr w:type="spellEnd"/>
      <w:r w:rsidRPr="00F638BF">
        <w:rPr>
          <w:rFonts w:cs="Times New Roman"/>
        </w:rPr>
        <w:t xml:space="preserve"> graduates demonstrate high standards of professional excellence and are also socially responsible, highly employable and committed to active and responsive learning. </w:t>
      </w:r>
      <w:proofErr w:type="spellStart"/>
      <w:r w:rsidRPr="00F638BF">
        <w:rPr>
          <w:rFonts w:cs="Times New Roman"/>
        </w:rPr>
        <w:t>ACU</w:t>
      </w:r>
      <w:proofErr w:type="spellEnd"/>
      <w:r w:rsidRPr="00F638BF">
        <w:rPr>
          <w:rFonts w:cs="Times New Roman"/>
        </w:rPr>
        <w:t xml:space="preserve"> graduates are highly sought after by employers, with </w:t>
      </w:r>
      <w:proofErr w:type="spellStart"/>
      <w:r w:rsidRPr="00F638BF">
        <w:rPr>
          <w:rFonts w:cs="Times New Roman"/>
        </w:rPr>
        <w:t>ACU</w:t>
      </w:r>
      <w:proofErr w:type="spellEnd"/>
      <w:r w:rsidRPr="00F638BF">
        <w:rPr>
          <w:rFonts w:cs="Times New Roman"/>
        </w:rPr>
        <w:t xml:space="preserve"> graduates securing a 95 per cent employment rate which is higher than the national average.</w:t>
      </w:r>
      <w:r w:rsidRPr="00F638BF">
        <w:rPr>
          <w:rStyle w:val="FootnoteReference"/>
        </w:rPr>
        <w:footnoteReference w:id="35"/>
      </w:r>
      <w:r w:rsidRPr="00F638BF">
        <w:rPr>
          <w:rFonts w:cs="Times New Roman"/>
        </w:rPr>
        <w:t xml:space="preserve"> </w:t>
      </w:r>
    </w:p>
    <w:p w14:paraId="3E62AC10" w14:textId="77777777" w:rsidR="00E366B6" w:rsidRPr="00F638BF" w:rsidRDefault="00E366B6" w:rsidP="00E366B6">
      <w:pPr>
        <w:jc w:val="both"/>
        <w:rPr>
          <w:rFonts w:cs="Times New Roman"/>
        </w:rPr>
      </w:pPr>
      <w:proofErr w:type="spellStart"/>
      <w:r w:rsidRPr="00F638BF">
        <w:rPr>
          <w:rFonts w:cs="Times New Roman"/>
        </w:rPr>
        <w:t>ACU</w:t>
      </w:r>
      <w:proofErr w:type="spellEnd"/>
      <w:r w:rsidRPr="00F638BF">
        <w:rPr>
          <w:rFonts w:cs="Times New Roman"/>
        </w:rPr>
        <w:t xml:space="preserve"> has built its reputation in the areas of Health and Education and is a major producer of nursing and teaching graduates in Australia.</w:t>
      </w:r>
    </w:p>
    <w:p w14:paraId="5A371615" w14:textId="68F960D9" w:rsidR="00E366B6" w:rsidRPr="00F638BF" w:rsidRDefault="00E366B6" w:rsidP="00E366B6">
      <w:pPr>
        <w:jc w:val="both"/>
        <w:rPr>
          <w:rFonts w:cs="Times New Roman"/>
        </w:rPr>
      </w:pPr>
      <w:proofErr w:type="spellStart"/>
      <w:r w:rsidRPr="00F638BF">
        <w:rPr>
          <w:rFonts w:cs="Times New Roman"/>
        </w:rPr>
        <w:t>ACU</w:t>
      </w:r>
      <w:proofErr w:type="spellEnd"/>
      <w:r w:rsidRPr="00F638BF">
        <w:rPr>
          <w:rFonts w:cs="Times New Roman"/>
        </w:rPr>
        <w:t xml:space="preserve"> </w:t>
      </w:r>
      <w:r>
        <w:rPr>
          <w:rFonts w:cs="Times New Roman"/>
        </w:rPr>
        <w:t>educates</w:t>
      </w:r>
      <w:r w:rsidRPr="00F638BF">
        <w:rPr>
          <w:rFonts w:cs="Times New Roman"/>
        </w:rPr>
        <w:t xml:space="preserve"> the largest number of undergraduate nursing </w:t>
      </w:r>
      <w:r>
        <w:rPr>
          <w:rFonts w:cs="Times New Roman"/>
        </w:rPr>
        <w:t xml:space="preserve">and teaching </w:t>
      </w:r>
      <w:r w:rsidRPr="00F638BF">
        <w:rPr>
          <w:rFonts w:cs="Times New Roman"/>
        </w:rPr>
        <w:t>students in Australia,</w:t>
      </w:r>
      <w:r w:rsidRPr="00F638BF">
        <w:rPr>
          <w:rStyle w:val="FootnoteReference"/>
        </w:rPr>
        <w:footnoteReference w:id="36"/>
      </w:r>
      <w:r>
        <w:rPr>
          <w:rFonts w:cs="Times New Roman"/>
        </w:rPr>
        <w:t xml:space="preserve"> </w:t>
      </w:r>
      <w:r w:rsidRPr="00F638BF">
        <w:rPr>
          <w:rFonts w:cs="Times New Roman"/>
        </w:rPr>
        <w:t xml:space="preserve">serving to meet significant workforce needs in these areas. Under the demand driven system, </w:t>
      </w:r>
      <w:proofErr w:type="spellStart"/>
      <w:r w:rsidRPr="00F638BF">
        <w:rPr>
          <w:rFonts w:cs="Times New Roman"/>
        </w:rPr>
        <w:t>ACU</w:t>
      </w:r>
      <w:proofErr w:type="spellEnd"/>
      <w:r w:rsidRPr="00F638BF">
        <w:rPr>
          <w:rFonts w:cs="Times New Roman"/>
        </w:rPr>
        <w:t xml:space="preserve"> has sought to focus and build on these strengths.</w:t>
      </w:r>
    </w:p>
    <w:p w14:paraId="3B9FA6BF" w14:textId="77777777" w:rsidR="00E366B6" w:rsidRPr="00F638BF" w:rsidRDefault="00E366B6" w:rsidP="00E366B6">
      <w:pPr>
        <w:jc w:val="both"/>
        <w:rPr>
          <w:rFonts w:cs="Times New Roman"/>
        </w:rPr>
      </w:pPr>
      <w:r w:rsidRPr="00F638BF">
        <w:rPr>
          <w:rFonts w:cs="Times New Roman"/>
        </w:rPr>
        <w:t xml:space="preserve">On 1 January 2014, </w:t>
      </w:r>
      <w:proofErr w:type="spellStart"/>
      <w:r w:rsidRPr="00F638BF">
        <w:rPr>
          <w:rFonts w:cs="Times New Roman"/>
        </w:rPr>
        <w:t>ACU</w:t>
      </w:r>
      <w:proofErr w:type="spellEnd"/>
      <w:r w:rsidRPr="00F638BF">
        <w:rPr>
          <w:rFonts w:cs="Times New Roman"/>
        </w:rPr>
        <w:t xml:space="preserve"> consolidated its previous six faculties into four: </w:t>
      </w:r>
    </w:p>
    <w:p w14:paraId="76CCCAF8" w14:textId="77777777" w:rsidR="00E366B6" w:rsidRPr="00F638BF" w:rsidRDefault="00E366B6" w:rsidP="004F06EC">
      <w:pPr>
        <w:pStyle w:val="ListParagraph"/>
        <w:numPr>
          <w:ilvl w:val="0"/>
          <w:numId w:val="48"/>
        </w:numPr>
      </w:pPr>
      <w:r w:rsidRPr="00F638BF">
        <w:t xml:space="preserve">Faculty of Health Sciences; </w:t>
      </w:r>
    </w:p>
    <w:p w14:paraId="29938747" w14:textId="77777777" w:rsidR="00E366B6" w:rsidRPr="00F638BF" w:rsidRDefault="00E366B6" w:rsidP="004F06EC">
      <w:pPr>
        <w:pStyle w:val="ListParagraph"/>
        <w:numPr>
          <w:ilvl w:val="0"/>
          <w:numId w:val="48"/>
        </w:numPr>
      </w:pPr>
      <w:r w:rsidRPr="00F638BF">
        <w:t xml:space="preserve">Faculty of Education and Arts; </w:t>
      </w:r>
    </w:p>
    <w:p w14:paraId="1BB979F3" w14:textId="77777777" w:rsidR="00E366B6" w:rsidRPr="00F638BF" w:rsidRDefault="00E366B6" w:rsidP="004F06EC">
      <w:pPr>
        <w:pStyle w:val="ListParagraph"/>
        <w:numPr>
          <w:ilvl w:val="0"/>
          <w:numId w:val="48"/>
        </w:numPr>
      </w:pPr>
      <w:r w:rsidRPr="00F638BF">
        <w:t xml:space="preserve">Faculty of Law and Business; and </w:t>
      </w:r>
    </w:p>
    <w:p w14:paraId="358819DF" w14:textId="77777777" w:rsidR="00E366B6" w:rsidRPr="00F638BF" w:rsidRDefault="00E366B6" w:rsidP="004F06EC">
      <w:pPr>
        <w:pStyle w:val="ListParagraph"/>
        <w:numPr>
          <w:ilvl w:val="0"/>
          <w:numId w:val="48"/>
        </w:numPr>
      </w:pPr>
      <w:r w:rsidRPr="00F638BF">
        <w:t xml:space="preserve">Faculty of Theology and Philosophy. </w:t>
      </w:r>
    </w:p>
    <w:p w14:paraId="02A40F07" w14:textId="77777777" w:rsidR="00E366B6" w:rsidRPr="00F638BF" w:rsidRDefault="00E366B6" w:rsidP="00E366B6">
      <w:pPr>
        <w:jc w:val="both"/>
        <w:rPr>
          <w:rFonts w:cs="Times New Roman"/>
        </w:rPr>
      </w:pPr>
      <w:r w:rsidRPr="00F638BF">
        <w:rPr>
          <w:rFonts w:cs="Times New Roman"/>
        </w:rPr>
        <w:t xml:space="preserve">These new arrangements create a more efficient and competitive structure focused on the needs of industry and employment partners. </w:t>
      </w:r>
      <w:proofErr w:type="spellStart"/>
      <w:r w:rsidRPr="00F638BF">
        <w:rPr>
          <w:rFonts w:cs="Times New Roman"/>
        </w:rPr>
        <w:t>ACU</w:t>
      </w:r>
      <w:proofErr w:type="spellEnd"/>
      <w:r w:rsidRPr="00F638BF">
        <w:rPr>
          <w:rFonts w:cs="Times New Roman"/>
        </w:rPr>
        <w:t xml:space="preserve"> is also moving towards the adoption of a shared services model where suitable, to improve efficiencies, internal processes and better allocate resources. </w:t>
      </w:r>
    </w:p>
    <w:p w14:paraId="6086E934" w14:textId="77777777" w:rsidR="00BB1277" w:rsidRDefault="00E366B6" w:rsidP="00E366B6">
      <w:pPr>
        <w:jc w:val="both"/>
        <w:rPr>
          <w:rFonts w:cs="Times New Roman"/>
        </w:rPr>
      </w:pPr>
      <w:proofErr w:type="spellStart"/>
      <w:r w:rsidRPr="00F638BF">
        <w:rPr>
          <w:rFonts w:cs="Times New Roman"/>
        </w:rPr>
        <w:t>ACU</w:t>
      </w:r>
      <w:proofErr w:type="spellEnd"/>
      <w:r w:rsidRPr="00F638BF">
        <w:rPr>
          <w:rFonts w:cs="Times New Roman"/>
        </w:rPr>
        <w:t xml:space="preserve"> is committed to targeted and </w:t>
      </w:r>
      <w:r w:rsidRPr="0022625D">
        <w:rPr>
          <w:rFonts w:cs="Times New Roman"/>
        </w:rPr>
        <w:t xml:space="preserve">quality research. </w:t>
      </w:r>
      <w:proofErr w:type="spellStart"/>
      <w:r w:rsidRPr="0022625D">
        <w:rPr>
          <w:rFonts w:cs="Times New Roman"/>
        </w:rPr>
        <w:t>ACU’s</w:t>
      </w:r>
      <w:proofErr w:type="spellEnd"/>
      <w:r w:rsidRPr="0022625D">
        <w:rPr>
          <w:rFonts w:cs="Times New Roman"/>
        </w:rPr>
        <w:t xml:space="preserve"> strategic plan focuses on areas that align with </w:t>
      </w:r>
      <w:proofErr w:type="spellStart"/>
      <w:r w:rsidRPr="0022625D">
        <w:rPr>
          <w:rFonts w:cs="Times New Roman"/>
        </w:rPr>
        <w:t>ACU’s</w:t>
      </w:r>
      <w:proofErr w:type="spellEnd"/>
      <w:r w:rsidRPr="0022625D">
        <w:rPr>
          <w:rFonts w:cs="Times New Roman"/>
        </w:rPr>
        <w:t xml:space="preserve"> mission and reflect most of its learning and teaching: Education; Health and Wellbeing; Theology and Philosophy; and Social Justice and the Common Good. </w:t>
      </w:r>
    </w:p>
    <w:p w14:paraId="5A473152" w14:textId="32AD6621" w:rsidR="00E366B6" w:rsidRPr="0022625D" w:rsidRDefault="00E366B6" w:rsidP="00E366B6">
      <w:pPr>
        <w:jc w:val="both"/>
        <w:rPr>
          <w:rFonts w:cs="Times New Roman"/>
        </w:rPr>
      </w:pPr>
      <w:r w:rsidRPr="0022625D">
        <w:rPr>
          <w:rFonts w:cs="Times New Roman"/>
        </w:rPr>
        <w:t xml:space="preserve">To underpin its plan for research intensification, in 2013 </w:t>
      </w:r>
      <w:proofErr w:type="spellStart"/>
      <w:r w:rsidRPr="0022625D">
        <w:rPr>
          <w:rFonts w:cs="Times New Roman"/>
        </w:rPr>
        <w:t>ACU</w:t>
      </w:r>
      <w:proofErr w:type="spellEnd"/>
      <w:r w:rsidRPr="0022625D">
        <w:rPr>
          <w:rFonts w:cs="Times New Roman"/>
        </w:rPr>
        <w:t xml:space="preserve"> abolished its existing research </w:t>
      </w:r>
      <w:proofErr w:type="spellStart"/>
      <w:r w:rsidRPr="0022625D">
        <w:rPr>
          <w:rFonts w:cs="Times New Roman"/>
        </w:rPr>
        <w:t>centres</w:t>
      </w:r>
      <w:proofErr w:type="spellEnd"/>
      <w:r w:rsidRPr="0022625D">
        <w:rPr>
          <w:rFonts w:cs="Times New Roman"/>
        </w:rPr>
        <w:t xml:space="preserve"> and groups and set about establishing new </w:t>
      </w:r>
      <w:r>
        <w:rPr>
          <w:rFonts w:cs="Times New Roman"/>
        </w:rPr>
        <w:t>research institutes,</w:t>
      </w:r>
      <w:r w:rsidRPr="0022625D">
        <w:rPr>
          <w:rFonts w:cs="Times New Roman"/>
        </w:rPr>
        <w:t xml:space="preserve"> to align with the mission of the university. </w:t>
      </w:r>
      <w:r w:rsidRPr="0022625D">
        <w:rPr>
          <w:rFonts w:cs="Times New Roman"/>
        </w:rPr>
        <w:lastRenderedPageBreak/>
        <w:t xml:space="preserve">The strategy has involved the appointment of high profile leaders to assume the directorships of these institutes, and to work with high </w:t>
      </w:r>
      <w:proofErr w:type="spellStart"/>
      <w:r w:rsidRPr="0022625D">
        <w:rPr>
          <w:rFonts w:cs="Times New Roman"/>
        </w:rPr>
        <w:t>calibre</w:t>
      </w:r>
      <w:proofErr w:type="spellEnd"/>
      <w:r w:rsidRPr="0022625D">
        <w:rPr>
          <w:rFonts w:cs="Times New Roman"/>
        </w:rPr>
        <w:t xml:space="preserve"> Institute members and Centre/Program leaders.</w:t>
      </w:r>
      <w:r>
        <w:rPr>
          <w:rStyle w:val="FootnoteReference"/>
        </w:rPr>
        <w:footnoteReference w:id="37"/>
      </w:r>
    </w:p>
    <w:p w14:paraId="783BF8B8" w14:textId="77777777" w:rsidR="00E366B6" w:rsidRPr="00F638BF" w:rsidRDefault="00E366B6" w:rsidP="004F06EC">
      <w:pPr>
        <w:pStyle w:val="ListParagraph"/>
        <w:numPr>
          <w:ilvl w:val="0"/>
          <w:numId w:val="47"/>
        </w:numPr>
      </w:pPr>
      <w:r w:rsidRPr="0022625D">
        <w:t xml:space="preserve">The Mary </w:t>
      </w:r>
      <w:proofErr w:type="spellStart"/>
      <w:r w:rsidRPr="0022625D">
        <w:t>MacKillop</w:t>
      </w:r>
      <w:proofErr w:type="spellEnd"/>
      <w:r w:rsidRPr="0022625D">
        <w:t xml:space="preserve"> Institute for Health Research</w:t>
      </w:r>
      <w:r>
        <w:t xml:space="preserve"> (Faculty of Health Sciences)</w:t>
      </w:r>
    </w:p>
    <w:p w14:paraId="2FC19432" w14:textId="77777777" w:rsidR="00E366B6" w:rsidRPr="00F638BF" w:rsidRDefault="00E366B6" w:rsidP="004F06EC">
      <w:pPr>
        <w:pStyle w:val="ListParagraph"/>
        <w:numPr>
          <w:ilvl w:val="0"/>
          <w:numId w:val="47"/>
        </w:numPr>
      </w:pPr>
      <w:r w:rsidRPr="00F638BF">
        <w:t>Institute for Positive Psychology and Education (</w:t>
      </w:r>
      <w:proofErr w:type="spellStart"/>
      <w:r w:rsidRPr="00F638BF">
        <w:t>IPPE</w:t>
      </w:r>
      <w:proofErr w:type="spellEnd"/>
      <w:r w:rsidRPr="00F638BF">
        <w:t>)</w:t>
      </w:r>
      <w:r>
        <w:t xml:space="preserve"> (Faculty of Health Sciences)</w:t>
      </w:r>
    </w:p>
    <w:p w14:paraId="305F047A" w14:textId="77777777" w:rsidR="00E366B6" w:rsidRDefault="00E366B6" w:rsidP="004F06EC">
      <w:pPr>
        <w:pStyle w:val="ListParagraph"/>
        <w:numPr>
          <w:ilvl w:val="0"/>
          <w:numId w:val="47"/>
        </w:numPr>
      </w:pPr>
      <w:r>
        <w:t>The Institute for Health and Ageing (Faculty of Health Sciences)</w:t>
      </w:r>
    </w:p>
    <w:p w14:paraId="483B8CA5" w14:textId="77777777" w:rsidR="00E366B6" w:rsidRDefault="00E366B6" w:rsidP="004F06EC">
      <w:pPr>
        <w:pStyle w:val="ListParagraph"/>
        <w:numPr>
          <w:ilvl w:val="0"/>
          <w:numId w:val="47"/>
        </w:numPr>
      </w:pPr>
      <w:r w:rsidRPr="00F638BF">
        <w:t>Learning Sciences Institute of Australia (</w:t>
      </w:r>
      <w:proofErr w:type="spellStart"/>
      <w:r w:rsidRPr="00F638BF">
        <w:t>LSIA</w:t>
      </w:r>
      <w:proofErr w:type="spellEnd"/>
      <w:r w:rsidRPr="00F638BF">
        <w:t>)</w:t>
      </w:r>
      <w:r>
        <w:t xml:space="preserve"> (Faculty of Education and Arts)</w:t>
      </w:r>
    </w:p>
    <w:p w14:paraId="2F8F64FE" w14:textId="77777777" w:rsidR="00E366B6" w:rsidRDefault="00E366B6" w:rsidP="004F06EC">
      <w:pPr>
        <w:pStyle w:val="ListParagraph"/>
        <w:numPr>
          <w:ilvl w:val="0"/>
          <w:numId w:val="47"/>
        </w:numPr>
      </w:pPr>
      <w:r w:rsidRPr="00F638BF">
        <w:t>Institute for Social Justice</w:t>
      </w:r>
      <w:r>
        <w:t xml:space="preserve"> (Faculty of Education and Arts)</w:t>
      </w:r>
    </w:p>
    <w:p w14:paraId="1871DBE9" w14:textId="77777777" w:rsidR="00E366B6" w:rsidRDefault="00E366B6" w:rsidP="004F06EC">
      <w:pPr>
        <w:pStyle w:val="ListParagraph"/>
        <w:numPr>
          <w:ilvl w:val="0"/>
          <w:numId w:val="47"/>
        </w:numPr>
      </w:pPr>
      <w:r w:rsidRPr="00F638BF">
        <w:t>Institute for Religion and Critical Inquiry</w:t>
      </w:r>
      <w:r>
        <w:t xml:space="preserve"> (Faculty of Theology and Philosophy)</w:t>
      </w:r>
    </w:p>
    <w:p w14:paraId="5E04799E" w14:textId="630E29AC" w:rsidR="000405F3" w:rsidRPr="007E20CF" w:rsidRDefault="00E366B6" w:rsidP="004F06EC">
      <w:pPr>
        <w:pStyle w:val="ListParagraph"/>
        <w:numPr>
          <w:ilvl w:val="0"/>
          <w:numId w:val="47"/>
        </w:numPr>
      </w:pPr>
      <w:r>
        <w:t>Institute for Religion, Politics and Society (</w:t>
      </w:r>
      <w:proofErr w:type="spellStart"/>
      <w:r>
        <w:t>IRPS</w:t>
      </w:r>
      <w:proofErr w:type="spellEnd"/>
      <w:r>
        <w:t>) (Faculty of Theology and Philosophy)</w:t>
      </w:r>
    </w:p>
    <w:sectPr w:rsidR="000405F3" w:rsidRPr="007E20CF" w:rsidSect="00E321B2">
      <w:pgSz w:w="11906" w:h="16838"/>
      <w:pgMar w:top="1666" w:right="1133" w:bottom="568" w:left="1418" w:header="708" w:footer="3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FC1B" w14:textId="77777777" w:rsidR="00EE1677" w:rsidRDefault="00EE1677" w:rsidP="00C94CB3">
      <w:r>
        <w:separator/>
      </w:r>
    </w:p>
  </w:endnote>
  <w:endnote w:type="continuationSeparator" w:id="0">
    <w:p w14:paraId="3485C206" w14:textId="77777777" w:rsidR="00EE1677" w:rsidRDefault="00EE1677" w:rsidP="00C9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571307"/>
      <w:docPartObj>
        <w:docPartGallery w:val="Page Numbers (Bottom of Page)"/>
        <w:docPartUnique/>
      </w:docPartObj>
    </w:sdtPr>
    <w:sdtEndPr>
      <w:rPr>
        <w:noProof/>
        <w:sz w:val="20"/>
        <w:szCs w:val="20"/>
      </w:rPr>
    </w:sdtEndPr>
    <w:sdtContent>
      <w:p w14:paraId="6B76651A" w14:textId="77777777" w:rsidR="00B77A5F" w:rsidRPr="0069325D" w:rsidRDefault="00B77A5F">
        <w:pPr>
          <w:pStyle w:val="Footer"/>
          <w:jc w:val="right"/>
          <w:rPr>
            <w:sz w:val="20"/>
            <w:szCs w:val="20"/>
          </w:rPr>
        </w:pPr>
        <w:r w:rsidRPr="0069325D">
          <w:rPr>
            <w:sz w:val="20"/>
            <w:szCs w:val="20"/>
          </w:rPr>
          <w:fldChar w:fldCharType="begin"/>
        </w:r>
        <w:r w:rsidRPr="0069325D">
          <w:rPr>
            <w:sz w:val="20"/>
            <w:szCs w:val="20"/>
          </w:rPr>
          <w:instrText xml:space="preserve"> PAGE   \* MERGEFORMAT </w:instrText>
        </w:r>
        <w:r w:rsidRPr="0069325D">
          <w:rPr>
            <w:sz w:val="20"/>
            <w:szCs w:val="20"/>
          </w:rPr>
          <w:fldChar w:fldCharType="separate"/>
        </w:r>
        <w:r w:rsidR="00FF065F">
          <w:rPr>
            <w:noProof/>
            <w:sz w:val="20"/>
            <w:szCs w:val="20"/>
          </w:rPr>
          <w:t>2</w:t>
        </w:r>
        <w:r w:rsidRPr="0069325D">
          <w:rPr>
            <w:noProof/>
            <w:sz w:val="20"/>
            <w:szCs w:val="20"/>
          </w:rPr>
          <w:fldChar w:fldCharType="end"/>
        </w:r>
      </w:p>
    </w:sdtContent>
  </w:sdt>
  <w:p w14:paraId="3811954D" w14:textId="77777777" w:rsidR="00382260" w:rsidRPr="00C43397" w:rsidRDefault="00382260">
    <w:pPr>
      <w:pStyle w:val="Footer"/>
      <w:jc w:val="right"/>
      <w:rPr>
        <w:rFonts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87901042"/>
      <w:docPartObj>
        <w:docPartGallery w:val="Page Numbers (Bottom of Page)"/>
        <w:docPartUnique/>
      </w:docPartObj>
    </w:sdtPr>
    <w:sdtEndPr>
      <w:rPr>
        <w:noProof/>
      </w:rPr>
    </w:sdtEndPr>
    <w:sdtContent>
      <w:p w14:paraId="3E0A41C8" w14:textId="77777777" w:rsidR="00370DBA" w:rsidRPr="00370DBA" w:rsidRDefault="00370DBA">
        <w:pPr>
          <w:pStyle w:val="Footer"/>
          <w:jc w:val="right"/>
          <w:rPr>
            <w:sz w:val="20"/>
            <w:szCs w:val="20"/>
          </w:rPr>
        </w:pPr>
        <w:r w:rsidRPr="00370DBA">
          <w:rPr>
            <w:sz w:val="20"/>
            <w:szCs w:val="20"/>
          </w:rPr>
          <w:fldChar w:fldCharType="begin"/>
        </w:r>
        <w:r w:rsidRPr="00370DBA">
          <w:rPr>
            <w:sz w:val="20"/>
            <w:szCs w:val="20"/>
          </w:rPr>
          <w:instrText xml:space="preserve"> PAGE   \* MERGEFORMAT </w:instrText>
        </w:r>
        <w:r w:rsidRPr="00370DBA">
          <w:rPr>
            <w:sz w:val="20"/>
            <w:szCs w:val="20"/>
          </w:rPr>
          <w:fldChar w:fldCharType="separate"/>
        </w:r>
        <w:r w:rsidR="00FF065F">
          <w:rPr>
            <w:noProof/>
            <w:sz w:val="20"/>
            <w:szCs w:val="20"/>
          </w:rPr>
          <w:t>1</w:t>
        </w:r>
        <w:r w:rsidRPr="00370DBA">
          <w:rPr>
            <w:noProof/>
            <w:sz w:val="20"/>
            <w:szCs w:val="20"/>
          </w:rPr>
          <w:fldChar w:fldCharType="end"/>
        </w:r>
      </w:p>
    </w:sdtContent>
  </w:sdt>
  <w:p w14:paraId="2A8A77BD" w14:textId="77777777" w:rsidR="00370DBA" w:rsidRDefault="0037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59955" w14:textId="77777777" w:rsidR="00EE1677" w:rsidRDefault="00EE1677" w:rsidP="00C94CB3">
      <w:r>
        <w:separator/>
      </w:r>
    </w:p>
  </w:footnote>
  <w:footnote w:type="continuationSeparator" w:id="0">
    <w:p w14:paraId="3664DD50" w14:textId="77777777" w:rsidR="00EE1677" w:rsidRDefault="00EE1677" w:rsidP="00C94CB3">
      <w:r>
        <w:continuationSeparator/>
      </w:r>
    </w:p>
  </w:footnote>
  <w:footnote w:id="1">
    <w:p w14:paraId="156EECC6" w14:textId="103658ED" w:rsidR="00E47072" w:rsidRPr="001619CB" w:rsidRDefault="00E47072" w:rsidP="00E47072">
      <w:pPr>
        <w:pStyle w:val="FootnoteText"/>
        <w:rPr>
          <w:rFonts w:cs="Times New Roman"/>
        </w:rPr>
      </w:pPr>
      <w:r w:rsidRPr="001619CB">
        <w:rPr>
          <w:rStyle w:val="FootnoteReference"/>
        </w:rPr>
        <w:footnoteRef/>
      </w:r>
      <w:r w:rsidRPr="001619CB">
        <w:rPr>
          <w:rFonts w:cs="Times New Roman"/>
        </w:rPr>
        <w:t xml:space="preserve"> </w:t>
      </w:r>
      <w:proofErr w:type="gramStart"/>
      <w:r w:rsidRPr="001619CB">
        <w:rPr>
          <w:rFonts w:cs="Times New Roman"/>
        </w:rPr>
        <w:t xml:space="preserve">Australian Government, </w:t>
      </w:r>
      <w:r w:rsidRPr="001619CB">
        <w:rPr>
          <w:rFonts w:cs="Times New Roman"/>
          <w:i/>
        </w:rPr>
        <w:t xml:space="preserve">Boosting the </w:t>
      </w:r>
      <w:r w:rsidR="001E680E">
        <w:rPr>
          <w:rFonts w:cs="Times New Roman"/>
          <w:i/>
        </w:rPr>
        <w:t>C</w:t>
      </w:r>
      <w:r w:rsidRPr="001619CB">
        <w:rPr>
          <w:rFonts w:cs="Times New Roman"/>
          <w:i/>
        </w:rPr>
        <w:t xml:space="preserve">ommercial </w:t>
      </w:r>
      <w:r w:rsidR="001E680E">
        <w:rPr>
          <w:rFonts w:cs="Times New Roman"/>
          <w:i/>
        </w:rPr>
        <w:t>R</w:t>
      </w:r>
      <w:r w:rsidRPr="001619CB">
        <w:rPr>
          <w:rFonts w:cs="Times New Roman"/>
          <w:i/>
        </w:rPr>
        <w:t xml:space="preserve">eturns from </w:t>
      </w:r>
      <w:r w:rsidR="001E680E">
        <w:rPr>
          <w:rFonts w:cs="Times New Roman"/>
          <w:i/>
        </w:rPr>
        <w:t>R</w:t>
      </w:r>
      <w:r w:rsidRPr="001619CB">
        <w:rPr>
          <w:rFonts w:cs="Times New Roman"/>
          <w:i/>
        </w:rPr>
        <w:t xml:space="preserve">esearch </w:t>
      </w:r>
      <w:r w:rsidRPr="001619CB">
        <w:rPr>
          <w:rFonts w:cs="Times New Roman"/>
        </w:rPr>
        <w:t>(2014), at 5.</w:t>
      </w:r>
      <w:proofErr w:type="gramEnd"/>
    </w:p>
  </w:footnote>
  <w:footnote w:id="2">
    <w:p w14:paraId="63192C92" w14:textId="77777777" w:rsidR="00FD63D3" w:rsidRPr="001619CB" w:rsidRDefault="00FD63D3" w:rsidP="00FD63D3">
      <w:pPr>
        <w:pStyle w:val="FootnoteText"/>
        <w:rPr>
          <w:rFonts w:cs="Times New Roman"/>
        </w:rPr>
      </w:pPr>
      <w:r w:rsidRPr="001619CB">
        <w:rPr>
          <w:rStyle w:val="FootnoteReference"/>
        </w:rPr>
        <w:footnoteRef/>
      </w:r>
      <w:r w:rsidRPr="001619CB">
        <w:rPr>
          <w:rFonts w:cs="Times New Roman"/>
        </w:rPr>
        <w:t xml:space="preserve"> Australian Academy of Technological Sciences and Engineering (</w:t>
      </w:r>
      <w:proofErr w:type="spellStart"/>
      <w:r w:rsidRPr="001619CB">
        <w:rPr>
          <w:rFonts w:cs="Times New Roman"/>
        </w:rPr>
        <w:t>ATSE</w:t>
      </w:r>
      <w:proofErr w:type="spellEnd"/>
      <w:r w:rsidRPr="001619CB">
        <w:rPr>
          <w:rFonts w:cs="Times New Roman"/>
        </w:rPr>
        <w:t xml:space="preserve">), </w:t>
      </w:r>
      <w:r w:rsidRPr="001619CB">
        <w:rPr>
          <w:rFonts w:cs="Times New Roman"/>
          <w:i/>
        </w:rPr>
        <w:t xml:space="preserve">Strengthening links between industry and public sector research </w:t>
      </w:r>
      <w:proofErr w:type="spellStart"/>
      <w:r w:rsidRPr="001619CB">
        <w:rPr>
          <w:rFonts w:cs="Times New Roman"/>
          <w:i/>
        </w:rPr>
        <w:t>organisations</w:t>
      </w:r>
      <w:proofErr w:type="spellEnd"/>
      <w:r w:rsidRPr="001619CB">
        <w:rPr>
          <w:rFonts w:cs="Times New Roman"/>
          <w:i/>
        </w:rPr>
        <w:t xml:space="preserve"> – Communique </w:t>
      </w:r>
      <w:r w:rsidRPr="001619CB">
        <w:rPr>
          <w:rFonts w:cs="Times New Roman"/>
        </w:rPr>
        <w:t xml:space="preserve">(2011) at  </w:t>
      </w:r>
      <w:hyperlink r:id="rId1" w:history="1">
        <w:r w:rsidRPr="001619CB">
          <w:rPr>
            <w:rStyle w:val="Hyperlink"/>
          </w:rPr>
          <w:t>http://www.atse.org.au/Documents/Publications/Reports/Innovation/ATSE+Collaboration+Workshop+COMMUNIQUE.pdf</w:t>
        </w:r>
      </w:hyperlink>
      <w:r w:rsidRPr="001619CB">
        <w:rPr>
          <w:rFonts w:cs="Times New Roman"/>
        </w:rPr>
        <w:t xml:space="preserve"> </w:t>
      </w:r>
    </w:p>
  </w:footnote>
  <w:footnote w:id="3">
    <w:p w14:paraId="4C024CE8" w14:textId="77777777" w:rsidR="006B0D68" w:rsidRPr="001619CB" w:rsidRDefault="006B0D68" w:rsidP="006B0D68">
      <w:pPr>
        <w:pStyle w:val="FootnoteText"/>
        <w:rPr>
          <w:rFonts w:cs="Times New Roman"/>
        </w:rPr>
      </w:pPr>
      <w:r w:rsidRPr="001619CB">
        <w:rPr>
          <w:rStyle w:val="FootnoteReference"/>
        </w:rPr>
        <w:footnoteRef/>
      </w:r>
      <w:r w:rsidRPr="001619CB">
        <w:rPr>
          <w:rFonts w:cs="Times New Roman"/>
        </w:rPr>
        <w:t xml:space="preserve"> Australian Research Council, </w:t>
      </w:r>
      <w:r w:rsidRPr="001619CB">
        <w:rPr>
          <w:rFonts w:cs="Times New Roman"/>
          <w:i/>
        </w:rPr>
        <w:t xml:space="preserve">ARC Profile, </w:t>
      </w:r>
      <w:r w:rsidRPr="001619CB">
        <w:rPr>
          <w:rFonts w:cs="Times New Roman"/>
        </w:rPr>
        <w:t xml:space="preserve">at </w:t>
      </w:r>
      <w:hyperlink r:id="rId2" w:history="1">
        <w:r w:rsidRPr="001619CB">
          <w:rPr>
            <w:rStyle w:val="Hyperlink"/>
          </w:rPr>
          <w:t>http://www.arc.gov.au/about_arc/arc_profile.htm</w:t>
        </w:r>
      </w:hyperlink>
      <w:r w:rsidRPr="001619CB">
        <w:rPr>
          <w:rFonts w:cs="Times New Roman"/>
        </w:rPr>
        <w:t xml:space="preserve"> </w:t>
      </w:r>
    </w:p>
  </w:footnote>
  <w:footnote w:id="4">
    <w:p w14:paraId="4A879288" w14:textId="24FFBB4A" w:rsidR="00006D51" w:rsidRPr="001619CB" w:rsidRDefault="00006D51">
      <w:pPr>
        <w:pStyle w:val="FootnoteText"/>
        <w:rPr>
          <w:rFonts w:cs="Times New Roman"/>
        </w:rPr>
      </w:pPr>
      <w:r w:rsidRPr="001619CB">
        <w:rPr>
          <w:rStyle w:val="FootnoteReference"/>
        </w:rPr>
        <w:footnoteRef/>
      </w:r>
      <w:r w:rsidRPr="001619CB">
        <w:rPr>
          <w:rFonts w:cs="Times New Roman"/>
        </w:rPr>
        <w:t xml:space="preserve"> Australian Research Council, </w:t>
      </w:r>
      <w:r w:rsidRPr="001619CB">
        <w:rPr>
          <w:rFonts w:cs="Times New Roman"/>
          <w:i/>
        </w:rPr>
        <w:t xml:space="preserve">Linkage Projects, </w:t>
      </w:r>
      <w:r w:rsidRPr="001619CB">
        <w:rPr>
          <w:rFonts w:cs="Times New Roman"/>
        </w:rPr>
        <w:t xml:space="preserve">at </w:t>
      </w:r>
      <w:hyperlink r:id="rId3" w:history="1">
        <w:r w:rsidRPr="001619CB">
          <w:rPr>
            <w:rStyle w:val="Hyperlink"/>
          </w:rPr>
          <w:t>http://www.arc.gov.au/ncgp/lp/lp_default.htm</w:t>
        </w:r>
      </w:hyperlink>
      <w:r w:rsidRPr="001619CB">
        <w:rPr>
          <w:rFonts w:cs="Times New Roman"/>
        </w:rPr>
        <w:t xml:space="preserve"> </w:t>
      </w:r>
    </w:p>
  </w:footnote>
  <w:footnote w:id="5">
    <w:p w14:paraId="57F0035C" w14:textId="7E75076F" w:rsidR="004B6F7E" w:rsidRPr="001619CB" w:rsidRDefault="004B6F7E">
      <w:pPr>
        <w:pStyle w:val="FootnoteText"/>
        <w:rPr>
          <w:rFonts w:cs="Times New Roman"/>
        </w:rPr>
      </w:pPr>
      <w:r w:rsidRPr="001619CB">
        <w:rPr>
          <w:rStyle w:val="FootnoteReference"/>
        </w:rPr>
        <w:footnoteRef/>
      </w:r>
      <w:r w:rsidRPr="001619CB">
        <w:rPr>
          <w:rFonts w:cs="Times New Roman"/>
        </w:rPr>
        <w:t xml:space="preserve"> Australian Catholic University, ‘May the Force be with  you’, at </w:t>
      </w:r>
      <w:hyperlink r:id="rId4" w:history="1">
        <w:r w:rsidRPr="001619CB">
          <w:rPr>
            <w:rStyle w:val="Hyperlink"/>
          </w:rPr>
          <w:t>http://www.acu.edu.au/research/research_institutes_and_programs/ippe/ippe_news_and_events/may_the_force_be_with_you2</w:t>
        </w:r>
      </w:hyperlink>
    </w:p>
  </w:footnote>
  <w:footnote w:id="6">
    <w:p w14:paraId="4B3B7830" w14:textId="05903187" w:rsidR="005C29AC" w:rsidRPr="001619CB" w:rsidRDefault="005C29AC">
      <w:pPr>
        <w:pStyle w:val="FootnoteText"/>
        <w:rPr>
          <w:rFonts w:cs="Times New Roman"/>
        </w:rPr>
      </w:pPr>
      <w:r w:rsidRPr="001619CB">
        <w:rPr>
          <w:rStyle w:val="FootnoteReference"/>
        </w:rPr>
        <w:footnoteRef/>
      </w:r>
      <w:r w:rsidRPr="001619CB">
        <w:rPr>
          <w:rFonts w:cs="Times New Roman"/>
        </w:rPr>
        <w:t xml:space="preserve"> </w:t>
      </w:r>
      <w:proofErr w:type="gramStart"/>
      <w:r w:rsidRPr="001619CB">
        <w:rPr>
          <w:rFonts w:cs="Times New Roman"/>
        </w:rPr>
        <w:t>NSW Police Force</w:t>
      </w:r>
      <w:r w:rsidR="00A17E81">
        <w:rPr>
          <w:rFonts w:cs="Times New Roman"/>
        </w:rPr>
        <w:t xml:space="preserve"> 2011 statistics</w:t>
      </w:r>
      <w:r w:rsidRPr="001619CB">
        <w:rPr>
          <w:rFonts w:cs="Times New Roman"/>
        </w:rPr>
        <w:t>.</w:t>
      </w:r>
      <w:proofErr w:type="gramEnd"/>
    </w:p>
  </w:footnote>
  <w:footnote w:id="7">
    <w:p w14:paraId="301CDCCF" w14:textId="66A128F7" w:rsidR="00AC56BC" w:rsidRPr="001619CB" w:rsidRDefault="00AC56BC" w:rsidP="00AC56BC">
      <w:pPr>
        <w:pStyle w:val="FootnoteText"/>
        <w:rPr>
          <w:rFonts w:cs="Times New Roman"/>
        </w:rPr>
      </w:pPr>
      <w:r w:rsidRPr="001619CB">
        <w:rPr>
          <w:rStyle w:val="FootnoteReference"/>
        </w:rPr>
        <w:footnoteRef/>
      </w:r>
      <w:r w:rsidRPr="001619CB">
        <w:rPr>
          <w:rFonts w:cs="Times New Roman"/>
        </w:rPr>
        <w:t xml:space="preserve"> Equivalent in-kind financial support is also being provided by A</w:t>
      </w:r>
      <w:r w:rsidR="006D0AFA" w:rsidRPr="001619CB">
        <w:rPr>
          <w:rFonts w:cs="Times New Roman"/>
        </w:rPr>
        <w:t xml:space="preserve">ustralian </w:t>
      </w:r>
      <w:r w:rsidRPr="001619CB">
        <w:rPr>
          <w:rFonts w:cs="Times New Roman"/>
        </w:rPr>
        <w:t>C</w:t>
      </w:r>
      <w:r w:rsidR="006D0AFA" w:rsidRPr="001619CB">
        <w:rPr>
          <w:rFonts w:cs="Times New Roman"/>
        </w:rPr>
        <w:t xml:space="preserve">atholic </w:t>
      </w:r>
      <w:r w:rsidRPr="001619CB">
        <w:rPr>
          <w:rFonts w:cs="Times New Roman"/>
        </w:rPr>
        <w:t>U</w:t>
      </w:r>
      <w:r w:rsidR="006D0AFA" w:rsidRPr="001619CB">
        <w:rPr>
          <w:rFonts w:cs="Times New Roman"/>
        </w:rPr>
        <w:t>niversity (</w:t>
      </w:r>
      <w:proofErr w:type="spellStart"/>
      <w:r w:rsidR="006D0AFA" w:rsidRPr="001619CB">
        <w:rPr>
          <w:rFonts w:cs="Times New Roman"/>
        </w:rPr>
        <w:t>ACU</w:t>
      </w:r>
      <w:proofErr w:type="spellEnd"/>
      <w:r w:rsidR="006D0AFA" w:rsidRPr="001619CB">
        <w:rPr>
          <w:rFonts w:cs="Times New Roman"/>
        </w:rPr>
        <w:t>)</w:t>
      </w:r>
      <w:r w:rsidRPr="001619CB">
        <w:rPr>
          <w:rFonts w:cs="Times New Roman"/>
        </w:rPr>
        <w:t xml:space="preserve"> and</w:t>
      </w:r>
      <w:r w:rsidR="006D0AFA" w:rsidRPr="001619CB">
        <w:rPr>
          <w:rFonts w:cs="Times New Roman"/>
        </w:rPr>
        <w:t xml:space="preserve"> the University </w:t>
      </w:r>
      <w:proofErr w:type="gramStart"/>
      <w:r w:rsidR="006D0AFA" w:rsidRPr="001619CB">
        <w:rPr>
          <w:rFonts w:cs="Times New Roman"/>
        </w:rPr>
        <w:t>of</w:t>
      </w:r>
      <w:proofErr w:type="gramEnd"/>
      <w:r w:rsidR="006D0AFA" w:rsidRPr="001619CB">
        <w:rPr>
          <w:rFonts w:cs="Times New Roman"/>
        </w:rPr>
        <w:t xml:space="preserve"> Western Sydney (</w:t>
      </w:r>
      <w:proofErr w:type="spellStart"/>
      <w:r w:rsidRPr="001619CB">
        <w:rPr>
          <w:rFonts w:cs="Times New Roman"/>
        </w:rPr>
        <w:t>UWS</w:t>
      </w:r>
      <w:proofErr w:type="spellEnd"/>
      <w:r w:rsidR="006D0AFA" w:rsidRPr="001619CB">
        <w:rPr>
          <w:rFonts w:cs="Times New Roman"/>
        </w:rPr>
        <w:t>)</w:t>
      </w:r>
      <w:r w:rsidRPr="001619CB">
        <w:rPr>
          <w:rFonts w:cs="Times New Roman"/>
        </w:rPr>
        <w:t>.</w:t>
      </w:r>
    </w:p>
  </w:footnote>
  <w:footnote w:id="8">
    <w:p w14:paraId="52658CA9" w14:textId="48EF0E2D" w:rsidR="00B8495F" w:rsidRPr="001619CB" w:rsidRDefault="00B8495F">
      <w:pPr>
        <w:pStyle w:val="FootnoteText"/>
        <w:rPr>
          <w:rFonts w:cs="Times New Roman"/>
        </w:rPr>
      </w:pPr>
      <w:r w:rsidRPr="001619CB">
        <w:rPr>
          <w:rStyle w:val="FootnoteReference"/>
        </w:rPr>
        <w:footnoteRef/>
      </w:r>
      <w:r w:rsidRPr="001619CB">
        <w:rPr>
          <w:rFonts w:cs="Times New Roman"/>
        </w:rPr>
        <w:t xml:space="preserve"> See ‘Centuries wasted applying for grants?’ </w:t>
      </w:r>
      <w:r w:rsidRPr="001619CB">
        <w:rPr>
          <w:rFonts w:cs="Times New Roman"/>
          <w:i/>
        </w:rPr>
        <w:t xml:space="preserve">The Conversation </w:t>
      </w:r>
      <w:r w:rsidRPr="001619CB">
        <w:rPr>
          <w:rFonts w:cs="Times New Roman"/>
        </w:rPr>
        <w:t xml:space="preserve">(27 March 2013) at </w:t>
      </w:r>
      <w:hyperlink r:id="rId5" w:history="1">
        <w:r w:rsidRPr="001619CB">
          <w:rPr>
            <w:rStyle w:val="Hyperlink"/>
          </w:rPr>
          <w:t>https://theconversation.com/centuries-wasted-applying-for-grants-13111</w:t>
        </w:r>
      </w:hyperlink>
      <w:r w:rsidR="007B01E3" w:rsidRPr="001619CB">
        <w:rPr>
          <w:rFonts w:cs="Times New Roman"/>
        </w:rPr>
        <w:t xml:space="preserve">; Herbert, D., Barnett, A. et al, ‘On the time spent preparing grant proposals: an observational study of Australian researchers’ (22 May 2013) at </w:t>
      </w:r>
      <w:hyperlink r:id="rId6" w:history="1">
        <w:r w:rsidR="007B01E3" w:rsidRPr="001619CB">
          <w:rPr>
            <w:rStyle w:val="Hyperlink"/>
          </w:rPr>
          <w:t>http://www.ncbi.nlm.nih.gov/pmc/articles/PMC3664356/</w:t>
        </w:r>
      </w:hyperlink>
    </w:p>
  </w:footnote>
  <w:footnote w:id="9">
    <w:p w14:paraId="5D2B9049" w14:textId="274E67DA" w:rsidR="00B8495F" w:rsidRPr="001619CB" w:rsidRDefault="00B8495F">
      <w:pPr>
        <w:pStyle w:val="FootnoteText"/>
        <w:rPr>
          <w:rFonts w:cs="Times New Roman"/>
        </w:rPr>
      </w:pPr>
      <w:r w:rsidRPr="001619CB">
        <w:rPr>
          <w:rStyle w:val="FootnoteReference"/>
        </w:rPr>
        <w:footnoteRef/>
      </w:r>
      <w:r w:rsidRPr="001619CB">
        <w:rPr>
          <w:rFonts w:cs="Times New Roman"/>
        </w:rPr>
        <w:t xml:space="preserve"> Herbert, D., Barnett, A. et al, ‘On the time spent preparing grant proposals: an observational study of Australian researchers’ (22 May 2013) at </w:t>
      </w:r>
      <w:hyperlink r:id="rId7" w:history="1">
        <w:r w:rsidRPr="001619CB">
          <w:rPr>
            <w:rStyle w:val="Hyperlink"/>
          </w:rPr>
          <w:t>http://www.ncbi.nlm.nih.gov/pmc/articles/PMC3664356/</w:t>
        </w:r>
      </w:hyperlink>
      <w:r w:rsidRPr="001619CB">
        <w:rPr>
          <w:rFonts w:cs="Times New Roman"/>
        </w:rPr>
        <w:t xml:space="preserve"> </w:t>
      </w:r>
    </w:p>
  </w:footnote>
  <w:footnote w:id="10">
    <w:p w14:paraId="1AC0C6A6" w14:textId="77777777" w:rsidR="00204E1D" w:rsidRPr="001619CB" w:rsidRDefault="00204E1D" w:rsidP="00204E1D">
      <w:pPr>
        <w:pStyle w:val="FootnoteText"/>
        <w:rPr>
          <w:rFonts w:cs="Times New Roman"/>
        </w:rPr>
      </w:pPr>
      <w:r w:rsidRPr="001619CB">
        <w:rPr>
          <w:rStyle w:val="FootnoteReference"/>
        </w:rPr>
        <w:footnoteRef/>
      </w:r>
      <w:r w:rsidRPr="001619CB">
        <w:rPr>
          <w:rFonts w:cs="Times New Roman"/>
        </w:rPr>
        <w:t xml:space="preserve"> Herbert, D., Barnett, A. et al, ‘On the time spent preparing grant proposals: an observational study of Australian researchers’ (22 May 2013) at </w:t>
      </w:r>
      <w:hyperlink r:id="rId8" w:history="1">
        <w:r w:rsidRPr="001619CB">
          <w:rPr>
            <w:rStyle w:val="Hyperlink"/>
          </w:rPr>
          <w:t>http://www.ncbi.nlm.nih.gov/pmc/articles/PMC3664356/</w:t>
        </w:r>
      </w:hyperlink>
      <w:r w:rsidRPr="001619CB">
        <w:rPr>
          <w:rFonts w:cs="Times New Roman"/>
        </w:rPr>
        <w:t xml:space="preserve"> </w:t>
      </w:r>
    </w:p>
  </w:footnote>
  <w:footnote w:id="11">
    <w:p w14:paraId="75B96318" w14:textId="77777777" w:rsidR="0052687D" w:rsidRPr="001619CB" w:rsidRDefault="0052687D" w:rsidP="0052687D">
      <w:pPr>
        <w:pStyle w:val="FootnoteText"/>
        <w:rPr>
          <w:rFonts w:cs="Times New Roman"/>
        </w:rPr>
      </w:pPr>
      <w:r w:rsidRPr="001619CB">
        <w:rPr>
          <w:rStyle w:val="FootnoteReference"/>
        </w:rPr>
        <w:footnoteRef/>
      </w:r>
      <w:r w:rsidRPr="001619CB">
        <w:rPr>
          <w:rFonts w:cs="Times New Roman"/>
        </w:rPr>
        <w:t xml:space="preserve"> Australian Academy of Technological Sciences and Engineering (</w:t>
      </w:r>
      <w:proofErr w:type="spellStart"/>
      <w:r w:rsidRPr="001619CB">
        <w:rPr>
          <w:rFonts w:cs="Times New Roman"/>
        </w:rPr>
        <w:t>ATSE</w:t>
      </w:r>
      <w:proofErr w:type="spellEnd"/>
      <w:r w:rsidRPr="001619CB">
        <w:rPr>
          <w:rFonts w:cs="Times New Roman"/>
        </w:rPr>
        <w:t xml:space="preserve">), </w:t>
      </w:r>
      <w:r w:rsidRPr="001619CB">
        <w:rPr>
          <w:rFonts w:cs="Times New Roman"/>
          <w:i/>
        </w:rPr>
        <w:t xml:space="preserve">Strengthening links between industry and public sector research </w:t>
      </w:r>
      <w:proofErr w:type="spellStart"/>
      <w:r w:rsidRPr="001619CB">
        <w:rPr>
          <w:rFonts w:cs="Times New Roman"/>
          <w:i/>
        </w:rPr>
        <w:t>organisations</w:t>
      </w:r>
      <w:proofErr w:type="spellEnd"/>
      <w:r w:rsidRPr="001619CB">
        <w:rPr>
          <w:rFonts w:cs="Times New Roman"/>
          <w:i/>
        </w:rPr>
        <w:t xml:space="preserve"> – Communique </w:t>
      </w:r>
      <w:r w:rsidRPr="001619CB">
        <w:rPr>
          <w:rFonts w:cs="Times New Roman"/>
        </w:rPr>
        <w:t xml:space="preserve">(2011) at  </w:t>
      </w:r>
      <w:hyperlink r:id="rId9" w:history="1">
        <w:r w:rsidRPr="001619CB">
          <w:rPr>
            <w:rStyle w:val="Hyperlink"/>
          </w:rPr>
          <w:t>http://www.atse.org.au/Documents/Publications/Reports/Innovation/ATSE+Collaboration+Workshop+COMMUNIQUE.pdf</w:t>
        </w:r>
      </w:hyperlink>
      <w:r w:rsidRPr="001619CB">
        <w:rPr>
          <w:rFonts w:cs="Times New Roman"/>
        </w:rPr>
        <w:t xml:space="preserve"> </w:t>
      </w:r>
    </w:p>
  </w:footnote>
  <w:footnote w:id="12">
    <w:p w14:paraId="65770BD9" w14:textId="77777777" w:rsidR="009C1ABC" w:rsidRPr="001619CB" w:rsidRDefault="009C1ABC" w:rsidP="009C1ABC">
      <w:pPr>
        <w:pStyle w:val="FootnoteText"/>
        <w:rPr>
          <w:rFonts w:cs="Times New Roman"/>
        </w:rPr>
      </w:pPr>
      <w:r w:rsidRPr="001619CB">
        <w:rPr>
          <w:rStyle w:val="FootnoteReference"/>
        </w:rPr>
        <w:footnoteRef/>
      </w:r>
      <w:r w:rsidRPr="001619CB">
        <w:rPr>
          <w:rFonts w:cs="Times New Roman"/>
        </w:rPr>
        <w:t xml:space="preserve"> Australian Catholic University, ‘Putting SAFETY first’, (18 November 2014), at </w:t>
      </w:r>
      <w:hyperlink r:id="rId10" w:history="1">
        <w:r w:rsidRPr="001619CB">
          <w:rPr>
            <w:rStyle w:val="Hyperlink"/>
          </w:rPr>
          <w:t>http://www.acu.edu.au/connect_with_acu/newsroom/news/media_releases/repository/putting_safety_first</w:t>
        </w:r>
      </w:hyperlink>
      <w:r w:rsidRPr="001619CB">
        <w:rPr>
          <w:rFonts w:cs="Times New Roman"/>
        </w:rPr>
        <w:t xml:space="preserve"> </w:t>
      </w:r>
    </w:p>
  </w:footnote>
  <w:footnote w:id="13">
    <w:p w14:paraId="421F436F" w14:textId="58771D8A" w:rsidR="009C1ABC" w:rsidRPr="001619CB" w:rsidRDefault="009C1ABC">
      <w:pPr>
        <w:pStyle w:val="FootnoteText"/>
        <w:rPr>
          <w:rFonts w:cs="Times New Roman"/>
        </w:rPr>
      </w:pPr>
      <w:r w:rsidRPr="001619CB">
        <w:rPr>
          <w:rStyle w:val="FootnoteReference"/>
        </w:rPr>
        <w:footnoteRef/>
      </w:r>
      <w:r w:rsidRPr="001619CB">
        <w:rPr>
          <w:rFonts w:cs="Times New Roman"/>
        </w:rPr>
        <w:t xml:space="preserve"> This research is being supported through a $1.3 million National Health and Medical Research Council (NHMRC) grant.</w:t>
      </w:r>
    </w:p>
  </w:footnote>
  <w:footnote w:id="14">
    <w:p w14:paraId="230E64B7" w14:textId="77777777" w:rsidR="009C1ABC" w:rsidRPr="001619CB" w:rsidRDefault="009C1ABC" w:rsidP="009C1ABC">
      <w:pPr>
        <w:pStyle w:val="FootnoteText"/>
        <w:rPr>
          <w:rFonts w:cs="Times New Roman"/>
        </w:rPr>
      </w:pPr>
      <w:r w:rsidRPr="001619CB">
        <w:rPr>
          <w:rStyle w:val="FootnoteReference"/>
        </w:rPr>
        <w:footnoteRef/>
      </w:r>
      <w:r w:rsidRPr="001619CB">
        <w:rPr>
          <w:rFonts w:cs="Times New Roman"/>
        </w:rPr>
        <w:t xml:space="preserve"> Australian Catholic University, </w:t>
      </w:r>
      <w:r w:rsidRPr="001619CB">
        <w:rPr>
          <w:rFonts w:cs="Times New Roman"/>
          <w:i/>
        </w:rPr>
        <w:t xml:space="preserve">Modern: The management to </w:t>
      </w:r>
      <w:proofErr w:type="spellStart"/>
      <w:r w:rsidRPr="001619CB">
        <w:rPr>
          <w:rFonts w:cs="Times New Roman"/>
          <w:i/>
        </w:rPr>
        <w:t>optimise</w:t>
      </w:r>
      <w:proofErr w:type="spellEnd"/>
      <w:r w:rsidRPr="001619CB">
        <w:rPr>
          <w:rFonts w:cs="Times New Roman"/>
          <w:i/>
        </w:rPr>
        <w:t xml:space="preserve"> diabetes and metabolic syndrome risk reduction via nurse-led intervention (MODERN) study – Information Brochure </w:t>
      </w:r>
      <w:r w:rsidRPr="001619CB">
        <w:rPr>
          <w:rFonts w:cs="Times New Roman"/>
        </w:rPr>
        <w:t>(2014).</w:t>
      </w:r>
    </w:p>
  </w:footnote>
  <w:footnote w:id="15">
    <w:p w14:paraId="691939DC" w14:textId="7782BFA0" w:rsidR="0077520E" w:rsidRPr="001619CB" w:rsidRDefault="0077520E" w:rsidP="0077520E">
      <w:pPr>
        <w:pStyle w:val="FootnoteText"/>
        <w:rPr>
          <w:rFonts w:cs="Times New Roman"/>
        </w:rPr>
      </w:pPr>
      <w:r w:rsidRPr="001619CB">
        <w:rPr>
          <w:rStyle w:val="FootnoteReference"/>
        </w:rPr>
        <w:footnoteRef/>
      </w:r>
      <w:r w:rsidRPr="001619CB">
        <w:rPr>
          <w:rFonts w:cs="Times New Roman"/>
        </w:rPr>
        <w:t xml:space="preserve"> </w:t>
      </w:r>
      <w:proofErr w:type="gramStart"/>
      <w:r w:rsidRPr="001619CB">
        <w:rPr>
          <w:rFonts w:cs="Times New Roman"/>
        </w:rPr>
        <w:t xml:space="preserve">Australian Government, </w:t>
      </w:r>
      <w:r w:rsidR="00570BB2">
        <w:rPr>
          <w:rFonts w:cs="Times New Roman"/>
          <w:i/>
        </w:rPr>
        <w:t>Boosting the C</w:t>
      </w:r>
      <w:r w:rsidRPr="001619CB">
        <w:rPr>
          <w:rFonts w:cs="Times New Roman"/>
          <w:i/>
        </w:rPr>
        <w:t xml:space="preserve">ommercial </w:t>
      </w:r>
      <w:r w:rsidR="00570BB2">
        <w:rPr>
          <w:rFonts w:cs="Times New Roman"/>
          <w:i/>
        </w:rPr>
        <w:t>R</w:t>
      </w:r>
      <w:r w:rsidRPr="001619CB">
        <w:rPr>
          <w:rFonts w:cs="Times New Roman"/>
          <w:i/>
        </w:rPr>
        <w:t xml:space="preserve">eturns from </w:t>
      </w:r>
      <w:r w:rsidR="00570BB2">
        <w:rPr>
          <w:rFonts w:cs="Times New Roman"/>
          <w:i/>
        </w:rPr>
        <w:t>R</w:t>
      </w:r>
      <w:r w:rsidRPr="001619CB">
        <w:rPr>
          <w:rFonts w:cs="Times New Roman"/>
          <w:i/>
        </w:rPr>
        <w:t xml:space="preserve">esearch </w:t>
      </w:r>
      <w:r w:rsidRPr="001619CB">
        <w:rPr>
          <w:rFonts w:cs="Times New Roman"/>
        </w:rPr>
        <w:t>(2014), at 5.</w:t>
      </w:r>
      <w:proofErr w:type="gramEnd"/>
    </w:p>
  </w:footnote>
  <w:footnote w:id="16">
    <w:p w14:paraId="2DC99972"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w:t>
      </w:r>
      <w:proofErr w:type="spellStart"/>
      <w:r w:rsidRPr="001619CB">
        <w:rPr>
          <w:rFonts w:cs="Times New Roman"/>
        </w:rPr>
        <w:t>Deakin</w:t>
      </w:r>
      <w:proofErr w:type="spellEnd"/>
      <w:r w:rsidRPr="001619CB">
        <w:rPr>
          <w:rFonts w:cs="Times New Roman"/>
        </w:rPr>
        <w:t xml:space="preserve"> University, ‘The Institute for Frontier Materials’, at </w:t>
      </w:r>
      <w:hyperlink r:id="rId11" w:history="1">
        <w:r w:rsidRPr="001619CB">
          <w:rPr>
            <w:rStyle w:val="Hyperlink"/>
          </w:rPr>
          <w:t>http://www.deakin.edu.au/research/ifm/about-us/index.php</w:t>
        </w:r>
      </w:hyperlink>
    </w:p>
  </w:footnote>
  <w:footnote w:id="17">
    <w:p w14:paraId="2A108082"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w:t>
      </w:r>
      <w:proofErr w:type="spellStart"/>
      <w:r w:rsidRPr="001619CB">
        <w:rPr>
          <w:rFonts w:cs="Times New Roman"/>
        </w:rPr>
        <w:t>Deakin</w:t>
      </w:r>
      <w:proofErr w:type="spellEnd"/>
      <w:r w:rsidRPr="001619CB">
        <w:rPr>
          <w:rFonts w:cs="Times New Roman"/>
        </w:rPr>
        <w:t xml:space="preserve"> University, ‘The Institute for Frontier Materials’, at </w:t>
      </w:r>
      <w:hyperlink r:id="rId12" w:history="1">
        <w:r w:rsidRPr="001619CB">
          <w:rPr>
            <w:rStyle w:val="Hyperlink"/>
          </w:rPr>
          <w:t>http://www.deakin.edu.au/research/ifm/about-us/index.php</w:t>
        </w:r>
      </w:hyperlink>
    </w:p>
  </w:footnote>
  <w:footnote w:id="18">
    <w:p w14:paraId="561EC9C0"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w:t>
      </w:r>
      <w:proofErr w:type="spellStart"/>
      <w:r w:rsidRPr="001619CB">
        <w:rPr>
          <w:rFonts w:cs="Times New Roman"/>
        </w:rPr>
        <w:t>Deakin</w:t>
      </w:r>
      <w:proofErr w:type="spellEnd"/>
      <w:r w:rsidRPr="001619CB">
        <w:rPr>
          <w:rFonts w:cs="Times New Roman"/>
        </w:rPr>
        <w:t xml:space="preserve"> Research Communications – </w:t>
      </w:r>
      <w:proofErr w:type="spellStart"/>
      <w:r w:rsidRPr="001619CB">
        <w:rPr>
          <w:rFonts w:cs="Times New Roman"/>
        </w:rPr>
        <w:t>Deakin</w:t>
      </w:r>
      <w:proofErr w:type="spellEnd"/>
      <w:r w:rsidRPr="001619CB">
        <w:rPr>
          <w:rFonts w:cs="Times New Roman"/>
        </w:rPr>
        <w:t xml:space="preserve"> University, ‘The little science takes big steps at </w:t>
      </w:r>
      <w:proofErr w:type="spellStart"/>
      <w:r w:rsidRPr="001619CB">
        <w:rPr>
          <w:rFonts w:cs="Times New Roman"/>
        </w:rPr>
        <w:t>Deakin</w:t>
      </w:r>
      <w:proofErr w:type="spellEnd"/>
      <w:r w:rsidRPr="001619CB">
        <w:rPr>
          <w:rFonts w:cs="Times New Roman"/>
        </w:rPr>
        <w:t xml:space="preserve">’ (17 August 2009), at </w:t>
      </w:r>
      <w:hyperlink r:id="rId13" w:history="1">
        <w:r w:rsidRPr="001619CB">
          <w:rPr>
            <w:rStyle w:val="Hyperlink"/>
          </w:rPr>
          <w:t>http://www.deakin.edu.au/research/stories/2009/08/17/the-little-science-takes-big-steps-at-deakin</w:t>
        </w:r>
      </w:hyperlink>
      <w:r w:rsidRPr="001619CB">
        <w:rPr>
          <w:rFonts w:cs="Times New Roman"/>
        </w:rPr>
        <w:t xml:space="preserve">; </w:t>
      </w:r>
      <w:proofErr w:type="spellStart"/>
      <w:r w:rsidRPr="001619CB">
        <w:rPr>
          <w:rFonts w:cs="Times New Roman"/>
        </w:rPr>
        <w:t>Deakin</w:t>
      </w:r>
      <w:proofErr w:type="spellEnd"/>
      <w:r w:rsidRPr="001619CB">
        <w:rPr>
          <w:rFonts w:cs="Times New Roman"/>
        </w:rPr>
        <w:t xml:space="preserve"> Research Communications – </w:t>
      </w:r>
      <w:proofErr w:type="spellStart"/>
      <w:r w:rsidRPr="001619CB">
        <w:rPr>
          <w:rFonts w:cs="Times New Roman"/>
        </w:rPr>
        <w:t>Deakin</w:t>
      </w:r>
      <w:proofErr w:type="spellEnd"/>
      <w:r w:rsidRPr="001619CB">
        <w:rPr>
          <w:rFonts w:cs="Times New Roman"/>
        </w:rPr>
        <w:t xml:space="preserve"> University, ‘</w:t>
      </w:r>
      <w:proofErr w:type="spellStart"/>
      <w:r w:rsidRPr="001619CB">
        <w:rPr>
          <w:rFonts w:cs="Times New Roman"/>
        </w:rPr>
        <w:t>Deakin</w:t>
      </w:r>
      <w:proofErr w:type="spellEnd"/>
      <w:r w:rsidRPr="001619CB">
        <w:rPr>
          <w:rFonts w:cs="Times New Roman"/>
        </w:rPr>
        <w:t xml:space="preserve"> enters the nanotechnology big league’ (15 March 2010), at </w:t>
      </w:r>
      <w:hyperlink r:id="rId14" w:history="1">
        <w:r w:rsidRPr="001619CB">
          <w:rPr>
            <w:rStyle w:val="Hyperlink"/>
          </w:rPr>
          <w:t>http://www.deakin.edu.au/research/stories/2010/03/15/deakin-enters-the-nanotechnology-big-league</w:t>
        </w:r>
      </w:hyperlink>
    </w:p>
  </w:footnote>
  <w:footnote w:id="19">
    <w:p w14:paraId="762EB25F"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w:t>
      </w:r>
      <w:proofErr w:type="spellStart"/>
      <w:r w:rsidRPr="001619CB">
        <w:rPr>
          <w:rFonts w:cs="Times New Roman"/>
        </w:rPr>
        <w:t>Deakin</w:t>
      </w:r>
      <w:proofErr w:type="spellEnd"/>
      <w:r w:rsidRPr="001619CB">
        <w:rPr>
          <w:rFonts w:cs="Times New Roman"/>
        </w:rPr>
        <w:t xml:space="preserve"> Research Communications – </w:t>
      </w:r>
      <w:proofErr w:type="spellStart"/>
      <w:r w:rsidRPr="001619CB">
        <w:rPr>
          <w:rFonts w:cs="Times New Roman"/>
        </w:rPr>
        <w:t>Deakin</w:t>
      </w:r>
      <w:proofErr w:type="spellEnd"/>
      <w:r w:rsidRPr="001619CB">
        <w:rPr>
          <w:rFonts w:cs="Times New Roman"/>
        </w:rPr>
        <w:t xml:space="preserve"> University, ‘</w:t>
      </w:r>
      <w:proofErr w:type="spellStart"/>
      <w:r w:rsidRPr="001619CB">
        <w:rPr>
          <w:rFonts w:cs="Times New Roman"/>
        </w:rPr>
        <w:t>Deakin</w:t>
      </w:r>
      <w:proofErr w:type="spellEnd"/>
      <w:r w:rsidRPr="001619CB">
        <w:rPr>
          <w:rFonts w:cs="Times New Roman"/>
        </w:rPr>
        <w:t xml:space="preserve"> enters the nanotechnology big league’ (15 March 2010), at </w:t>
      </w:r>
      <w:hyperlink r:id="rId15" w:history="1">
        <w:r w:rsidRPr="001619CB">
          <w:rPr>
            <w:rStyle w:val="Hyperlink"/>
          </w:rPr>
          <w:t>http://www.deakin.edu.au/research/stories/2010/03/15/deakin-enters-the-nanotechnology-big-league</w:t>
        </w:r>
      </w:hyperlink>
      <w:r w:rsidRPr="001619CB">
        <w:rPr>
          <w:rFonts w:cs="Times New Roman"/>
        </w:rPr>
        <w:t xml:space="preserve"> </w:t>
      </w:r>
    </w:p>
  </w:footnote>
  <w:footnote w:id="20">
    <w:p w14:paraId="75BDFF21"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James Cook University, ‘About </w:t>
      </w:r>
      <w:proofErr w:type="spellStart"/>
      <w:r w:rsidRPr="001619CB">
        <w:rPr>
          <w:rFonts w:cs="Times New Roman"/>
        </w:rPr>
        <w:t>JCU</w:t>
      </w:r>
      <w:proofErr w:type="spellEnd"/>
      <w:r w:rsidRPr="001619CB">
        <w:rPr>
          <w:rFonts w:cs="Times New Roman"/>
        </w:rPr>
        <w:t xml:space="preserve">’, at </w:t>
      </w:r>
      <w:hyperlink r:id="rId16" w:history="1">
        <w:r w:rsidRPr="001619CB">
          <w:rPr>
            <w:rStyle w:val="Hyperlink"/>
          </w:rPr>
          <w:t>http://www.jcu.edu.au/about/</w:t>
        </w:r>
      </w:hyperlink>
      <w:r w:rsidRPr="001619CB">
        <w:rPr>
          <w:rFonts w:cs="Times New Roman"/>
        </w:rPr>
        <w:t xml:space="preserve"> </w:t>
      </w:r>
    </w:p>
  </w:footnote>
  <w:footnote w:id="21">
    <w:p w14:paraId="14F17918"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Liberal Party of Australia, ‘Coalition commits $42 million to tropical medicine at </w:t>
      </w:r>
      <w:proofErr w:type="spellStart"/>
      <w:r w:rsidRPr="001619CB">
        <w:rPr>
          <w:rFonts w:cs="Times New Roman"/>
        </w:rPr>
        <w:t>JCU</w:t>
      </w:r>
      <w:proofErr w:type="spellEnd"/>
      <w:r w:rsidRPr="001619CB">
        <w:rPr>
          <w:rFonts w:cs="Times New Roman"/>
        </w:rPr>
        <w:t xml:space="preserve">’, at </w:t>
      </w:r>
      <w:hyperlink r:id="rId17" w:history="1">
        <w:r w:rsidRPr="001619CB">
          <w:rPr>
            <w:rStyle w:val="Hyperlink"/>
          </w:rPr>
          <w:t>https://www.liberal.org.au/latest-news/2013/08/22/coalition-commits-42-million-tropical-medicine-jcu</w:t>
        </w:r>
      </w:hyperlink>
      <w:r w:rsidRPr="001619CB">
        <w:rPr>
          <w:rFonts w:cs="Times New Roman"/>
        </w:rPr>
        <w:t xml:space="preserve"> </w:t>
      </w:r>
    </w:p>
  </w:footnote>
  <w:footnote w:id="22">
    <w:p w14:paraId="0EBF5AF9"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University of Wollongong, ‘Vision’, at </w:t>
      </w:r>
      <w:hyperlink r:id="rId18" w:history="1">
        <w:r w:rsidRPr="001619CB">
          <w:rPr>
            <w:rStyle w:val="Hyperlink"/>
          </w:rPr>
          <w:t>http://smart.uow.edu.au/vision/index.html</w:t>
        </w:r>
      </w:hyperlink>
      <w:r w:rsidRPr="001619CB">
        <w:rPr>
          <w:rFonts w:cs="Times New Roman"/>
        </w:rPr>
        <w:t xml:space="preserve"> </w:t>
      </w:r>
    </w:p>
  </w:footnote>
  <w:footnote w:id="23">
    <w:p w14:paraId="5E11C059"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Smart Infrastructure Facility – University of Wollongong, ‘About SMART’, at </w:t>
      </w:r>
      <w:hyperlink r:id="rId19" w:history="1">
        <w:r w:rsidRPr="001619CB">
          <w:rPr>
            <w:rStyle w:val="Hyperlink"/>
          </w:rPr>
          <w:t>http://www.smartmasterclass.com/page.aspx?pid=383</w:t>
        </w:r>
      </w:hyperlink>
    </w:p>
  </w:footnote>
  <w:footnote w:id="24">
    <w:p w14:paraId="6A0CF184"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University of New England, ‘About </w:t>
      </w:r>
      <w:proofErr w:type="spellStart"/>
      <w:r w:rsidRPr="001619CB">
        <w:rPr>
          <w:rFonts w:cs="Times New Roman"/>
        </w:rPr>
        <w:t>UNE</w:t>
      </w:r>
      <w:proofErr w:type="spellEnd"/>
      <w:r w:rsidRPr="001619CB">
        <w:rPr>
          <w:rFonts w:cs="Times New Roman"/>
        </w:rPr>
        <w:t xml:space="preserve">’, at </w:t>
      </w:r>
      <w:hyperlink r:id="rId20" w:history="1">
        <w:r w:rsidRPr="001619CB">
          <w:rPr>
            <w:rStyle w:val="Hyperlink"/>
          </w:rPr>
          <w:t>http://www.une.edu.au/about-une</w:t>
        </w:r>
      </w:hyperlink>
    </w:p>
  </w:footnote>
  <w:footnote w:id="25">
    <w:p w14:paraId="0D9A5755"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University of New England, ‘Precision Agriculture Research Group’, at </w:t>
      </w:r>
      <w:hyperlink r:id="rId21" w:history="1">
        <w:r w:rsidRPr="001619CB">
          <w:rPr>
            <w:rStyle w:val="Hyperlink"/>
          </w:rPr>
          <w:t>http://www.une.edu.au/about-une/academic-schools/school-of-science-and-technology/research/precision-agriculture</w:t>
        </w:r>
      </w:hyperlink>
      <w:r w:rsidRPr="001619CB">
        <w:rPr>
          <w:rFonts w:cs="Times New Roman"/>
        </w:rPr>
        <w:t xml:space="preserve"> </w:t>
      </w:r>
    </w:p>
  </w:footnote>
  <w:footnote w:id="26">
    <w:p w14:paraId="75150D73" w14:textId="77777777" w:rsidR="006938F4" w:rsidRPr="001619CB" w:rsidRDefault="006938F4" w:rsidP="006938F4">
      <w:pPr>
        <w:pStyle w:val="Heading1"/>
        <w:rPr>
          <w:sz w:val="20"/>
          <w:szCs w:val="20"/>
        </w:rPr>
      </w:pPr>
      <w:r w:rsidRPr="001619CB">
        <w:rPr>
          <w:rStyle w:val="FootnoteReference"/>
          <w:b w:val="0"/>
          <w:sz w:val="20"/>
          <w:szCs w:val="20"/>
        </w:rPr>
        <w:footnoteRef/>
      </w:r>
      <w:r w:rsidRPr="001619CB">
        <w:rPr>
          <w:b w:val="0"/>
          <w:sz w:val="20"/>
          <w:szCs w:val="20"/>
        </w:rPr>
        <w:t xml:space="preserve"> University of New England, ‘Precision Ag students scoop top awards at International Conference’ (23 July 2014), at </w:t>
      </w:r>
      <w:hyperlink r:id="rId22" w:history="1">
        <w:r w:rsidRPr="001619CB">
          <w:rPr>
            <w:rStyle w:val="Hyperlink"/>
            <w:b w:val="0"/>
            <w:sz w:val="20"/>
            <w:szCs w:val="20"/>
          </w:rPr>
          <w:t>http://blog.une.edu.au/parg/2014/07/23/precision-ag-students-scoop-top-awards-at-international-conference/</w:t>
        </w:r>
      </w:hyperlink>
    </w:p>
  </w:footnote>
  <w:footnote w:id="27">
    <w:p w14:paraId="77265C06"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Hare, J., ‘Pressure grows for teaching-only unis’ </w:t>
      </w:r>
      <w:r w:rsidRPr="001619CB">
        <w:rPr>
          <w:rFonts w:cs="Times New Roman"/>
          <w:i/>
        </w:rPr>
        <w:t xml:space="preserve">The Australian </w:t>
      </w:r>
      <w:r w:rsidRPr="001619CB">
        <w:rPr>
          <w:rFonts w:cs="Times New Roman"/>
        </w:rPr>
        <w:t xml:space="preserve">(2 February 2011), at </w:t>
      </w:r>
      <w:hyperlink r:id="rId23" w:history="1">
        <w:r w:rsidRPr="001619CB">
          <w:rPr>
            <w:rStyle w:val="Hyperlink"/>
          </w:rPr>
          <w:t>http://www.theaustralian.com.au/news/nation/pressure-grows-for-teaching-only-unis/story-e6frg6nf-1225998355456</w:t>
        </w:r>
      </w:hyperlink>
      <w:r w:rsidRPr="001619CB">
        <w:rPr>
          <w:rFonts w:cs="Times New Roman"/>
        </w:rPr>
        <w:t xml:space="preserve"> </w:t>
      </w:r>
    </w:p>
  </w:footnote>
  <w:footnote w:id="28">
    <w:p w14:paraId="74379DA1"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University of Tasmania, ‘About </w:t>
      </w:r>
      <w:proofErr w:type="spellStart"/>
      <w:r w:rsidRPr="001619CB">
        <w:rPr>
          <w:rFonts w:cs="Times New Roman"/>
        </w:rPr>
        <w:t>IMAS</w:t>
      </w:r>
      <w:proofErr w:type="spellEnd"/>
      <w:r w:rsidRPr="001619CB">
        <w:rPr>
          <w:rFonts w:cs="Times New Roman"/>
        </w:rPr>
        <w:t xml:space="preserve">’, at </w:t>
      </w:r>
      <w:hyperlink r:id="rId24" w:history="1">
        <w:r w:rsidRPr="001619CB">
          <w:rPr>
            <w:rStyle w:val="Hyperlink"/>
          </w:rPr>
          <w:t>http://www.imas.utas.edu.au/about-imas</w:t>
        </w:r>
      </w:hyperlink>
      <w:r w:rsidRPr="001619CB">
        <w:rPr>
          <w:rFonts w:cs="Times New Roman"/>
        </w:rPr>
        <w:t xml:space="preserve">  </w:t>
      </w:r>
    </w:p>
  </w:footnote>
  <w:footnote w:id="29">
    <w:p w14:paraId="14A71876"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University of Tasmania, ‘About </w:t>
      </w:r>
      <w:proofErr w:type="spellStart"/>
      <w:r w:rsidRPr="001619CB">
        <w:rPr>
          <w:rFonts w:cs="Times New Roman"/>
        </w:rPr>
        <w:t>IMAS</w:t>
      </w:r>
      <w:proofErr w:type="spellEnd"/>
      <w:r w:rsidRPr="001619CB">
        <w:rPr>
          <w:rFonts w:cs="Times New Roman"/>
        </w:rPr>
        <w:t xml:space="preserve">’, at </w:t>
      </w:r>
      <w:hyperlink r:id="rId25" w:history="1">
        <w:r w:rsidRPr="001619CB">
          <w:rPr>
            <w:rStyle w:val="Hyperlink"/>
          </w:rPr>
          <w:t>http://www.imas.utas.edu.au/about-imas</w:t>
        </w:r>
      </w:hyperlink>
      <w:r w:rsidRPr="001619CB">
        <w:rPr>
          <w:rFonts w:cs="Times New Roman"/>
        </w:rPr>
        <w:t xml:space="preserve">  </w:t>
      </w:r>
    </w:p>
  </w:footnote>
  <w:footnote w:id="30">
    <w:p w14:paraId="69621ACA" w14:textId="77777777" w:rsidR="006938F4" w:rsidRPr="001619CB" w:rsidRDefault="006938F4" w:rsidP="006938F4">
      <w:pPr>
        <w:pStyle w:val="FootnoteText"/>
        <w:rPr>
          <w:rFonts w:cs="Times New Roman"/>
        </w:rPr>
      </w:pPr>
      <w:r w:rsidRPr="001619CB">
        <w:rPr>
          <w:rStyle w:val="FootnoteReference"/>
        </w:rPr>
        <w:footnoteRef/>
      </w:r>
      <w:r w:rsidRPr="001619CB">
        <w:rPr>
          <w:rFonts w:cs="Times New Roman"/>
        </w:rPr>
        <w:t xml:space="preserve"> University of Tasmania, ‘Institute for Marine and Antarctic Studies’, at </w:t>
      </w:r>
      <w:hyperlink r:id="rId26" w:history="1">
        <w:r w:rsidRPr="001619CB">
          <w:rPr>
            <w:rStyle w:val="Hyperlink"/>
          </w:rPr>
          <w:t>http://www.imas.utas.edu.au/home</w:t>
        </w:r>
      </w:hyperlink>
      <w:r w:rsidRPr="001619CB">
        <w:rPr>
          <w:rFonts w:cs="Times New Roman"/>
        </w:rPr>
        <w:t xml:space="preserve"> </w:t>
      </w:r>
    </w:p>
  </w:footnote>
  <w:footnote w:id="31">
    <w:p w14:paraId="7DE9089E" w14:textId="229D4658" w:rsidR="003A6640" w:rsidRDefault="003A6640">
      <w:pPr>
        <w:pStyle w:val="FootnoteText"/>
      </w:pPr>
      <w:r>
        <w:rPr>
          <w:rStyle w:val="FootnoteReference"/>
        </w:rPr>
        <w:footnoteRef/>
      </w:r>
      <w:r>
        <w:t xml:space="preserve"> </w:t>
      </w:r>
      <w:r w:rsidRPr="001619CB">
        <w:rPr>
          <w:rFonts w:cs="Times New Roman"/>
        </w:rPr>
        <w:t xml:space="preserve">See Australian Catholic University, ‘Research Institutes’, at </w:t>
      </w:r>
      <w:hyperlink r:id="rId27" w:history="1">
        <w:r w:rsidRPr="001619CB">
          <w:rPr>
            <w:rStyle w:val="Hyperlink"/>
          </w:rPr>
          <w:t>http://www.acu.edu.au/research/research_institutes_and_programs</w:t>
        </w:r>
      </w:hyperlink>
    </w:p>
  </w:footnote>
  <w:footnote w:id="32">
    <w:p w14:paraId="0A300700" w14:textId="503D816A" w:rsidR="00F3013E" w:rsidRPr="001619CB" w:rsidRDefault="00F3013E" w:rsidP="00F3013E">
      <w:pPr>
        <w:pStyle w:val="FootnoteText"/>
        <w:rPr>
          <w:rFonts w:cs="Times New Roman"/>
        </w:rPr>
      </w:pPr>
      <w:r w:rsidRPr="001619CB">
        <w:rPr>
          <w:rStyle w:val="FootnoteReference"/>
        </w:rPr>
        <w:footnoteRef/>
      </w:r>
      <w:r w:rsidRPr="001619CB">
        <w:rPr>
          <w:rFonts w:cs="Times New Roman"/>
        </w:rPr>
        <w:t xml:space="preserve"> </w:t>
      </w:r>
      <w:proofErr w:type="gramStart"/>
      <w:r w:rsidRPr="001619CB">
        <w:rPr>
          <w:rFonts w:cs="Times New Roman"/>
        </w:rPr>
        <w:t xml:space="preserve">Australian Government, </w:t>
      </w:r>
      <w:r w:rsidRPr="001619CB">
        <w:rPr>
          <w:rFonts w:cs="Times New Roman"/>
          <w:i/>
        </w:rPr>
        <w:t xml:space="preserve">Boosting the </w:t>
      </w:r>
      <w:r w:rsidR="00F3346C">
        <w:rPr>
          <w:rFonts w:cs="Times New Roman"/>
          <w:i/>
        </w:rPr>
        <w:t>C</w:t>
      </w:r>
      <w:r w:rsidRPr="001619CB">
        <w:rPr>
          <w:rFonts w:cs="Times New Roman"/>
          <w:i/>
        </w:rPr>
        <w:t xml:space="preserve">ommercial </w:t>
      </w:r>
      <w:r w:rsidR="00F3346C">
        <w:rPr>
          <w:rFonts w:cs="Times New Roman"/>
          <w:i/>
        </w:rPr>
        <w:t>R</w:t>
      </w:r>
      <w:r w:rsidRPr="001619CB">
        <w:rPr>
          <w:rFonts w:cs="Times New Roman"/>
          <w:i/>
        </w:rPr>
        <w:t xml:space="preserve">eturns from </w:t>
      </w:r>
      <w:r w:rsidR="00F3346C">
        <w:rPr>
          <w:rFonts w:cs="Times New Roman"/>
          <w:i/>
        </w:rPr>
        <w:t>R</w:t>
      </w:r>
      <w:r w:rsidRPr="001619CB">
        <w:rPr>
          <w:rFonts w:cs="Times New Roman"/>
          <w:i/>
        </w:rPr>
        <w:t xml:space="preserve">esearch </w:t>
      </w:r>
      <w:r w:rsidRPr="001619CB">
        <w:rPr>
          <w:rFonts w:cs="Times New Roman"/>
        </w:rPr>
        <w:t>(2014), at 21.</w:t>
      </w:r>
      <w:proofErr w:type="gramEnd"/>
    </w:p>
  </w:footnote>
  <w:footnote w:id="33">
    <w:p w14:paraId="14388139" w14:textId="74905ED0" w:rsidR="009A5505" w:rsidRPr="001619CB" w:rsidRDefault="009A5505" w:rsidP="009A5505">
      <w:pPr>
        <w:pStyle w:val="FootnoteText"/>
        <w:rPr>
          <w:rFonts w:cs="Times New Roman"/>
        </w:rPr>
      </w:pPr>
      <w:r w:rsidRPr="001619CB">
        <w:rPr>
          <w:rStyle w:val="FootnoteReference"/>
        </w:rPr>
        <w:footnoteRef/>
      </w:r>
      <w:r w:rsidRPr="001619CB">
        <w:rPr>
          <w:rFonts w:cs="Times New Roman"/>
        </w:rPr>
        <w:t xml:space="preserve"> Katz, J., Martin, B., ‘What is research collaboration?’ </w:t>
      </w:r>
      <w:proofErr w:type="gramStart"/>
      <w:r w:rsidR="00124B05" w:rsidRPr="001619CB">
        <w:rPr>
          <w:rFonts w:cs="Times New Roman"/>
        </w:rPr>
        <w:t>(1997)</w:t>
      </w:r>
      <w:r w:rsidR="00124B05">
        <w:rPr>
          <w:rFonts w:cs="Times New Roman"/>
        </w:rPr>
        <w:t xml:space="preserve"> </w:t>
      </w:r>
      <w:r w:rsidRPr="001619CB">
        <w:rPr>
          <w:rFonts w:cs="Times New Roman"/>
        </w:rPr>
        <w:t xml:space="preserve">26 </w:t>
      </w:r>
      <w:r w:rsidRPr="001619CB">
        <w:rPr>
          <w:rFonts w:cs="Times New Roman"/>
          <w:i/>
        </w:rPr>
        <w:t xml:space="preserve">Research Policy </w:t>
      </w:r>
      <w:r w:rsidRPr="001619CB">
        <w:rPr>
          <w:rFonts w:cs="Times New Roman"/>
        </w:rPr>
        <w:t>1.</w:t>
      </w:r>
      <w:proofErr w:type="gramEnd"/>
      <w:r w:rsidRPr="001619CB">
        <w:rPr>
          <w:rFonts w:cs="Times New Roman"/>
          <w:i/>
        </w:rPr>
        <w:t xml:space="preserve"> </w:t>
      </w:r>
      <w:r w:rsidRPr="001619CB">
        <w:rPr>
          <w:rFonts w:cs="Times New Roman"/>
        </w:rPr>
        <w:t xml:space="preserve"> </w:t>
      </w:r>
    </w:p>
  </w:footnote>
  <w:footnote w:id="34">
    <w:p w14:paraId="56C223F3" w14:textId="397F4D10" w:rsidR="009A5505" w:rsidRPr="001619CB" w:rsidRDefault="009A5505" w:rsidP="009A5505">
      <w:pPr>
        <w:pStyle w:val="FootnoteText"/>
        <w:rPr>
          <w:rFonts w:cs="Times New Roman"/>
        </w:rPr>
      </w:pPr>
      <w:r w:rsidRPr="001619CB">
        <w:rPr>
          <w:rStyle w:val="FootnoteReference"/>
        </w:rPr>
        <w:footnoteRef/>
      </w:r>
      <w:r w:rsidRPr="001619CB">
        <w:rPr>
          <w:rFonts w:cs="Times New Roman"/>
        </w:rPr>
        <w:t xml:space="preserve"> </w:t>
      </w:r>
      <w:proofErr w:type="gramStart"/>
      <w:r w:rsidRPr="001619CB">
        <w:rPr>
          <w:rFonts w:cs="Times New Roman"/>
        </w:rPr>
        <w:t xml:space="preserve">Loan-Clarke, J., and Preston, D., ‘Tensions and benefits in collaborative research involving a university and another </w:t>
      </w:r>
      <w:proofErr w:type="spellStart"/>
      <w:r w:rsidRPr="001619CB">
        <w:rPr>
          <w:rFonts w:cs="Times New Roman"/>
        </w:rPr>
        <w:t>organisation</w:t>
      </w:r>
      <w:proofErr w:type="spellEnd"/>
      <w:r w:rsidRPr="001619CB">
        <w:rPr>
          <w:rFonts w:cs="Times New Roman"/>
        </w:rPr>
        <w:t xml:space="preserve">’ (2002) 27(2) </w:t>
      </w:r>
      <w:r w:rsidRPr="001619CB">
        <w:rPr>
          <w:rFonts w:cs="Times New Roman"/>
          <w:i/>
        </w:rPr>
        <w:t xml:space="preserve">Studies in Higher Education </w:t>
      </w:r>
      <w:r w:rsidRPr="001619CB">
        <w:rPr>
          <w:rFonts w:cs="Times New Roman"/>
        </w:rPr>
        <w:t>169; Eastern Michigan University, ‘Collaborative Research’.</w:t>
      </w:r>
      <w:proofErr w:type="gramEnd"/>
    </w:p>
  </w:footnote>
  <w:footnote w:id="35">
    <w:p w14:paraId="7A398D4E" w14:textId="77777777" w:rsidR="00E366B6" w:rsidRPr="001619CB" w:rsidRDefault="00E366B6" w:rsidP="00E366B6">
      <w:pPr>
        <w:pStyle w:val="FootnoteText"/>
        <w:rPr>
          <w:rFonts w:cs="Times New Roman"/>
          <w:i/>
        </w:rPr>
      </w:pPr>
      <w:r w:rsidRPr="001619CB">
        <w:rPr>
          <w:rStyle w:val="FootnoteReference"/>
        </w:rPr>
        <w:footnoteRef/>
      </w:r>
      <w:r w:rsidRPr="001619CB">
        <w:rPr>
          <w:rFonts w:cs="Times New Roman"/>
        </w:rPr>
        <w:t xml:space="preserve"> </w:t>
      </w:r>
      <w:r w:rsidRPr="001619CB">
        <w:rPr>
          <w:rFonts w:cs="Times New Roman"/>
          <w:i/>
        </w:rPr>
        <w:t>Graduate Destination Survey (</w:t>
      </w:r>
      <w:proofErr w:type="spellStart"/>
      <w:r w:rsidRPr="001619CB">
        <w:rPr>
          <w:rFonts w:cs="Times New Roman"/>
          <w:i/>
        </w:rPr>
        <w:t>GDS</w:t>
      </w:r>
      <w:proofErr w:type="spellEnd"/>
      <w:r w:rsidRPr="001619CB">
        <w:rPr>
          <w:rFonts w:cs="Times New Roman"/>
          <w:i/>
        </w:rPr>
        <w:t>) 2012.</w:t>
      </w:r>
    </w:p>
  </w:footnote>
  <w:footnote w:id="36">
    <w:p w14:paraId="0CEEE3D9" w14:textId="3B53FFBF" w:rsidR="00E366B6" w:rsidRPr="001619CB" w:rsidRDefault="00E366B6" w:rsidP="00E366B6">
      <w:pPr>
        <w:rPr>
          <w:rFonts w:cs="Times New Roman"/>
          <w:sz w:val="20"/>
          <w:szCs w:val="20"/>
        </w:rPr>
      </w:pPr>
      <w:r w:rsidRPr="001619CB">
        <w:rPr>
          <w:rStyle w:val="FootnoteReference"/>
          <w:sz w:val="20"/>
          <w:szCs w:val="20"/>
        </w:rPr>
        <w:footnoteRef/>
      </w:r>
      <w:r w:rsidRPr="001619CB">
        <w:rPr>
          <w:rFonts w:cs="Times New Roman"/>
          <w:sz w:val="20"/>
          <w:szCs w:val="20"/>
        </w:rPr>
        <w:t xml:space="preserve"> </w:t>
      </w:r>
      <w:proofErr w:type="spellStart"/>
      <w:r w:rsidRPr="001619CB">
        <w:rPr>
          <w:rFonts w:cs="Times New Roman"/>
          <w:sz w:val="20"/>
          <w:szCs w:val="20"/>
        </w:rPr>
        <w:t>Hobsons</w:t>
      </w:r>
      <w:proofErr w:type="spellEnd"/>
      <w:r w:rsidRPr="001619CB">
        <w:rPr>
          <w:rFonts w:cs="Times New Roman"/>
          <w:sz w:val="20"/>
          <w:szCs w:val="20"/>
        </w:rPr>
        <w:t xml:space="preserve">, </w:t>
      </w:r>
      <w:r w:rsidR="009F373B" w:rsidRPr="001619CB">
        <w:rPr>
          <w:rFonts w:cs="Times New Roman"/>
          <w:i/>
          <w:iCs/>
          <w:sz w:val="20"/>
          <w:szCs w:val="20"/>
        </w:rPr>
        <w:t>The Good Universities Guide 2015</w:t>
      </w:r>
      <w:r w:rsidRPr="001619CB">
        <w:rPr>
          <w:rFonts w:cs="Times New Roman"/>
          <w:i/>
          <w:iCs/>
          <w:sz w:val="20"/>
          <w:szCs w:val="20"/>
        </w:rPr>
        <w:t xml:space="preserve"> to Universities, </w:t>
      </w:r>
      <w:proofErr w:type="spellStart"/>
      <w:r w:rsidRPr="001619CB">
        <w:rPr>
          <w:rFonts w:cs="Times New Roman"/>
          <w:i/>
          <w:iCs/>
          <w:sz w:val="20"/>
          <w:szCs w:val="20"/>
        </w:rPr>
        <w:t>TAFEs</w:t>
      </w:r>
      <w:proofErr w:type="spellEnd"/>
      <w:r w:rsidRPr="001619CB">
        <w:rPr>
          <w:rFonts w:cs="Times New Roman"/>
          <w:i/>
          <w:iCs/>
          <w:sz w:val="20"/>
          <w:szCs w:val="20"/>
        </w:rPr>
        <w:t xml:space="preserve"> and Higher Education Providers </w:t>
      </w:r>
      <w:r w:rsidR="009F373B" w:rsidRPr="001619CB">
        <w:rPr>
          <w:rFonts w:cs="Times New Roman"/>
          <w:iCs/>
          <w:sz w:val="20"/>
          <w:szCs w:val="20"/>
        </w:rPr>
        <w:t>(2014</w:t>
      </w:r>
      <w:r w:rsidRPr="001619CB">
        <w:rPr>
          <w:rFonts w:cs="Times New Roman"/>
          <w:iCs/>
          <w:sz w:val="20"/>
          <w:szCs w:val="20"/>
        </w:rPr>
        <w:t>)</w:t>
      </w:r>
      <w:r w:rsidRPr="001619CB">
        <w:rPr>
          <w:rFonts w:cs="Times New Roman"/>
          <w:i/>
          <w:iCs/>
          <w:sz w:val="20"/>
          <w:szCs w:val="20"/>
        </w:rPr>
        <w:t>.</w:t>
      </w:r>
    </w:p>
  </w:footnote>
  <w:footnote w:id="37">
    <w:p w14:paraId="43A7AEB5" w14:textId="77777777" w:rsidR="00E366B6" w:rsidRPr="001619CB" w:rsidRDefault="00E366B6" w:rsidP="00E366B6">
      <w:pPr>
        <w:pStyle w:val="FootnoteText"/>
        <w:rPr>
          <w:rFonts w:cs="Times New Roman"/>
        </w:rPr>
      </w:pPr>
      <w:r w:rsidRPr="001619CB">
        <w:rPr>
          <w:rStyle w:val="FootnoteReference"/>
        </w:rPr>
        <w:footnoteRef/>
      </w:r>
      <w:r w:rsidRPr="001619CB">
        <w:rPr>
          <w:rFonts w:cs="Times New Roman"/>
        </w:rPr>
        <w:t xml:space="preserve"> See Australian Catholic University, ‘Research Institutes’, at </w:t>
      </w:r>
      <w:hyperlink r:id="rId28" w:history="1">
        <w:r w:rsidRPr="001619CB">
          <w:rPr>
            <w:rStyle w:val="Hyperlink"/>
          </w:rPr>
          <w:t>http://www.acu.edu.au/research/research_institutes_and_programs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A4C29" w14:textId="77777777" w:rsidR="00382260" w:rsidRDefault="00382260">
    <w:pPr>
      <w:pStyle w:val="Header"/>
    </w:pPr>
    <w:r>
      <w:rPr>
        <w:noProof/>
        <w:lang w:val="en-AU" w:eastAsia="en-AU"/>
      </w:rPr>
      <w:drawing>
        <wp:anchor distT="0" distB="0" distL="114300" distR="114300" simplePos="0" relativeHeight="251662336" behindDoc="0" locked="0" layoutInCell="1" allowOverlap="1" wp14:anchorId="16741763" wp14:editId="313B2FCB">
          <wp:simplePos x="0" y="0"/>
          <wp:positionH relativeFrom="margin">
            <wp:posOffset>4249420</wp:posOffset>
          </wp:positionH>
          <wp:positionV relativeFrom="margin">
            <wp:posOffset>-836930</wp:posOffset>
          </wp:positionV>
          <wp:extent cx="1914525" cy="73977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39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5D10D" w14:textId="77777777" w:rsidR="00382260" w:rsidRDefault="00382260">
    <w:pPr>
      <w:pStyle w:val="Header"/>
    </w:pPr>
    <w:r>
      <w:rPr>
        <w:noProof/>
        <w:lang w:val="en-AU" w:eastAsia="en-AU"/>
      </w:rPr>
      <w:drawing>
        <wp:anchor distT="0" distB="0" distL="114300" distR="114300" simplePos="0" relativeHeight="251660288" behindDoc="0" locked="0" layoutInCell="1" allowOverlap="1" wp14:anchorId="0CAEF108" wp14:editId="44BA1442">
          <wp:simplePos x="0" y="0"/>
          <wp:positionH relativeFrom="margin">
            <wp:posOffset>4093845</wp:posOffset>
          </wp:positionH>
          <wp:positionV relativeFrom="margin">
            <wp:posOffset>-800735</wp:posOffset>
          </wp:positionV>
          <wp:extent cx="2070100" cy="800100"/>
          <wp:effectExtent l="0" t="0" r="6350" b="0"/>
          <wp:wrapSquare wrapText="bothSides"/>
          <wp:docPr id="7" name="Picture 5" descr="Australian Catholic University logo in red and blue" title="Logo of the A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800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E7D"/>
    <w:multiLevelType w:val="hybridMultilevel"/>
    <w:tmpl w:val="EADEC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726DD2"/>
    <w:multiLevelType w:val="multilevel"/>
    <w:tmpl w:val="E608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F7976"/>
    <w:multiLevelType w:val="hybridMultilevel"/>
    <w:tmpl w:val="E89A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31552C"/>
    <w:multiLevelType w:val="hybridMultilevel"/>
    <w:tmpl w:val="681A423A"/>
    <w:lvl w:ilvl="0" w:tplc="D6040C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3237CA"/>
    <w:multiLevelType w:val="hybridMultilevel"/>
    <w:tmpl w:val="05501A1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nsid w:val="13C81BEB"/>
    <w:multiLevelType w:val="hybridMultilevel"/>
    <w:tmpl w:val="5E0C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A942A4"/>
    <w:multiLevelType w:val="hybridMultilevel"/>
    <w:tmpl w:val="A10E0CB8"/>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6B0167B"/>
    <w:multiLevelType w:val="hybridMultilevel"/>
    <w:tmpl w:val="361C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202A5B"/>
    <w:multiLevelType w:val="hybridMultilevel"/>
    <w:tmpl w:val="243A276C"/>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9296CAA"/>
    <w:multiLevelType w:val="hybridMultilevel"/>
    <w:tmpl w:val="20F48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57429A"/>
    <w:multiLevelType w:val="hybridMultilevel"/>
    <w:tmpl w:val="C1A8EF1A"/>
    <w:lvl w:ilvl="0" w:tplc="D6040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E07C6B"/>
    <w:multiLevelType w:val="hybridMultilevel"/>
    <w:tmpl w:val="BFF2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2112EE2"/>
    <w:multiLevelType w:val="hybridMultilevel"/>
    <w:tmpl w:val="2CD69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A51A29"/>
    <w:multiLevelType w:val="hybridMultilevel"/>
    <w:tmpl w:val="BCD6E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4516BB"/>
    <w:multiLevelType w:val="hybridMultilevel"/>
    <w:tmpl w:val="5192B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7C5CD9"/>
    <w:multiLevelType w:val="hybridMultilevel"/>
    <w:tmpl w:val="6E9A9822"/>
    <w:lvl w:ilvl="0" w:tplc="D6040C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D373EB"/>
    <w:multiLevelType w:val="hybridMultilevel"/>
    <w:tmpl w:val="98F6C244"/>
    <w:lvl w:ilvl="0" w:tplc="D6040CE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3AA4ABC"/>
    <w:multiLevelType w:val="hybridMultilevel"/>
    <w:tmpl w:val="9A6A6EE6"/>
    <w:lvl w:ilvl="0" w:tplc="0C090003">
      <w:start w:val="1"/>
      <w:numFmt w:val="bullet"/>
      <w:lvlText w:val="o"/>
      <w:lvlJc w:val="left"/>
      <w:pPr>
        <w:ind w:left="1440" w:hanging="360"/>
      </w:pPr>
      <w:rPr>
        <w:rFonts w:ascii="Courier New" w:hAnsi="Courier New"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44C7824"/>
    <w:multiLevelType w:val="hybridMultilevel"/>
    <w:tmpl w:val="9D5A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8D7B8A"/>
    <w:multiLevelType w:val="hybridMultilevel"/>
    <w:tmpl w:val="436880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3E9E68C0"/>
    <w:multiLevelType w:val="hybridMultilevel"/>
    <w:tmpl w:val="A1888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385983"/>
    <w:multiLevelType w:val="hybridMultilevel"/>
    <w:tmpl w:val="83060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3E3A6A"/>
    <w:multiLevelType w:val="hybridMultilevel"/>
    <w:tmpl w:val="8BE0B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A05793"/>
    <w:multiLevelType w:val="hybridMultilevel"/>
    <w:tmpl w:val="C1987A20"/>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4B4925"/>
    <w:multiLevelType w:val="hybridMultilevel"/>
    <w:tmpl w:val="C168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A65D55"/>
    <w:multiLevelType w:val="hybridMultilevel"/>
    <w:tmpl w:val="99B4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2A70E2"/>
    <w:multiLevelType w:val="hybridMultilevel"/>
    <w:tmpl w:val="9794A18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8E64786"/>
    <w:multiLevelType w:val="hybridMultilevel"/>
    <w:tmpl w:val="446C3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C01DCA"/>
    <w:multiLevelType w:val="hybridMultilevel"/>
    <w:tmpl w:val="EA6E2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254B3F"/>
    <w:multiLevelType w:val="hybridMultilevel"/>
    <w:tmpl w:val="F8C06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BF487D"/>
    <w:multiLevelType w:val="hybridMultilevel"/>
    <w:tmpl w:val="6E0421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nsid w:val="5D4E3282"/>
    <w:multiLevelType w:val="multilevel"/>
    <w:tmpl w:val="E324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C44C1"/>
    <w:multiLevelType w:val="hybridMultilevel"/>
    <w:tmpl w:val="EA5213D8"/>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nsid w:val="5F214A6B"/>
    <w:multiLevelType w:val="hybridMultilevel"/>
    <w:tmpl w:val="4C92E584"/>
    <w:lvl w:ilvl="0" w:tplc="D6040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9A4419"/>
    <w:multiLevelType w:val="hybridMultilevel"/>
    <w:tmpl w:val="063A1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7D36A1E"/>
    <w:multiLevelType w:val="hybridMultilevel"/>
    <w:tmpl w:val="77D6B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4A4498D0">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AF053CA"/>
    <w:multiLevelType w:val="hybridMultilevel"/>
    <w:tmpl w:val="4B1AB3F6"/>
    <w:lvl w:ilvl="0" w:tplc="D6040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901832"/>
    <w:multiLevelType w:val="hybridMultilevel"/>
    <w:tmpl w:val="C3169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B43900"/>
    <w:multiLevelType w:val="hybridMultilevel"/>
    <w:tmpl w:val="8B361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D06091"/>
    <w:multiLevelType w:val="hybridMultilevel"/>
    <w:tmpl w:val="BF801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F234E47"/>
    <w:multiLevelType w:val="hybridMultilevel"/>
    <w:tmpl w:val="4BF2E1F0"/>
    <w:lvl w:ilvl="0" w:tplc="2CAE975C">
      <w:numFmt w:val="bullet"/>
      <w:lvlText w:val="-"/>
      <w:lvlJc w:val="left"/>
      <w:pPr>
        <w:ind w:left="1080" w:hanging="360"/>
      </w:pPr>
      <w:rPr>
        <w:rFonts w:ascii="Calibri" w:eastAsia="Times New Roman" w:hAnsi="Calibri"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hint="default"/>
      </w:rPr>
    </w:lvl>
    <w:lvl w:ilvl="8" w:tplc="0C090005">
      <w:start w:val="1"/>
      <w:numFmt w:val="bullet"/>
      <w:lvlText w:val=""/>
      <w:lvlJc w:val="left"/>
      <w:pPr>
        <w:ind w:left="6840" w:hanging="360"/>
      </w:pPr>
      <w:rPr>
        <w:rFonts w:ascii="Wingdings" w:hAnsi="Wingdings" w:hint="default"/>
      </w:rPr>
    </w:lvl>
  </w:abstractNum>
  <w:abstractNum w:abstractNumId="41">
    <w:nsid w:val="721D18C9"/>
    <w:multiLevelType w:val="hybridMultilevel"/>
    <w:tmpl w:val="FC86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32A6DE8"/>
    <w:multiLevelType w:val="hybridMultilevel"/>
    <w:tmpl w:val="7640D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7604418B"/>
    <w:multiLevelType w:val="hybridMultilevel"/>
    <w:tmpl w:val="466A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6E50F82"/>
    <w:multiLevelType w:val="hybridMultilevel"/>
    <w:tmpl w:val="2C0643B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nsid w:val="7EC05F36"/>
    <w:multiLevelType w:val="hybridMultilevel"/>
    <w:tmpl w:val="DB92E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40"/>
  </w:num>
  <w:num w:numId="4">
    <w:abstractNumId w:val="26"/>
  </w:num>
  <w:num w:numId="5">
    <w:abstractNumId w:val="29"/>
  </w:num>
  <w:num w:numId="6">
    <w:abstractNumId w:val="4"/>
  </w:num>
  <w:num w:numId="7">
    <w:abstractNumId w:val="23"/>
  </w:num>
  <w:num w:numId="8">
    <w:abstractNumId w:val="32"/>
  </w:num>
  <w:num w:numId="9">
    <w:abstractNumId w:val="6"/>
  </w:num>
  <w:num w:numId="10">
    <w:abstractNumId w:val="8"/>
  </w:num>
  <w:num w:numId="11">
    <w:abstractNumId w:val="19"/>
  </w:num>
  <w:num w:numId="12">
    <w:abstractNumId w:val="11"/>
  </w:num>
  <w:num w:numId="13">
    <w:abstractNumId w:val="17"/>
  </w:num>
  <w:num w:numId="14">
    <w:abstractNumId w:val="41"/>
  </w:num>
  <w:num w:numId="15">
    <w:abstractNumId w:val="38"/>
  </w:num>
  <w:num w:numId="16">
    <w:abstractNumId w:val="24"/>
  </w:num>
  <w:num w:numId="17">
    <w:abstractNumId w:val="22"/>
  </w:num>
  <w:num w:numId="18">
    <w:abstractNumId w:val="10"/>
  </w:num>
  <w:num w:numId="19">
    <w:abstractNumId w:val="15"/>
  </w:num>
  <w:num w:numId="20">
    <w:abstractNumId w:val="14"/>
  </w:num>
  <w:num w:numId="21">
    <w:abstractNumId w:val="2"/>
  </w:num>
  <w:num w:numId="22">
    <w:abstractNumId w:val="0"/>
  </w:num>
  <w:num w:numId="23">
    <w:abstractNumId w:val="37"/>
  </w:num>
  <w:num w:numId="24">
    <w:abstractNumId w:val="25"/>
  </w:num>
  <w:num w:numId="25">
    <w:abstractNumId w:val="20"/>
  </w:num>
  <w:num w:numId="26">
    <w:abstractNumId w:val="27"/>
  </w:num>
  <w:num w:numId="27">
    <w:abstractNumId w:val="35"/>
  </w:num>
  <w:num w:numId="28">
    <w:abstractNumId w:val="36"/>
  </w:num>
  <w:num w:numId="29">
    <w:abstractNumId w:val="16"/>
  </w:num>
  <w:num w:numId="30">
    <w:abstractNumId w:val="3"/>
  </w:num>
  <w:num w:numId="31">
    <w:abstractNumId w:val="33"/>
  </w:num>
  <w:num w:numId="32">
    <w:abstractNumId w:val="21"/>
  </w:num>
  <w:num w:numId="33">
    <w:abstractNumId w:val="41"/>
  </w:num>
  <w:num w:numId="34">
    <w:abstractNumId w:val="5"/>
  </w:num>
  <w:num w:numId="35">
    <w:abstractNumId w:val="30"/>
  </w:num>
  <w:num w:numId="36">
    <w:abstractNumId w:val="31"/>
  </w:num>
  <w:num w:numId="37">
    <w:abstractNumId w:val="44"/>
  </w:num>
  <w:num w:numId="38">
    <w:abstractNumId w:val="1"/>
  </w:num>
  <w:num w:numId="39">
    <w:abstractNumId w:val="18"/>
  </w:num>
  <w:num w:numId="40">
    <w:abstractNumId w:val="28"/>
  </w:num>
  <w:num w:numId="41">
    <w:abstractNumId w:val="9"/>
  </w:num>
  <w:num w:numId="42">
    <w:abstractNumId w:val="12"/>
  </w:num>
  <w:num w:numId="43">
    <w:abstractNumId w:val="7"/>
  </w:num>
  <w:num w:numId="44">
    <w:abstractNumId w:val="43"/>
  </w:num>
  <w:num w:numId="45">
    <w:abstractNumId w:val="45"/>
  </w:num>
  <w:num w:numId="46">
    <w:abstractNumId w:val="34"/>
  </w:num>
  <w:num w:numId="47">
    <w:abstractNumId w:val="1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B3"/>
    <w:rsid w:val="0000225B"/>
    <w:rsid w:val="00003AB5"/>
    <w:rsid w:val="00006A82"/>
    <w:rsid w:val="00006D51"/>
    <w:rsid w:val="0001057B"/>
    <w:rsid w:val="000214DA"/>
    <w:rsid w:val="00022A62"/>
    <w:rsid w:val="00023A23"/>
    <w:rsid w:val="000251FD"/>
    <w:rsid w:val="00025B82"/>
    <w:rsid w:val="00026F67"/>
    <w:rsid w:val="00030D13"/>
    <w:rsid w:val="0003323B"/>
    <w:rsid w:val="00033ABA"/>
    <w:rsid w:val="00033F0A"/>
    <w:rsid w:val="000405F3"/>
    <w:rsid w:val="00040ECC"/>
    <w:rsid w:val="00041424"/>
    <w:rsid w:val="00041EBA"/>
    <w:rsid w:val="0004279A"/>
    <w:rsid w:val="00045D5F"/>
    <w:rsid w:val="00054FC9"/>
    <w:rsid w:val="0005671F"/>
    <w:rsid w:val="000578A1"/>
    <w:rsid w:val="00060709"/>
    <w:rsid w:val="0006286A"/>
    <w:rsid w:val="00062DAE"/>
    <w:rsid w:val="000646A6"/>
    <w:rsid w:val="00064769"/>
    <w:rsid w:val="00064E03"/>
    <w:rsid w:val="00065783"/>
    <w:rsid w:val="00067853"/>
    <w:rsid w:val="00071DB7"/>
    <w:rsid w:val="00074EEA"/>
    <w:rsid w:val="000766AC"/>
    <w:rsid w:val="00077023"/>
    <w:rsid w:val="00077712"/>
    <w:rsid w:val="00077A06"/>
    <w:rsid w:val="00081EDB"/>
    <w:rsid w:val="0008222E"/>
    <w:rsid w:val="00083F78"/>
    <w:rsid w:val="000841CF"/>
    <w:rsid w:val="0008453B"/>
    <w:rsid w:val="00084AF8"/>
    <w:rsid w:val="00085E84"/>
    <w:rsid w:val="00087485"/>
    <w:rsid w:val="00090BBB"/>
    <w:rsid w:val="00090EBC"/>
    <w:rsid w:val="00092161"/>
    <w:rsid w:val="00092B72"/>
    <w:rsid w:val="00092E39"/>
    <w:rsid w:val="00093076"/>
    <w:rsid w:val="00094A4C"/>
    <w:rsid w:val="0009579F"/>
    <w:rsid w:val="000A0194"/>
    <w:rsid w:val="000A0573"/>
    <w:rsid w:val="000A3A95"/>
    <w:rsid w:val="000A463A"/>
    <w:rsid w:val="000A4BB7"/>
    <w:rsid w:val="000A69F7"/>
    <w:rsid w:val="000B0936"/>
    <w:rsid w:val="000B1668"/>
    <w:rsid w:val="000B2D45"/>
    <w:rsid w:val="000B38FA"/>
    <w:rsid w:val="000B4D45"/>
    <w:rsid w:val="000B5EF5"/>
    <w:rsid w:val="000B7358"/>
    <w:rsid w:val="000C220C"/>
    <w:rsid w:val="000C2D45"/>
    <w:rsid w:val="000C54D8"/>
    <w:rsid w:val="000D303E"/>
    <w:rsid w:val="000D3B1A"/>
    <w:rsid w:val="000D42CA"/>
    <w:rsid w:val="000D4FF6"/>
    <w:rsid w:val="000D5686"/>
    <w:rsid w:val="000D739D"/>
    <w:rsid w:val="000E1DEC"/>
    <w:rsid w:val="000E48EA"/>
    <w:rsid w:val="000E532B"/>
    <w:rsid w:val="000F0086"/>
    <w:rsid w:val="000F106B"/>
    <w:rsid w:val="000F1BEC"/>
    <w:rsid w:val="000F53FD"/>
    <w:rsid w:val="000F5DA4"/>
    <w:rsid w:val="00100FF6"/>
    <w:rsid w:val="00101888"/>
    <w:rsid w:val="00103133"/>
    <w:rsid w:val="00103A1C"/>
    <w:rsid w:val="00104760"/>
    <w:rsid w:val="00104A40"/>
    <w:rsid w:val="0010560C"/>
    <w:rsid w:val="001063F3"/>
    <w:rsid w:val="00111055"/>
    <w:rsid w:val="001114DC"/>
    <w:rsid w:val="00112019"/>
    <w:rsid w:val="00114C31"/>
    <w:rsid w:val="00114F9A"/>
    <w:rsid w:val="001169EC"/>
    <w:rsid w:val="00117126"/>
    <w:rsid w:val="0011752D"/>
    <w:rsid w:val="00120B7D"/>
    <w:rsid w:val="00124B05"/>
    <w:rsid w:val="00126830"/>
    <w:rsid w:val="0012755E"/>
    <w:rsid w:val="0013040C"/>
    <w:rsid w:val="0013156A"/>
    <w:rsid w:val="00132742"/>
    <w:rsid w:val="00135FB3"/>
    <w:rsid w:val="00136FA7"/>
    <w:rsid w:val="00136FEF"/>
    <w:rsid w:val="0014050B"/>
    <w:rsid w:val="0014115A"/>
    <w:rsid w:val="001411B2"/>
    <w:rsid w:val="00141259"/>
    <w:rsid w:val="00141857"/>
    <w:rsid w:val="00145BE7"/>
    <w:rsid w:val="001503D3"/>
    <w:rsid w:val="00150FFC"/>
    <w:rsid w:val="00152607"/>
    <w:rsid w:val="00152B86"/>
    <w:rsid w:val="00152C24"/>
    <w:rsid w:val="00155ADF"/>
    <w:rsid w:val="0015673C"/>
    <w:rsid w:val="001601C8"/>
    <w:rsid w:val="001619CB"/>
    <w:rsid w:val="001619FA"/>
    <w:rsid w:val="001632CE"/>
    <w:rsid w:val="00163E51"/>
    <w:rsid w:val="001702B2"/>
    <w:rsid w:val="00172F32"/>
    <w:rsid w:val="00173C61"/>
    <w:rsid w:val="001743BD"/>
    <w:rsid w:val="00174F00"/>
    <w:rsid w:val="00176693"/>
    <w:rsid w:val="001804F2"/>
    <w:rsid w:val="00180AEC"/>
    <w:rsid w:val="00183525"/>
    <w:rsid w:val="0018647A"/>
    <w:rsid w:val="00186698"/>
    <w:rsid w:val="00186D9A"/>
    <w:rsid w:val="0019069F"/>
    <w:rsid w:val="00191FE7"/>
    <w:rsid w:val="00195789"/>
    <w:rsid w:val="00195983"/>
    <w:rsid w:val="001963F7"/>
    <w:rsid w:val="00196EFE"/>
    <w:rsid w:val="001A05A8"/>
    <w:rsid w:val="001A1EBE"/>
    <w:rsid w:val="001A22A3"/>
    <w:rsid w:val="001A22AA"/>
    <w:rsid w:val="001A4B5A"/>
    <w:rsid w:val="001A4E1E"/>
    <w:rsid w:val="001A60D0"/>
    <w:rsid w:val="001A6EBC"/>
    <w:rsid w:val="001A744E"/>
    <w:rsid w:val="001B24EA"/>
    <w:rsid w:val="001B2ABA"/>
    <w:rsid w:val="001B35BE"/>
    <w:rsid w:val="001B46B2"/>
    <w:rsid w:val="001B4F40"/>
    <w:rsid w:val="001B7D71"/>
    <w:rsid w:val="001C1441"/>
    <w:rsid w:val="001C309A"/>
    <w:rsid w:val="001C4798"/>
    <w:rsid w:val="001C4AF0"/>
    <w:rsid w:val="001C568C"/>
    <w:rsid w:val="001C5C36"/>
    <w:rsid w:val="001D064A"/>
    <w:rsid w:val="001D0EF9"/>
    <w:rsid w:val="001D1BCD"/>
    <w:rsid w:val="001D28DB"/>
    <w:rsid w:val="001D76EE"/>
    <w:rsid w:val="001E5A84"/>
    <w:rsid w:val="001E680E"/>
    <w:rsid w:val="001F3A1C"/>
    <w:rsid w:val="001F4DAE"/>
    <w:rsid w:val="001F5BCC"/>
    <w:rsid w:val="001F71F8"/>
    <w:rsid w:val="001F7BDD"/>
    <w:rsid w:val="001F7C70"/>
    <w:rsid w:val="00202BB7"/>
    <w:rsid w:val="00204E1D"/>
    <w:rsid w:val="00205F7A"/>
    <w:rsid w:val="00206BEB"/>
    <w:rsid w:val="00207CDF"/>
    <w:rsid w:val="00210036"/>
    <w:rsid w:val="00212EB8"/>
    <w:rsid w:val="00216A6F"/>
    <w:rsid w:val="00216C88"/>
    <w:rsid w:val="00217BE2"/>
    <w:rsid w:val="002217F5"/>
    <w:rsid w:val="00221BD7"/>
    <w:rsid w:val="00222114"/>
    <w:rsid w:val="00223DF4"/>
    <w:rsid w:val="002260C3"/>
    <w:rsid w:val="00231E90"/>
    <w:rsid w:val="00233240"/>
    <w:rsid w:val="00233312"/>
    <w:rsid w:val="00234772"/>
    <w:rsid w:val="002349C2"/>
    <w:rsid w:val="0024196C"/>
    <w:rsid w:val="00245A3C"/>
    <w:rsid w:val="00246175"/>
    <w:rsid w:val="00246CFC"/>
    <w:rsid w:val="0025050F"/>
    <w:rsid w:val="002521FC"/>
    <w:rsid w:val="0025392A"/>
    <w:rsid w:val="00253D4A"/>
    <w:rsid w:val="0025419A"/>
    <w:rsid w:val="00255044"/>
    <w:rsid w:val="0025583E"/>
    <w:rsid w:val="00255A17"/>
    <w:rsid w:val="002563EA"/>
    <w:rsid w:val="002568D0"/>
    <w:rsid w:val="00261E76"/>
    <w:rsid w:val="0026282D"/>
    <w:rsid w:val="00263265"/>
    <w:rsid w:val="0026347A"/>
    <w:rsid w:val="002711DB"/>
    <w:rsid w:val="00273887"/>
    <w:rsid w:val="00277D50"/>
    <w:rsid w:val="00280536"/>
    <w:rsid w:val="00284F8A"/>
    <w:rsid w:val="00286A95"/>
    <w:rsid w:val="00292461"/>
    <w:rsid w:val="0029741A"/>
    <w:rsid w:val="002A0784"/>
    <w:rsid w:val="002A12F3"/>
    <w:rsid w:val="002A32DE"/>
    <w:rsid w:val="002A53AC"/>
    <w:rsid w:val="002A5B3B"/>
    <w:rsid w:val="002A6179"/>
    <w:rsid w:val="002B1529"/>
    <w:rsid w:val="002B2D11"/>
    <w:rsid w:val="002B64D5"/>
    <w:rsid w:val="002B73E0"/>
    <w:rsid w:val="002C096E"/>
    <w:rsid w:val="002C3020"/>
    <w:rsid w:val="002C40C6"/>
    <w:rsid w:val="002D4133"/>
    <w:rsid w:val="002D49D9"/>
    <w:rsid w:val="002D56C7"/>
    <w:rsid w:val="002D6452"/>
    <w:rsid w:val="002D6A4F"/>
    <w:rsid w:val="002E0FDE"/>
    <w:rsid w:val="002E42D4"/>
    <w:rsid w:val="002E6073"/>
    <w:rsid w:val="002E6089"/>
    <w:rsid w:val="002E673E"/>
    <w:rsid w:val="002E69A4"/>
    <w:rsid w:val="002E6A5C"/>
    <w:rsid w:val="002E7623"/>
    <w:rsid w:val="002E7F6A"/>
    <w:rsid w:val="002F04AB"/>
    <w:rsid w:val="002F1D6D"/>
    <w:rsid w:val="002F4720"/>
    <w:rsid w:val="002F5E2E"/>
    <w:rsid w:val="00303FE2"/>
    <w:rsid w:val="00304100"/>
    <w:rsid w:val="00305D5B"/>
    <w:rsid w:val="003066B2"/>
    <w:rsid w:val="00306C53"/>
    <w:rsid w:val="00311744"/>
    <w:rsid w:val="00311A7F"/>
    <w:rsid w:val="003121D9"/>
    <w:rsid w:val="00313CA0"/>
    <w:rsid w:val="00313DC7"/>
    <w:rsid w:val="00313FA1"/>
    <w:rsid w:val="003154B2"/>
    <w:rsid w:val="00315E48"/>
    <w:rsid w:val="003201D6"/>
    <w:rsid w:val="00322305"/>
    <w:rsid w:val="003255D3"/>
    <w:rsid w:val="00327B94"/>
    <w:rsid w:val="00327BF2"/>
    <w:rsid w:val="003361C2"/>
    <w:rsid w:val="00336731"/>
    <w:rsid w:val="003375F6"/>
    <w:rsid w:val="003409DA"/>
    <w:rsid w:val="0034210B"/>
    <w:rsid w:val="003436B7"/>
    <w:rsid w:val="00344EE5"/>
    <w:rsid w:val="00346306"/>
    <w:rsid w:val="003468ED"/>
    <w:rsid w:val="003478CC"/>
    <w:rsid w:val="0035148C"/>
    <w:rsid w:val="00351B6E"/>
    <w:rsid w:val="00355932"/>
    <w:rsid w:val="00355B5B"/>
    <w:rsid w:val="00357B79"/>
    <w:rsid w:val="003621EB"/>
    <w:rsid w:val="00362955"/>
    <w:rsid w:val="003637F7"/>
    <w:rsid w:val="00366738"/>
    <w:rsid w:val="00367BC1"/>
    <w:rsid w:val="0037032E"/>
    <w:rsid w:val="00370DBA"/>
    <w:rsid w:val="003722F3"/>
    <w:rsid w:val="00374037"/>
    <w:rsid w:val="0037460A"/>
    <w:rsid w:val="0037563E"/>
    <w:rsid w:val="003756BC"/>
    <w:rsid w:val="00380A14"/>
    <w:rsid w:val="00380C5C"/>
    <w:rsid w:val="00381C44"/>
    <w:rsid w:val="00382260"/>
    <w:rsid w:val="003822CA"/>
    <w:rsid w:val="0038358D"/>
    <w:rsid w:val="00383612"/>
    <w:rsid w:val="00384794"/>
    <w:rsid w:val="0038612C"/>
    <w:rsid w:val="00386A1C"/>
    <w:rsid w:val="00391DA9"/>
    <w:rsid w:val="003925F0"/>
    <w:rsid w:val="003946FF"/>
    <w:rsid w:val="00394B53"/>
    <w:rsid w:val="00396EEB"/>
    <w:rsid w:val="00397027"/>
    <w:rsid w:val="00397C71"/>
    <w:rsid w:val="003A097D"/>
    <w:rsid w:val="003A186E"/>
    <w:rsid w:val="003A2930"/>
    <w:rsid w:val="003A2C1B"/>
    <w:rsid w:val="003A2F53"/>
    <w:rsid w:val="003A5139"/>
    <w:rsid w:val="003A58CB"/>
    <w:rsid w:val="003A5AE2"/>
    <w:rsid w:val="003A5E11"/>
    <w:rsid w:val="003A6640"/>
    <w:rsid w:val="003A7029"/>
    <w:rsid w:val="003A7399"/>
    <w:rsid w:val="003B495E"/>
    <w:rsid w:val="003C0A9F"/>
    <w:rsid w:val="003C1D88"/>
    <w:rsid w:val="003C1FE6"/>
    <w:rsid w:val="003C5E95"/>
    <w:rsid w:val="003C6A7F"/>
    <w:rsid w:val="003E3855"/>
    <w:rsid w:val="003E4C65"/>
    <w:rsid w:val="003E4D25"/>
    <w:rsid w:val="003E52DA"/>
    <w:rsid w:val="003E6F5C"/>
    <w:rsid w:val="003E7C75"/>
    <w:rsid w:val="003F1DD8"/>
    <w:rsid w:val="003F36CF"/>
    <w:rsid w:val="003F3EF0"/>
    <w:rsid w:val="003F61A8"/>
    <w:rsid w:val="003F6EEF"/>
    <w:rsid w:val="0040107F"/>
    <w:rsid w:val="00403551"/>
    <w:rsid w:val="00405D67"/>
    <w:rsid w:val="00415AFA"/>
    <w:rsid w:val="00417265"/>
    <w:rsid w:val="0041735E"/>
    <w:rsid w:val="00421F37"/>
    <w:rsid w:val="00422AC2"/>
    <w:rsid w:val="00422C06"/>
    <w:rsid w:val="004247DB"/>
    <w:rsid w:val="004276BF"/>
    <w:rsid w:val="004278EF"/>
    <w:rsid w:val="00427D1D"/>
    <w:rsid w:val="004318BB"/>
    <w:rsid w:val="0043564C"/>
    <w:rsid w:val="004413E2"/>
    <w:rsid w:val="00441896"/>
    <w:rsid w:val="00442012"/>
    <w:rsid w:val="00442C2E"/>
    <w:rsid w:val="004445F5"/>
    <w:rsid w:val="004446E2"/>
    <w:rsid w:val="00450C73"/>
    <w:rsid w:val="004541F5"/>
    <w:rsid w:val="00454442"/>
    <w:rsid w:val="00455FEF"/>
    <w:rsid w:val="004602B9"/>
    <w:rsid w:val="00461080"/>
    <w:rsid w:val="0046258F"/>
    <w:rsid w:val="004646DB"/>
    <w:rsid w:val="00464E2A"/>
    <w:rsid w:val="0046636D"/>
    <w:rsid w:val="004667A5"/>
    <w:rsid w:val="00466FF2"/>
    <w:rsid w:val="00470DC5"/>
    <w:rsid w:val="00472799"/>
    <w:rsid w:val="00473E67"/>
    <w:rsid w:val="00473FE4"/>
    <w:rsid w:val="0047426F"/>
    <w:rsid w:val="00476887"/>
    <w:rsid w:val="00483C37"/>
    <w:rsid w:val="00484681"/>
    <w:rsid w:val="00484E95"/>
    <w:rsid w:val="00486135"/>
    <w:rsid w:val="0049144B"/>
    <w:rsid w:val="004921B1"/>
    <w:rsid w:val="00492CB6"/>
    <w:rsid w:val="00492D19"/>
    <w:rsid w:val="00493946"/>
    <w:rsid w:val="00494CF1"/>
    <w:rsid w:val="00495608"/>
    <w:rsid w:val="004957CC"/>
    <w:rsid w:val="00495D73"/>
    <w:rsid w:val="0049751C"/>
    <w:rsid w:val="00497BE5"/>
    <w:rsid w:val="004A28C6"/>
    <w:rsid w:val="004A2BC3"/>
    <w:rsid w:val="004A4843"/>
    <w:rsid w:val="004A4EB6"/>
    <w:rsid w:val="004A4F8D"/>
    <w:rsid w:val="004A570A"/>
    <w:rsid w:val="004A6B05"/>
    <w:rsid w:val="004B0061"/>
    <w:rsid w:val="004B077E"/>
    <w:rsid w:val="004B141E"/>
    <w:rsid w:val="004B17F8"/>
    <w:rsid w:val="004B1DBD"/>
    <w:rsid w:val="004B4BD8"/>
    <w:rsid w:val="004B5727"/>
    <w:rsid w:val="004B603F"/>
    <w:rsid w:val="004B6F7E"/>
    <w:rsid w:val="004B7AC3"/>
    <w:rsid w:val="004C1D6F"/>
    <w:rsid w:val="004C28B2"/>
    <w:rsid w:val="004C28DC"/>
    <w:rsid w:val="004C3A91"/>
    <w:rsid w:val="004D09DF"/>
    <w:rsid w:val="004D0EE5"/>
    <w:rsid w:val="004D0FA6"/>
    <w:rsid w:val="004D321B"/>
    <w:rsid w:val="004D35D7"/>
    <w:rsid w:val="004D696B"/>
    <w:rsid w:val="004E027B"/>
    <w:rsid w:val="004E0A13"/>
    <w:rsid w:val="004E1B1C"/>
    <w:rsid w:val="004E4CB7"/>
    <w:rsid w:val="004F06EC"/>
    <w:rsid w:val="004F0997"/>
    <w:rsid w:val="004F3434"/>
    <w:rsid w:val="004F4752"/>
    <w:rsid w:val="004F4AF7"/>
    <w:rsid w:val="004F4EEB"/>
    <w:rsid w:val="004F4F3D"/>
    <w:rsid w:val="004F5A4C"/>
    <w:rsid w:val="004F6274"/>
    <w:rsid w:val="004F6D22"/>
    <w:rsid w:val="005011C2"/>
    <w:rsid w:val="0050407A"/>
    <w:rsid w:val="005041ED"/>
    <w:rsid w:val="00505EBC"/>
    <w:rsid w:val="00507101"/>
    <w:rsid w:val="00510F8B"/>
    <w:rsid w:val="005138D0"/>
    <w:rsid w:val="005169B6"/>
    <w:rsid w:val="00516AC0"/>
    <w:rsid w:val="00517FEB"/>
    <w:rsid w:val="005242BE"/>
    <w:rsid w:val="005247D3"/>
    <w:rsid w:val="00526816"/>
    <w:rsid w:val="0052687D"/>
    <w:rsid w:val="005278B5"/>
    <w:rsid w:val="00527D37"/>
    <w:rsid w:val="00530231"/>
    <w:rsid w:val="00531C1C"/>
    <w:rsid w:val="0053219E"/>
    <w:rsid w:val="0053384B"/>
    <w:rsid w:val="005338C7"/>
    <w:rsid w:val="00533AAC"/>
    <w:rsid w:val="00533B1A"/>
    <w:rsid w:val="00537266"/>
    <w:rsid w:val="00537636"/>
    <w:rsid w:val="00542C41"/>
    <w:rsid w:val="005437D9"/>
    <w:rsid w:val="00545730"/>
    <w:rsid w:val="005511B7"/>
    <w:rsid w:val="00552A22"/>
    <w:rsid w:val="00552C5D"/>
    <w:rsid w:val="005535DE"/>
    <w:rsid w:val="005558C0"/>
    <w:rsid w:val="00556B2C"/>
    <w:rsid w:val="00557E05"/>
    <w:rsid w:val="00560F37"/>
    <w:rsid w:val="00563404"/>
    <w:rsid w:val="00563AAB"/>
    <w:rsid w:val="00563C61"/>
    <w:rsid w:val="00566007"/>
    <w:rsid w:val="00567761"/>
    <w:rsid w:val="00567BE9"/>
    <w:rsid w:val="00570BB2"/>
    <w:rsid w:val="00573CE5"/>
    <w:rsid w:val="005766BC"/>
    <w:rsid w:val="005766EE"/>
    <w:rsid w:val="00577255"/>
    <w:rsid w:val="00582DD6"/>
    <w:rsid w:val="00586125"/>
    <w:rsid w:val="00586AEC"/>
    <w:rsid w:val="00587A6F"/>
    <w:rsid w:val="005902AB"/>
    <w:rsid w:val="00591D48"/>
    <w:rsid w:val="005A029A"/>
    <w:rsid w:val="005A0F83"/>
    <w:rsid w:val="005A478D"/>
    <w:rsid w:val="005A79C7"/>
    <w:rsid w:val="005B12D0"/>
    <w:rsid w:val="005B4441"/>
    <w:rsid w:val="005C0274"/>
    <w:rsid w:val="005C0FE8"/>
    <w:rsid w:val="005C2120"/>
    <w:rsid w:val="005C25EE"/>
    <w:rsid w:val="005C29AC"/>
    <w:rsid w:val="005C4998"/>
    <w:rsid w:val="005C6086"/>
    <w:rsid w:val="005C71BE"/>
    <w:rsid w:val="005C7748"/>
    <w:rsid w:val="005D087F"/>
    <w:rsid w:val="005D46F1"/>
    <w:rsid w:val="005D6AC3"/>
    <w:rsid w:val="005E0677"/>
    <w:rsid w:val="005E123C"/>
    <w:rsid w:val="005E5A21"/>
    <w:rsid w:val="005E5E1D"/>
    <w:rsid w:val="005E6E29"/>
    <w:rsid w:val="005E70A7"/>
    <w:rsid w:val="005F427F"/>
    <w:rsid w:val="005F4BC9"/>
    <w:rsid w:val="00601335"/>
    <w:rsid w:val="006024CC"/>
    <w:rsid w:val="00602EAA"/>
    <w:rsid w:val="006102C7"/>
    <w:rsid w:val="00610E6C"/>
    <w:rsid w:val="006118E1"/>
    <w:rsid w:val="00621BDE"/>
    <w:rsid w:val="00624765"/>
    <w:rsid w:val="00624F66"/>
    <w:rsid w:val="00625473"/>
    <w:rsid w:val="0063288E"/>
    <w:rsid w:val="00643CE9"/>
    <w:rsid w:val="00646479"/>
    <w:rsid w:val="00647FB7"/>
    <w:rsid w:val="00652B9D"/>
    <w:rsid w:val="00660266"/>
    <w:rsid w:val="00661905"/>
    <w:rsid w:val="00663A02"/>
    <w:rsid w:val="00664A35"/>
    <w:rsid w:val="00671086"/>
    <w:rsid w:val="00674011"/>
    <w:rsid w:val="0068404E"/>
    <w:rsid w:val="00685227"/>
    <w:rsid w:val="00686B10"/>
    <w:rsid w:val="006870C0"/>
    <w:rsid w:val="00687FC2"/>
    <w:rsid w:val="006911E5"/>
    <w:rsid w:val="00691423"/>
    <w:rsid w:val="0069325D"/>
    <w:rsid w:val="006938F4"/>
    <w:rsid w:val="00696535"/>
    <w:rsid w:val="006972B4"/>
    <w:rsid w:val="00697CFB"/>
    <w:rsid w:val="00697ED4"/>
    <w:rsid w:val="006A1BFE"/>
    <w:rsid w:val="006A2071"/>
    <w:rsid w:val="006A23F9"/>
    <w:rsid w:val="006A30A9"/>
    <w:rsid w:val="006A499C"/>
    <w:rsid w:val="006A7128"/>
    <w:rsid w:val="006A71DA"/>
    <w:rsid w:val="006B0D68"/>
    <w:rsid w:val="006B1D20"/>
    <w:rsid w:val="006B4C69"/>
    <w:rsid w:val="006B4E28"/>
    <w:rsid w:val="006B4E6A"/>
    <w:rsid w:val="006B5ED2"/>
    <w:rsid w:val="006B6121"/>
    <w:rsid w:val="006B6C77"/>
    <w:rsid w:val="006B6E7F"/>
    <w:rsid w:val="006B74A9"/>
    <w:rsid w:val="006C048E"/>
    <w:rsid w:val="006C19E4"/>
    <w:rsid w:val="006C25FB"/>
    <w:rsid w:val="006C3301"/>
    <w:rsid w:val="006C397B"/>
    <w:rsid w:val="006C534D"/>
    <w:rsid w:val="006C5414"/>
    <w:rsid w:val="006C613C"/>
    <w:rsid w:val="006C6371"/>
    <w:rsid w:val="006D0AFA"/>
    <w:rsid w:val="006D0DE8"/>
    <w:rsid w:val="006D26E7"/>
    <w:rsid w:val="006D494E"/>
    <w:rsid w:val="006D6303"/>
    <w:rsid w:val="006D6F83"/>
    <w:rsid w:val="006D793F"/>
    <w:rsid w:val="006E1D70"/>
    <w:rsid w:val="006E3A7E"/>
    <w:rsid w:val="006E3F9C"/>
    <w:rsid w:val="006E495A"/>
    <w:rsid w:val="006E7A02"/>
    <w:rsid w:val="006F1093"/>
    <w:rsid w:val="006F3B84"/>
    <w:rsid w:val="006F3F4A"/>
    <w:rsid w:val="006F4B3C"/>
    <w:rsid w:val="006F4C31"/>
    <w:rsid w:val="006F5873"/>
    <w:rsid w:val="006F5A94"/>
    <w:rsid w:val="00704030"/>
    <w:rsid w:val="007053F3"/>
    <w:rsid w:val="00706737"/>
    <w:rsid w:val="007108DB"/>
    <w:rsid w:val="00711342"/>
    <w:rsid w:val="0071437A"/>
    <w:rsid w:val="0071589A"/>
    <w:rsid w:val="00720F8E"/>
    <w:rsid w:val="00725BA5"/>
    <w:rsid w:val="00733B04"/>
    <w:rsid w:val="00733D75"/>
    <w:rsid w:val="0073428C"/>
    <w:rsid w:val="00736AA0"/>
    <w:rsid w:val="00737575"/>
    <w:rsid w:val="007460F5"/>
    <w:rsid w:val="0074613B"/>
    <w:rsid w:val="007466FA"/>
    <w:rsid w:val="0074688D"/>
    <w:rsid w:val="007473F7"/>
    <w:rsid w:val="007477FD"/>
    <w:rsid w:val="00750632"/>
    <w:rsid w:val="00750BF7"/>
    <w:rsid w:val="007515DB"/>
    <w:rsid w:val="00752D01"/>
    <w:rsid w:val="00753F3F"/>
    <w:rsid w:val="00754A7F"/>
    <w:rsid w:val="00755E37"/>
    <w:rsid w:val="007560B9"/>
    <w:rsid w:val="00757D13"/>
    <w:rsid w:val="007628B5"/>
    <w:rsid w:val="00762C0F"/>
    <w:rsid w:val="0076368C"/>
    <w:rsid w:val="007670AD"/>
    <w:rsid w:val="007713E8"/>
    <w:rsid w:val="0077153A"/>
    <w:rsid w:val="007730CA"/>
    <w:rsid w:val="00773EDD"/>
    <w:rsid w:val="0077520E"/>
    <w:rsid w:val="00780C03"/>
    <w:rsid w:val="00781455"/>
    <w:rsid w:val="007844F4"/>
    <w:rsid w:val="00785205"/>
    <w:rsid w:val="00787B7E"/>
    <w:rsid w:val="007903F3"/>
    <w:rsid w:val="007974C4"/>
    <w:rsid w:val="00797590"/>
    <w:rsid w:val="007A08DE"/>
    <w:rsid w:val="007A0AE7"/>
    <w:rsid w:val="007A33F4"/>
    <w:rsid w:val="007A5E6E"/>
    <w:rsid w:val="007B0183"/>
    <w:rsid w:val="007B01E3"/>
    <w:rsid w:val="007B18CE"/>
    <w:rsid w:val="007B22D8"/>
    <w:rsid w:val="007B3449"/>
    <w:rsid w:val="007B681E"/>
    <w:rsid w:val="007B6A3D"/>
    <w:rsid w:val="007B78F9"/>
    <w:rsid w:val="007B7CEF"/>
    <w:rsid w:val="007C2236"/>
    <w:rsid w:val="007C23D1"/>
    <w:rsid w:val="007C31F8"/>
    <w:rsid w:val="007C4602"/>
    <w:rsid w:val="007C725E"/>
    <w:rsid w:val="007C76DF"/>
    <w:rsid w:val="007D06D3"/>
    <w:rsid w:val="007D0F91"/>
    <w:rsid w:val="007D1C29"/>
    <w:rsid w:val="007D3C6F"/>
    <w:rsid w:val="007D655F"/>
    <w:rsid w:val="007D6DA9"/>
    <w:rsid w:val="007D6FF4"/>
    <w:rsid w:val="007D7915"/>
    <w:rsid w:val="007D7F46"/>
    <w:rsid w:val="007E10A3"/>
    <w:rsid w:val="007E20CF"/>
    <w:rsid w:val="007E30B2"/>
    <w:rsid w:val="007E50EE"/>
    <w:rsid w:val="007E5254"/>
    <w:rsid w:val="007E5AF4"/>
    <w:rsid w:val="007E610D"/>
    <w:rsid w:val="007F1A52"/>
    <w:rsid w:val="007F1C38"/>
    <w:rsid w:val="007F7517"/>
    <w:rsid w:val="007F7CE2"/>
    <w:rsid w:val="00802B0B"/>
    <w:rsid w:val="0080511C"/>
    <w:rsid w:val="0080787E"/>
    <w:rsid w:val="008106AD"/>
    <w:rsid w:val="00811886"/>
    <w:rsid w:val="00812B97"/>
    <w:rsid w:val="00815EB3"/>
    <w:rsid w:val="0081699A"/>
    <w:rsid w:val="0082166D"/>
    <w:rsid w:val="008217A4"/>
    <w:rsid w:val="008224E5"/>
    <w:rsid w:val="0082389B"/>
    <w:rsid w:val="00823BEA"/>
    <w:rsid w:val="00824A09"/>
    <w:rsid w:val="00835016"/>
    <w:rsid w:val="00835CBD"/>
    <w:rsid w:val="008363F2"/>
    <w:rsid w:val="00841B82"/>
    <w:rsid w:val="00845CED"/>
    <w:rsid w:val="0084697C"/>
    <w:rsid w:val="008508E4"/>
    <w:rsid w:val="00850B3E"/>
    <w:rsid w:val="00852D7A"/>
    <w:rsid w:val="00853A6A"/>
    <w:rsid w:val="0085410B"/>
    <w:rsid w:val="008548DE"/>
    <w:rsid w:val="0085568F"/>
    <w:rsid w:val="00855871"/>
    <w:rsid w:val="00857B43"/>
    <w:rsid w:val="00857BA0"/>
    <w:rsid w:val="00861448"/>
    <w:rsid w:val="00865515"/>
    <w:rsid w:val="00865E88"/>
    <w:rsid w:val="008663A4"/>
    <w:rsid w:val="00867062"/>
    <w:rsid w:val="008718D4"/>
    <w:rsid w:val="00872BC6"/>
    <w:rsid w:val="00872EC5"/>
    <w:rsid w:val="008736EA"/>
    <w:rsid w:val="00875772"/>
    <w:rsid w:val="008757BE"/>
    <w:rsid w:val="00881260"/>
    <w:rsid w:val="008841C5"/>
    <w:rsid w:val="00884B41"/>
    <w:rsid w:val="0088560F"/>
    <w:rsid w:val="00887CBB"/>
    <w:rsid w:val="00891879"/>
    <w:rsid w:val="008A08A8"/>
    <w:rsid w:val="008A197E"/>
    <w:rsid w:val="008A5982"/>
    <w:rsid w:val="008A718D"/>
    <w:rsid w:val="008A790D"/>
    <w:rsid w:val="008B3C4B"/>
    <w:rsid w:val="008B74E4"/>
    <w:rsid w:val="008B7702"/>
    <w:rsid w:val="008C2875"/>
    <w:rsid w:val="008C3FF0"/>
    <w:rsid w:val="008C4F0F"/>
    <w:rsid w:val="008C6CEF"/>
    <w:rsid w:val="008C740C"/>
    <w:rsid w:val="008C7862"/>
    <w:rsid w:val="008D7624"/>
    <w:rsid w:val="008E040B"/>
    <w:rsid w:val="008E526C"/>
    <w:rsid w:val="008E64A6"/>
    <w:rsid w:val="008E7963"/>
    <w:rsid w:val="008E7A46"/>
    <w:rsid w:val="008F2BE8"/>
    <w:rsid w:val="008F43BB"/>
    <w:rsid w:val="008F58FB"/>
    <w:rsid w:val="00901A3A"/>
    <w:rsid w:val="00903E35"/>
    <w:rsid w:val="00905BBB"/>
    <w:rsid w:val="00907855"/>
    <w:rsid w:val="0090798C"/>
    <w:rsid w:val="00915ADB"/>
    <w:rsid w:val="0091665B"/>
    <w:rsid w:val="009210BC"/>
    <w:rsid w:val="0092310D"/>
    <w:rsid w:val="00923E94"/>
    <w:rsid w:val="00926A98"/>
    <w:rsid w:val="009301F8"/>
    <w:rsid w:val="00933D92"/>
    <w:rsid w:val="00936005"/>
    <w:rsid w:val="0093756C"/>
    <w:rsid w:val="00940D99"/>
    <w:rsid w:val="00941177"/>
    <w:rsid w:val="009412E1"/>
    <w:rsid w:val="009425B4"/>
    <w:rsid w:val="00942CDD"/>
    <w:rsid w:val="00942E1E"/>
    <w:rsid w:val="009433A5"/>
    <w:rsid w:val="0094492B"/>
    <w:rsid w:val="00944C20"/>
    <w:rsid w:val="00944CA5"/>
    <w:rsid w:val="00945E81"/>
    <w:rsid w:val="009506C7"/>
    <w:rsid w:val="00951E61"/>
    <w:rsid w:val="00952C94"/>
    <w:rsid w:val="00953358"/>
    <w:rsid w:val="00954033"/>
    <w:rsid w:val="00956514"/>
    <w:rsid w:val="00957503"/>
    <w:rsid w:val="00960DB1"/>
    <w:rsid w:val="00965368"/>
    <w:rsid w:val="00966331"/>
    <w:rsid w:val="00967F53"/>
    <w:rsid w:val="00973FE2"/>
    <w:rsid w:val="00975F51"/>
    <w:rsid w:val="00976E04"/>
    <w:rsid w:val="0097708A"/>
    <w:rsid w:val="00977992"/>
    <w:rsid w:val="00977F6E"/>
    <w:rsid w:val="009827DE"/>
    <w:rsid w:val="00984084"/>
    <w:rsid w:val="00986BA6"/>
    <w:rsid w:val="00991836"/>
    <w:rsid w:val="00992121"/>
    <w:rsid w:val="00994E2E"/>
    <w:rsid w:val="009954D3"/>
    <w:rsid w:val="009A5505"/>
    <w:rsid w:val="009A639C"/>
    <w:rsid w:val="009A76F6"/>
    <w:rsid w:val="009B14FB"/>
    <w:rsid w:val="009B25E8"/>
    <w:rsid w:val="009B4A80"/>
    <w:rsid w:val="009C1ABC"/>
    <w:rsid w:val="009C2590"/>
    <w:rsid w:val="009C710D"/>
    <w:rsid w:val="009C73A9"/>
    <w:rsid w:val="009C7AD2"/>
    <w:rsid w:val="009D08D7"/>
    <w:rsid w:val="009D389A"/>
    <w:rsid w:val="009D5310"/>
    <w:rsid w:val="009D54B7"/>
    <w:rsid w:val="009D5B5F"/>
    <w:rsid w:val="009D63F7"/>
    <w:rsid w:val="009E283A"/>
    <w:rsid w:val="009E2FB6"/>
    <w:rsid w:val="009E3A76"/>
    <w:rsid w:val="009E63E6"/>
    <w:rsid w:val="009E7E34"/>
    <w:rsid w:val="009E7F4E"/>
    <w:rsid w:val="009F0780"/>
    <w:rsid w:val="009F3259"/>
    <w:rsid w:val="009F373B"/>
    <w:rsid w:val="009F74A5"/>
    <w:rsid w:val="00A015FD"/>
    <w:rsid w:val="00A03E40"/>
    <w:rsid w:val="00A04872"/>
    <w:rsid w:val="00A04C63"/>
    <w:rsid w:val="00A05E9F"/>
    <w:rsid w:val="00A16D9C"/>
    <w:rsid w:val="00A17E81"/>
    <w:rsid w:val="00A203A4"/>
    <w:rsid w:val="00A21A9A"/>
    <w:rsid w:val="00A21F80"/>
    <w:rsid w:val="00A23771"/>
    <w:rsid w:val="00A2498B"/>
    <w:rsid w:val="00A32254"/>
    <w:rsid w:val="00A3370D"/>
    <w:rsid w:val="00A33C44"/>
    <w:rsid w:val="00A33EA7"/>
    <w:rsid w:val="00A34412"/>
    <w:rsid w:val="00A37BB1"/>
    <w:rsid w:val="00A401D0"/>
    <w:rsid w:val="00A41426"/>
    <w:rsid w:val="00A428D9"/>
    <w:rsid w:val="00A43DC6"/>
    <w:rsid w:val="00A43F02"/>
    <w:rsid w:val="00A50562"/>
    <w:rsid w:val="00A53FF8"/>
    <w:rsid w:val="00A54031"/>
    <w:rsid w:val="00A54995"/>
    <w:rsid w:val="00A54A7D"/>
    <w:rsid w:val="00A573AF"/>
    <w:rsid w:val="00A6036C"/>
    <w:rsid w:val="00A613EC"/>
    <w:rsid w:val="00A63352"/>
    <w:rsid w:val="00A65070"/>
    <w:rsid w:val="00A6639B"/>
    <w:rsid w:val="00A70489"/>
    <w:rsid w:val="00A705E1"/>
    <w:rsid w:val="00A714AE"/>
    <w:rsid w:val="00A71EC4"/>
    <w:rsid w:val="00A74CF5"/>
    <w:rsid w:val="00A77F8D"/>
    <w:rsid w:val="00A80611"/>
    <w:rsid w:val="00A80EE9"/>
    <w:rsid w:val="00A80F49"/>
    <w:rsid w:val="00A85936"/>
    <w:rsid w:val="00A86734"/>
    <w:rsid w:val="00A87F7A"/>
    <w:rsid w:val="00A97185"/>
    <w:rsid w:val="00A97198"/>
    <w:rsid w:val="00A97B0F"/>
    <w:rsid w:val="00AA096A"/>
    <w:rsid w:val="00AA32C7"/>
    <w:rsid w:val="00AA4D88"/>
    <w:rsid w:val="00AA5C70"/>
    <w:rsid w:val="00AB2673"/>
    <w:rsid w:val="00AB33B5"/>
    <w:rsid w:val="00AB5E08"/>
    <w:rsid w:val="00AB6E37"/>
    <w:rsid w:val="00AB7026"/>
    <w:rsid w:val="00AC0460"/>
    <w:rsid w:val="00AC1326"/>
    <w:rsid w:val="00AC3524"/>
    <w:rsid w:val="00AC3905"/>
    <w:rsid w:val="00AC46B5"/>
    <w:rsid w:val="00AC51EA"/>
    <w:rsid w:val="00AC53C5"/>
    <w:rsid w:val="00AC56BC"/>
    <w:rsid w:val="00AC678D"/>
    <w:rsid w:val="00AD064F"/>
    <w:rsid w:val="00AD2A9A"/>
    <w:rsid w:val="00AD2F96"/>
    <w:rsid w:val="00AD32B9"/>
    <w:rsid w:val="00AD552A"/>
    <w:rsid w:val="00AD641A"/>
    <w:rsid w:val="00AE00F3"/>
    <w:rsid w:val="00AE0151"/>
    <w:rsid w:val="00AE047F"/>
    <w:rsid w:val="00AE2527"/>
    <w:rsid w:val="00AE4F6D"/>
    <w:rsid w:val="00AF0E36"/>
    <w:rsid w:val="00AF1D9E"/>
    <w:rsid w:val="00AF4034"/>
    <w:rsid w:val="00AF63BC"/>
    <w:rsid w:val="00B00B94"/>
    <w:rsid w:val="00B03F88"/>
    <w:rsid w:val="00B047F8"/>
    <w:rsid w:val="00B04B7D"/>
    <w:rsid w:val="00B054FD"/>
    <w:rsid w:val="00B06580"/>
    <w:rsid w:val="00B075AF"/>
    <w:rsid w:val="00B07AEC"/>
    <w:rsid w:val="00B11DB3"/>
    <w:rsid w:val="00B15353"/>
    <w:rsid w:val="00B17975"/>
    <w:rsid w:val="00B2086B"/>
    <w:rsid w:val="00B209E7"/>
    <w:rsid w:val="00B21352"/>
    <w:rsid w:val="00B23BB9"/>
    <w:rsid w:val="00B24089"/>
    <w:rsid w:val="00B304E1"/>
    <w:rsid w:val="00B31B04"/>
    <w:rsid w:val="00B31E45"/>
    <w:rsid w:val="00B33B35"/>
    <w:rsid w:val="00B33B8B"/>
    <w:rsid w:val="00B340BE"/>
    <w:rsid w:val="00B3428F"/>
    <w:rsid w:val="00B34CA8"/>
    <w:rsid w:val="00B3588E"/>
    <w:rsid w:val="00B36370"/>
    <w:rsid w:val="00B406A8"/>
    <w:rsid w:val="00B4164A"/>
    <w:rsid w:val="00B42B68"/>
    <w:rsid w:val="00B43A27"/>
    <w:rsid w:val="00B44244"/>
    <w:rsid w:val="00B45BE2"/>
    <w:rsid w:val="00B466EF"/>
    <w:rsid w:val="00B47C27"/>
    <w:rsid w:val="00B52E65"/>
    <w:rsid w:val="00B532A6"/>
    <w:rsid w:val="00B53B1B"/>
    <w:rsid w:val="00B54BE6"/>
    <w:rsid w:val="00B54DBE"/>
    <w:rsid w:val="00B55BB2"/>
    <w:rsid w:val="00B569F0"/>
    <w:rsid w:val="00B56F8F"/>
    <w:rsid w:val="00B57913"/>
    <w:rsid w:val="00B605C3"/>
    <w:rsid w:val="00B64007"/>
    <w:rsid w:val="00B6505B"/>
    <w:rsid w:val="00B65209"/>
    <w:rsid w:val="00B674ED"/>
    <w:rsid w:val="00B70C72"/>
    <w:rsid w:val="00B71148"/>
    <w:rsid w:val="00B73388"/>
    <w:rsid w:val="00B7401E"/>
    <w:rsid w:val="00B7513D"/>
    <w:rsid w:val="00B75E6B"/>
    <w:rsid w:val="00B77A5F"/>
    <w:rsid w:val="00B80997"/>
    <w:rsid w:val="00B81AA9"/>
    <w:rsid w:val="00B825F2"/>
    <w:rsid w:val="00B8495F"/>
    <w:rsid w:val="00B84A01"/>
    <w:rsid w:val="00B858C0"/>
    <w:rsid w:val="00B85A41"/>
    <w:rsid w:val="00B860C3"/>
    <w:rsid w:val="00B933C5"/>
    <w:rsid w:val="00B956CF"/>
    <w:rsid w:val="00B958AB"/>
    <w:rsid w:val="00BA1A5E"/>
    <w:rsid w:val="00BA32A5"/>
    <w:rsid w:val="00BA3BB9"/>
    <w:rsid w:val="00BA4BF3"/>
    <w:rsid w:val="00BA5018"/>
    <w:rsid w:val="00BA5A5C"/>
    <w:rsid w:val="00BB08A0"/>
    <w:rsid w:val="00BB1277"/>
    <w:rsid w:val="00BB142E"/>
    <w:rsid w:val="00BB26E6"/>
    <w:rsid w:val="00BB2A8F"/>
    <w:rsid w:val="00BB2B9F"/>
    <w:rsid w:val="00BB373F"/>
    <w:rsid w:val="00BB7949"/>
    <w:rsid w:val="00BC1578"/>
    <w:rsid w:val="00BC1F66"/>
    <w:rsid w:val="00BC2C9C"/>
    <w:rsid w:val="00BC490C"/>
    <w:rsid w:val="00BC5BBD"/>
    <w:rsid w:val="00BD00C9"/>
    <w:rsid w:val="00BD0D6A"/>
    <w:rsid w:val="00BD0E79"/>
    <w:rsid w:val="00BD2862"/>
    <w:rsid w:val="00BD4C6A"/>
    <w:rsid w:val="00BD52BC"/>
    <w:rsid w:val="00BD548A"/>
    <w:rsid w:val="00BD611F"/>
    <w:rsid w:val="00BD7AE8"/>
    <w:rsid w:val="00BE08A3"/>
    <w:rsid w:val="00BE2142"/>
    <w:rsid w:val="00BE5402"/>
    <w:rsid w:val="00BE5F4A"/>
    <w:rsid w:val="00BE69E7"/>
    <w:rsid w:val="00BE710C"/>
    <w:rsid w:val="00BE7FF6"/>
    <w:rsid w:val="00BF05A9"/>
    <w:rsid w:val="00BF0A38"/>
    <w:rsid w:val="00BF4E07"/>
    <w:rsid w:val="00BF590C"/>
    <w:rsid w:val="00BF78B7"/>
    <w:rsid w:val="00C03D98"/>
    <w:rsid w:val="00C0469C"/>
    <w:rsid w:val="00C05EC3"/>
    <w:rsid w:val="00C10D97"/>
    <w:rsid w:val="00C11090"/>
    <w:rsid w:val="00C14C0A"/>
    <w:rsid w:val="00C160D8"/>
    <w:rsid w:val="00C1619F"/>
    <w:rsid w:val="00C17A1F"/>
    <w:rsid w:val="00C17C39"/>
    <w:rsid w:val="00C17D6B"/>
    <w:rsid w:val="00C23DCB"/>
    <w:rsid w:val="00C2401A"/>
    <w:rsid w:val="00C240D6"/>
    <w:rsid w:val="00C25540"/>
    <w:rsid w:val="00C27A63"/>
    <w:rsid w:val="00C3370D"/>
    <w:rsid w:val="00C350C7"/>
    <w:rsid w:val="00C372EA"/>
    <w:rsid w:val="00C41E52"/>
    <w:rsid w:val="00C4222A"/>
    <w:rsid w:val="00C43397"/>
    <w:rsid w:val="00C437A9"/>
    <w:rsid w:val="00C4684B"/>
    <w:rsid w:val="00C476B9"/>
    <w:rsid w:val="00C47CE8"/>
    <w:rsid w:val="00C507A0"/>
    <w:rsid w:val="00C50A11"/>
    <w:rsid w:val="00C52102"/>
    <w:rsid w:val="00C53F0E"/>
    <w:rsid w:val="00C54D33"/>
    <w:rsid w:val="00C5509A"/>
    <w:rsid w:val="00C558F5"/>
    <w:rsid w:val="00C56860"/>
    <w:rsid w:val="00C62DAC"/>
    <w:rsid w:val="00C634CB"/>
    <w:rsid w:val="00C637F0"/>
    <w:rsid w:val="00C63DA8"/>
    <w:rsid w:val="00C70ED7"/>
    <w:rsid w:val="00C722BB"/>
    <w:rsid w:val="00C7463C"/>
    <w:rsid w:val="00C7634D"/>
    <w:rsid w:val="00C801B0"/>
    <w:rsid w:val="00C81A24"/>
    <w:rsid w:val="00C85C21"/>
    <w:rsid w:val="00C918FB"/>
    <w:rsid w:val="00C9277E"/>
    <w:rsid w:val="00C92960"/>
    <w:rsid w:val="00C93E0F"/>
    <w:rsid w:val="00C94CB3"/>
    <w:rsid w:val="00C95BD0"/>
    <w:rsid w:val="00CA023B"/>
    <w:rsid w:val="00CA213C"/>
    <w:rsid w:val="00CA2EE9"/>
    <w:rsid w:val="00CA47E0"/>
    <w:rsid w:val="00CA50C5"/>
    <w:rsid w:val="00CB035F"/>
    <w:rsid w:val="00CB19C4"/>
    <w:rsid w:val="00CB2318"/>
    <w:rsid w:val="00CB4547"/>
    <w:rsid w:val="00CB5AF5"/>
    <w:rsid w:val="00CC0AA7"/>
    <w:rsid w:val="00CC3FF8"/>
    <w:rsid w:val="00CC5BBA"/>
    <w:rsid w:val="00CC5BDF"/>
    <w:rsid w:val="00CC67B7"/>
    <w:rsid w:val="00CC6890"/>
    <w:rsid w:val="00CD00CE"/>
    <w:rsid w:val="00CD2426"/>
    <w:rsid w:val="00CD28A1"/>
    <w:rsid w:val="00CD3164"/>
    <w:rsid w:val="00CD4CAC"/>
    <w:rsid w:val="00CD572F"/>
    <w:rsid w:val="00CD6E6D"/>
    <w:rsid w:val="00CD7EB4"/>
    <w:rsid w:val="00CE1B2C"/>
    <w:rsid w:val="00CE4346"/>
    <w:rsid w:val="00CE4DFE"/>
    <w:rsid w:val="00CE759B"/>
    <w:rsid w:val="00CE7B5A"/>
    <w:rsid w:val="00CF0A15"/>
    <w:rsid w:val="00CF352B"/>
    <w:rsid w:val="00CF3BBE"/>
    <w:rsid w:val="00CF4FCE"/>
    <w:rsid w:val="00CF632C"/>
    <w:rsid w:val="00CF6D6F"/>
    <w:rsid w:val="00D009A5"/>
    <w:rsid w:val="00D01F42"/>
    <w:rsid w:val="00D03760"/>
    <w:rsid w:val="00D04051"/>
    <w:rsid w:val="00D041B1"/>
    <w:rsid w:val="00D0447F"/>
    <w:rsid w:val="00D0542A"/>
    <w:rsid w:val="00D05EAD"/>
    <w:rsid w:val="00D07ECA"/>
    <w:rsid w:val="00D129E4"/>
    <w:rsid w:val="00D1566B"/>
    <w:rsid w:val="00D16A06"/>
    <w:rsid w:val="00D17301"/>
    <w:rsid w:val="00D20681"/>
    <w:rsid w:val="00D237D2"/>
    <w:rsid w:val="00D237E0"/>
    <w:rsid w:val="00D23F46"/>
    <w:rsid w:val="00D24B52"/>
    <w:rsid w:val="00D26A37"/>
    <w:rsid w:val="00D2755E"/>
    <w:rsid w:val="00D27F05"/>
    <w:rsid w:val="00D321A1"/>
    <w:rsid w:val="00D32AEE"/>
    <w:rsid w:val="00D35F52"/>
    <w:rsid w:val="00D370E0"/>
    <w:rsid w:val="00D40D87"/>
    <w:rsid w:val="00D43342"/>
    <w:rsid w:val="00D43B06"/>
    <w:rsid w:val="00D4472A"/>
    <w:rsid w:val="00D44B66"/>
    <w:rsid w:val="00D46169"/>
    <w:rsid w:val="00D47E3D"/>
    <w:rsid w:val="00D50E36"/>
    <w:rsid w:val="00D51119"/>
    <w:rsid w:val="00D51525"/>
    <w:rsid w:val="00D54EB1"/>
    <w:rsid w:val="00D5551D"/>
    <w:rsid w:val="00D575B1"/>
    <w:rsid w:val="00D577D0"/>
    <w:rsid w:val="00D612DD"/>
    <w:rsid w:val="00D61B0E"/>
    <w:rsid w:val="00D64811"/>
    <w:rsid w:val="00D6545F"/>
    <w:rsid w:val="00D65E90"/>
    <w:rsid w:val="00D66C90"/>
    <w:rsid w:val="00D70F29"/>
    <w:rsid w:val="00D72082"/>
    <w:rsid w:val="00D7306A"/>
    <w:rsid w:val="00D76570"/>
    <w:rsid w:val="00D77B54"/>
    <w:rsid w:val="00D8132F"/>
    <w:rsid w:val="00D81D49"/>
    <w:rsid w:val="00D81F00"/>
    <w:rsid w:val="00D83070"/>
    <w:rsid w:val="00D83330"/>
    <w:rsid w:val="00D86263"/>
    <w:rsid w:val="00D86FE0"/>
    <w:rsid w:val="00D870AB"/>
    <w:rsid w:val="00D90403"/>
    <w:rsid w:val="00D90771"/>
    <w:rsid w:val="00D9129C"/>
    <w:rsid w:val="00D9422A"/>
    <w:rsid w:val="00D94BB4"/>
    <w:rsid w:val="00D971C3"/>
    <w:rsid w:val="00DA2D97"/>
    <w:rsid w:val="00DA5C91"/>
    <w:rsid w:val="00DA6946"/>
    <w:rsid w:val="00DB23B7"/>
    <w:rsid w:val="00DB4150"/>
    <w:rsid w:val="00DB4FB8"/>
    <w:rsid w:val="00DC3EE4"/>
    <w:rsid w:val="00DC405C"/>
    <w:rsid w:val="00DC4D8C"/>
    <w:rsid w:val="00DC6702"/>
    <w:rsid w:val="00DD045B"/>
    <w:rsid w:val="00DD0798"/>
    <w:rsid w:val="00DD137B"/>
    <w:rsid w:val="00DD1CC3"/>
    <w:rsid w:val="00DD25E1"/>
    <w:rsid w:val="00DD2BDB"/>
    <w:rsid w:val="00DD482B"/>
    <w:rsid w:val="00DD70CD"/>
    <w:rsid w:val="00DD7491"/>
    <w:rsid w:val="00DE333D"/>
    <w:rsid w:val="00DE3F10"/>
    <w:rsid w:val="00DE4ACB"/>
    <w:rsid w:val="00DE531C"/>
    <w:rsid w:val="00DE5412"/>
    <w:rsid w:val="00DE5A0C"/>
    <w:rsid w:val="00DF2148"/>
    <w:rsid w:val="00DF2763"/>
    <w:rsid w:val="00DF3947"/>
    <w:rsid w:val="00DF4810"/>
    <w:rsid w:val="00DF5F11"/>
    <w:rsid w:val="00DF7208"/>
    <w:rsid w:val="00DF771B"/>
    <w:rsid w:val="00E016AA"/>
    <w:rsid w:val="00E03133"/>
    <w:rsid w:val="00E06A94"/>
    <w:rsid w:val="00E07AAE"/>
    <w:rsid w:val="00E10BF1"/>
    <w:rsid w:val="00E1163C"/>
    <w:rsid w:val="00E11812"/>
    <w:rsid w:val="00E11997"/>
    <w:rsid w:val="00E15082"/>
    <w:rsid w:val="00E150D1"/>
    <w:rsid w:val="00E15363"/>
    <w:rsid w:val="00E15640"/>
    <w:rsid w:val="00E16CFF"/>
    <w:rsid w:val="00E20E99"/>
    <w:rsid w:val="00E21787"/>
    <w:rsid w:val="00E22437"/>
    <w:rsid w:val="00E23E39"/>
    <w:rsid w:val="00E24C53"/>
    <w:rsid w:val="00E2591A"/>
    <w:rsid w:val="00E31261"/>
    <w:rsid w:val="00E321B2"/>
    <w:rsid w:val="00E353EF"/>
    <w:rsid w:val="00E366B6"/>
    <w:rsid w:val="00E4051A"/>
    <w:rsid w:val="00E40A0C"/>
    <w:rsid w:val="00E43C37"/>
    <w:rsid w:val="00E442C3"/>
    <w:rsid w:val="00E4438F"/>
    <w:rsid w:val="00E45C33"/>
    <w:rsid w:val="00E462B2"/>
    <w:rsid w:val="00E464FE"/>
    <w:rsid w:val="00E47072"/>
    <w:rsid w:val="00E508FF"/>
    <w:rsid w:val="00E538B5"/>
    <w:rsid w:val="00E53D4B"/>
    <w:rsid w:val="00E547C2"/>
    <w:rsid w:val="00E55385"/>
    <w:rsid w:val="00E5587B"/>
    <w:rsid w:val="00E61227"/>
    <w:rsid w:val="00E62B85"/>
    <w:rsid w:val="00E63942"/>
    <w:rsid w:val="00E63C78"/>
    <w:rsid w:val="00E645C8"/>
    <w:rsid w:val="00E6505F"/>
    <w:rsid w:val="00E653C2"/>
    <w:rsid w:val="00E661DC"/>
    <w:rsid w:val="00E66EAB"/>
    <w:rsid w:val="00E70F78"/>
    <w:rsid w:val="00E72066"/>
    <w:rsid w:val="00E7344A"/>
    <w:rsid w:val="00E734C8"/>
    <w:rsid w:val="00E7558B"/>
    <w:rsid w:val="00E75FFD"/>
    <w:rsid w:val="00E801FF"/>
    <w:rsid w:val="00E8163C"/>
    <w:rsid w:val="00E81AFB"/>
    <w:rsid w:val="00E83332"/>
    <w:rsid w:val="00E83F2E"/>
    <w:rsid w:val="00E85E1F"/>
    <w:rsid w:val="00E86EAA"/>
    <w:rsid w:val="00E917BF"/>
    <w:rsid w:val="00E93F85"/>
    <w:rsid w:val="00E965A5"/>
    <w:rsid w:val="00E97973"/>
    <w:rsid w:val="00E97F14"/>
    <w:rsid w:val="00EA0583"/>
    <w:rsid w:val="00EA06EE"/>
    <w:rsid w:val="00EA0B01"/>
    <w:rsid w:val="00EA14EC"/>
    <w:rsid w:val="00EA3B26"/>
    <w:rsid w:val="00EA4E0F"/>
    <w:rsid w:val="00EA5364"/>
    <w:rsid w:val="00EA7BE9"/>
    <w:rsid w:val="00EA7EC2"/>
    <w:rsid w:val="00EB140D"/>
    <w:rsid w:val="00EB165C"/>
    <w:rsid w:val="00EB198B"/>
    <w:rsid w:val="00EB3175"/>
    <w:rsid w:val="00EB419C"/>
    <w:rsid w:val="00EB4344"/>
    <w:rsid w:val="00EC0FDF"/>
    <w:rsid w:val="00EC4A8F"/>
    <w:rsid w:val="00EC6103"/>
    <w:rsid w:val="00ED1051"/>
    <w:rsid w:val="00ED13D6"/>
    <w:rsid w:val="00ED2005"/>
    <w:rsid w:val="00ED214C"/>
    <w:rsid w:val="00ED34C7"/>
    <w:rsid w:val="00ED5CA6"/>
    <w:rsid w:val="00ED6220"/>
    <w:rsid w:val="00ED78D8"/>
    <w:rsid w:val="00EE1677"/>
    <w:rsid w:val="00EE29D2"/>
    <w:rsid w:val="00EE585C"/>
    <w:rsid w:val="00EE70A2"/>
    <w:rsid w:val="00EE724D"/>
    <w:rsid w:val="00EE7FEC"/>
    <w:rsid w:val="00EF00C4"/>
    <w:rsid w:val="00EF06F7"/>
    <w:rsid w:val="00EF1F1A"/>
    <w:rsid w:val="00EF3152"/>
    <w:rsid w:val="00EF47A9"/>
    <w:rsid w:val="00EF4D7D"/>
    <w:rsid w:val="00F01226"/>
    <w:rsid w:val="00F018AD"/>
    <w:rsid w:val="00F02381"/>
    <w:rsid w:val="00F026C0"/>
    <w:rsid w:val="00F02DDA"/>
    <w:rsid w:val="00F03213"/>
    <w:rsid w:val="00F03C01"/>
    <w:rsid w:val="00F05F67"/>
    <w:rsid w:val="00F0674B"/>
    <w:rsid w:val="00F10E92"/>
    <w:rsid w:val="00F113C8"/>
    <w:rsid w:val="00F13150"/>
    <w:rsid w:val="00F13A24"/>
    <w:rsid w:val="00F1489B"/>
    <w:rsid w:val="00F153B9"/>
    <w:rsid w:val="00F17D89"/>
    <w:rsid w:val="00F22CA3"/>
    <w:rsid w:val="00F23148"/>
    <w:rsid w:val="00F2318C"/>
    <w:rsid w:val="00F233AF"/>
    <w:rsid w:val="00F257AD"/>
    <w:rsid w:val="00F3013E"/>
    <w:rsid w:val="00F3155D"/>
    <w:rsid w:val="00F31771"/>
    <w:rsid w:val="00F32E49"/>
    <w:rsid w:val="00F33162"/>
    <w:rsid w:val="00F3346C"/>
    <w:rsid w:val="00F3675E"/>
    <w:rsid w:val="00F36E2C"/>
    <w:rsid w:val="00F36FB9"/>
    <w:rsid w:val="00F40419"/>
    <w:rsid w:val="00F40435"/>
    <w:rsid w:val="00F40908"/>
    <w:rsid w:val="00F41938"/>
    <w:rsid w:val="00F421FD"/>
    <w:rsid w:val="00F44E5C"/>
    <w:rsid w:val="00F4645A"/>
    <w:rsid w:val="00F46525"/>
    <w:rsid w:val="00F50C0D"/>
    <w:rsid w:val="00F524D1"/>
    <w:rsid w:val="00F52545"/>
    <w:rsid w:val="00F53CC6"/>
    <w:rsid w:val="00F5507E"/>
    <w:rsid w:val="00F552C8"/>
    <w:rsid w:val="00F55F0A"/>
    <w:rsid w:val="00F56416"/>
    <w:rsid w:val="00F60171"/>
    <w:rsid w:val="00F60470"/>
    <w:rsid w:val="00F61B82"/>
    <w:rsid w:val="00F61FFA"/>
    <w:rsid w:val="00F678C4"/>
    <w:rsid w:val="00F724AF"/>
    <w:rsid w:val="00F7270B"/>
    <w:rsid w:val="00F75E7F"/>
    <w:rsid w:val="00F81384"/>
    <w:rsid w:val="00F81DC5"/>
    <w:rsid w:val="00F82B5F"/>
    <w:rsid w:val="00F846CF"/>
    <w:rsid w:val="00F85317"/>
    <w:rsid w:val="00F871BE"/>
    <w:rsid w:val="00F873D3"/>
    <w:rsid w:val="00F914FB"/>
    <w:rsid w:val="00F91A02"/>
    <w:rsid w:val="00F95A00"/>
    <w:rsid w:val="00F96216"/>
    <w:rsid w:val="00F96EB4"/>
    <w:rsid w:val="00F96F33"/>
    <w:rsid w:val="00F97B39"/>
    <w:rsid w:val="00FA01BF"/>
    <w:rsid w:val="00FA1D9C"/>
    <w:rsid w:val="00FA3E7A"/>
    <w:rsid w:val="00FA6C9D"/>
    <w:rsid w:val="00FB21C1"/>
    <w:rsid w:val="00FB4763"/>
    <w:rsid w:val="00FB718C"/>
    <w:rsid w:val="00FB71BF"/>
    <w:rsid w:val="00FB76C0"/>
    <w:rsid w:val="00FC0327"/>
    <w:rsid w:val="00FC4E8A"/>
    <w:rsid w:val="00FC5412"/>
    <w:rsid w:val="00FC7AC8"/>
    <w:rsid w:val="00FD1DD4"/>
    <w:rsid w:val="00FD22A3"/>
    <w:rsid w:val="00FD50AF"/>
    <w:rsid w:val="00FD63D3"/>
    <w:rsid w:val="00FD6E4A"/>
    <w:rsid w:val="00FE2EBC"/>
    <w:rsid w:val="00FE4720"/>
    <w:rsid w:val="00FE5846"/>
    <w:rsid w:val="00FE75D2"/>
    <w:rsid w:val="00FF065F"/>
    <w:rsid w:val="00FF0B50"/>
    <w:rsid w:val="00FF0DEE"/>
    <w:rsid w:val="00FF1A19"/>
    <w:rsid w:val="00FF3C1B"/>
    <w:rsid w:val="00FF53A9"/>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476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EC"/>
  </w:style>
  <w:style w:type="paragraph" w:styleId="Heading1">
    <w:name w:val="heading 1"/>
    <w:basedOn w:val="Normal"/>
    <w:next w:val="Normal"/>
    <w:link w:val="Heading1Char"/>
    <w:uiPriority w:val="9"/>
    <w:qFormat/>
    <w:locked/>
    <w:rsid w:val="004F06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F0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4F06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4F06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4F06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4F06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4F06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F06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4F06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F06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C94CB3"/>
    <w:pPr>
      <w:tabs>
        <w:tab w:val="center" w:pos="4513"/>
        <w:tab w:val="right" w:pos="9026"/>
      </w:tabs>
    </w:pPr>
  </w:style>
  <w:style w:type="character" w:customStyle="1" w:styleId="HeaderChar">
    <w:name w:val="Header Char"/>
    <w:basedOn w:val="DefaultParagraphFont"/>
    <w:link w:val="Header"/>
    <w:uiPriority w:val="99"/>
    <w:locked/>
    <w:rsid w:val="00C94CB3"/>
    <w:rPr>
      <w:rFonts w:cs="Times New Roman"/>
    </w:rPr>
  </w:style>
  <w:style w:type="paragraph" w:styleId="Footer">
    <w:name w:val="footer"/>
    <w:basedOn w:val="Normal"/>
    <w:link w:val="FooterChar"/>
    <w:uiPriority w:val="99"/>
    <w:rsid w:val="00C94CB3"/>
    <w:pPr>
      <w:tabs>
        <w:tab w:val="center" w:pos="4513"/>
        <w:tab w:val="right" w:pos="9026"/>
      </w:tabs>
    </w:pPr>
  </w:style>
  <w:style w:type="character" w:customStyle="1" w:styleId="FooterChar">
    <w:name w:val="Footer Char"/>
    <w:basedOn w:val="DefaultParagraphFont"/>
    <w:link w:val="Footer"/>
    <w:uiPriority w:val="99"/>
    <w:locked/>
    <w:rsid w:val="00C94CB3"/>
    <w:rPr>
      <w:rFonts w:cs="Times New Roman"/>
    </w:rPr>
  </w:style>
  <w:style w:type="paragraph" w:styleId="BalloonText">
    <w:name w:val="Balloon Text"/>
    <w:basedOn w:val="Normal"/>
    <w:link w:val="BalloonTextChar"/>
    <w:uiPriority w:val="99"/>
    <w:semiHidden/>
    <w:rsid w:val="00EB31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3175"/>
    <w:rPr>
      <w:rFonts w:ascii="Tahoma" w:hAnsi="Tahoma" w:cs="Tahoma"/>
      <w:sz w:val="16"/>
      <w:szCs w:val="16"/>
    </w:rPr>
  </w:style>
  <w:style w:type="character" w:styleId="PlaceholderText">
    <w:name w:val="Placeholder Text"/>
    <w:basedOn w:val="DefaultParagraphFont"/>
    <w:uiPriority w:val="99"/>
    <w:semiHidden/>
    <w:rsid w:val="0092310D"/>
    <w:rPr>
      <w:rFonts w:cs="Times New Roman"/>
      <w:color w:val="808080"/>
    </w:rPr>
  </w:style>
  <w:style w:type="paragraph" w:styleId="ListParagraph">
    <w:name w:val="List Paragraph"/>
    <w:basedOn w:val="Normal"/>
    <w:uiPriority w:val="34"/>
    <w:qFormat/>
    <w:rsid w:val="004F06EC"/>
    <w:pPr>
      <w:ind w:left="720"/>
      <w:contextualSpacing/>
    </w:pPr>
  </w:style>
  <w:style w:type="character" w:styleId="Emphasis">
    <w:name w:val="Emphasis"/>
    <w:basedOn w:val="DefaultParagraphFont"/>
    <w:uiPriority w:val="20"/>
    <w:qFormat/>
    <w:rsid w:val="004F06EC"/>
    <w:rPr>
      <w:i/>
      <w:iCs/>
    </w:rPr>
  </w:style>
  <w:style w:type="paragraph" w:styleId="FootnoteText">
    <w:name w:val="footnote text"/>
    <w:basedOn w:val="Normal"/>
    <w:link w:val="FootnoteTextChar"/>
    <w:uiPriority w:val="99"/>
    <w:rsid w:val="002A12F3"/>
    <w:rPr>
      <w:sz w:val="20"/>
      <w:szCs w:val="20"/>
    </w:rPr>
  </w:style>
  <w:style w:type="character" w:customStyle="1" w:styleId="FootnoteTextChar">
    <w:name w:val="Footnote Text Char"/>
    <w:basedOn w:val="DefaultParagraphFont"/>
    <w:link w:val="FootnoteText"/>
    <w:uiPriority w:val="99"/>
    <w:locked/>
    <w:rsid w:val="002A12F3"/>
    <w:rPr>
      <w:rFonts w:cs="Times New Roman"/>
      <w:sz w:val="20"/>
      <w:szCs w:val="20"/>
    </w:rPr>
  </w:style>
  <w:style w:type="character" w:styleId="FootnoteReference">
    <w:name w:val="footnote reference"/>
    <w:basedOn w:val="DefaultParagraphFont"/>
    <w:uiPriority w:val="99"/>
    <w:rsid w:val="002A12F3"/>
    <w:rPr>
      <w:rFonts w:cs="Times New Roman"/>
      <w:vertAlign w:val="superscript"/>
    </w:rPr>
  </w:style>
  <w:style w:type="character" w:styleId="Hyperlink">
    <w:name w:val="Hyperlink"/>
    <w:basedOn w:val="DefaultParagraphFont"/>
    <w:uiPriority w:val="99"/>
    <w:rsid w:val="002A12F3"/>
    <w:rPr>
      <w:rFonts w:cs="Times New Roman"/>
      <w:color w:val="0000FF"/>
      <w:u w:val="single"/>
    </w:rPr>
  </w:style>
  <w:style w:type="paragraph" w:styleId="NormalWeb">
    <w:name w:val="Normal (Web)"/>
    <w:basedOn w:val="Normal"/>
    <w:uiPriority w:val="99"/>
    <w:semiHidden/>
    <w:rsid w:val="007D1C29"/>
    <w:pPr>
      <w:spacing w:before="100" w:beforeAutospacing="1" w:after="100" w:afterAutospacing="1"/>
    </w:pPr>
    <w:rPr>
      <w:rFonts w:eastAsia="Times New Roman" w:cs="Times New Roman"/>
      <w:sz w:val="24"/>
      <w:szCs w:val="24"/>
      <w:lang w:eastAsia="en-AU"/>
    </w:rPr>
  </w:style>
  <w:style w:type="paragraph" w:customStyle="1" w:styleId="xmsolistparagraph">
    <w:name w:val="x_msolistparagraph"/>
    <w:basedOn w:val="Normal"/>
    <w:uiPriority w:val="99"/>
    <w:rsid w:val="005C0274"/>
    <w:pPr>
      <w:spacing w:before="100" w:beforeAutospacing="1" w:after="100" w:afterAutospacing="1"/>
    </w:pPr>
    <w:rPr>
      <w:rFonts w:cs="Times New Roman"/>
      <w:sz w:val="24"/>
      <w:szCs w:val="24"/>
    </w:rPr>
  </w:style>
  <w:style w:type="paragraph" w:styleId="PlainText">
    <w:name w:val="Plain Text"/>
    <w:basedOn w:val="Normal"/>
    <w:link w:val="PlainTextChar"/>
    <w:uiPriority w:val="99"/>
    <w:rsid w:val="002B64D5"/>
    <w:rPr>
      <w:rFonts w:ascii="Calibri" w:hAnsi="Calibri" w:cs="Consolas"/>
      <w:szCs w:val="21"/>
    </w:rPr>
  </w:style>
  <w:style w:type="character" w:customStyle="1" w:styleId="PlainTextChar">
    <w:name w:val="Plain Text Char"/>
    <w:basedOn w:val="DefaultParagraphFont"/>
    <w:link w:val="PlainText"/>
    <w:uiPriority w:val="99"/>
    <w:locked/>
    <w:rsid w:val="002B64D5"/>
    <w:rPr>
      <w:rFonts w:ascii="Calibri" w:hAnsi="Calibri" w:cs="Consolas"/>
      <w:sz w:val="21"/>
      <w:szCs w:val="21"/>
      <w:lang w:val="en-AU"/>
    </w:rPr>
  </w:style>
  <w:style w:type="character" w:customStyle="1" w:styleId="definition">
    <w:name w:val="definition"/>
    <w:basedOn w:val="DefaultParagraphFont"/>
    <w:uiPriority w:val="99"/>
    <w:rsid w:val="00C2401A"/>
    <w:rPr>
      <w:rFonts w:cs="Times New Roman"/>
    </w:rPr>
  </w:style>
  <w:style w:type="paragraph" w:styleId="TOCHeading">
    <w:name w:val="TOC Heading"/>
    <w:basedOn w:val="Heading1"/>
    <w:next w:val="Normal"/>
    <w:uiPriority w:val="39"/>
    <w:semiHidden/>
    <w:unhideWhenUsed/>
    <w:qFormat/>
    <w:rsid w:val="004F06EC"/>
    <w:pPr>
      <w:outlineLvl w:val="9"/>
    </w:pPr>
  </w:style>
  <w:style w:type="paragraph" w:styleId="TOC1">
    <w:name w:val="toc 1"/>
    <w:basedOn w:val="Normal"/>
    <w:next w:val="Normal"/>
    <w:autoRedefine/>
    <w:uiPriority w:val="39"/>
    <w:locked/>
    <w:rsid w:val="006C6371"/>
    <w:pPr>
      <w:spacing w:after="100"/>
    </w:pPr>
  </w:style>
  <w:style w:type="character" w:customStyle="1" w:styleId="Heading2Char">
    <w:name w:val="Heading 2 Char"/>
    <w:basedOn w:val="DefaultParagraphFont"/>
    <w:link w:val="Heading2"/>
    <w:uiPriority w:val="9"/>
    <w:rsid w:val="004F06E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locked/>
    <w:rsid w:val="00D9422A"/>
    <w:pPr>
      <w:spacing w:after="100"/>
      <w:ind w:left="220"/>
    </w:pPr>
  </w:style>
  <w:style w:type="character" w:customStyle="1" w:styleId="Heading3Char">
    <w:name w:val="Heading 3 Char"/>
    <w:basedOn w:val="DefaultParagraphFont"/>
    <w:link w:val="Heading3"/>
    <w:uiPriority w:val="9"/>
    <w:semiHidden/>
    <w:rsid w:val="004F06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06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F06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F06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F06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06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F06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4F06EC"/>
    <w:pPr>
      <w:spacing w:line="240" w:lineRule="auto"/>
    </w:pPr>
    <w:rPr>
      <w:b/>
      <w:bCs/>
      <w:color w:val="4F81BD" w:themeColor="accent1"/>
      <w:sz w:val="18"/>
      <w:szCs w:val="18"/>
    </w:rPr>
  </w:style>
  <w:style w:type="paragraph" w:styleId="Title">
    <w:name w:val="Title"/>
    <w:basedOn w:val="Normal"/>
    <w:next w:val="Normal"/>
    <w:link w:val="TitleChar"/>
    <w:uiPriority w:val="10"/>
    <w:qFormat/>
    <w:locked/>
    <w:rsid w:val="004F0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06E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4F06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06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4F06EC"/>
    <w:rPr>
      <w:b/>
      <w:bCs/>
    </w:rPr>
  </w:style>
  <w:style w:type="paragraph" w:styleId="NoSpacing">
    <w:name w:val="No Spacing"/>
    <w:uiPriority w:val="1"/>
    <w:qFormat/>
    <w:rsid w:val="004F06EC"/>
    <w:pPr>
      <w:spacing w:after="0" w:line="240" w:lineRule="auto"/>
    </w:pPr>
  </w:style>
  <w:style w:type="paragraph" w:styleId="Quote">
    <w:name w:val="Quote"/>
    <w:basedOn w:val="Normal"/>
    <w:next w:val="Normal"/>
    <w:link w:val="QuoteChar"/>
    <w:uiPriority w:val="29"/>
    <w:qFormat/>
    <w:rsid w:val="004F06EC"/>
    <w:rPr>
      <w:i/>
      <w:iCs/>
      <w:color w:val="000000" w:themeColor="text1"/>
    </w:rPr>
  </w:style>
  <w:style w:type="character" w:customStyle="1" w:styleId="QuoteChar">
    <w:name w:val="Quote Char"/>
    <w:basedOn w:val="DefaultParagraphFont"/>
    <w:link w:val="Quote"/>
    <w:uiPriority w:val="29"/>
    <w:rsid w:val="004F06EC"/>
    <w:rPr>
      <w:i/>
      <w:iCs/>
      <w:color w:val="000000" w:themeColor="text1"/>
    </w:rPr>
  </w:style>
  <w:style w:type="paragraph" w:styleId="IntenseQuote">
    <w:name w:val="Intense Quote"/>
    <w:basedOn w:val="Normal"/>
    <w:next w:val="Normal"/>
    <w:link w:val="IntenseQuoteChar"/>
    <w:uiPriority w:val="30"/>
    <w:qFormat/>
    <w:rsid w:val="004F06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06EC"/>
    <w:rPr>
      <w:b/>
      <w:bCs/>
      <w:i/>
      <w:iCs/>
      <w:color w:val="4F81BD" w:themeColor="accent1"/>
    </w:rPr>
  </w:style>
  <w:style w:type="character" w:styleId="SubtleEmphasis">
    <w:name w:val="Subtle Emphasis"/>
    <w:basedOn w:val="DefaultParagraphFont"/>
    <w:uiPriority w:val="19"/>
    <w:qFormat/>
    <w:rsid w:val="004F06EC"/>
    <w:rPr>
      <w:i/>
      <w:iCs/>
      <w:color w:val="808080" w:themeColor="text1" w:themeTint="7F"/>
    </w:rPr>
  </w:style>
  <w:style w:type="character" w:styleId="IntenseEmphasis">
    <w:name w:val="Intense Emphasis"/>
    <w:basedOn w:val="DefaultParagraphFont"/>
    <w:uiPriority w:val="21"/>
    <w:qFormat/>
    <w:rsid w:val="004F06EC"/>
    <w:rPr>
      <w:b/>
      <w:bCs/>
      <w:i/>
      <w:iCs/>
      <w:color w:val="4F81BD" w:themeColor="accent1"/>
    </w:rPr>
  </w:style>
  <w:style w:type="character" w:styleId="SubtleReference">
    <w:name w:val="Subtle Reference"/>
    <w:basedOn w:val="DefaultParagraphFont"/>
    <w:uiPriority w:val="31"/>
    <w:qFormat/>
    <w:rsid w:val="004F06EC"/>
    <w:rPr>
      <w:smallCaps/>
      <w:color w:val="C0504D" w:themeColor="accent2"/>
      <w:u w:val="single"/>
    </w:rPr>
  </w:style>
  <w:style w:type="character" w:styleId="IntenseReference">
    <w:name w:val="Intense Reference"/>
    <w:basedOn w:val="DefaultParagraphFont"/>
    <w:uiPriority w:val="32"/>
    <w:qFormat/>
    <w:rsid w:val="004F06EC"/>
    <w:rPr>
      <w:b/>
      <w:bCs/>
      <w:smallCaps/>
      <w:color w:val="C0504D" w:themeColor="accent2"/>
      <w:spacing w:val="5"/>
      <w:u w:val="single"/>
    </w:rPr>
  </w:style>
  <w:style w:type="character" w:styleId="BookTitle">
    <w:name w:val="Book Title"/>
    <w:basedOn w:val="DefaultParagraphFont"/>
    <w:uiPriority w:val="33"/>
    <w:qFormat/>
    <w:rsid w:val="004F06E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EC"/>
  </w:style>
  <w:style w:type="paragraph" w:styleId="Heading1">
    <w:name w:val="heading 1"/>
    <w:basedOn w:val="Normal"/>
    <w:next w:val="Normal"/>
    <w:link w:val="Heading1Char"/>
    <w:uiPriority w:val="9"/>
    <w:qFormat/>
    <w:locked/>
    <w:rsid w:val="004F06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4F0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4F06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4F06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4F06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4F06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4F06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4F06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4F06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F06E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C94CB3"/>
    <w:pPr>
      <w:tabs>
        <w:tab w:val="center" w:pos="4513"/>
        <w:tab w:val="right" w:pos="9026"/>
      </w:tabs>
    </w:pPr>
  </w:style>
  <w:style w:type="character" w:customStyle="1" w:styleId="HeaderChar">
    <w:name w:val="Header Char"/>
    <w:basedOn w:val="DefaultParagraphFont"/>
    <w:link w:val="Header"/>
    <w:uiPriority w:val="99"/>
    <w:locked/>
    <w:rsid w:val="00C94CB3"/>
    <w:rPr>
      <w:rFonts w:cs="Times New Roman"/>
    </w:rPr>
  </w:style>
  <w:style w:type="paragraph" w:styleId="Footer">
    <w:name w:val="footer"/>
    <w:basedOn w:val="Normal"/>
    <w:link w:val="FooterChar"/>
    <w:uiPriority w:val="99"/>
    <w:rsid w:val="00C94CB3"/>
    <w:pPr>
      <w:tabs>
        <w:tab w:val="center" w:pos="4513"/>
        <w:tab w:val="right" w:pos="9026"/>
      </w:tabs>
    </w:pPr>
  </w:style>
  <w:style w:type="character" w:customStyle="1" w:styleId="FooterChar">
    <w:name w:val="Footer Char"/>
    <w:basedOn w:val="DefaultParagraphFont"/>
    <w:link w:val="Footer"/>
    <w:uiPriority w:val="99"/>
    <w:locked/>
    <w:rsid w:val="00C94CB3"/>
    <w:rPr>
      <w:rFonts w:cs="Times New Roman"/>
    </w:rPr>
  </w:style>
  <w:style w:type="paragraph" w:styleId="BalloonText">
    <w:name w:val="Balloon Text"/>
    <w:basedOn w:val="Normal"/>
    <w:link w:val="BalloonTextChar"/>
    <w:uiPriority w:val="99"/>
    <w:semiHidden/>
    <w:rsid w:val="00EB31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3175"/>
    <w:rPr>
      <w:rFonts w:ascii="Tahoma" w:hAnsi="Tahoma" w:cs="Tahoma"/>
      <w:sz w:val="16"/>
      <w:szCs w:val="16"/>
    </w:rPr>
  </w:style>
  <w:style w:type="character" w:styleId="PlaceholderText">
    <w:name w:val="Placeholder Text"/>
    <w:basedOn w:val="DefaultParagraphFont"/>
    <w:uiPriority w:val="99"/>
    <w:semiHidden/>
    <w:rsid w:val="0092310D"/>
    <w:rPr>
      <w:rFonts w:cs="Times New Roman"/>
      <w:color w:val="808080"/>
    </w:rPr>
  </w:style>
  <w:style w:type="paragraph" w:styleId="ListParagraph">
    <w:name w:val="List Paragraph"/>
    <w:basedOn w:val="Normal"/>
    <w:uiPriority w:val="34"/>
    <w:qFormat/>
    <w:rsid w:val="004F06EC"/>
    <w:pPr>
      <w:ind w:left="720"/>
      <w:contextualSpacing/>
    </w:pPr>
  </w:style>
  <w:style w:type="character" w:styleId="Emphasis">
    <w:name w:val="Emphasis"/>
    <w:basedOn w:val="DefaultParagraphFont"/>
    <w:uiPriority w:val="20"/>
    <w:qFormat/>
    <w:rsid w:val="004F06EC"/>
    <w:rPr>
      <w:i/>
      <w:iCs/>
    </w:rPr>
  </w:style>
  <w:style w:type="paragraph" w:styleId="FootnoteText">
    <w:name w:val="footnote text"/>
    <w:basedOn w:val="Normal"/>
    <w:link w:val="FootnoteTextChar"/>
    <w:uiPriority w:val="99"/>
    <w:rsid w:val="002A12F3"/>
    <w:rPr>
      <w:sz w:val="20"/>
      <w:szCs w:val="20"/>
    </w:rPr>
  </w:style>
  <w:style w:type="character" w:customStyle="1" w:styleId="FootnoteTextChar">
    <w:name w:val="Footnote Text Char"/>
    <w:basedOn w:val="DefaultParagraphFont"/>
    <w:link w:val="FootnoteText"/>
    <w:uiPriority w:val="99"/>
    <w:locked/>
    <w:rsid w:val="002A12F3"/>
    <w:rPr>
      <w:rFonts w:cs="Times New Roman"/>
      <w:sz w:val="20"/>
      <w:szCs w:val="20"/>
    </w:rPr>
  </w:style>
  <w:style w:type="character" w:styleId="FootnoteReference">
    <w:name w:val="footnote reference"/>
    <w:basedOn w:val="DefaultParagraphFont"/>
    <w:uiPriority w:val="99"/>
    <w:rsid w:val="002A12F3"/>
    <w:rPr>
      <w:rFonts w:cs="Times New Roman"/>
      <w:vertAlign w:val="superscript"/>
    </w:rPr>
  </w:style>
  <w:style w:type="character" w:styleId="Hyperlink">
    <w:name w:val="Hyperlink"/>
    <w:basedOn w:val="DefaultParagraphFont"/>
    <w:uiPriority w:val="99"/>
    <w:rsid w:val="002A12F3"/>
    <w:rPr>
      <w:rFonts w:cs="Times New Roman"/>
      <w:color w:val="0000FF"/>
      <w:u w:val="single"/>
    </w:rPr>
  </w:style>
  <w:style w:type="paragraph" w:styleId="NormalWeb">
    <w:name w:val="Normal (Web)"/>
    <w:basedOn w:val="Normal"/>
    <w:uiPriority w:val="99"/>
    <w:semiHidden/>
    <w:rsid w:val="007D1C29"/>
    <w:pPr>
      <w:spacing w:before="100" w:beforeAutospacing="1" w:after="100" w:afterAutospacing="1"/>
    </w:pPr>
    <w:rPr>
      <w:rFonts w:eastAsia="Times New Roman" w:cs="Times New Roman"/>
      <w:sz w:val="24"/>
      <w:szCs w:val="24"/>
      <w:lang w:eastAsia="en-AU"/>
    </w:rPr>
  </w:style>
  <w:style w:type="paragraph" w:customStyle="1" w:styleId="xmsolistparagraph">
    <w:name w:val="x_msolistparagraph"/>
    <w:basedOn w:val="Normal"/>
    <w:uiPriority w:val="99"/>
    <w:rsid w:val="005C0274"/>
    <w:pPr>
      <w:spacing w:before="100" w:beforeAutospacing="1" w:after="100" w:afterAutospacing="1"/>
    </w:pPr>
    <w:rPr>
      <w:rFonts w:cs="Times New Roman"/>
      <w:sz w:val="24"/>
      <w:szCs w:val="24"/>
    </w:rPr>
  </w:style>
  <w:style w:type="paragraph" w:styleId="PlainText">
    <w:name w:val="Plain Text"/>
    <w:basedOn w:val="Normal"/>
    <w:link w:val="PlainTextChar"/>
    <w:uiPriority w:val="99"/>
    <w:rsid w:val="002B64D5"/>
    <w:rPr>
      <w:rFonts w:ascii="Calibri" w:hAnsi="Calibri" w:cs="Consolas"/>
      <w:szCs w:val="21"/>
    </w:rPr>
  </w:style>
  <w:style w:type="character" w:customStyle="1" w:styleId="PlainTextChar">
    <w:name w:val="Plain Text Char"/>
    <w:basedOn w:val="DefaultParagraphFont"/>
    <w:link w:val="PlainText"/>
    <w:uiPriority w:val="99"/>
    <w:locked/>
    <w:rsid w:val="002B64D5"/>
    <w:rPr>
      <w:rFonts w:ascii="Calibri" w:hAnsi="Calibri" w:cs="Consolas"/>
      <w:sz w:val="21"/>
      <w:szCs w:val="21"/>
      <w:lang w:val="en-AU"/>
    </w:rPr>
  </w:style>
  <w:style w:type="character" w:customStyle="1" w:styleId="definition">
    <w:name w:val="definition"/>
    <w:basedOn w:val="DefaultParagraphFont"/>
    <w:uiPriority w:val="99"/>
    <w:rsid w:val="00C2401A"/>
    <w:rPr>
      <w:rFonts w:cs="Times New Roman"/>
    </w:rPr>
  </w:style>
  <w:style w:type="paragraph" w:styleId="TOCHeading">
    <w:name w:val="TOC Heading"/>
    <w:basedOn w:val="Heading1"/>
    <w:next w:val="Normal"/>
    <w:uiPriority w:val="39"/>
    <w:semiHidden/>
    <w:unhideWhenUsed/>
    <w:qFormat/>
    <w:rsid w:val="004F06EC"/>
    <w:pPr>
      <w:outlineLvl w:val="9"/>
    </w:pPr>
  </w:style>
  <w:style w:type="paragraph" w:styleId="TOC1">
    <w:name w:val="toc 1"/>
    <w:basedOn w:val="Normal"/>
    <w:next w:val="Normal"/>
    <w:autoRedefine/>
    <w:uiPriority w:val="39"/>
    <w:locked/>
    <w:rsid w:val="006C6371"/>
    <w:pPr>
      <w:spacing w:after="100"/>
    </w:pPr>
  </w:style>
  <w:style w:type="character" w:customStyle="1" w:styleId="Heading2Char">
    <w:name w:val="Heading 2 Char"/>
    <w:basedOn w:val="DefaultParagraphFont"/>
    <w:link w:val="Heading2"/>
    <w:uiPriority w:val="9"/>
    <w:rsid w:val="004F06EC"/>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locked/>
    <w:rsid w:val="00D9422A"/>
    <w:pPr>
      <w:spacing w:after="100"/>
      <w:ind w:left="220"/>
    </w:pPr>
  </w:style>
  <w:style w:type="character" w:customStyle="1" w:styleId="Heading3Char">
    <w:name w:val="Heading 3 Char"/>
    <w:basedOn w:val="DefaultParagraphFont"/>
    <w:link w:val="Heading3"/>
    <w:uiPriority w:val="9"/>
    <w:semiHidden/>
    <w:rsid w:val="004F06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06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F06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F06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F06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F06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F06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4F06EC"/>
    <w:pPr>
      <w:spacing w:line="240" w:lineRule="auto"/>
    </w:pPr>
    <w:rPr>
      <w:b/>
      <w:bCs/>
      <w:color w:val="4F81BD" w:themeColor="accent1"/>
      <w:sz w:val="18"/>
      <w:szCs w:val="18"/>
    </w:rPr>
  </w:style>
  <w:style w:type="paragraph" w:styleId="Title">
    <w:name w:val="Title"/>
    <w:basedOn w:val="Normal"/>
    <w:next w:val="Normal"/>
    <w:link w:val="TitleChar"/>
    <w:uiPriority w:val="10"/>
    <w:qFormat/>
    <w:locked/>
    <w:rsid w:val="004F0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06E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4F06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06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4F06EC"/>
    <w:rPr>
      <w:b/>
      <w:bCs/>
    </w:rPr>
  </w:style>
  <w:style w:type="paragraph" w:styleId="NoSpacing">
    <w:name w:val="No Spacing"/>
    <w:uiPriority w:val="1"/>
    <w:qFormat/>
    <w:rsid w:val="004F06EC"/>
    <w:pPr>
      <w:spacing w:after="0" w:line="240" w:lineRule="auto"/>
    </w:pPr>
  </w:style>
  <w:style w:type="paragraph" w:styleId="Quote">
    <w:name w:val="Quote"/>
    <w:basedOn w:val="Normal"/>
    <w:next w:val="Normal"/>
    <w:link w:val="QuoteChar"/>
    <w:uiPriority w:val="29"/>
    <w:qFormat/>
    <w:rsid w:val="004F06EC"/>
    <w:rPr>
      <w:i/>
      <w:iCs/>
      <w:color w:val="000000" w:themeColor="text1"/>
    </w:rPr>
  </w:style>
  <w:style w:type="character" w:customStyle="1" w:styleId="QuoteChar">
    <w:name w:val="Quote Char"/>
    <w:basedOn w:val="DefaultParagraphFont"/>
    <w:link w:val="Quote"/>
    <w:uiPriority w:val="29"/>
    <w:rsid w:val="004F06EC"/>
    <w:rPr>
      <w:i/>
      <w:iCs/>
      <w:color w:val="000000" w:themeColor="text1"/>
    </w:rPr>
  </w:style>
  <w:style w:type="paragraph" w:styleId="IntenseQuote">
    <w:name w:val="Intense Quote"/>
    <w:basedOn w:val="Normal"/>
    <w:next w:val="Normal"/>
    <w:link w:val="IntenseQuoteChar"/>
    <w:uiPriority w:val="30"/>
    <w:qFormat/>
    <w:rsid w:val="004F06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06EC"/>
    <w:rPr>
      <w:b/>
      <w:bCs/>
      <w:i/>
      <w:iCs/>
      <w:color w:val="4F81BD" w:themeColor="accent1"/>
    </w:rPr>
  </w:style>
  <w:style w:type="character" w:styleId="SubtleEmphasis">
    <w:name w:val="Subtle Emphasis"/>
    <w:basedOn w:val="DefaultParagraphFont"/>
    <w:uiPriority w:val="19"/>
    <w:qFormat/>
    <w:rsid w:val="004F06EC"/>
    <w:rPr>
      <w:i/>
      <w:iCs/>
      <w:color w:val="808080" w:themeColor="text1" w:themeTint="7F"/>
    </w:rPr>
  </w:style>
  <w:style w:type="character" w:styleId="IntenseEmphasis">
    <w:name w:val="Intense Emphasis"/>
    <w:basedOn w:val="DefaultParagraphFont"/>
    <w:uiPriority w:val="21"/>
    <w:qFormat/>
    <w:rsid w:val="004F06EC"/>
    <w:rPr>
      <w:b/>
      <w:bCs/>
      <w:i/>
      <w:iCs/>
      <w:color w:val="4F81BD" w:themeColor="accent1"/>
    </w:rPr>
  </w:style>
  <w:style w:type="character" w:styleId="SubtleReference">
    <w:name w:val="Subtle Reference"/>
    <w:basedOn w:val="DefaultParagraphFont"/>
    <w:uiPriority w:val="31"/>
    <w:qFormat/>
    <w:rsid w:val="004F06EC"/>
    <w:rPr>
      <w:smallCaps/>
      <w:color w:val="C0504D" w:themeColor="accent2"/>
      <w:u w:val="single"/>
    </w:rPr>
  </w:style>
  <w:style w:type="character" w:styleId="IntenseReference">
    <w:name w:val="Intense Reference"/>
    <w:basedOn w:val="DefaultParagraphFont"/>
    <w:uiPriority w:val="32"/>
    <w:qFormat/>
    <w:rsid w:val="004F06EC"/>
    <w:rPr>
      <w:b/>
      <w:bCs/>
      <w:smallCaps/>
      <w:color w:val="C0504D" w:themeColor="accent2"/>
      <w:spacing w:val="5"/>
      <w:u w:val="single"/>
    </w:rPr>
  </w:style>
  <w:style w:type="character" w:styleId="BookTitle">
    <w:name w:val="Book Title"/>
    <w:basedOn w:val="DefaultParagraphFont"/>
    <w:uiPriority w:val="33"/>
    <w:qFormat/>
    <w:rsid w:val="004F06E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28388">
      <w:marLeft w:val="0"/>
      <w:marRight w:val="0"/>
      <w:marTop w:val="0"/>
      <w:marBottom w:val="0"/>
      <w:divBdr>
        <w:top w:val="none" w:sz="0" w:space="0" w:color="auto"/>
        <w:left w:val="none" w:sz="0" w:space="0" w:color="auto"/>
        <w:bottom w:val="none" w:sz="0" w:space="0" w:color="auto"/>
        <w:right w:val="none" w:sz="0" w:space="0" w:color="auto"/>
      </w:divBdr>
    </w:div>
    <w:div w:id="594628390">
      <w:marLeft w:val="0"/>
      <w:marRight w:val="0"/>
      <w:marTop w:val="0"/>
      <w:marBottom w:val="0"/>
      <w:divBdr>
        <w:top w:val="none" w:sz="0" w:space="0" w:color="auto"/>
        <w:left w:val="none" w:sz="0" w:space="0" w:color="auto"/>
        <w:bottom w:val="none" w:sz="0" w:space="0" w:color="auto"/>
        <w:right w:val="none" w:sz="0" w:space="0" w:color="auto"/>
      </w:divBdr>
      <w:divsChild>
        <w:div w:id="594628392">
          <w:marLeft w:val="0"/>
          <w:marRight w:val="0"/>
          <w:marTop w:val="0"/>
          <w:marBottom w:val="0"/>
          <w:divBdr>
            <w:top w:val="none" w:sz="0" w:space="0" w:color="auto"/>
            <w:left w:val="none" w:sz="0" w:space="0" w:color="auto"/>
            <w:bottom w:val="none" w:sz="0" w:space="0" w:color="auto"/>
            <w:right w:val="none" w:sz="0" w:space="0" w:color="auto"/>
          </w:divBdr>
        </w:div>
        <w:div w:id="594628394">
          <w:marLeft w:val="0"/>
          <w:marRight w:val="0"/>
          <w:marTop w:val="0"/>
          <w:marBottom w:val="0"/>
          <w:divBdr>
            <w:top w:val="none" w:sz="0" w:space="0" w:color="auto"/>
            <w:left w:val="none" w:sz="0" w:space="0" w:color="auto"/>
            <w:bottom w:val="none" w:sz="0" w:space="0" w:color="auto"/>
            <w:right w:val="none" w:sz="0" w:space="0" w:color="auto"/>
          </w:divBdr>
        </w:div>
        <w:div w:id="594628395">
          <w:marLeft w:val="0"/>
          <w:marRight w:val="0"/>
          <w:marTop w:val="0"/>
          <w:marBottom w:val="0"/>
          <w:divBdr>
            <w:top w:val="none" w:sz="0" w:space="0" w:color="auto"/>
            <w:left w:val="none" w:sz="0" w:space="0" w:color="auto"/>
            <w:bottom w:val="none" w:sz="0" w:space="0" w:color="auto"/>
            <w:right w:val="none" w:sz="0" w:space="0" w:color="auto"/>
          </w:divBdr>
        </w:div>
        <w:div w:id="594628396">
          <w:marLeft w:val="0"/>
          <w:marRight w:val="0"/>
          <w:marTop w:val="0"/>
          <w:marBottom w:val="0"/>
          <w:divBdr>
            <w:top w:val="none" w:sz="0" w:space="0" w:color="auto"/>
            <w:left w:val="none" w:sz="0" w:space="0" w:color="auto"/>
            <w:bottom w:val="none" w:sz="0" w:space="0" w:color="auto"/>
            <w:right w:val="none" w:sz="0" w:space="0" w:color="auto"/>
          </w:divBdr>
        </w:div>
        <w:div w:id="594628403">
          <w:marLeft w:val="0"/>
          <w:marRight w:val="0"/>
          <w:marTop w:val="0"/>
          <w:marBottom w:val="0"/>
          <w:divBdr>
            <w:top w:val="none" w:sz="0" w:space="0" w:color="auto"/>
            <w:left w:val="none" w:sz="0" w:space="0" w:color="auto"/>
            <w:bottom w:val="none" w:sz="0" w:space="0" w:color="auto"/>
            <w:right w:val="none" w:sz="0" w:space="0" w:color="auto"/>
          </w:divBdr>
        </w:div>
      </w:divsChild>
    </w:div>
    <w:div w:id="594628393">
      <w:marLeft w:val="0"/>
      <w:marRight w:val="0"/>
      <w:marTop w:val="0"/>
      <w:marBottom w:val="0"/>
      <w:divBdr>
        <w:top w:val="none" w:sz="0" w:space="0" w:color="auto"/>
        <w:left w:val="none" w:sz="0" w:space="0" w:color="auto"/>
        <w:bottom w:val="none" w:sz="0" w:space="0" w:color="auto"/>
        <w:right w:val="none" w:sz="0" w:space="0" w:color="auto"/>
      </w:divBdr>
    </w:div>
    <w:div w:id="594628397">
      <w:marLeft w:val="0"/>
      <w:marRight w:val="0"/>
      <w:marTop w:val="0"/>
      <w:marBottom w:val="0"/>
      <w:divBdr>
        <w:top w:val="none" w:sz="0" w:space="0" w:color="auto"/>
        <w:left w:val="none" w:sz="0" w:space="0" w:color="auto"/>
        <w:bottom w:val="none" w:sz="0" w:space="0" w:color="auto"/>
        <w:right w:val="none" w:sz="0" w:space="0" w:color="auto"/>
      </w:divBdr>
    </w:div>
    <w:div w:id="594628399">
      <w:marLeft w:val="0"/>
      <w:marRight w:val="0"/>
      <w:marTop w:val="0"/>
      <w:marBottom w:val="0"/>
      <w:divBdr>
        <w:top w:val="none" w:sz="0" w:space="0" w:color="auto"/>
        <w:left w:val="none" w:sz="0" w:space="0" w:color="auto"/>
        <w:bottom w:val="none" w:sz="0" w:space="0" w:color="auto"/>
        <w:right w:val="none" w:sz="0" w:space="0" w:color="auto"/>
      </w:divBdr>
    </w:div>
    <w:div w:id="594628400">
      <w:marLeft w:val="0"/>
      <w:marRight w:val="0"/>
      <w:marTop w:val="0"/>
      <w:marBottom w:val="0"/>
      <w:divBdr>
        <w:top w:val="none" w:sz="0" w:space="0" w:color="auto"/>
        <w:left w:val="none" w:sz="0" w:space="0" w:color="auto"/>
        <w:bottom w:val="none" w:sz="0" w:space="0" w:color="auto"/>
        <w:right w:val="none" w:sz="0" w:space="0" w:color="auto"/>
      </w:divBdr>
    </w:div>
    <w:div w:id="594628402">
      <w:marLeft w:val="0"/>
      <w:marRight w:val="0"/>
      <w:marTop w:val="0"/>
      <w:marBottom w:val="0"/>
      <w:divBdr>
        <w:top w:val="none" w:sz="0" w:space="0" w:color="auto"/>
        <w:left w:val="none" w:sz="0" w:space="0" w:color="auto"/>
        <w:bottom w:val="none" w:sz="0" w:space="0" w:color="auto"/>
        <w:right w:val="none" w:sz="0" w:space="0" w:color="auto"/>
      </w:divBdr>
      <w:divsChild>
        <w:div w:id="594628389">
          <w:marLeft w:val="0"/>
          <w:marRight w:val="0"/>
          <w:marTop w:val="0"/>
          <w:marBottom w:val="0"/>
          <w:divBdr>
            <w:top w:val="none" w:sz="0" w:space="0" w:color="auto"/>
            <w:left w:val="none" w:sz="0" w:space="0" w:color="auto"/>
            <w:bottom w:val="none" w:sz="0" w:space="0" w:color="auto"/>
            <w:right w:val="none" w:sz="0" w:space="0" w:color="auto"/>
          </w:divBdr>
        </w:div>
        <w:div w:id="594628391">
          <w:marLeft w:val="0"/>
          <w:marRight w:val="0"/>
          <w:marTop w:val="0"/>
          <w:marBottom w:val="0"/>
          <w:divBdr>
            <w:top w:val="none" w:sz="0" w:space="0" w:color="auto"/>
            <w:left w:val="none" w:sz="0" w:space="0" w:color="auto"/>
            <w:bottom w:val="none" w:sz="0" w:space="0" w:color="auto"/>
            <w:right w:val="none" w:sz="0" w:space="0" w:color="auto"/>
          </w:divBdr>
        </w:div>
        <w:div w:id="594628398">
          <w:marLeft w:val="0"/>
          <w:marRight w:val="0"/>
          <w:marTop w:val="0"/>
          <w:marBottom w:val="0"/>
          <w:divBdr>
            <w:top w:val="none" w:sz="0" w:space="0" w:color="auto"/>
            <w:left w:val="none" w:sz="0" w:space="0" w:color="auto"/>
            <w:bottom w:val="none" w:sz="0" w:space="0" w:color="auto"/>
            <w:right w:val="none" w:sz="0" w:space="0" w:color="auto"/>
          </w:divBdr>
        </w:div>
        <w:div w:id="594628401">
          <w:marLeft w:val="0"/>
          <w:marRight w:val="0"/>
          <w:marTop w:val="0"/>
          <w:marBottom w:val="0"/>
          <w:divBdr>
            <w:top w:val="none" w:sz="0" w:space="0" w:color="auto"/>
            <w:left w:val="none" w:sz="0" w:space="0" w:color="auto"/>
            <w:bottom w:val="none" w:sz="0" w:space="0" w:color="auto"/>
            <w:right w:val="none" w:sz="0" w:space="0" w:color="auto"/>
          </w:divBdr>
        </w:div>
        <w:div w:id="594628404">
          <w:marLeft w:val="0"/>
          <w:marRight w:val="0"/>
          <w:marTop w:val="0"/>
          <w:marBottom w:val="0"/>
          <w:divBdr>
            <w:top w:val="none" w:sz="0" w:space="0" w:color="auto"/>
            <w:left w:val="none" w:sz="0" w:space="0" w:color="auto"/>
            <w:bottom w:val="none" w:sz="0" w:space="0" w:color="auto"/>
            <w:right w:val="none" w:sz="0" w:space="0" w:color="auto"/>
          </w:divBdr>
        </w:div>
      </w:divsChild>
    </w:div>
    <w:div w:id="594628406">
      <w:marLeft w:val="0"/>
      <w:marRight w:val="0"/>
      <w:marTop w:val="0"/>
      <w:marBottom w:val="0"/>
      <w:divBdr>
        <w:top w:val="none" w:sz="0" w:space="0" w:color="auto"/>
        <w:left w:val="none" w:sz="0" w:space="0" w:color="auto"/>
        <w:bottom w:val="none" w:sz="0" w:space="0" w:color="auto"/>
        <w:right w:val="none" w:sz="0" w:space="0" w:color="auto"/>
      </w:divBdr>
    </w:div>
    <w:div w:id="594628407">
      <w:marLeft w:val="0"/>
      <w:marRight w:val="0"/>
      <w:marTop w:val="0"/>
      <w:marBottom w:val="0"/>
      <w:divBdr>
        <w:top w:val="none" w:sz="0" w:space="0" w:color="auto"/>
        <w:left w:val="none" w:sz="0" w:space="0" w:color="auto"/>
        <w:bottom w:val="none" w:sz="0" w:space="0" w:color="auto"/>
        <w:right w:val="none" w:sz="0" w:space="0" w:color="auto"/>
      </w:divBdr>
    </w:div>
    <w:div w:id="594628408">
      <w:marLeft w:val="0"/>
      <w:marRight w:val="0"/>
      <w:marTop w:val="0"/>
      <w:marBottom w:val="0"/>
      <w:divBdr>
        <w:top w:val="none" w:sz="0" w:space="0" w:color="auto"/>
        <w:left w:val="none" w:sz="0" w:space="0" w:color="auto"/>
        <w:bottom w:val="none" w:sz="0" w:space="0" w:color="auto"/>
        <w:right w:val="none" w:sz="0" w:space="0" w:color="auto"/>
      </w:divBdr>
      <w:divsChild>
        <w:div w:id="594628405">
          <w:marLeft w:val="0"/>
          <w:marRight w:val="0"/>
          <w:marTop w:val="0"/>
          <w:marBottom w:val="0"/>
          <w:divBdr>
            <w:top w:val="none" w:sz="0" w:space="0" w:color="auto"/>
            <w:left w:val="none" w:sz="0" w:space="0" w:color="auto"/>
            <w:bottom w:val="none" w:sz="0" w:space="0" w:color="auto"/>
            <w:right w:val="none" w:sz="0" w:space="0" w:color="auto"/>
          </w:divBdr>
          <w:divsChild>
            <w:div w:id="5946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28417">
      <w:marLeft w:val="0"/>
      <w:marRight w:val="0"/>
      <w:marTop w:val="0"/>
      <w:marBottom w:val="0"/>
      <w:divBdr>
        <w:top w:val="none" w:sz="0" w:space="0" w:color="auto"/>
        <w:left w:val="none" w:sz="0" w:space="0" w:color="auto"/>
        <w:bottom w:val="none" w:sz="0" w:space="0" w:color="auto"/>
        <w:right w:val="none" w:sz="0" w:space="0" w:color="auto"/>
      </w:divBdr>
      <w:divsChild>
        <w:div w:id="594628416">
          <w:marLeft w:val="0"/>
          <w:marRight w:val="0"/>
          <w:marTop w:val="0"/>
          <w:marBottom w:val="0"/>
          <w:divBdr>
            <w:top w:val="none" w:sz="0" w:space="0" w:color="auto"/>
            <w:left w:val="none" w:sz="0" w:space="0" w:color="auto"/>
            <w:bottom w:val="none" w:sz="0" w:space="0" w:color="auto"/>
            <w:right w:val="none" w:sz="0" w:space="0" w:color="auto"/>
          </w:divBdr>
          <w:divsChild>
            <w:div w:id="594628410">
              <w:marLeft w:val="0"/>
              <w:marRight w:val="0"/>
              <w:marTop w:val="0"/>
              <w:marBottom w:val="0"/>
              <w:divBdr>
                <w:top w:val="none" w:sz="0" w:space="0" w:color="auto"/>
                <w:left w:val="none" w:sz="0" w:space="0" w:color="auto"/>
                <w:bottom w:val="none" w:sz="0" w:space="0" w:color="auto"/>
                <w:right w:val="none" w:sz="0" w:space="0" w:color="auto"/>
              </w:divBdr>
              <w:divsChild>
                <w:div w:id="594628415">
                  <w:marLeft w:val="0"/>
                  <w:marRight w:val="0"/>
                  <w:marTop w:val="300"/>
                  <w:marBottom w:val="300"/>
                  <w:divBdr>
                    <w:top w:val="none" w:sz="0" w:space="0" w:color="auto"/>
                    <w:left w:val="none" w:sz="0" w:space="0" w:color="auto"/>
                    <w:bottom w:val="none" w:sz="0" w:space="0" w:color="auto"/>
                    <w:right w:val="none" w:sz="0" w:space="0" w:color="auto"/>
                  </w:divBdr>
                  <w:divsChild>
                    <w:div w:id="594628414">
                      <w:marLeft w:val="0"/>
                      <w:marRight w:val="0"/>
                      <w:marTop w:val="0"/>
                      <w:marBottom w:val="0"/>
                      <w:divBdr>
                        <w:top w:val="none" w:sz="0" w:space="0" w:color="auto"/>
                        <w:left w:val="none" w:sz="0" w:space="0" w:color="auto"/>
                        <w:bottom w:val="none" w:sz="0" w:space="0" w:color="auto"/>
                        <w:right w:val="none" w:sz="0" w:space="0" w:color="auto"/>
                      </w:divBdr>
                      <w:divsChild>
                        <w:div w:id="594628413">
                          <w:marLeft w:val="0"/>
                          <w:marRight w:val="0"/>
                          <w:marTop w:val="0"/>
                          <w:marBottom w:val="0"/>
                          <w:divBdr>
                            <w:top w:val="none" w:sz="0" w:space="0" w:color="auto"/>
                            <w:left w:val="none" w:sz="0" w:space="0" w:color="auto"/>
                            <w:bottom w:val="none" w:sz="0" w:space="0" w:color="auto"/>
                            <w:right w:val="none" w:sz="0" w:space="0" w:color="auto"/>
                          </w:divBdr>
                          <w:divsChild>
                            <w:div w:id="594628411">
                              <w:marLeft w:val="0"/>
                              <w:marRight w:val="0"/>
                              <w:marTop w:val="0"/>
                              <w:marBottom w:val="0"/>
                              <w:divBdr>
                                <w:top w:val="none" w:sz="0" w:space="0" w:color="auto"/>
                                <w:left w:val="none" w:sz="0" w:space="0" w:color="auto"/>
                                <w:bottom w:val="none" w:sz="0" w:space="0" w:color="auto"/>
                                <w:right w:val="none" w:sz="0" w:space="0" w:color="auto"/>
                              </w:divBdr>
                              <w:divsChild>
                                <w:div w:id="5946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221382">
      <w:bodyDiv w:val="1"/>
      <w:marLeft w:val="0"/>
      <w:marRight w:val="0"/>
      <w:marTop w:val="0"/>
      <w:marBottom w:val="0"/>
      <w:divBdr>
        <w:top w:val="none" w:sz="0" w:space="0" w:color="auto"/>
        <w:left w:val="none" w:sz="0" w:space="0" w:color="auto"/>
        <w:bottom w:val="none" w:sz="0" w:space="0" w:color="auto"/>
        <w:right w:val="none" w:sz="0" w:space="0" w:color="auto"/>
      </w:divBdr>
    </w:div>
    <w:div w:id="951327570">
      <w:bodyDiv w:val="1"/>
      <w:marLeft w:val="0"/>
      <w:marRight w:val="0"/>
      <w:marTop w:val="0"/>
      <w:marBottom w:val="0"/>
      <w:divBdr>
        <w:top w:val="none" w:sz="0" w:space="0" w:color="auto"/>
        <w:left w:val="none" w:sz="0" w:space="0" w:color="auto"/>
        <w:bottom w:val="none" w:sz="0" w:space="0" w:color="auto"/>
        <w:right w:val="none" w:sz="0" w:space="0" w:color="auto"/>
      </w:divBdr>
      <w:divsChild>
        <w:div w:id="541747583">
          <w:marLeft w:val="0"/>
          <w:marRight w:val="0"/>
          <w:marTop w:val="0"/>
          <w:marBottom w:val="0"/>
          <w:divBdr>
            <w:top w:val="none" w:sz="0" w:space="0" w:color="auto"/>
            <w:left w:val="none" w:sz="0" w:space="0" w:color="auto"/>
            <w:bottom w:val="none" w:sz="0" w:space="0" w:color="auto"/>
            <w:right w:val="none" w:sz="0" w:space="0" w:color="auto"/>
          </w:divBdr>
        </w:div>
        <w:div w:id="1335262058">
          <w:marLeft w:val="0"/>
          <w:marRight w:val="0"/>
          <w:marTop w:val="0"/>
          <w:marBottom w:val="0"/>
          <w:divBdr>
            <w:top w:val="none" w:sz="0" w:space="0" w:color="auto"/>
            <w:left w:val="none" w:sz="0" w:space="0" w:color="auto"/>
            <w:bottom w:val="none" w:sz="0" w:space="0" w:color="auto"/>
            <w:right w:val="none" w:sz="0" w:space="0" w:color="auto"/>
          </w:divBdr>
        </w:div>
        <w:div w:id="853107830">
          <w:marLeft w:val="0"/>
          <w:marRight w:val="0"/>
          <w:marTop w:val="0"/>
          <w:marBottom w:val="0"/>
          <w:divBdr>
            <w:top w:val="none" w:sz="0" w:space="0" w:color="auto"/>
            <w:left w:val="none" w:sz="0" w:space="0" w:color="auto"/>
            <w:bottom w:val="none" w:sz="0" w:space="0" w:color="auto"/>
            <w:right w:val="none" w:sz="0" w:space="0" w:color="auto"/>
          </w:divBdr>
        </w:div>
        <w:div w:id="623997387">
          <w:marLeft w:val="0"/>
          <w:marRight w:val="0"/>
          <w:marTop w:val="0"/>
          <w:marBottom w:val="0"/>
          <w:divBdr>
            <w:top w:val="none" w:sz="0" w:space="0" w:color="auto"/>
            <w:left w:val="none" w:sz="0" w:space="0" w:color="auto"/>
            <w:bottom w:val="none" w:sz="0" w:space="0" w:color="auto"/>
            <w:right w:val="none" w:sz="0" w:space="0" w:color="auto"/>
          </w:divBdr>
        </w:div>
        <w:div w:id="690766138">
          <w:marLeft w:val="0"/>
          <w:marRight w:val="0"/>
          <w:marTop w:val="0"/>
          <w:marBottom w:val="0"/>
          <w:divBdr>
            <w:top w:val="none" w:sz="0" w:space="0" w:color="auto"/>
            <w:left w:val="none" w:sz="0" w:space="0" w:color="auto"/>
            <w:bottom w:val="none" w:sz="0" w:space="0" w:color="auto"/>
            <w:right w:val="none" w:sz="0" w:space="0" w:color="auto"/>
          </w:divBdr>
        </w:div>
        <w:div w:id="1916864745">
          <w:marLeft w:val="0"/>
          <w:marRight w:val="0"/>
          <w:marTop w:val="0"/>
          <w:marBottom w:val="0"/>
          <w:divBdr>
            <w:top w:val="none" w:sz="0" w:space="0" w:color="auto"/>
            <w:left w:val="none" w:sz="0" w:space="0" w:color="auto"/>
            <w:bottom w:val="none" w:sz="0" w:space="0" w:color="auto"/>
            <w:right w:val="none" w:sz="0" w:space="0" w:color="auto"/>
          </w:divBdr>
        </w:div>
        <w:div w:id="1808427671">
          <w:marLeft w:val="0"/>
          <w:marRight w:val="0"/>
          <w:marTop w:val="0"/>
          <w:marBottom w:val="0"/>
          <w:divBdr>
            <w:top w:val="none" w:sz="0" w:space="0" w:color="auto"/>
            <w:left w:val="none" w:sz="0" w:space="0" w:color="auto"/>
            <w:bottom w:val="none" w:sz="0" w:space="0" w:color="auto"/>
            <w:right w:val="none" w:sz="0" w:space="0" w:color="auto"/>
          </w:divBdr>
        </w:div>
        <w:div w:id="1332639295">
          <w:marLeft w:val="0"/>
          <w:marRight w:val="0"/>
          <w:marTop w:val="0"/>
          <w:marBottom w:val="0"/>
          <w:divBdr>
            <w:top w:val="none" w:sz="0" w:space="0" w:color="auto"/>
            <w:left w:val="none" w:sz="0" w:space="0" w:color="auto"/>
            <w:bottom w:val="none" w:sz="0" w:space="0" w:color="auto"/>
            <w:right w:val="none" w:sz="0" w:space="0" w:color="auto"/>
          </w:divBdr>
        </w:div>
        <w:div w:id="1814443918">
          <w:marLeft w:val="0"/>
          <w:marRight w:val="0"/>
          <w:marTop w:val="0"/>
          <w:marBottom w:val="0"/>
          <w:divBdr>
            <w:top w:val="none" w:sz="0" w:space="0" w:color="auto"/>
            <w:left w:val="none" w:sz="0" w:space="0" w:color="auto"/>
            <w:bottom w:val="none" w:sz="0" w:space="0" w:color="auto"/>
            <w:right w:val="none" w:sz="0" w:space="0" w:color="auto"/>
          </w:divBdr>
        </w:div>
        <w:div w:id="1312716372">
          <w:marLeft w:val="0"/>
          <w:marRight w:val="0"/>
          <w:marTop w:val="0"/>
          <w:marBottom w:val="0"/>
          <w:divBdr>
            <w:top w:val="none" w:sz="0" w:space="0" w:color="auto"/>
            <w:left w:val="none" w:sz="0" w:space="0" w:color="auto"/>
            <w:bottom w:val="none" w:sz="0" w:space="0" w:color="auto"/>
            <w:right w:val="none" w:sz="0" w:space="0" w:color="auto"/>
          </w:divBdr>
        </w:div>
        <w:div w:id="336463154">
          <w:marLeft w:val="0"/>
          <w:marRight w:val="0"/>
          <w:marTop w:val="0"/>
          <w:marBottom w:val="0"/>
          <w:divBdr>
            <w:top w:val="none" w:sz="0" w:space="0" w:color="auto"/>
            <w:left w:val="none" w:sz="0" w:space="0" w:color="auto"/>
            <w:bottom w:val="none" w:sz="0" w:space="0" w:color="auto"/>
            <w:right w:val="none" w:sz="0" w:space="0" w:color="auto"/>
          </w:divBdr>
        </w:div>
        <w:div w:id="1529029579">
          <w:marLeft w:val="0"/>
          <w:marRight w:val="0"/>
          <w:marTop w:val="0"/>
          <w:marBottom w:val="0"/>
          <w:divBdr>
            <w:top w:val="none" w:sz="0" w:space="0" w:color="auto"/>
            <w:left w:val="none" w:sz="0" w:space="0" w:color="auto"/>
            <w:bottom w:val="none" w:sz="0" w:space="0" w:color="auto"/>
            <w:right w:val="none" w:sz="0" w:space="0" w:color="auto"/>
          </w:divBdr>
        </w:div>
        <w:div w:id="1148784536">
          <w:marLeft w:val="0"/>
          <w:marRight w:val="0"/>
          <w:marTop w:val="0"/>
          <w:marBottom w:val="0"/>
          <w:divBdr>
            <w:top w:val="none" w:sz="0" w:space="0" w:color="auto"/>
            <w:left w:val="none" w:sz="0" w:space="0" w:color="auto"/>
            <w:bottom w:val="none" w:sz="0" w:space="0" w:color="auto"/>
            <w:right w:val="none" w:sz="0" w:space="0" w:color="auto"/>
          </w:divBdr>
        </w:div>
        <w:div w:id="874393661">
          <w:marLeft w:val="0"/>
          <w:marRight w:val="0"/>
          <w:marTop w:val="0"/>
          <w:marBottom w:val="0"/>
          <w:divBdr>
            <w:top w:val="none" w:sz="0" w:space="0" w:color="auto"/>
            <w:left w:val="none" w:sz="0" w:space="0" w:color="auto"/>
            <w:bottom w:val="none" w:sz="0" w:space="0" w:color="auto"/>
            <w:right w:val="none" w:sz="0" w:space="0" w:color="auto"/>
          </w:divBdr>
        </w:div>
      </w:divsChild>
    </w:div>
    <w:div w:id="1270427110">
      <w:bodyDiv w:val="1"/>
      <w:marLeft w:val="0"/>
      <w:marRight w:val="0"/>
      <w:marTop w:val="0"/>
      <w:marBottom w:val="0"/>
      <w:divBdr>
        <w:top w:val="none" w:sz="0" w:space="0" w:color="auto"/>
        <w:left w:val="none" w:sz="0" w:space="0" w:color="auto"/>
        <w:bottom w:val="none" w:sz="0" w:space="0" w:color="auto"/>
        <w:right w:val="none" w:sz="0" w:space="0" w:color="auto"/>
      </w:divBdr>
    </w:div>
    <w:div w:id="1453864871">
      <w:bodyDiv w:val="1"/>
      <w:marLeft w:val="0"/>
      <w:marRight w:val="0"/>
      <w:marTop w:val="0"/>
      <w:marBottom w:val="0"/>
      <w:divBdr>
        <w:top w:val="none" w:sz="0" w:space="0" w:color="auto"/>
        <w:left w:val="none" w:sz="0" w:space="0" w:color="auto"/>
        <w:bottom w:val="none" w:sz="0" w:space="0" w:color="auto"/>
        <w:right w:val="none" w:sz="0" w:space="0" w:color="auto"/>
      </w:divBdr>
      <w:divsChild>
        <w:div w:id="1183130792">
          <w:marLeft w:val="0"/>
          <w:marRight w:val="0"/>
          <w:marTop w:val="0"/>
          <w:marBottom w:val="0"/>
          <w:divBdr>
            <w:top w:val="none" w:sz="0" w:space="0" w:color="auto"/>
            <w:left w:val="none" w:sz="0" w:space="0" w:color="auto"/>
            <w:bottom w:val="none" w:sz="0" w:space="0" w:color="auto"/>
            <w:right w:val="none" w:sz="0" w:space="0" w:color="auto"/>
          </w:divBdr>
          <w:divsChild>
            <w:div w:id="2052803027">
              <w:marLeft w:val="0"/>
              <w:marRight w:val="0"/>
              <w:marTop w:val="0"/>
              <w:marBottom w:val="0"/>
              <w:divBdr>
                <w:top w:val="none" w:sz="0" w:space="0" w:color="auto"/>
                <w:left w:val="none" w:sz="0" w:space="0" w:color="auto"/>
                <w:bottom w:val="none" w:sz="0" w:space="0" w:color="auto"/>
                <w:right w:val="none" w:sz="0" w:space="0" w:color="auto"/>
              </w:divBdr>
              <w:divsChild>
                <w:div w:id="1721660998">
                  <w:marLeft w:val="0"/>
                  <w:marRight w:val="0"/>
                  <w:marTop w:val="0"/>
                  <w:marBottom w:val="0"/>
                  <w:divBdr>
                    <w:top w:val="none" w:sz="0" w:space="0" w:color="auto"/>
                    <w:left w:val="none" w:sz="0" w:space="0" w:color="auto"/>
                    <w:bottom w:val="none" w:sz="0" w:space="0" w:color="auto"/>
                    <w:right w:val="none" w:sz="0" w:space="0" w:color="auto"/>
                  </w:divBdr>
                  <w:divsChild>
                    <w:div w:id="39192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6654">
      <w:bodyDiv w:val="1"/>
      <w:marLeft w:val="0"/>
      <w:marRight w:val="0"/>
      <w:marTop w:val="0"/>
      <w:marBottom w:val="0"/>
      <w:divBdr>
        <w:top w:val="none" w:sz="0" w:space="0" w:color="auto"/>
        <w:left w:val="none" w:sz="0" w:space="0" w:color="auto"/>
        <w:bottom w:val="none" w:sz="0" w:space="0" w:color="auto"/>
        <w:right w:val="none" w:sz="0" w:space="0" w:color="auto"/>
      </w:divBdr>
    </w:div>
    <w:div w:id="1926449833">
      <w:bodyDiv w:val="1"/>
      <w:marLeft w:val="0"/>
      <w:marRight w:val="0"/>
      <w:marTop w:val="0"/>
      <w:marBottom w:val="0"/>
      <w:divBdr>
        <w:top w:val="none" w:sz="0" w:space="0" w:color="auto"/>
        <w:left w:val="none" w:sz="0" w:space="0" w:color="auto"/>
        <w:bottom w:val="none" w:sz="0" w:space="0" w:color="auto"/>
        <w:right w:val="none" w:sz="0" w:space="0" w:color="auto"/>
      </w:divBdr>
    </w:div>
    <w:div w:id="1971545386">
      <w:bodyDiv w:val="1"/>
      <w:marLeft w:val="0"/>
      <w:marRight w:val="0"/>
      <w:marTop w:val="0"/>
      <w:marBottom w:val="0"/>
      <w:divBdr>
        <w:top w:val="none" w:sz="0" w:space="0" w:color="auto"/>
        <w:left w:val="none" w:sz="0" w:space="0" w:color="auto"/>
        <w:bottom w:val="none" w:sz="0" w:space="0" w:color="auto"/>
        <w:right w:val="none" w:sz="0" w:space="0" w:color="auto"/>
      </w:divBdr>
      <w:divsChild>
        <w:div w:id="1961910309">
          <w:marLeft w:val="0"/>
          <w:marRight w:val="0"/>
          <w:marTop w:val="0"/>
          <w:marBottom w:val="0"/>
          <w:divBdr>
            <w:top w:val="none" w:sz="0" w:space="0" w:color="auto"/>
            <w:left w:val="none" w:sz="0" w:space="0" w:color="auto"/>
            <w:bottom w:val="none" w:sz="0" w:space="0" w:color="auto"/>
            <w:right w:val="none" w:sz="0" w:space="0" w:color="auto"/>
          </w:divBdr>
        </w:div>
        <w:div w:id="362706456">
          <w:marLeft w:val="0"/>
          <w:marRight w:val="0"/>
          <w:marTop w:val="0"/>
          <w:marBottom w:val="0"/>
          <w:divBdr>
            <w:top w:val="none" w:sz="0" w:space="0" w:color="auto"/>
            <w:left w:val="none" w:sz="0" w:space="0" w:color="auto"/>
            <w:bottom w:val="none" w:sz="0" w:space="0" w:color="auto"/>
            <w:right w:val="none" w:sz="0" w:space="0" w:color="auto"/>
          </w:divBdr>
        </w:div>
        <w:div w:id="291785820">
          <w:marLeft w:val="0"/>
          <w:marRight w:val="0"/>
          <w:marTop w:val="0"/>
          <w:marBottom w:val="0"/>
          <w:divBdr>
            <w:top w:val="none" w:sz="0" w:space="0" w:color="auto"/>
            <w:left w:val="none" w:sz="0" w:space="0" w:color="auto"/>
            <w:bottom w:val="none" w:sz="0" w:space="0" w:color="auto"/>
            <w:right w:val="none" w:sz="0" w:space="0" w:color="auto"/>
          </w:divBdr>
        </w:div>
        <w:div w:id="281813107">
          <w:marLeft w:val="0"/>
          <w:marRight w:val="0"/>
          <w:marTop w:val="0"/>
          <w:marBottom w:val="0"/>
          <w:divBdr>
            <w:top w:val="none" w:sz="0" w:space="0" w:color="auto"/>
            <w:left w:val="none" w:sz="0" w:space="0" w:color="auto"/>
            <w:bottom w:val="none" w:sz="0" w:space="0" w:color="auto"/>
            <w:right w:val="none" w:sz="0" w:space="0" w:color="auto"/>
          </w:divBdr>
        </w:div>
      </w:divsChild>
    </w:div>
    <w:div w:id="20621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ncbi.nlm.nih.gov/pmc/articles/PMC3664356/" TargetMode="External"/><Relationship Id="rId13" Type="http://schemas.openxmlformats.org/officeDocument/2006/relationships/hyperlink" Target="http://www.deakin.edu.au/research/stories/2009/08/17/the-little-science-takes-big-steps-at-deakin" TargetMode="External"/><Relationship Id="rId18" Type="http://schemas.openxmlformats.org/officeDocument/2006/relationships/hyperlink" Target="http://smart.uow.edu.au/vision/index.html" TargetMode="External"/><Relationship Id="rId26" Type="http://schemas.openxmlformats.org/officeDocument/2006/relationships/hyperlink" Target="http://www.imas.utas.edu.au/home" TargetMode="External"/><Relationship Id="rId3" Type="http://schemas.openxmlformats.org/officeDocument/2006/relationships/hyperlink" Target="http://www.arc.gov.au/ncgp/lp/lp_default.htm" TargetMode="External"/><Relationship Id="rId21" Type="http://schemas.openxmlformats.org/officeDocument/2006/relationships/hyperlink" Target="http://www.une.edu.au/about-une/academic-schools/school-of-science-and-technology/research/precision-agriculture" TargetMode="External"/><Relationship Id="rId7" Type="http://schemas.openxmlformats.org/officeDocument/2006/relationships/hyperlink" Target="http://www.ncbi.nlm.nih.gov/pmc/articles/PMC3664356/" TargetMode="External"/><Relationship Id="rId12" Type="http://schemas.openxmlformats.org/officeDocument/2006/relationships/hyperlink" Target="http://www.deakin.edu.au/research/ifm/about-us/index.php" TargetMode="External"/><Relationship Id="rId17" Type="http://schemas.openxmlformats.org/officeDocument/2006/relationships/hyperlink" Target="https://www.liberal.org.au/latest-news/2013/08/22/coalition-commits-42-million-tropical-medicine-jcu" TargetMode="External"/><Relationship Id="rId25" Type="http://schemas.openxmlformats.org/officeDocument/2006/relationships/hyperlink" Target="http://www.imas.utas.edu.au/about-imas" TargetMode="External"/><Relationship Id="rId2" Type="http://schemas.openxmlformats.org/officeDocument/2006/relationships/hyperlink" Target="http://www.arc.gov.au/about_arc/arc_profile.htm" TargetMode="External"/><Relationship Id="rId16" Type="http://schemas.openxmlformats.org/officeDocument/2006/relationships/hyperlink" Target="http://www.jcu.edu.au/about/" TargetMode="External"/><Relationship Id="rId20" Type="http://schemas.openxmlformats.org/officeDocument/2006/relationships/hyperlink" Target="http://www.une.edu.au/about-une" TargetMode="External"/><Relationship Id="rId1" Type="http://schemas.openxmlformats.org/officeDocument/2006/relationships/hyperlink" Target="http://www.atse.org.au/Documents/Publications/Reports/Innovation/ATSE+Collaboration+Workshop+COMMUNIQUE.pdf" TargetMode="External"/><Relationship Id="rId6" Type="http://schemas.openxmlformats.org/officeDocument/2006/relationships/hyperlink" Target="http://www.ncbi.nlm.nih.gov/pmc/articles/PMC3664356/" TargetMode="External"/><Relationship Id="rId11" Type="http://schemas.openxmlformats.org/officeDocument/2006/relationships/hyperlink" Target="http://www.deakin.edu.au/research/ifm/about-us/index.php" TargetMode="External"/><Relationship Id="rId24" Type="http://schemas.openxmlformats.org/officeDocument/2006/relationships/hyperlink" Target="http://www.imas.utas.edu.au/about-imas" TargetMode="External"/><Relationship Id="rId5" Type="http://schemas.openxmlformats.org/officeDocument/2006/relationships/hyperlink" Target="https://theconversation.com/centuries-wasted-applying-for-grants-13111" TargetMode="External"/><Relationship Id="rId15" Type="http://schemas.openxmlformats.org/officeDocument/2006/relationships/hyperlink" Target="http://www.deakin.edu.au/research/stories/2010/03/15/deakin-enters-the-nanotechnology-big-league" TargetMode="External"/><Relationship Id="rId23" Type="http://schemas.openxmlformats.org/officeDocument/2006/relationships/hyperlink" Target="http://www.theaustralian.com.au/news/nation/pressure-grows-for-teaching-only-unis/story-e6frg6nf-1225998355456" TargetMode="External"/><Relationship Id="rId28" Type="http://schemas.openxmlformats.org/officeDocument/2006/relationships/hyperlink" Target="http://www.acu.edu.au/research/research_institutes_and_programs" TargetMode="External"/><Relationship Id="rId10" Type="http://schemas.openxmlformats.org/officeDocument/2006/relationships/hyperlink" Target="http://www.acu.edu.au/connect_with_acu/newsroom/news/media_releases/repository/putting_safety_first" TargetMode="External"/><Relationship Id="rId19" Type="http://schemas.openxmlformats.org/officeDocument/2006/relationships/hyperlink" Target="http://www.smartmasterclass.com/page.aspx?pid=383" TargetMode="External"/><Relationship Id="rId4" Type="http://schemas.openxmlformats.org/officeDocument/2006/relationships/hyperlink" Target="http://www.acu.edu.au/research/research_institutes_and_programs/ippe/ippe_news_and_events/may_the_force_be_with_you2" TargetMode="External"/><Relationship Id="rId9" Type="http://schemas.openxmlformats.org/officeDocument/2006/relationships/hyperlink" Target="http://www.atse.org.au/Documents/Publications/Reports/Innovation/ATSE+Collaboration+Workshop+COMMUNIQUE.pdf" TargetMode="External"/><Relationship Id="rId14" Type="http://schemas.openxmlformats.org/officeDocument/2006/relationships/hyperlink" Target="http://www.deakin.edu.au/research/stories/2010/03/15/deakin-enters-the-nanotechnology-big-league" TargetMode="External"/><Relationship Id="rId22" Type="http://schemas.openxmlformats.org/officeDocument/2006/relationships/hyperlink" Target="http://blog.une.edu.au/parg/2014/07/23/precision-ag-students-scoop-top-awards-at-international-conference/" TargetMode="External"/><Relationship Id="rId27" Type="http://schemas.openxmlformats.org/officeDocument/2006/relationships/hyperlink" Target="http://www.acu.edu.au/research/research_institutes_and_progr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BCR1400114</SubmissionID>
    <OriginalFileName xmlns="ed110c73-9675-4a40-bedd-85eaf2417466">114 - Email Submission - ACU.docx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8CB9-51B8-4E02-B24B-DEEBA9A25DE6}"/>
</file>

<file path=customXml/itemProps2.xml><?xml version="1.0" encoding="utf-8"?>
<ds:datastoreItem xmlns:ds="http://schemas.openxmlformats.org/officeDocument/2006/customXml" ds:itemID="{E3C7F8EB-410F-40D0-A648-463133C137DC}"/>
</file>

<file path=customXml/itemProps3.xml><?xml version="1.0" encoding="utf-8"?>
<ds:datastoreItem xmlns:ds="http://schemas.openxmlformats.org/officeDocument/2006/customXml" ds:itemID="{5A05F859-7962-46CB-951E-1DB75226CD7C}"/>
</file>

<file path=customXml/itemProps4.xml><?xml version="1.0" encoding="utf-8"?>
<ds:datastoreItem xmlns:ds="http://schemas.openxmlformats.org/officeDocument/2006/customXml" ds:itemID="{DBE3A119-9CD8-4888-811C-96CF98388CC5}"/>
</file>

<file path=docProps/app.xml><?xml version="1.0" encoding="utf-8"?>
<Properties xmlns="http://schemas.openxmlformats.org/officeDocument/2006/extended-properties" xmlns:vt="http://schemas.openxmlformats.org/officeDocument/2006/docPropsVTypes">
  <Template>E7D73D8F.dotm</Template>
  <TotalTime>8</TotalTime>
  <Pages>18</Pages>
  <Words>5638</Words>
  <Characters>35338</Characters>
  <Application>Microsoft Office Word</Application>
  <DocSecurity>0</DocSecurity>
  <Lines>294</Lines>
  <Paragraphs>81</Paragraphs>
  <ScaleCrop>false</ScaleCrop>
  <HeadingPairs>
    <vt:vector size="2" baseType="variant">
      <vt:variant>
        <vt:lpstr>Title</vt:lpstr>
      </vt:variant>
      <vt:variant>
        <vt:i4>1</vt:i4>
      </vt:variant>
    </vt:vector>
  </HeadingPairs>
  <TitlesOfParts>
    <vt:vector size="1" baseType="lpstr">
      <vt:lpstr>2_Boosting_the_commercial_return_AustralianCatholicUniversity_12022015_BCR1400114.docx</vt:lpstr>
    </vt:vector>
  </TitlesOfParts>
  <Company>ACU</Company>
  <LinksUpToDate>false</LinksUpToDate>
  <CharactersWithSpaces>40895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2_Boosting_the_commercial_return_AustralianCatholicUniversity_12022015_BCR1400114.docx</dc:title>
  <dc:creator>LG</dc:creator>
  <cp:lastModifiedBy>Drew Menzies-McVey</cp:lastModifiedBy>
  <cp:revision>5</cp:revision>
  <cp:lastPrinted>2015-02-23T00:21:00Z</cp:lastPrinted>
  <dcterms:created xsi:type="dcterms:W3CDTF">2014-12-09T04:24:00Z</dcterms:created>
  <dcterms:modified xsi:type="dcterms:W3CDTF">2015-02-23T00:22:00Z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