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FBB60" w14:textId="51944096" w:rsidR="008B0CFE" w:rsidRPr="00745A95" w:rsidRDefault="008B0CFE" w:rsidP="00745A95">
      <w:pPr>
        <w:pStyle w:val="Title"/>
      </w:pPr>
      <w:r w:rsidRPr="006A58D6">
        <w:t>ANSTO submission to “Boosting the commercial returns from research”</w:t>
      </w:r>
    </w:p>
    <w:p w14:paraId="4BDFBB62" w14:textId="77777777" w:rsidR="000E0D07" w:rsidRPr="006A58D6" w:rsidRDefault="00480698" w:rsidP="00745A95">
      <w:pPr>
        <w:pStyle w:val="Heading1"/>
      </w:pPr>
      <w:r w:rsidRPr="006A58D6">
        <w:t>EXECUTIVE SUMMARY</w:t>
      </w:r>
    </w:p>
    <w:p w14:paraId="4BDFBB63" w14:textId="77777777" w:rsidR="000E0D07" w:rsidRPr="006A58D6" w:rsidRDefault="000E0D07" w:rsidP="005C582A">
      <w:pPr>
        <w:pStyle w:val="PlainText"/>
      </w:pPr>
    </w:p>
    <w:p w14:paraId="4BDFBB64" w14:textId="77777777" w:rsidR="000E0D07" w:rsidRPr="006A58D6" w:rsidRDefault="0024123A" w:rsidP="005C582A">
      <w:pPr>
        <w:pStyle w:val="PlainText"/>
        <w:rPr>
          <w:rFonts w:asciiTheme="minorHAnsi" w:hAnsiTheme="minorHAnsi"/>
          <w:szCs w:val="22"/>
        </w:rPr>
      </w:pPr>
      <w:r w:rsidRPr="006A58D6">
        <w:t xml:space="preserve">ANSTO strongly </w:t>
      </w:r>
      <w:r w:rsidR="006A58D6" w:rsidRPr="006A58D6">
        <w:t>endorses</w:t>
      </w:r>
      <w:r w:rsidRPr="006A58D6">
        <w:t xml:space="preserve"> the discussion paper’s acknowledgement of the importance of </w:t>
      </w:r>
      <w:r w:rsidRPr="006A58D6">
        <w:rPr>
          <w:szCs w:val="22"/>
        </w:rPr>
        <w:t xml:space="preserve">world-class research infrastructure and stable, predictable funding over the long term for national research excellence.  </w:t>
      </w:r>
      <w:r w:rsidR="00A479E1">
        <w:rPr>
          <w:szCs w:val="22"/>
        </w:rPr>
        <w:t>Overseas experience confirms that p</w:t>
      </w:r>
      <w:r w:rsidR="000E0AD9" w:rsidRPr="006A58D6">
        <w:rPr>
          <w:szCs w:val="22"/>
        </w:rPr>
        <w:t xml:space="preserve">rovision of such infrastructure and funding can only be done by government. </w:t>
      </w:r>
      <w:r w:rsidR="000E0AD9">
        <w:rPr>
          <w:szCs w:val="22"/>
        </w:rPr>
        <w:t xml:space="preserve"> </w:t>
      </w:r>
      <w:r w:rsidRPr="006A58D6">
        <w:t xml:space="preserve">ANSTO </w:t>
      </w:r>
      <w:r w:rsidR="006A58D6" w:rsidRPr="006A58D6">
        <w:t>looks</w:t>
      </w:r>
      <w:r w:rsidRPr="006A58D6">
        <w:t xml:space="preserve"> forward to the results of the </w:t>
      </w:r>
      <w:r w:rsidRPr="006A58D6">
        <w:rPr>
          <w:rFonts w:asciiTheme="minorHAnsi" w:hAnsiTheme="minorHAnsi"/>
          <w:szCs w:val="22"/>
        </w:rPr>
        <w:t xml:space="preserve">review of research infrastructure </w:t>
      </w:r>
      <w:r w:rsidR="00440F50">
        <w:rPr>
          <w:rFonts w:asciiTheme="minorHAnsi" w:hAnsiTheme="minorHAnsi"/>
          <w:szCs w:val="22"/>
        </w:rPr>
        <w:t>recommended by the Commission of Audit</w:t>
      </w:r>
      <w:r w:rsidRPr="006A58D6">
        <w:rPr>
          <w:rFonts w:asciiTheme="minorHAnsi" w:hAnsiTheme="minorHAnsi"/>
          <w:szCs w:val="22"/>
        </w:rPr>
        <w:t>.</w:t>
      </w:r>
    </w:p>
    <w:p w14:paraId="4BDFBB65" w14:textId="77777777" w:rsidR="0024123A" w:rsidRPr="006A58D6" w:rsidRDefault="0024123A" w:rsidP="005C582A">
      <w:pPr>
        <w:pStyle w:val="PlainText"/>
        <w:rPr>
          <w:rFonts w:asciiTheme="minorHAnsi" w:hAnsiTheme="minorHAnsi"/>
          <w:szCs w:val="22"/>
        </w:rPr>
      </w:pPr>
    </w:p>
    <w:p w14:paraId="4BDFBB66" w14:textId="77777777" w:rsidR="0024123A" w:rsidRPr="006A58D6" w:rsidRDefault="00074110" w:rsidP="005C582A">
      <w:pPr>
        <w:pStyle w:val="PlainText"/>
      </w:pPr>
      <w:r>
        <w:rPr>
          <w:rFonts w:asciiTheme="minorHAnsi" w:hAnsiTheme="minorHAnsi"/>
          <w:szCs w:val="22"/>
        </w:rPr>
        <w:t>Establishing g</w:t>
      </w:r>
      <w:r w:rsidR="0024123A" w:rsidRPr="006A58D6">
        <w:rPr>
          <w:rFonts w:asciiTheme="minorHAnsi" w:hAnsiTheme="minorHAnsi"/>
          <w:szCs w:val="22"/>
        </w:rPr>
        <w:t xml:space="preserve">reater collaboration </w:t>
      </w:r>
      <w:r>
        <w:rPr>
          <w:rFonts w:asciiTheme="minorHAnsi" w:hAnsiTheme="minorHAnsi"/>
          <w:szCs w:val="22"/>
        </w:rPr>
        <w:t xml:space="preserve">between research providers and </w:t>
      </w:r>
      <w:r w:rsidR="0024123A" w:rsidRPr="006A58D6">
        <w:rPr>
          <w:rFonts w:asciiTheme="minorHAnsi" w:hAnsiTheme="minorHAnsi"/>
          <w:szCs w:val="22"/>
        </w:rPr>
        <w:t xml:space="preserve">industry </w:t>
      </w:r>
      <w:r>
        <w:rPr>
          <w:rFonts w:asciiTheme="minorHAnsi" w:hAnsiTheme="minorHAnsi"/>
          <w:szCs w:val="22"/>
        </w:rPr>
        <w:t xml:space="preserve">is a long-term proposition, requiring </w:t>
      </w:r>
      <w:r w:rsidR="00A21139">
        <w:rPr>
          <w:rFonts w:asciiTheme="minorHAnsi" w:hAnsiTheme="minorHAnsi"/>
          <w:szCs w:val="22"/>
        </w:rPr>
        <w:t>stable</w:t>
      </w:r>
      <w:r>
        <w:rPr>
          <w:rFonts w:asciiTheme="minorHAnsi" w:hAnsiTheme="minorHAnsi"/>
          <w:szCs w:val="22"/>
        </w:rPr>
        <w:t xml:space="preserve"> funding</w:t>
      </w:r>
      <w:r w:rsidR="00A21139">
        <w:rPr>
          <w:rFonts w:asciiTheme="minorHAnsi" w:hAnsiTheme="minorHAnsi"/>
          <w:szCs w:val="22"/>
        </w:rPr>
        <w:t xml:space="preserve"> </w:t>
      </w:r>
      <w:r w:rsidR="00A857DD">
        <w:rPr>
          <w:rFonts w:asciiTheme="minorHAnsi" w:hAnsiTheme="minorHAnsi"/>
          <w:szCs w:val="22"/>
        </w:rPr>
        <w:t xml:space="preserve">which could include </w:t>
      </w:r>
      <w:r w:rsidR="00F64F00">
        <w:rPr>
          <w:rFonts w:asciiTheme="minorHAnsi" w:hAnsiTheme="minorHAnsi"/>
          <w:szCs w:val="22"/>
        </w:rPr>
        <w:t>form</w:t>
      </w:r>
      <w:r w:rsidR="006C7305">
        <w:rPr>
          <w:rFonts w:asciiTheme="minorHAnsi" w:hAnsiTheme="minorHAnsi"/>
          <w:szCs w:val="22"/>
        </w:rPr>
        <w:t>s</w:t>
      </w:r>
      <w:r w:rsidR="00F64F00">
        <w:rPr>
          <w:rFonts w:asciiTheme="minorHAnsi" w:hAnsiTheme="minorHAnsi"/>
          <w:szCs w:val="22"/>
        </w:rPr>
        <w:t xml:space="preserve"> of </w:t>
      </w:r>
      <w:r w:rsidR="00A857DD">
        <w:rPr>
          <w:rFonts w:asciiTheme="minorHAnsi" w:hAnsiTheme="minorHAnsi"/>
          <w:szCs w:val="22"/>
        </w:rPr>
        <w:t xml:space="preserve">private sector contributions, </w:t>
      </w:r>
      <w:r>
        <w:rPr>
          <w:rFonts w:asciiTheme="minorHAnsi" w:hAnsiTheme="minorHAnsi"/>
          <w:szCs w:val="22"/>
        </w:rPr>
        <w:t>and development of shared expertise</w:t>
      </w:r>
      <w:r w:rsidR="00A21139">
        <w:rPr>
          <w:rFonts w:asciiTheme="minorHAnsi" w:hAnsiTheme="minorHAnsi"/>
          <w:szCs w:val="22"/>
        </w:rPr>
        <w:t xml:space="preserve">, </w:t>
      </w:r>
      <w:r>
        <w:rPr>
          <w:rFonts w:asciiTheme="minorHAnsi" w:hAnsiTheme="minorHAnsi"/>
          <w:szCs w:val="22"/>
        </w:rPr>
        <w:t>including through training, secondment, and shared deployment</w:t>
      </w:r>
      <w:r w:rsidR="00A65D30">
        <w:rPr>
          <w:rFonts w:asciiTheme="minorHAnsi" w:hAnsiTheme="minorHAnsi"/>
          <w:szCs w:val="22"/>
        </w:rPr>
        <w:t xml:space="preserve"> of personnel</w:t>
      </w:r>
      <w:r>
        <w:rPr>
          <w:rFonts w:asciiTheme="minorHAnsi" w:hAnsiTheme="minorHAnsi"/>
          <w:szCs w:val="22"/>
        </w:rPr>
        <w:t>.</w:t>
      </w:r>
      <w:r w:rsidR="0024123A" w:rsidRPr="006A58D6">
        <w:rPr>
          <w:rFonts w:asciiTheme="minorHAnsi" w:hAnsiTheme="minorHAnsi"/>
          <w:szCs w:val="22"/>
        </w:rPr>
        <w:t xml:space="preserve"> </w:t>
      </w:r>
      <w:r w:rsidR="00ED777D">
        <w:rPr>
          <w:rFonts w:asciiTheme="minorHAnsi" w:hAnsiTheme="minorHAnsi"/>
          <w:szCs w:val="22"/>
        </w:rPr>
        <w:t xml:space="preserve"> Industry will derive most benefit from collaboration if Australian research remains world class.  Government strategies to maintain that research quality, such as the Chief Scientist’s proposed STEM strategy, are vital in that regard</w:t>
      </w:r>
      <w:r w:rsidR="006A58D6" w:rsidRPr="006A58D6">
        <w:t xml:space="preserve">.  </w:t>
      </w:r>
      <w:r w:rsidR="00A857DD">
        <w:t xml:space="preserve">Government engaging with Industry </w:t>
      </w:r>
      <w:r w:rsidR="00F64F00">
        <w:t>to establish best practice research and development policy that is mutually beneficial is also vital to ensuring a sustainable national innovation pipeline.</w:t>
      </w:r>
      <w:r w:rsidR="00A857DD">
        <w:t xml:space="preserve"> </w:t>
      </w:r>
    </w:p>
    <w:p w14:paraId="4BDFBB68" w14:textId="77777777" w:rsidR="00DC37DC" w:rsidRPr="006A58D6" w:rsidRDefault="00480698" w:rsidP="00745A95">
      <w:pPr>
        <w:pStyle w:val="Heading2"/>
      </w:pPr>
      <w:r>
        <w:t xml:space="preserve">ABOUT </w:t>
      </w:r>
      <w:proofErr w:type="spellStart"/>
      <w:r>
        <w:t>ANSTO</w:t>
      </w:r>
      <w:proofErr w:type="spellEnd"/>
    </w:p>
    <w:p w14:paraId="4BDFBB69" w14:textId="77777777" w:rsidR="00DC37DC" w:rsidRPr="006A58D6" w:rsidRDefault="00DC37DC" w:rsidP="005C582A">
      <w:pPr>
        <w:pStyle w:val="PlainText"/>
      </w:pPr>
    </w:p>
    <w:p w14:paraId="4BDFBB6A" w14:textId="77777777" w:rsidR="005C582A" w:rsidRPr="006A58D6" w:rsidRDefault="005C582A" w:rsidP="005C582A">
      <w:pPr>
        <w:pStyle w:val="PlainText"/>
      </w:pPr>
      <w:r w:rsidRPr="006A58D6">
        <w:t>The Australian Nuclear Scienc</w:t>
      </w:r>
      <w:r w:rsidR="00DC37DC" w:rsidRPr="006A58D6">
        <w:t xml:space="preserve">e and Technology Organisation </w:t>
      </w:r>
      <w:r w:rsidR="001A7BA8" w:rsidRPr="006A58D6">
        <w:t>(</w:t>
      </w:r>
      <w:r w:rsidR="00DC37DC" w:rsidRPr="006A58D6">
        <w:t>ANSTO</w:t>
      </w:r>
      <w:r w:rsidR="001A7BA8" w:rsidRPr="006A58D6">
        <w:t>)</w:t>
      </w:r>
      <w:r w:rsidR="00DC37DC" w:rsidRPr="006A58D6">
        <w:t xml:space="preserve"> </w:t>
      </w:r>
      <w:r w:rsidRPr="006A58D6">
        <w:t xml:space="preserve">is home to Australia’s nuclear expertise. At the heart of ANSTO’s research capabilities </w:t>
      </w:r>
      <w:r w:rsidR="00ED777D">
        <w:t>are</w:t>
      </w:r>
      <w:r w:rsidR="00CE09FF" w:rsidRPr="006A58D6">
        <w:t xml:space="preserve"> </w:t>
      </w:r>
      <w:r w:rsidRPr="006A58D6">
        <w:t xml:space="preserve">a multi-purpose </w:t>
      </w:r>
      <w:r w:rsidR="002C1F7B" w:rsidRPr="006A58D6">
        <w:t xml:space="preserve">nuclear </w:t>
      </w:r>
      <w:r w:rsidRPr="006A58D6">
        <w:t>research reactor (OPAL) and a suite of accelerators. ANSTO is also the operator of the Australi</w:t>
      </w:r>
      <w:r w:rsidR="00DC37DC" w:rsidRPr="006A58D6">
        <w:t>an Synchrotron in Melbourne</w:t>
      </w:r>
      <w:r w:rsidR="000E0D07" w:rsidRPr="006A58D6">
        <w:t>,</w:t>
      </w:r>
      <w:r w:rsidR="00DC37DC" w:rsidRPr="006A58D6">
        <w:t xml:space="preserve"> and</w:t>
      </w:r>
      <w:r w:rsidRPr="006A58D6">
        <w:t xml:space="preserve"> home to Australia’s critical nuclear medicine manufacturing capabilities</w:t>
      </w:r>
      <w:r w:rsidR="00DC37DC" w:rsidRPr="006A58D6">
        <w:t>.</w:t>
      </w:r>
      <w:r w:rsidR="00CE09FF">
        <w:t xml:space="preserve"> One in two Australians will require a nuclear medicine produced at ANSTO.</w:t>
      </w:r>
      <w:r w:rsidR="00DC37DC" w:rsidRPr="006A58D6">
        <w:t xml:space="preserve"> In addition,</w:t>
      </w:r>
      <w:r w:rsidRPr="006A58D6">
        <w:t xml:space="preserve"> </w:t>
      </w:r>
      <w:r w:rsidR="00DC37DC" w:rsidRPr="006A58D6">
        <w:t>the min</w:t>
      </w:r>
      <w:r w:rsidR="00F64F00">
        <w:t>erals</w:t>
      </w:r>
      <w:r w:rsidR="00DC37DC" w:rsidRPr="006A58D6">
        <w:t xml:space="preserve"> industry relies on ANSTO to provide advice and technology to handle naturally occurring radioactive materials in mineral</w:t>
      </w:r>
      <w:r w:rsidR="00CE09FF">
        <w:t>s</w:t>
      </w:r>
      <w:r w:rsidR="00DC37DC" w:rsidRPr="006A58D6">
        <w:t xml:space="preserve"> processing</w:t>
      </w:r>
      <w:r w:rsidRPr="006A58D6">
        <w:t xml:space="preserve">. </w:t>
      </w:r>
    </w:p>
    <w:p w14:paraId="4BDFBB6B" w14:textId="77777777" w:rsidR="00DC37DC" w:rsidRPr="006A58D6" w:rsidRDefault="00DC37DC" w:rsidP="00DC37DC">
      <w:pPr>
        <w:pStyle w:val="PlainText"/>
      </w:pPr>
    </w:p>
    <w:p w14:paraId="4BDFBB6C" w14:textId="77777777" w:rsidR="00DC37DC" w:rsidRPr="006A58D6" w:rsidRDefault="00DC37DC" w:rsidP="00DC37DC">
      <w:pPr>
        <w:pStyle w:val="PlainText"/>
      </w:pPr>
      <w:r w:rsidRPr="006A58D6">
        <w:t xml:space="preserve">ANSTO’s various technological platforms are used for </w:t>
      </w:r>
      <w:r w:rsidR="00CE09FF">
        <w:t xml:space="preserve">research in </w:t>
      </w:r>
      <w:r w:rsidRPr="006A58D6">
        <w:t xml:space="preserve">scientific </w:t>
      </w:r>
      <w:r w:rsidR="002A5977">
        <w:t>fields</w:t>
      </w:r>
      <w:r w:rsidRPr="006A58D6">
        <w:t xml:space="preserve"> as diverse as life sciences, chemistry, physics, earth </w:t>
      </w:r>
      <w:r w:rsidR="00A65D30">
        <w:t>and</w:t>
      </w:r>
      <w:r w:rsidRPr="006A58D6">
        <w:t xml:space="preserve"> environmental sciences, </w:t>
      </w:r>
      <w:r w:rsidR="00FD3BA6">
        <w:t xml:space="preserve">cultural heritage, </w:t>
      </w:r>
      <w:r w:rsidRPr="006A58D6">
        <w:t>materials and engineering</w:t>
      </w:r>
      <w:r w:rsidR="002D39FF" w:rsidRPr="006A58D6">
        <w:t xml:space="preserve">.  </w:t>
      </w:r>
      <w:r w:rsidR="00ED6D91">
        <w:t>Researchers gain a</w:t>
      </w:r>
      <w:r w:rsidR="00CE09FF">
        <w:t>ccess to</w:t>
      </w:r>
      <w:r w:rsidR="00CE09FF" w:rsidRPr="006A58D6">
        <w:t xml:space="preserve"> </w:t>
      </w:r>
      <w:r w:rsidR="0082265B" w:rsidRPr="006A58D6">
        <w:t>th</w:t>
      </w:r>
      <w:r w:rsidR="00CE09FF">
        <w:t>is</w:t>
      </w:r>
      <w:r w:rsidRPr="006A58D6">
        <w:t xml:space="preserve"> research infrastructure </w:t>
      </w:r>
      <w:r w:rsidR="00A65D30">
        <w:t>through</w:t>
      </w:r>
      <w:r w:rsidR="00A65D30" w:rsidRPr="006A58D6">
        <w:t xml:space="preserve"> </w:t>
      </w:r>
      <w:r w:rsidR="00C04EF4">
        <w:t xml:space="preserve">ANSTO’s </w:t>
      </w:r>
      <w:r w:rsidRPr="006A58D6">
        <w:t>national and international partnerships with higher</w:t>
      </w:r>
      <w:r w:rsidR="0024123A" w:rsidRPr="006A58D6">
        <w:t xml:space="preserve"> </w:t>
      </w:r>
      <w:r w:rsidRPr="006A58D6">
        <w:t>education institutions, research agencies, industry and government agencies.</w:t>
      </w:r>
    </w:p>
    <w:p w14:paraId="4BDFBB6D" w14:textId="77777777" w:rsidR="005C582A" w:rsidRPr="006A58D6" w:rsidRDefault="005C582A" w:rsidP="005C582A">
      <w:pPr>
        <w:pStyle w:val="PlainText"/>
      </w:pPr>
    </w:p>
    <w:p w14:paraId="4BDFBB6E" w14:textId="77777777" w:rsidR="001E4E4E" w:rsidRPr="006A58D6" w:rsidRDefault="001E4E4E" w:rsidP="00A1339D">
      <w:pPr>
        <w:pStyle w:val="PlainText"/>
      </w:pPr>
      <w:r w:rsidRPr="006A58D6">
        <w:t xml:space="preserve">This </w:t>
      </w:r>
      <w:r w:rsidR="00A65D30">
        <w:t>submission follows the</w:t>
      </w:r>
      <w:r w:rsidRPr="006A58D6">
        <w:t xml:space="preserve"> structure </w:t>
      </w:r>
      <w:r w:rsidR="00A65D30">
        <w:t>of</w:t>
      </w:r>
      <w:r w:rsidRPr="006A58D6">
        <w:t xml:space="preserve"> the conclusions </w:t>
      </w:r>
      <w:r w:rsidR="00352DB9">
        <w:t>reached</w:t>
      </w:r>
      <w:r w:rsidR="00A65D30">
        <w:t xml:space="preserve"> in</w:t>
      </w:r>
      <w:r w:rsidRPr="006A58D6">
        <w:t xml:space="preserve"> </w:t>
      </w:r>
      <w:r w:rsidR="00A1339D" w:rsidRPr="006A58D6">
        <w:t xml:space="preserve">the discussion paper </w:t>
      </w:r>
      <w:r w:rsidR="00A1339D" w:rsidRPr="006A58D6">
        <w:rPr>
          <w:i/>
        </w:rPr>
        <w:t>Boosting the commercial returns from research</w:t>
      </w:r>
      <w:r w:rsidR="00A1339D" w:rsidRPr="006A58D6">
        <w:t xml:space="preserve">.  </w:t>
      </w:r>
    </w:p>
    <w:p w14:paraId="4BDFBB70" w14:textId="77777777" w:rsidR="00DC37DC" w:rsidRPr="006A58D6" w:rsidRDefault="00480698" w:rsidP="00745A95">
      <w:pPr>
        <w:pStyle w:val="Heading1"/>
      </w:pPr>
      <w:r w:rsidRPr="006A58D6">
        <w:t>CREATING STRONGER INCENTIVES FOR RESEARCH – INDUSTRY COLLABORATION</w:t>
      </w:r>
    </w:p>
    <w:p w14:paraId="4BDFBB71" w14:textId="77777777" w:rsidR="002C1F7B" w:rsidRPr="006A58D6" w:rsidRDefault="002C1F7B" w:rsidP="00D6048A">
      <w:pPr>
        <w:pStyle w:val="PlainText"/>
      </w:pPr>
    </w:p>
    <w:p w14:paraId="4BDFBB72" w14:textId="77777777" w:rsidR="000C5F45" w:rsidRPr="006A58D6" w:rsidRDefault="005A36DD" w:rsidP="00D6048A">
      <w:pPr>
        <w:pStyle w:val="PlainText"/>
      </w:pPr>
      <w:r w:rsidRPr="006A58D6">
        <w:t>As noted in the discussion paper, t</w:t>
      </w:r>
      <w:r w:rsidR="0083501E" w:rsidRPr="006A58D6">
        <w:t>he current higher</w:t>
      </w:r>
      <w:r w:rsidRPr="006A58D6">
        <w:t xml:space="preserve"> </w:t>
      </w:r>
      <w:r w:rsidR="0083501E" w:rsidRPr="006A58D6">
        <w:t xml:space="preserve">education evaluation system focuses on </w:t>
      </w:r>
      <w:r w:rsidRPr="006A58D6">
        <w:t xml:space="preserve">the production of </w:t>
      </w:r>
      <w:r w:rsidR="0083501E" w:rsidRPr="006A58D6">
        <w:t>peer-reviewed publications</w:t>
      </w:r>
      <w:r w:rsidR="00647DC5" w:rsidRPr="006A58D6">
        <w:t>.</w:t>
      </w:r>
      <w:r w:rsidR="0083501E" w:rsidRPr="006A58D6">
        <w:t xml:space="preserve"> </w:t>
      </w:r>
      <w:r w:rsidR="00C40992" w:rsidRPr="006A58D6">
        <w:t xml:space="preserve"> </w:t>
      </w:r>
      <w:r w:rsidR="0083501E" w:rsidRPr="006A58D6">
        <w:t xml:space="preserve">ANSTO </w:t>
      </w:r>
      <w:r w:rsidR="00A60B5F" w:rsidRPr="006A58D6">
        <w:t xml:space="preserve">is strongly linked into this </w:t>
      </w:r>
      <w:r w:rsidR="001156A1" w:rsidRPr="006A58D6">
        <w:t xml:space="preserve">system </w:t>
      </w:r>
      <w:r w:rsidR="00A60B5F" w:rsidRPr="006A58D6">
        <w:t>through its</w:t>
      </w:r>
      <w:r w:rsidR="0083501E" w:rsidRPr="006A58D6">
        <w:t xml:space="preserve"> </w:t>
      </w:r>
      <w:r w:rsidR="00A60B5F" w:rsidRPr="006A58D6">
        <w:t>user programme</w:t>
      </w:r>
      <w:r w:rsidRPr="006A58D6">
        <w:t>, under which university</w:t>
      </w:r>
      <w:r w:rsidR="00C40992" w:rsidRPr="006A58D6">
        <w:t>-based</w:t>
      </w:r>
      <w:r w:rsidRPr="006A58D6">
        <w:t xml:space="preserve"> researchers</w:t>
      </w:r>
      <w:r w:rsidR="00A60B5F" w:rsidRPr="006A58D6">
        <w:t xml:space="preserve"> </w:t>
      </w:r>
      <w:r w:rsidRPr="006A58D6">
        <w:t xml:space="preserve">utilise </w:t>
      </w:r>
      <w:r w:rsidR="0083501E" w:rsidRPr="006A58D6">
        <w:t>the unique</w:t>
      </w:r>
      <w:r w:rsidRPr="006A58D6">
        <w:t xml:space="preserve"> capabilities</w:t>
      </w:r>
      <w:r w:rsidR="0083501E" w:rsidRPr="006A58D6">
        <w:t xml:space="preserve"> of ANSTO’s technological </w:t>
      </w:r>
      <w:r w:rsidR="00A60B5F" w:rsidRPr="006A58D6">
        <w:t>platforms</w:t>
      </w:r>
      <w:r w:rsidRPr="006A58D6">
        <w:t xml:space="preserve"> to produce peer-reviewed research</w:t>
      </w:r>
      <w:r w:rsidR="00A60B5F" w:rsidRPr="006A58D6">
        <w:t xml:space="preserve">. </w:t>
      </w:r>
      <w:r w:rsidR="00C40992" w:rsidRPr="006A58D6">
        <w:t xml:space="preserve"> </w:t>
      </w:r>
      <w:r w:rsidRPr="006A58D6">
        <w:t>At the same time</w:t>
      </w:r>
      <w:r w:rsidR="0083501E" w:rsidRPr="006A58D6">
        <w:t xml:space="preserve">, </w:t>
      </w:r>
      <w:r w:rsidRPr="006A58D6">
        <w:t xml:space="preserve">in accordance with </w:t>
      </w:r>
      <w:r w:rsidRPr="006A58D6">
        <w:lastRenderedPageBreak/>
        <w:t>its Act</w:t>
      </w:r>
      <w:r w:rsidR="00074110">
        <w:t>,</w:t>
      </w:r>
      <w:r w:rsidRPr="006A58D6">
        <w:t xml:space="preserve"> </w:t>
      </w:r>
      <w:r w:rsidR="0083501E" w:rsidRPr="006A58D6">
        <w:t xml:space="preserve">ANSTO </w:t>
      </w:r>
      <w:r w:rsidRPr="006A58D6">
        <w:t xml:space="preserve">sells goods and services in areas relevant to its </w:t>
      </w:r>
      <w:r w:rsidR="006A58D6" w:rsidRPr="006A58D6">
        <w:t>mandate</w:t>
      </w:r>
      <w:r w:rsidRPr="006A58D6">
        <w:t xml:space="preserve"> – most importantly nuclear medicine, but also </w:t>
      </w:r>
      <w:r w:rsidR="00A65D30">
        <w:t xml:space="preserve">provision of its expertise through </w:t>
      </w:r>
      <w:r w:rsidR="006A58D6" w:rsidRPr="006A58D6">
        <w:t>consultancy</w:t>
      </w:r>
      <w:r w:rsidR="00C40992" w:rsidRPr="006A58D6">
        <w:t xml:space="preserve"> services and </w:t>
      </w:r>
      <w:r w:rsidRPr="006A58D6">
        <w:t>research</w:t>
      </w:r>
      <w:r w:rsidR="006C7305">
        <w:t xml:space="preserve"> supporting industry and commercial outcomes</w:t>
      </w:r>
      <w:r w:rsidR="00A2400B" w:rsidRPr="006A58D6">
        <w:t xml:space="preserve">. </w:t>
      </w:r>
      <w:r w:rsidR="00C40992" w:rsidRPr="006A58D6">
        <w:t xml:space="preserve"> </w:t>
      </w:r>
      <w:r w:rsidR="00A2400B" w:rsidRPr="006A58D6">
        <w:t>This</w:t>
      </w:r>
      <w:r w:rsidR="00C40992" w:rsidRPr="006A58D6">
        <w:t xml:space="preserve"> </w:t>
      </w:r>
      <w:r w:rsidR="000C5F45" w:rsidRPr="006A58D6">
        <w:t xml:space="preserve">means that in some scientific fields </w:t>
      </w:r>
      <w:r w:rsidR="00A2400B" w:rsidRPr="006A58D6">
        <w:t xml:space="preserve">(for example, geochemical engineering in the minerals processing industry), </w:t>
      </w:r>
      <w:r w:rsidR="000C5F45" w:rsidRPr="006A58D6">
        <w:t xml:space="preserve">ANSTO’s </w:t>
      </w:r>
      <w:r w:rsidR="00905A50">
        <w:t>output</w:t>
      </w:r>
      <w:r w:rsidR="006C7305">
        <w:t xml:space="preserve"> in terms of publications is higher for </w:t>
      </w:r>
      <w:r w:rsidR="000C5F45" w:rsidRPr="006A58D6">
        <w:t>commercial and technical reports</w:t>
      </w:r>
      <w:r w:rsidR="006C7305">
        <w:t xml:space="preserve"> than for </w:t>
      </w:r>
      <w:r w:rsidR="000C5F45" w:rsidRPr="006A58D6">
        <w:t>peer-reviewed publications.</w:t>
      </w:r>
      <w:r w:rsidR="009B51AF" w:rsidRPr="006A58D6">
        <w:t xml:space="preserve">  </w:t>
      </w:r>
      <w:r w:rsidR="006C7305">
        <w:t>It is important to note that the additional economic value delivered to industry can be significant in terms of the expertise and knowledge transferred.</w:t>
      </w:r>
    </w:p>
    <w:p w14:paraId="4BDFBB73" w14:textId="77777777" w:rsidR="000C5F45" w:rsidRPr="006A58D6" w:rsidRDefault="000C5F45" w:rsidP="00D6048A">
      <w:pPr>
        <w:pStyle w:val="PlainText"/>
      </w:pPr>
    </w:p>
    <w:p w14:paraId="4BDFBB74" w14:textId="77777777" w:rsidR="009B51AF" w:rsidRPr="006A58D6" w:rsidRDefault="000C5F45" w:rsidP="00D6048A">
      <w:pPr>
        <w:pStyle w:val="PlainText"/>
      </w:pPr>
      <w:r w:rsidRPr="006A58D6">
        <w:t>ANSTO has invested significant effort in</w:t>
      </w:r>
      <w:r w:rsidR="00C40992" w:rsidRPr="006A58D6">
        <w:t xml:space="preserve"> building relationships with industry.  F</w:t>
      </w:r>
      <w:r w:rsidR="0083501E" w:rsidRPr="006A58D6">
        <w:t>or example</w:t>
      </w:r>
      <w:r w:rsidRPr="006A58D6">
        <w:t>,</w:t>
      </w:r>
      <w:r w:rsidR="0083501E" w:rsidRPr="006A58D6">
        <w:t xml:space="preserve"> </w:t>
      </w:r>
      <w:r w:rsidR="00497243">
        <w:t xml:space="preserve">industry </w:t>
      </w:r>
      <w:r w:rsidR="00074110">
        <w:t xml:space="preserve">access to </w:t>
      </w:r>
      <w:r w:rsidR="00C40992" w:rsidRPr="006A58D6">
        <w:t xml:space="preserve">the neutron beam instruments attached to the OPAL reactor </w:t>
      </w:r>
      <w:r w:rsidR="00074110">
        <w:t>is available through a proprietary, user-pays access system;</w:t>
      </w:r>
      <w:r w:rsidRPr="006A58D6">
        <w:t xml:space="preserve"> </w:t>
      </w:r>
      <w:r w:rsidR="00074110">
        <w:t xml:space="preserve">additionally, </w:t>
      </w:r>
      <w:r w:rsidRPr="006A58D6">
        <w:t xml:space="preserve">ANSTO has </w:t>
      </w:r>
      <w:r w:rsidR="000E0AD9">
        <w:t xml:space="preserve">recently </w:t>
      </w:r>
      <w:r w:rsidR="00074110">
        <w:t>established</w:t>
      </w:r>
      <w:r w:rsidRPr="006A58D6">
        <w:t xml:space="preserve"> the Bragg Institute Industrial Liaison Office to manage technology transfer and promote the use of </w:t>
      </w:r>
      <w:r w:rsidR="00074110">
        <w:t>the Bragg Institute</w:t>
      </w:r>
      <w:r w:rsidRPr="006A58D6">
        <w:t xml:space="preserve"> facilities in applied industrial research</w:t>
      </w:r>
      <w:r w:rsidR="00C40992" w:rsidRPr="006A58D6">
        <w:t xml:space="preserve">.  </w:t>
      </w:r>
      <w:r w:rsidRPr="006A58D6">
        <w:t xml:space="preserve">Similarly, </w:t>
      </w:r>
      <w:r w:rsidR="00074110">
        <w:t xml:space="preserve">access </w:t>
      </w:r>
      <w:r w:rsidRPr="006A58D6">
        <w:t xml:space="preserve">time on the instruments </w:t>
      </w:r>
      <w:r w:rsidR="00074110">
        <w:t>housed by</w:t>
      </w:r>
      <w:r w:rsidRPr="006A58D6">
        <w:t xml:space="preserve"> the Australian Synchrotron is sold to industrial users via an industry-focused portal. </w:t>
      </w:r>
    </w:p>
    <w:p w14:paraId="4BDFBB75" w14:textId="77777777" w:rsidR="009B51AF" w:rsidRPr="006A58D6" w:rsidRDefault="009B51AF" w:rsidP="00D6048A">
      <w:pPr>
        <w:pStyle w:val="PlainText"/>
      </w:pPr>
    </w:p>
    <w:p w14:paraId="4BDFBB76" w14:textId="77777777" w:rsidR="0024123A" w:rsidRPr="006A58D6" w:rsidRDefault="00074110" w:rsidP="00D6048A">
      <w:pPr>
        <w:pStyle w:val="PlainText"/>
      </w:pPr>
      <w:r>
        <w:t xml:space="preserve">Another mechanism by which ANSTO researchers collaborate with industry is through the ARC </w:t>
      </w:r>
      <w:r w:rsidR="00497243">
        <w:t>Linkage</w:t>
      </w:r>
      <w:r>
        <w:t xml:space="preserve"> Grant scheme</w:t>
      </w:r>
      <w:r w:rsidR="001C0B34">
        <w:t xml:space="preserve">, </w:t>
      </w:r>
      <w:r w:rsidR="00905A50">
        <w:t>mainly by</w:t>
      </w:r>
      <w:r w:rsidR="001C0B34">
        <w:t xml:space="preserve"> </w:t>
      </w:r>
      <w:r w:rsidR="00905A50">
        <w:t>engaging</w:t>
      </w:r>
      <w:r w:rsidR="001C0B34">
        <w:t xml:space="preserve"> through partnership with higher education institutions</w:t>
      </w:r>
      <w:r>
        <w:t xml:space="preserve">. </w:t>
      </w:r>
      <w:r w:rsidR="00497243">
        <w:t>Unfortunately</w:t>
      </w:r>
      <w:r w:rsidR="00AE29CC">
        <w:t xml:space="preserve">, ANSTO is unable to take full advantage of </w:t>
      </w:r>
      <w:r w:rsidR="00497243">
        <w:t>this</w:t>
      </w:r>
      <w:r w:rsidR="00AE29CC">
        <w:t xml:space="preserve"> scheme because</w:t>
      </w:r>
      <w:r w:rsidR="00497243">
        <w:t>,</w:t>
      </w:r>
      <w:r w:rsidR="00AE29CC">
        <w:t xml:space="preserve"> </w:t>
      </w:r>
      <w:r w:rsidR="009B51AF" w:rsidRPr="006A58D6">
        <w:t xml:space="preserve">as a Publicly Funded Research Agency (PFRA), </w:t>
      </w:r>
      <w:r w:rsidR="00AE29CC">
        <w:t xml:space="preserve">ANSTO </w:t>
      </w:r>
      <w:r w:rsidR="009B51AF" w:rsidRPr="006A58D6">
        <w:t xml:space="preserve">is </w:t>
      </w:r>
      <w:r w:rsidR="006A58D6" w:rsidRPr="006A58D6">
        <w:t>ineligible</w:t>
      </w:r>
      <w:r w:rsidR="009B51AF" w:rsidRPr="006A58D6">
        <w:t xml:space="preserve"> to </w:t>
      </w:r>
      <w:r w:rsidR="00497243">
        <w:t xml:space="preserve">directly </w:t>
      </w:r>
      <w:r w:rsidR="009B51AF" w:rsidRPr="006A58D6">
        <w:t xml:space="preserve">apply for grants from the ARC </w:t>
      </w:r>
      <w:r w:rsidR="00352DB9">
        <w:t>(</w:t>
      </w:r>
      <w:r w:rsidR="009B51AF" w:rsidRPr="006A58D6">
        <w:t>and the NHMRC</w:t>
      </w:r>
      <w:r w:rsidR="00352DB9">
        <w:t>)</w:t>
      </w:r>
      <w:r w:rsidR="00497243">
        <w:t xml:space="preserve"> to support its collaboration with industry</w:t>
      </w:r>
      <w:r w:rsidR="00440F50">
        <w:t>, or to take on the role of administering organisation under ARC or NHMRC-funded schemes</w:t>
      </w:r>
      <w:r w:rsidR="009B51AF" w:rsidRPr="006A58D6">
        <w:t xml:space="preserve">.  </w:t>
      </w:r>
      <w:r w:rsidR="00480698">
        <w:t xml:space="preserve">The rationale for this approach has been expressed to be that PFRAs already received government funding; however, the bulk of universities’ research activities are also funded by government through block grants.  </w:t>
      </w:r>
      <w:r w:rsidR="00440F50" w:rsidRPr="006A58D6">
        <w:t>So industry may be tempted to partner with a university for a particular research task rather than with ANSTO because government will meet some of the costs, even though ANSTO’s expertise may actually</w:t>
      </w:r>
      <w:r w:rsidR="00440F50">
        <w:t xml:space="preserve"> be more suited to the task </w:t>
      </w:r>
      <w:r w:rsidR="00497243">
        <w:t>and deliver the best outcomes for that industry partner</w:t>
      </w:r>
      <w:r w:rsidR="009B51AF" w:rsidRPr="006A58D6">
        <w:t xml:space="preserve">. </w:t>
      </w:r>
      <w:r w:rsidR="000E0AD9">
        <w:t xml:space="preserve"> </w:t>
      </w:r>
    </w:p>
    <w:p w14:paraId="4BDFBB77" w14:textId="77777777" w:rsidR="0024123A" w:rsidRPr="006A58D6" w:rsidRDefault="0024123A" w:rsidP="00D6048A">
      <w:pPr>
        <w:pStyle w:val="PlainText"/>
      </w:pPr>
    </w:p>
    <w:p w14:paraId="4BDFBB78" w14:textId="77777777" w:rsidR="00C04EF4" w:rsidRDefault="00497243" w:rsidP="0083501E">
      <w:pPr>
        <w:pStyle w:val="PlainText"/>
      </w:pPr>
      <w:r>
        <w:t xml:space="preserve">There are other schemes which enable </w:t>
      </w:r>
      <w:r w:rsidR="00AE29CC">
        <w:t xml:space="preserve">ANSTO </w:t>
      </w:r>
      <w:r>
        <w:t xml:space="preserve">to </w:t>
      </w:r>
      <w:r w:rsidR="00AE29CC">
        <w:t xml:space="preserve">successfully participate </w:t>
      </w:r>
      <w:r w:rsidR="00FD3BA6">
        <w:t xml:space="preserve">more directly </w:t>
      </w:r>
      <w:r w:rsidR="00AE29CC">
        <w:t>in</w:t>
      </w:r>
      <w:r>
        <w:t xml:space="preserve"> industry engagement and collaboration. ANSTO’s participation in</w:t>
      </w:r>
      <w:r w:rsidR="00AE29CC">
        <w:t xml:space="preserve"> </w:t>
      </w:r>
      <w:r w:rsidR="0024123A" w:rsidRPr="006A58D6">
        <w:t>the Defence Materials Technology Centre</w:t>
      </w:r>
      <w:r>
        <w:t xml:space="preserve"> enables it</w:t>
      </w:r>
      <w:r w:rsidR="0024123A" w:rsidRPr="006A58D6">
        <w:t xml:space="preserve"> </w:t>
      </w:r>
      <w:r w:rsidR="00AE29CC">
        <w:t>to</w:t>
      </w:r>
      <w:r w:rsidR="006A58D6" w:rsidRPr="006A58D6">
        <w:t xml:space="preserve"> develop and deliver new materials technologies and manufacturing processes to enhance Australia’s defence capability</w:t>
      </w:r>
      <w:r w:rsidR="00AE29CC">
        <w:t>.  Th</w:t>
      </w:r>
      <w:r w:rsidR="006C7305">
        <w:t>e</w:t>
      </w:r>
      <w:r>
        <w:t xml:space="preserve"> success of this</w:t>
      </w:r>
      <w:r w:rsidR="00AE29CC">
        <w:t xml:space="preserve"> scheme </w:t>
      </w:r>
      <w:r>
        <w:t xml:space="preserve">relies on its </w:t>
      </w:r>
      <w:r w:rsidR="00AE29CC">
        <w:t>adopt</w:t>
      </w:r>
      <w:r>
        <w:t>ion of</w:t>
      </w:r>
      <w:r w:rsidR="00AE29CC">
        <w:t xml:space="preserve"> </w:t>
      </w:r>
      <w:r w:rsidR="006A58D6" w:rsidRPr="006A58D6">
        <w:t xml:space="preserve">a collaborative partnership approach between Defence, defence industries and research agencies.  </w:t>
      </w:r>
      <w:r w:rsidRPr="006A58D6">
        <w:t>There is a role for government in facilitating collaboration</w:t>
      </w:r>
      <w:r>
        <w:t xml:space="preserve"> through similar schemes</w:t>
      </w:r>
      <w:r w:rsidRPr="006A58D6">
        <w:t xml:space="preserve"> in </w:t>
      </w:r>
      <w:r>
        <w:t>other industry-relevant research</w:t>
      </w:r>
      <w:r w:rsidRPr="006A58D6">
        <w:t xml:space="preserve"> areas.  </w:t>
      </w:r>
      <w:r w:rsidR="00C04EF4">
        <w:t>One option may be</w:t>
      </w:r>
      <w:r w:rsidR="002C1F7B" w:rsidRPr="006A58D6">
        <w:t xml:space="preserve"> to embed </w:t>
      </w:r>
      <w:r w:rsidR="0083501E" w:rsidRPr="006A58D6">
        <w:t xml:space="preserve">researchers in industry to </w:t>
      </w:r>
      <w:r w:rsidR="00AE29CC">
        <w:t>facilitate</w:t>
      </w:r>
      <w:r w:rsidR="00D25583">
        <w:t xml:space="preserve"> and encourage</w:t>
      </w:r>
      <w:r w:rsidR="00D6048A" w:rsidRPr="006A58D6">
        <w:t xml:space="preserve"> knowledge broker</w:t>
      </w:r>
      <w:r w:rsidR="00AE29CC">
        <w:t>age</w:t>
      </w:r>
      <w:r w:rsidR="00D6048A" w:rsidRPr="006A58D6">
        <w:t xml:space="preserve"> /</w:t>
      </w:r>
      <w:r w:rsidR="0083501E" w:rsidRPr="006A58D6">
        <w:t xml:space="preserve"> translat</w:t>
      </w:r>
      <w:r w:rsidR="00AE29CC">
        <w:t>ion</w:t>
      </w:r>
      <w:r w:rsidR="00D25583">
        <w:t xml:space="preserve">. </w:t>
      </w:r>
      <w:r w:rsidR="00E4561E">
        <w:t xml:space="preserve"> </w:t>
      </w:r>
    </w:p>
    <w:p w14:paraId="4BDFBB79" w14:textId="77777777" w:rsidR="00C04EF4" w:rsidRDefault="00C04EF4" w:rsidP="0083501E">
      <w:pPr>
        <w:pStyle w:val="PlainText"/>
      </w:pPr>
    </w:p>
    <w:p w14:paraId="4BDFBB7A" w14:textId="77777777" w:rsidR="00D6048A" w:rsidRPr="006A58D6" w:rsidRDefault="009D7F91" w:rsidP="0083501E">
      <w:pPr>
        <w:pStyle w:val="PlainText"/>
      </w:pPr>
      <w:r w:rsidRPr="006A58D6">
        <w:t>The</w:t>
      </w:r>
      <w:r w:rsidR="00D6048A" w:rsidRPr="006A58D6">
        <w:t xml:space="preserve"> </w:t>
      </w:r>
      <w:r w:rsidRPr="006A58D6">
        <w:t xml:space="preserve">success of European institutions, such as the German Frauenhofer Institutions, </w:t>
      </w:r>
      <w:r w:rsidR="00D25583">
        <w:t>serves as</w:t>
      </w:r>
      <w:r w:rsidRPr="006A58D6">
        <w:t xml:space="preserve"> example</w:t>
      </w:r>
      <w:r w:rsidR="00D25583">
        <w:t>s</w:t>
      </w:r>
      <w:r w:rsidRPr="006A58D6">
        <w:t xml:space="preserve"> of </w:t>
      </w:r>
      <w:r w:rsidR="00155F40" w:rsidRPr="006A58D6">
        <w:t xml:space="preserve">the </w:t>
      </w:r>
      <w:r w:rsidR="00D25583">
        <w:t>benefit</w:t>
      </w:r>
      <w:r w:rsidR="00D25583" w:rsidRPr="006A58D6">
        <w:t xml:space="preserve"> </w:t>
      </w:r>
      <w:r w:rsidR="00155F40" w:rsidRPr="006A58D6">
        <w:t xml:space="preserve">of </w:t>
      </w:r>
      <w:r w:rsidRPr="006A58D6">
        <w:t xml:space="preserve">setting up long-term relationships across sectors. In </w:t>
      </w:r>
      <w:r w:rsidR="002C1F7B" w:rsidRPr="006A58D6">
        <w:t xml:space="preserve">northern European countries </w:t>
      </w:r>
      <w:r w:rsidR="009B51AF" w:rsidRPr="006A58D6">
        <w:t>such as</w:t>
      </w:r>
      <w:r w:rsidR="002C1F7B" w:rsidRPr="006A58D6">
        <w:t xml:space="preserve"> Denmark</w:t>
      </w:r>
      <w:r w:rsidR="009B51AF" w:rsidRPr="006A58D6">
        <w:t xml:space="preserve"> and</w:t>
      </w:r>
      <w:r w:rsidR="002C1F7B" w:rsidRPr="006A58D6">
        <w:t xml:space="preserve"> </w:t>
      </w:r>
      <w:r w:rsidR="00A27E76">
        <w:t>t</w:t>
      </w:r>
      <w:r w:rsidR="00A27E76" w:rsidRPr="006A58D6">
        <w:t xml:space="preserve">he </w:t>
      </w:r>
      <w:r w:rsidR="002C1F7B" w:rsidRPr="006A58D6">
        <w:t xml:space="preserve">Netherlands </w:t>
      </w:r>
      <w:r w:rsidRPr="006A58D6">
        <w:t xml:space="preserve">there is an emphasis on addressing and integrating design </w:t>
      </w:r>
      <w:r w:rsidR="00D45FB0" w:rsidRPr="006A58D6">
        <w:t>thinking</w:t>
      </w:r>
      <w:r w:rsidR="00C04EF4">
        <w:t xml:space="preserve"> </w:t>
      </w:r>
      <w:r w:rsidR="00D45FB0">
        <w:rPr>
          <w:rStyle w:val="CommentReference"/>
          <w:rFonts w:ascii="Times New Roman" w:eastAsia="Times New Roman" w:hAnsi="Times New Roman" w:cs="Times New Roman"/>
          <w:lang w:eastAsia="en-AU"/>
        </w:rPr>
        <w:t xml:space="preserve">, </w:t>
      </w:r>
      <w:r w:rsidR="00D45FB0">
        <w:t>essentially a</w:t>
      </w:r>
      <w:r w:rsidR="001C0B34">
        <w:t>pproach</w:t>
      </w:r>
      <w:r w:rsidR="00D45FB0">
        <w:t>ing</w:t>
      </w:r>
      <w:r w:rsidR="001C0B34">
        <w:t xml:space="preserve"> multi-dimensional problems with effective methods to </w:t>
      </w:r>
      <w:r w:rsidR="00D45FB0">
        <w:t>conceptualise</w:t>
      </w:r>
      <w:r w:rsidR="001C0B34">
        <w:t>, select and execute solutions</w:t>
      </w:r>
      <w:r w:rsidR="00C04EF4">
        <w:t>,</w:t>
      </w:r>
      <w:r w:rsidR="001C0B34">
        <w:t xml:space="preserve"> </w:t>
      </w:r>
      <w:r w:rsidRPr="006A58D6">
        <w:t>at the very early stage</w:t>
      </w:r>
      <w:r w:rsidR="002C1F7B" w:rsidRPr="006A58D6">
        <w:t xml:space="preserve"> of a project</w:t>
      </w:r>
      <w:r w:rsidR="00A60B5F" w:rsidRPr="006A58D6">
        <w:t>.</w:t>
      </w:r>
      <w:r w:rsidRPr="006A58D6">
        <w:t xml:space="preserve"> </w:t>
      </w:r>
      <w:r w:rsidR="00C04EF4">
        <w:t xml:space="preserve"> </w:t>
      </w:r>
      <w:r w:rsidRPr="006A58D6">
        <w:t xml:space="preserve">Participating in multidisciplinary design projects is high on the </w:t>
      </w:r>
      <w:r w:rsidR="00047F0F" w:rsidRPr="006A58D6">
        <w:t>curricula</w:t>
      </w:r>
      <w:r w:rsidRPr="006A58D6">
        <w:t xml:space="preserve"> of </w:t>
      </w:r>
      <w:r w:rsidR="00047F0F" w:rsidRPr="006A58D6">
        <w:t xml:space="preserve">European </w:t>
      </w:r>
      <w:r w:rsidRPr="006A58D6">
        <w:t>higher-education institutions</w:t>
      </w:r>
      <w:r w:rsidR="009F1D27">
        <w:rPr>
          <w:rStyle w:val="FootnoteReference"/>
        </w:rPr>
        <w:footnoteReference w:id="1"/>
      </w:r>
      <w:r w:rsidRPr="006A58D6">
        <w:t xml:space="preserve"> that </w:t>
      </w:r>
      <w:r w:rsidR="009B51AF" w:rsidRPr="006A58D6">
        <w:t xml:space="preserve">are </w:t>
      </w:r>
      <w:r w:rsidRPr="006A58D6">
        <w:t>involve</w:t>
      </w:r>
      <w:r w:rsidR="009B51AF" w:rsidRPr="006A58D6">
        <w:t>d</w:t>
      </w:r>
      <w:r w:rsidRPr="006A58D6">
        <w:t xml:space="preserve"> </w:t>
      </w:r>
      <w:r w:rsidR="00047F0F" w:rsidRPr="006A58D6">
        <w:t xml:space="preserve">in general </w:t>
      </w:r>
      <w:r w:rsidRPr="006A58D6">
        <w:t>industrial linkage</w:t>
      </w:r>
      <w:r w:rsidR="00D25583">
        <w:t>, which also has the benefit of</w:t>
      </w:r>
      <w:r w:rsidR="00047F0F" w:rsidRPr="006A58D6">
        <w:t xml:space="preserve"> expos</w:t>
      </w:r>
      <w:r w:rsidR="00D25583">
        <w:t>ing</w:t>
      </w:r>
      <w:r w:rsidR="00047F0F" w:rsidRPr="006A58D6">
        <w:t xml:space="preserve"> students to different working styles.</w:t>
      </w:r>
      <w:r w:rsidRPr="006A58D6">
        <w:t xml:space="preserve"> </w:t>
      </w:r>
    </w:p>
    <w:p w14:paraId="4BDFBB7B" w14:textId="77777777" w:rsidR="002C1F7B" w:rsidRPr="006A58D6" w:rsidRDefault="002C1F7B" w:rsidP="0083501E">
      <w:pPr>
        <w:pStyle w:val="PlainText"/>
      </w:pPr>
    </w:p>
    <w:p w14:paraId="4BDFBB7C" w14:textId="77777777" w:rsidR="00E4561E" w:rsidRDefault="00C3002D" w:rsidP="00037EF4">
      <w:pPr>
        <w:pStyle w:val="NoSpacing"/>
      </w:pPr>
      <w:r>
        <w:t xml:space="preserve">ANSTO’s unique status as Australia’s only nuclear </w:t>
      </w:r>
      <w:r w:rsidR="009D42F2">
        <w:t>facility</w:t>
      </w:r>
      <w:r>
        <w:t xml:space="preserve"> means that international engagement is vital.  </w:t>
      </w:r>
      <w:r w:rsidR="002A0C48" w:rsidRPr="006A58D6">
        <w:t xml:space="preserve">ANSTO has a strong incentive to </w:t>
      </w:r>
      <w:r w:rsidR="006C7305">
        <w:t xml:space="preserve">participate </w:t>
      </w:r>
      <w:proofErr w:type="gramStart"/>
      <w:r w:rsidR="006C7305">
        <w:t>in  nuclear</w:t>
      </w:r>
      <w:proofErr w:type="gramEnd"/>
      <w:r w:rsidR="006C7305">
        <w:t xml:space="preserve"> related </w:t>
      </w:r>
      <w:r w:rsidR="002A0C48" w:rsidRPr="006A58D6">
        <w:t xml:space="preserve">international </w:t>
      </w:r>
      <w:r w:rsidR="002F2E5E">
        <w:t>interactions</w:t>
      </w:r>
      <w:r w:rsidR="002A0C48" w:rsidRPr="006A58D6">
        <w:t xml:space="preserve">, especially </w:t>
      </w:r>
      <w:r w:rsidR="006C7305">
        <w:t xml:space="preserve">those </w:t>
      </w:r>
      <w:r w:rsidR="002A0C48" w:rsidRPr="006A58D6">
        <w:t xml:space="preserve">with strong engagement of Asian countries. </w:t>
      </w:r>
      <w:r w:rsidR="00A2400B" w:rsidRPr="006A58D6">
        <w:t xml:space="preserve"> </w:t>
      </w:r>
      <w:r w:rsidR="00E4561E">
        <w:t>These interactions may be with research institutes or with industry partners.</w:t>
      </w:r>
      <w:r w:rsidR="00182615">
        <w:t xml:space="preserve">  It is not clear from the discussion paper that the </w:t>
      </w:r>
      <w:r w:rsidR="00182615">
        <w:lastRenderedPageBreak/>
        <w:t xml:space="preserve">proposed </w:t>
      </w:r>
      <w:r w:rsidR="00ED777D">
        <w:t>commercialisation</w:t>
      </w:r>
      <w:r w:rsidR="00182615">
        <w:t xml:space="preserve"> </w:t>
      </w:r>
      <w:r w:rsidR="00ED777D">
        <w:t>strategy</w:t>
      </w:r>
      <w:r w:rsidR="00182615">
        <w:t xml:space="preserve"> will address links with Australian industry only, or also with overseas industry.</w:t>
      </w:r>
    </w:p>
    <w:p w14:paraId="4BDFBB7F" w14:textId="77777777" w:rsidR="00A21139" w:rsidRPr="00182615" w:rsidRDefault="00A21139" w:rsidP="00745A95">
      <w:pPr>
        <w:pStyle w:val="Heading2"/>
      </w:pPr>
      <w:r w:rsidRPr="00182615">
        <w:t>Recommendation</w:t>
      </w:r>
      <w:r w:rsidR="00182615">
        <w:t>s</w:t>
      </w:r>
      <w:r w:rsidRPr="00182615">
        <w:t>:</w:t>
      </w:r>
    </w:p>
    <w:p w14:paraId="4BDFBB80" w14:textId="77777777" w:rsidR="008B0CFE" w:rsidRDefault="008B0CFE" w:rsidP="001F0548">
      <w:pPr>
        <w:pStyle w:val="NoSpacing"/>
      </w:pPr>
    </w:p>
    <w:p w14:paraId="4BDFBB81" w14:textId="77777777" w:rsidR="00C04EF4" w:rsidRDefault="00480698" w:rsidP="00A21139">
      <w:pPr>
        <w:pStyle w:val="PlainText"/>
        <w:numPr>
          <w:ilvl w:val="0"/>
          <w:numId w:val="2"/>
        </w:numPr>
      </w:pPr>
      <w:r>
        <w:t xml:space="preserve">Researchers from </w:t>
      </w:r>
      <w:r w:rsidR="00C04EF4">
        <w:t xml:space="preserve">PFRAs should be able to access government </w:t>
      </w:r>
      <w:r>
        <w:t xml:space="preserve">grant </w:t>
      </w:r>
      <w:r w:rsidR="00C04EF4">
        <w:t xml:space="preserve">funding to support </w:t>
      </w:r>
      <w:r>
        <w:t>collaboration with industry.</w:t>
      </w:r>
    </w:p>
    <w:p w14:paraId="4BDFBB82" w14:textId="77777777" w:rsidR="00480698" w:rsidRDefault="00480698" w:rsidP="00480698">
      <w:pPr>
        <w:pStyle w:val="PlainText"/>
      </w:pPr>
    </w:p>
    <w:p w14:paraId="4BDFBB83" w14:textId="77777777" w:rsidR="00A21139" w:rsidRDefault="00A21139" w:rsidP="00A21139">
      <w:pPr>
        <w:pStyle w:val="PlainText"/>
        <w:numPr>
          <w:ilvl w:val="0"/>
          <w:numId w:val="2"/>
        </w:numPr>
      </w:pPr>
      <w:r>
        <w:t xml:space="preserve">Government can facilitate industry engagement with PFRAs through </w:t>
      </w:r>
      <w:r w:rsidR="00A27E76">
        <w:t xml:space="preserve">further investment in collaborative partnership opportunities similar to the </w:t>
      </w:r>
      <w:r w:rsidRPr="006A58D6">
        <w:t xml:space="preserve">Defence Materials Technology Centre.  </w:t>
      </w:r>
    </w:p>
    <w:p w14:paraId="4BDFBB85" w14:textId="77777777" w:rsidR="008B0CFE" w:rsidRPr="006A58D6" w:rsidRDefault="00480698" w:rsidP="00745A95">
      <w:pPr>
        <w:pStyle w:val="Heading1"/>
      </w:pPr>
      <w:r w:rsidRPr="006A58D6">
        <w:t>SUPPORTING RESEARCH INFRASTRUCTURE</w:t>
      </w:r>
    </w:p>
    <w:p w14:paraId="4BDFBB86" w14:textId="77777777" w:rsidR="00F86AA8" w:rsidRPr="006A58D6" w:rsidRDefault="001F0548" w:rsidP="001F0548">
      <w:pPr>
        <w:pStyle w:val="NoSpacing"/>
      </w:pPr>
      <w:r w:rsidRPr="006A58D6">
        <w:t xml:space="preserve"> </w:t>
      </w:r>
    </w:p>
    <w:p w14:paraId="4BDFBB87" w14:textId="77777777" w:rsidR="00AE5F96" w:rsidRPr="006A58D6" w:rsidRDefault="00A2400B" w:rsidP="003A3BB5">
      <w:pPr>
        <w:pStyle w:val="NoSpacing"/>
      </w:pPr>
      <w:r w:rsidRPr="006A58D6">
        <w:t xml:space="preserve">ANSTO strongly </w:t>
      </w:r>
      <w:r w:rsidR="006A58D6" w:rsidRPr="006A58D6">
        <w:t>endorses</w:t>
      </w:r>
      <w:r w:rsidRPr="006A58D6">
        <w:t xml:space="preserve"> the discussion paper’s acknowledgement of the importance of world-class </w:t>
      </w:r>
      <w:r w:rsidR="00EF5954" w:rsidRPr="006A58D6">
        <w:t xml:space="preserve">research </w:t>
      </w:r>
      <w:r w:rsidRPr="006A58D6">
        <w:t>infrastructure and stable, predictable funding over the long term for national research excellence</w:t>
      </w:r>
      <w:r w:rsidR="00EF5954" w:rsidRPr="006A58D6">
        <w:t xml:space="preserve">.  </w:t>
      </w:r>
      <w:r w:rsidR="00A479E1">
        <w:t>Overseas experience confirms that p</w:t>
      </w:r>
      <w:r w:rsidR="00A479E1" w:rsidRPr="006A58D6">
        <w:t xml:space="preserve">rovision of such infrastructure and funding can only be done by government. </w:t>
      </w:r>
      <w:r w:rsidR="00A479E1">
        <w:t xml:space="preserve"> </w:t>
      </w:r>
      <w:r w:rsidR="00530036" w:rsidRPr="006A58D6">
        <w:t>Through the National Collaborative Research Infrastructure Strategy (NCRIS</w:t>
      </w:r>
      <w:r w:rsidR="00AE5F96" w:rsidRPr="006A58D6">
        <w:t xml:space="preserve"> 2005-11</w:t>
      </w:r>
      <w:r w:rsidR="00530036" w:rsidRPr="006A58D6">
        <w:t xml:space="preserve">), Australia developed a roadmap </w:t>
      </w:r>
      <w:r w:rsidR="00EF5954" w:rsidRPr="006A58D6">
        <w:t xml:space="preserve">for </w:t>
      </w:r>
      <w:r w:rsidR="00530036" w:rsidRPr="006A58D6">
        <w:t>research infrastructure and created networks across the country that fostered engagement on a national</w:t>
      </w:r>
      <w:r w:rsidR="00811716">
        <w:t xml:space="preserve"> </w:t>
      </w:r>
      <w:r w:rsidR="00530036" w:rsidRPr="006A58D6">
        <w:t>/ state/ institutional scale</w:t>
      </w:r>
      <w:r w:rsidR="00AE5F96" w:rsidRPr="006A58D6">
        <w:t xml:space="preserve">. </w:t>
      </w:r>
      <w:r w:rsidR="00EF5954" w:rsidRPr="006A58D6">
        <w:t xml:space="preserve"> </w:t>
      </w:r>
      <w:r w:rsidR="00480698">
        <w:t xml:space="preserve">Those networks continue to deliver impressive results.  </w:t>
      </w:r>
      <w:r w:rsidR="00EF5954" w:rsidRPr="006A58D6">
        <w:t xml:space="preserve">A successor plan is required, and ANSTO </w:t>
      </w:r>
      <w:r w:rsidR="006A58D6" w:rsidRPr="006A58D6">
        <w:t>looks</w:t>
      </w:r>
      <w:r w:rsidR="00EF5954" w:rsidRPr="006A58D6">
        <w:t xml:space="preserve"> forward to the results of the review of research infrastructure </w:t>
      </w:r>
      <w:r w:rsidR="00A479E1">
        <w:t>recommended by the Commission of Audit</w:t>
      </w:r>
      <w:r w:rsidR="00EF5954" w:rsidRPr="006A58D6">
        <w:t>.</w:t>
      </w:r>
      <w:r w:rsidR="00AE5F96" w:rsidRPr="006A58D6">
        <w:t xml:space="preserve">  </w:t>
      </w:r>
    </w:p>
    <w:p w14:paraId="4BDFBB88" w14:textId="77777777" w:rsidR="00AE5F96" w:rsidRPr="006A58D6" w:rsidRDefault="00AE5F96" w:rsidP="001F0548">
      <w:pPr>
        <w:pStyle w:val="NoSpacing"/>
      </w:pPr>
    </w:p>
    <w:p w14:paraId="4BDFBB89" w14:textId="77777777" w:rsidR="003A3BB5" w:rsidRPr="006A58D6" w:rsidRDefault="00F86AA8" w:rsidP="001F0548">
      <w:pPr>
        <w:pStyle w:val="NoSpacing"/>
      </w:pPr>
      <w:r w:rsidRPr="006A58D6">
        <w:t xml:space="preserve">The impact of </w:t>
      </w:r>
      <w:r w:rsidR="00F64F00">
        <w:t xml:space="preserve">national </w:t>
      </w:r>
      <w:r w:rsidRPr="006A58D6">
        <w:t xml:space="preserve">large-scale </w:t>
      </w:r>
      <w:r w:rsidR="00A479E1">
        <w:t xml:space="preserve">research </w:t>
      </w:r>
      <w:r w:rsidRPr="006A58D6">
        <w:t xml:space="preserve">facilities goes beyond the scientific results. </w:t>
      </w:r>
      <w:r w:rsidR="00EF5954" w:rsidRPr="006A58D6">
        <w:t xml:space="preserve"> </w:t>
      </w:r>
      <w:r w:rsidRPr="006A58D6">
        <w:t>The planning and construction of such a facility is not only important for the scientific community, but also impacts on the local community; potentially affecting infrastructure and employment.</w:t>
      </w:r>
      <w:r w:rsidR="00EF5954" w:rsidRPr="006A58D6">
        <w:t xml:space="preserve"> </w:t>
      </w:r>
      <w:r w:rsidRPr="006A58D6">
        <w:t xml:space="preserve"> Clearly, there is also</w:t>
      </w:r>
      <w:r w:rsidR="00F6309E">
        <w:t xml:space="preserve"> a requirement for</w:t>
      </w:r>
      <w:r w:rsidRPr="006A58D6">
        <w:t xml:space="preserve"> training of scientists, engineers and other professionals</w:t>
      </w:r>
      <w:r w:rsidR="00F6309E">
        <w:t>, as well as for</w:t>
      </w:r>
      <w:r w:rsidRPr="006A58D6">
        <w:t xml:space="preserve"> public outreach programs </w:t>
      </w:r>
      <w:r w:rsidR="00F6309E">
        <w:t>including</w:t>
      </w:r>
      <w:r w:rsidRPr="006A58D6">
        <w:t xml:space="preserve"> engagement with schools and teachers. </w:t>
      </w:r>
      <w:r w:rsidR="00EF5954" w:rsidRPr="006A58D6">
        <w:t xml:space="preserve"> </w:t>
      </w:r>
      <w:r w:rsidRPr="006A58D6">
        <w:t xml:space="preserve">New facilities </w:t>
      </w:r>
      <w:r w:rsidR="00F6309E">
        <w:t>are also likely to lead to</w:t>
      </w:r>
      <w:r w:rsidRPr="006A58D6">
        <w:t xml:space="preserve"> the development of new technologies </w:t>
      </w:r>
      <w:r w:rsidR="00F6309E">
        <w:t>which have the potential to</w:t>
      </w:r>
      <w:r w:rsidR="00EF5954" w:rsidRPr="006A58D6">
        <w:t xml:space="preserve"> </w:t>
      </w:r>
      <w:r w:rsidR="00AE5F96" w:rsidRPr="006A58D6">
        <w:t>involve</w:t>
      </w:r>
      <w:r w:rsidR="00F6309E">
        <w:t xml:space="preserve"> industry generally, and</w:t>
      </w:r>
      <w:r w:rsidRPr="006A58D6">
        <w:t xml:space="preserve"> </w:t>
      </w:r>
      <w:r w:rsidR="00EF5954" w:rsidRPr="006A58D6">
        <w:t xml:space="preserve">local </w:t>
      </w:r>
      <w:r w:rsidRPr="006A58D6">
        <w:t>bu</w:t>
      </w:r>
      <w:r w:rsidR="00AE5F96" w:rsidRPr="006A58D6">
        <w:t>sinesses</w:t>
      </w:r>
      <w:r w:rsidR="00F6309E">
        <w:t xml:space="preserve"> in particular, for example during</w:t>
      </w:r>
      <w:r w:rsidR="00EF5954" w:rsidRPr="006A58D6">
        <w:t xml:space="preserve"> </w:t>
      </w:r>
      <w:r w:rsidR="00AE5F96" w:rsidRPr="006A58D6">
        <w:t>the construction</w:t>
      </w:r>
      <w:r w:rsidR="00DF200A" w:rsidRPr="006A58D6">
        <w:t xml:space="preserve"> phase</w:t>
      </w:r>
      <w:r w:rsidR="00AE5F96" w:rsidRPr="006A58D6">
        <w:t xml:space="preserve">. </w:t>
      </w:r>
      <w:r w:rsidR="00EF5954" w:rsidRPr="006A58D6">
        <w:t xml:space="preserve"> </w:t>
      </w:r>
      <w:r w:rsidR="00F6309E">
        <w:t>However t</w:t>
      </w:r>
      <w:r w:rsidRPr="006A58D6">
        <w:t xml:space="preserve">he physical infrastructure is only one facet of </w:t>
      </w:r>
      <w:r w:rsidR="00F64F00">
        <w:t xml:space="preserve">national </w:t>
      </w:r>
      <w:r w:rsidR="00A479E1" w:rsidRPr="006A58D6">
        <w:t xml:space="preserve">large-scale </w:t>
      </w:r>
      <w:r w:rsidR="00A479E1">
        <w:t xml:space="preserve">research </w:t>
      </w:r>
      <w:r w:rsidR="00A479E1" w:rsidRPr="006A58D6">
        <w:t>facilities</w:t>
      </w:r>
      <w:r w:rsidRPr="006A58D6">
        <w:t xml:space="preserve">. </w:t>
      </w:r>
      <w:r w:rsidR="00EF5954" w:rsidRPr="006A58D6">
        <w:t xml:space="preserve"> T</w:t>
      </w:r>
      <w:r w:rsidRPr="006A58D6">
        <w:t xml:space="preserve">he collateral effects of </w:t>
      </w:r>
      <w:r w:rsidR="00F6309E">
        <w:t xml:space="preserve">engagement with </w:t>
      </w:r>
      <w:r w:rsidRPr="006A58D6">
        <w:t>industr</w:t>
      </w:r>
      <w:r w:rsidR="00F6309E">
        <w:t>y</w:t>
      </w:r>
      <w:r w:rsidRPr="006A58D6">
        <w:t xml:space="preserve">, talent pooling and skills enhancement together with </w:t>
      </w:r>
      <w:r w:rsidR="00F6309E">
        <w:t>use of relevant</w:t>
      </w:r>
      <w:r w:rsidR="00F6309E" w:rsidRPr="006A58D6">
        <w:t xml:space="preserve"> </w:t>
      </w:r>
      <w:r w:rsidRPr="006A58D6">
        <w:t>local infrastructure</w:t>
      </w:r>
      <w:r w:rsidR="00F64F00">
        <w:t>,</w:t>
      </w:r>
      <w:r w:rsidRPr="006A58D6">
        <w:t xml:space="preserve"> </w:t>
      </w:r>
      <w:r w:rsidR="00EF5954" w:rsidRPr="006A58D6">
        <w:t xml:space="preserve">provide a </w:t>
      </w:r>
      <w:r w:rsidR="006A58D6" w:rsidRPr="006A58D6">
        <w:t>boost</w:t>
      </w:r>
      <w:r w:rsidR="00EF5954" w:rsidRPr="006A58D6">
        <w:t xml:space="preserve"> to</w:t>
      </w:r>
      <w:r w:rsidRPr="006A58D6">
        <w:t xml:space="preserve"> the competitiveness and </w:t>
      </w:r>
      <w:r w:rsidR="00EF5954" w:rsidRPr="006A58D6">
        <w:t xml:space="preserve">wealth </w:t>
      </w:r>
      <w:r w:rsidRPr="006A58D6">
        <w:t xml:space="preserve">of </w:t>
      </w:r>
      <w:r w:rsidR="00F64F00">
        <w:t>a</w:t>
      </w:r>
      <w:r w:rsidRPr="006A58D6">
        <w:t xml:space="preserve"> country. </w:t>
      </w:r>
      <w:r w:rsidR="00EF5954" w:rsidRPr="006A58D6">
        <w:t xml:space="preserve"> </w:t>
      </w:r>
    </w:p>
    <w:p w14:paraId="4BDFBB8A" w14:textId="77777777" w:rsidR="003A3BB5" w:rsidRPr="006A58D6" w:rsidRDefault="003A3BB5" w:rsidP="001F0548">
      <w:pPr>
        <w:pStyle w:val="NoSpacing"/>
      </w:pPr>
    </w:p>
    <w:p w14:paraId="4BDFBB8B" w14:textId="77777777" w:rsidR="00F86AA8" w:rsidRDefault="00AE5F96" w:rsidP="001F0548">
      <w:pPr>
        <w:pStyle w:val="NoSpacing"/>
      </w:pPr>
      <w:r w:rsidRPr="006A58D6">
        <w:t>An example of a national research infrastructure plan is the German Helmholtz Roadmap for Research Infrastructure</w:t>
      </w:r>
      <w:r w:rsidR="00811716">
        <w:t>, which looks decades ahead</w:t>
      </w:r>
      <w:r w:rsidRPr="006A58D6">
        <w:t xml:space="preserve"> </w:t>
      </w:r>
      <w:r w:rsidR="00811716">
        <w:t xml:space="preserve">and takes into account </w:t>
      </w:r>
      <w:r w:rsidR="002F2E5E">
        <w:t>international</w:t>
      </w:r>
      <w:r w:rsidR="00811716">
        <w:t xml:space="preserve"> developments </w:t>
      </w:r>
      <w:r w:rsidRPr="006A58D6">
        <w:t>(</w:t>
      </w:r>
      <w:r w:rsidR="00E14174" w:rsidRPr="006A58D6">
        <w:t xml:space="preserve">see </w:t>
      </w:r>
      <w:hyperlink r:id="rId12" w:history="1">
        <w:r w:rsidR="00E14174" w:rsidRPr="006A58D6">
          <w:rPr>
            <w:rStyle w:val="Hyperlink"/>
          </w:rPr>
          <w:t>http://www.helmholtz.de/en/research/research_infrastructure/</w:t>
        </w:r>
      </w:hyperlink>
      <w:r w:rsidRPr="006A58D6">
        <w:t>).</w:t>
      </w:r>
      <w:r w:rsidR="005526D0" w:rsidRPr="006A58D6">
        <w:t xml:space="preserve"> </w:t>
      </w:r>
      <w:r w:rsidR="00EA56A8" w:rsidRPr="006A58D6">
        <w:t xml:space="preserve"> I</w:t>
      </w:r>
      <w:r w:rsidR="005526D0" w:rsidRPr="006A58D6">
        <w:t xml:space="preserve">t might also be </w:t>
      </w:r>
      <w:r w:rsidR="00EA56A8" w:rsidRPr="006A58D6">
        <w:t xml:space="preserve">useful </w:t>
      </w:r>
      <w:r w:rsidR="005526D0" w:rsidRPr="006A58D6">
        <w:t xml:space="preserve">to look at </w:t>
      </w:r>
      <w:r w:rsidR="00EA56A8" w:rsidRPr="006A58D6">
        <w:t xml:space="preserve">the infrastructure strategies adopted </w:t>
      </w:r>
      <w:r w:rsidR="009F1D27">
        <w:t>in</w:t>
      </w:r>
      <w:r w:rsidR="009F1D27" w:rsidRPr="006A58D6">
        <w:t xml:space="preserve"> </w:t>
      </w:r>
      <w:r w:rsidR="0011325D" w:rsidRPr="006A58D6">
        <w:t>Switzerland</w:t>
      </w:r>
      <w:r w:rsidR="00EA56A8" w:rsidRPr="006A58D6">
        <w:t>,</w:t>
      </w:r>
      <w:r w:rsidR="0011325D" w:rsidRPr="006A58D6">
        <w:t xml:space="preserve"> </w:t>
      </w:r>
      <w:r w:rsidR="00EA56A8" w:rsidRPr="006A58D6">
        <w:t xml:space="preserve">which </w:t>
      </w:r>
      <w:r w:rsidR="00F6309E">
        <w:t>demonstrate</w:t>
      </w:r>
      <w:r w:rsidR="0011325D" w:rsidRPr="006A58D6">
        <w:t xml:space="preserve"> </w:t>
      </w:r>
      <w:r w:rsidR="00F6309E">
        <w:t>that</w:t>
      </w:r>
      <w:r w:rsidR="0011325D" w:rsidRPr="006A58D6">
        <w:t xml:space="preserve"> investment</w:t>
      </w:r>
      <w:r w:rsidR="00F6309E">
        <w:t xml:space="preserve"> and long-term planning</w:t>
      </w:r>
      <w:r w:rsidR="0011325D" w:rsidRPr="006A58D6">
        <w:t xml:space="preserve"> in research drives innovation</w:t>
      </w:r>
      <w:r w:rsidR="00F6309E">
        <w:t>; a model</w:t>
      </w:r>
      <w:r w:rsidR="0011325D" w:rsidRPr="006A58D6">
        <w:t xml:space="preserve"> copied by countries like South Korea. </w:t>
      </w:r>
      <w:r w:rsidR="00EA56A8" w:rsidRPr="006A58D6">
        <w:t xml:space="preserve"> E</w:t>
      </w:r>
      <w:r w:rsidR="0011325D" w:rsidRPr="006A58D6">
        <w:t xml:space="preserve">mbracing high standards and investment in </w:t>
      </w:r>
      <w:r w:rsidR="00EA56A8" w:rsidRPr="006A58D6">
        <w:t>world-leading</w:t>
      </w:r>
      <w:r w:rsidR="0011325D" w:rsidRPr="006A58D6">
        <w:t xml:space="preserve"> research infrastructure </w:t>
      </w:r>
      <w:r w:rsidR="00EA56A8" w:rsidRPr="006A58D6">
        <w:t xml:space="preserve">has </w:t>
      </w:r>
      <w:r w:rsidR="0011325D" w:rsidRPr="006A58D6">
        <w:t>paid off</w:t>
      </w:r>
      <w:r w:rsidR="00EA56A8" w:rsidRPr="006A58D6">
        <w:t xml:space="preserve"> for </w:t>
      </w:r>
      <w:r w:rsidR="006A58D6" w:rsidRPr="006A58D6">
        <w:t>Switzerland</w:t>
      </w:r>
      <w:r w:rsidR="0011325D" w:rsidRPr="006A58D6">
        <w:t xml:space="preserve">.  It should be noted that Switzerland has a strong commitment in basic sciences, e.g. nuclear and particle physics, </w:t>
      </w:r>
      <w:r w:rsidR="00A22D7E">
        <w:t>while</w:t>
      </w:r>
      <w:r w:rsidR="0011325D" w:rsidRPr="006A58D6">
        <w:t xml:space="preserve"> also foster</w:t>
      </w:r>
      <w:r w:rsidR="00A22D7E">
        <w:t>ing</w:t>
      </w:r>
      <w:r w:rsidR="0011325D" w:rsidRPr="006A58D6">
        <w:t xml:space="preserve"> landmark research infrastructure and tak</w:t>
      </w:r>
      <w:r w:rsidR="00A22D7E">
        <w:t>ing</w:t>
      </w:r>
      <w:r w:rsidR="0011325D" w:rsidRPr="006A58D6">
        <w:t xml:space="preserve"> risks in supporting new technology concepts, for example a </w:t>
      </w:r>
      <w:r w:rsidR="00A22D7E" w:rsidRPr="006A58D6">
        <w:t xml:space="preserve">first of its kind </w:t>
      </w:r>
      <w:r w:rsidR="0011325D" w:rsidRPr="006A58D6">
        <w:t xml:space="preserve">continuous spallation neutron source.  The Swiss example illustrates </w:t>
      </w:r>
      <w:r w:rsidR="00EA56A8" w:rsidRPr="006A58D6">
        <w:t xml:space="preserve">the </w:t>
      </w:r>
      <w:r w:rsidR="0011325D" w:rsidRPr="006A58D6">
        <w:t xml:space="preserve">long-term impact </w:t>
      </w:r>
      <w:r w:rsidR="006A58D6" w:rsidRPr="006A58D6">
        <w:t>of</w:t>
      </w:r>
      <w:r w:rsidR="00EA56A8" w:rsidRPr="006A58D6">
        <w:t xml:space="preserve"> investment in research infrastructure on </w:t>
      </w:r>
      <w:r w:rsidR="0011325D" w:rsidRPr="006A58D6">
        <w:t xml:space="preserve">the economy as well </w:t>
      </w:r>
      <w:r w:rsidR="00EA56A8" w:rsidRPr="006A58D6">
        <w:t xml:space="preserve">as </w:t>
      </w:r>
      <w:r w:rsidR="0011325D" w:rsidRPr="006A58D6">
        <w:t xml:space="preserve">considerable societal and environmental </w:t>
      </w:r>
      <w:r w:rsidR="00A22D7E">
        <w:t>benefits</w:t>
      </w:r>
      <w:r w:rsidR="00EA56A8" w:rsidRPr="006A58D6">
        <w:t xml:space="preserve">. </w:t>
      </w:r>
      <w:r w:rsidR="0011325D" w:rsidRPr="006A58D6">
        <w:t xml:space="preserve"> </w:t>
      </w:r>
      <w:r w:rsidR="00EA56A8" w:rsidRPr="006A58D6">
        <w:t>Looking at</w:t>
      </w:r>
      <w:r w:rsidR="0011325D" w:rsidRPr="006A58D6">
        <w:t xml:space="preserve"> CERN </w:t>
      </w:r>
      <w:r w:rsidR="0019764F">
        <w:t>(</w:t>
      </w:r>
      <w:r w:rsidR="0019764F" w:rsidRPr="0019764F">
        <w:t>European Organization for Nuclear Research</w:t>
      </w:r>
      <w:r w:rsidR="0019764F">
        <w:t>)</w:t>
      </w:r>
      <w:r w:rsidR="00905A50">
        <w:t xml:space="preserve"> </w:t>
      </w:r>
      <w:r w:rsidR="00EA56A8" w:rsidRPr="006A58D6">
        <w:t xml:space="preserve">in particular, </w:t>
      </w:r>
      <w:r w:rsidR="0011325D" w:rsidRPr="006A58D6">
        <w:t xml:space="preserve">the mix of interdisciplinarity and different cultures </w:t>
      </w:r>
      <w:r w:rsidR="00A22D7E">
        <w:t>is</w:t>
      </w:r>
      <w:r w:rsidR="00EA56A8" w:rsidRPr="006A58D6">
        <w:t xml:space="preserve"> </w:t>
      </w:r>
      <w:r w:rsidR="0011325D" w:rsidRPr="006A58D6">
        <w:t>not only a source of new ideas, but also the centre of a scientists’ hub that creates new nodes around the world.</w:t>
      </w:r>
    </w:p>
    <w:p w14:paraId="4BDFBB8C" w14:textId="77777777" w:rsidR="00480698" w:rsidRDefault="00480698" w:rsidP="001F0548">
      <w:pPr>
        <w:pStyle w:val="NoSpacing"/>
      </w:pPr>
    </w:p>
    <w:p w14:paraId="4BDFBB8D" w14:textId="77777777" w:rsidR="00480698" w:rsidRDefault="00480698" w:rsidP="00480698">
      <w:pPr>
        <w:pStyle w:val="NoSpacing"/>
      </w:pPr>
      <w:r w:rsidRPr="006A58D6">
        <w:lastRenderedPageBreak/>
        <w:t>As a big country with a small population, it is vital for Australia to establish research priorities</w:t>
      </w:r>
      <w:r>
        <w:t xml:space="preserve"> and a national research strategy because we don’t have the resources to do everything</w:t>
      </w:r>
      <w:r w:rsidRPr="006A58D6">
        <w:t xml:space="preserve">. </w:t>
      </w:r>
      <w:r>
        <w:t xml:space="preserve"> A</w:t>
      </w:r>
      <w:r w:rsidRPr="006A58D6">
        <w:t>s research is increasingly addressing issues on a global scale</w:t>
      </w:r>
      <w:r>
        <w:t xml:space="preserve">, often utilising major infrastructure costing billions of </w:t>
      </w:r>
      <w:r w:rsidR="00ED777D">
        <w:t>dollars</w:t>
      </w:r>
      <w:r>
        <w:t>,</w:t>
      </w:r>
      <w:r w:rsidRPr="006A58D6">
        <w:t xml:space="preserve"> there is a </w:t>
      </w:r>
      <w:r>
        <w:t>need</w:t>
      </w:r>
      <w:r w:rsidRPr="006A58D6">
        <w:t xml:space="preserve"> to look beyond </w:t>
      </w:r>
      <w:r>
        <w:t>our</w:t>
      </w:r>
      <w:r w:rsidRPr="006A58D6">
        <w:t xml:space="preserve"> borders</w:t>
      </w:r>
      <w:r>
        <w:t xml:space="preserve"> in developing those priorities and strategy</w:t>
      </w:r>
      <w:r w:rsidRPr="006A58D6">
        <w:t xml:space="preserve">. </w:t>
      </w:r>
      <w:r>
        <w:t xml:space="preserve"> For example, there is no prospect of Australia looking to duplicate a major international facility such as CERN or ITER; rather a national research strategy in those areas of science would seek to secure access to those facilities for our </w:t>
      </w:r>
      <w:r w:rsidR="00ED777D">
        <w:t>scientists</w:t>
      </w:r>
      <w:r>
        <w:t xml:space="preserve">, and to provide the necessary </w:t>
      </w:r>
      <w:r w:rsidR="00ED777D">
        <w:t>funding</w:t>
      </w:r>
      <w:r>
        <w:t xml:space="preserve"> support</w:t>
      </w:r>
      <w:r w:rsidR="00F64F00">
        <w:t xml:space="preserve"> or indeed as a longer term goal, look at regional collaborations in these areas.</w:t>
      </w:r>
      <w:r>
        <w:t xml:space="preserve">  </w:t>
      </w:r>
    </w:p>
    <w:p w14:paraId="4BDFBB90" w14:textId="77777777" w:rsidR="00480698" w:rsidRPr="00182615" w:rsidRDefault="00480698" w:rsidP="00745A95">
      <w:pPr>
        <w:pStyle w:val="Heading2"/>
      </w:pPr>
      <w:r w:rsidRPr="00182615">
        <w:t>Recommendation</w:t>
      </w:r>
      <w:r>
        <w:t>s</w:t>
      </w:r>
      <w:r w:rsidRPr="00182615">
        <w:t>:</w:t>
      </w:r>
    </w:p>
    <w:p w14:paraId="4BDFBB91" w14:textId="77777777" w:rsidR="00480698" w:rsidRDefault="00480698" w:rsidP="00480698">
      <w:pPr>
        <w:pStyle w:val="NoSpacing"/>
      </w:pPr>
    </w:p>
    <w:p w14:paraId="4BDFBB92" w14:textId="77777777" w:rsidR="00480698" w:rsidRDefault="00ED777D" w:rsidP="00480698">
      <w:pPr>
        <w:pStyle w:val="PlainText"/>
        <w:numPr>
          <w:ilvl w:val="0"/>
          <w:numId w:val="2"/>
        </w:numPr>
      </w:pPr>
      <w:r>
        <w:t>Government</w:t>
      </w:r>
      <w:r w:rsidR="00480698">
        <w:t xml:space="preserve"> should develop a </w:t>
      </w:r>
      <w:r w:rsidR="00F64F00">
        <w:t xml:space="preserve">national </w:t>
      </w:r>
      <w:r w:rsidR="00480698">
        <w:t xml:space="preserve">research </w:t>
      </w:r>
      <w:r>
        <w:t>infrastructure</w:t>
      </w:r>
      <w:r w:rsidR="00480698">
        <w:t xml:space="preserve"> plan that looks out over decades</w:t>
      </w:r>
      <w:r w:rsidR="001D259B">
        <w:t>,</w:t>
      </w:r>
      <w:r w:rsidR="00F64F00">
        <w:t xml:space="preserve"> with a full appreciation and commitment of both capital and operating costs indexed to national benefit/impact</w:t>
      </w:r>
      <w:r w:rsidR="001D259B">
        <w:t>.</w:t>
      </w:r>
    </w:p>
    <w:p w14:paraId="4BDFBB93" w14:textId="77777777" w:rsidR="00480698" w:rsidRDefault="00480698" w:rsidP="00480698">
      <w:pPr>
        <w:pStyle w:val="PlainText"/>
      </w:pPr>
    </w:p>
    <w:p w14:paraId="4BDFBB94" w14:textId="77777777" w:rsidR="00480698" w:rsidRDefault="001D259B" w:rsidP="00480698">
      <w:pPr>
        <w:pStyle w:val="NoSpacing"/>
        <w:numPr>
          <w:ilvl w:val="0"/>
          <w:numId w:val="2"/>
        </w:numPr>
      </w:pPr>
      <w:r>
        <w:t xml:space="preserve">Government should develop a </w:t>
      </w:r>
      <w:r w:rsidR="00480698">
        <w:t xml:space="preserve">national research strategy </w:t>
      </w:r>
      <w:r w:rsidR="00F64F00">
        <w:t>that considers both mainstream and niche expertise and platforms</w:t>
      </w:r>
      <w:r>
        <w:t>,</w:t>
      </w:r>
      <w:r w:rsidR="00F64F00">
        <w:t xml:space="preserve"> along with consideration of encouraging global collaboration particularly </w:t>
      </w:r>
      <w:r w:rsidR="00480698">
        <w:t>in those areas of science dependent on major international facilities</w:t>
      </w:r>
      <w:r w:rsidR="00F64F00">
        <w:t xml:space="preserve">. This would include </w:t>
      </w:r>
      <w:r w:rsidR="00480698">
        <w:t>secur</w:t>
      </w:r>
      <w:r w:rsidR="00F64F00">
        <w:t>ing</w:t>
      </w:r>
      <w:r w:rsidR="00480698">
        <w:t xml:space="preserve"> access to those facilities for our </w:t>
      </w:r>
      <w:r w:rsidR="00ED777D">
        <w:t>scientists</w:t>
      </w:r>
      <w:r w:rsidR="00F64F00">
        <w:t xml:space="preserve"> with the commensurate funding requirements.</w:t>
      </w:r>
    </w:p>
    <w:p w14:paraId="4BDFBB96" w14:textId="77777777" w:rsidR="008B0CFE" w:rsidRPr="006A58D6" w:rsidRDefault="00480698" w:rsidP="00745A95">
      <w:pPr>
        <w:pStyle w:val="Heading1"/>
      </w:pPr>
      <w:r w:rsidRPr="006A58D6">
        <w:t xml:space="preserve">PROVIDING BETTER ACCESS TO RESEARCH </w:t>
      </w:r>
    </w:p>
    <w:p w14:paraId="4BDFBB97" w14:textId="77777777" w:rsidR="005526D0" w:rsidRPr="00150BA2" w:rsidRDefault="005526D0" w:rsidP="00EA0991">
      <w:pPr>
        <w:pStyle w:val="NoSpacing"/>
      </w:pPr>
    </w:p>
    <w:p w14:paraId="4BDFBB98" w14:textId="77777777" w:rsidR="00150BA2" w:rsidRDefault="00150BA2" w:rsidP="000E0AD9">
      <w:pPr>
        <w:autoSpaceDE w:val="0"/>
        <w:autoSpaceDN w:val="0"/>
        <w:adjustRightInd w:val="0"/>
      </w:pPr>
      <w:r w:rsidRPr="00150BA2">
        <w:rPr>
          <w:rFonts w:asciiTheme="minorHAnsi" w:hAnsiTheme="minorHAnsi"/>
          <w:sz w:val="22"/>
          <w:szCs w:val="22"/>
        </w:rPr>
        <w:t xml:space="preserve">In recognition of the difficulty highlighted by industry in negotiation </w:t>
      </w:r>
      <w:r w:rsidR="000E0AD9">
        <w:rPr>
          <w:rFonts w:asciiTheme="minorHAnsi" w:hAnsiTheme="minorHAnsi"/>
          <w:sz w:val="22"/>
          <w:szCs w:val="22"/>
        </w:rPr>
        <w:t xml:space="preserve">of </w:t>
      </w:r>
      <w:r w:rsidR="00905A50">
        <w:rPr>
          <w:rFonts w:asciiTheme="minorHAnsi" w:hAnsiTheme="minorHAnsi"/>
          <w:sz w:val="22"/>
          <w:szCs w:val="22"/>
        </w:rPr>
        <w:t>Intellectual Property (</w:t>
      </w:r>
      <w:r w:rsidRPr="00150BA2">
        <w:rPr>
          <w:rFonts w:asciiTheme="minorHAnsi" w:hAnsiTheme="minorHAnsi"/>
          <w:sz w:val="22"/>
          <w:szCs w:val="22"/>
        </w:rPr>
        <w:t>IP</w:t>
      </w:r>
      <w:r w:rsidR="00905A50">
        <w:rPr>
          <w:rFonts w:asciiTheme="minorHAnsi" w:hAnsiTheme="minorHAnsi"/>
          <w:sz w:val="22"/>
          <w:szCs w:val="22"/>
        </w:rPr>
        <w:t>)</w:t>
      </w:r>
      <w:r w:rsidRPr="00150BA2">
        <w:rPr>
          <w:rFonts w:asciiTheme="minorHAnsi" w:hAnsiTheme="minorHAnsi"/>
          <w:sz w:val="22"/>
          <w:szCs w:val="22"/>
        </w:rPr>
        <w:t xml:space="preserve"> contracts, the Australian Council on Intellectual Property (ACIP), in its “</w:t>
      </w:r>
      <w:r w:rsidRPr="00150BA2">
        <w:rPr>
          <w:rFonts w:asciiTheme="minorHAnsi" w:hAnsiTheme="minorHAnsi"/>
          <w:i/>
          <w:iCs/>
          <w:sz w:val="22"/>
          <w:szCs w:val="22"/>
        </w:rPr>
        <w:t>Collaboration between the Public and Private Sectors: The Role of Intellectual Property”</w:t>
      </w:r>
      <w:r w:rsidRPr="00150BA2">
        <w:rPr>
          <w:rFonts w:asciiTheme="minorHAnsi" w:hAnsiTheme="minorHAnsi"/>
          <w:iCs/>
          <w:sz w:val="22"/>
          <w:szCs w:val="22"/>
        </w:rPr>
        <w:t xml:space="preserve"> Review recommended </w:t>
      </w:r>
      <w:r>
        <w:rPr>
          <w:rFonts w:asciiTheme="minorHAnsi" w:hAnsiTheme="minorHAnsi"/>
          <w:iCs/>
          <w:sz w:val="22"/>
          <w:szCs w:val="22"/>
        </w:rPr>
        <w:t xml:space="preserve">that the </w:t>
      </w:r>
      <w:r w:rsidRPr="00150BA2">
        <w:rPr>
          <w:rFonts w:asciiTheme="minorHAnsi" w:eastAsiaTheme="minorHAnsi" w:hAnsiTheme="minorHAnsi"/>
          <w:sz w:val="22"/>
          <w:szCs w:val="22"/>
          <w:lang w:eastAsia="en-US"/>
        </w:rPr>
        <w:t xml:space="preserve">Coordination Committee on Innovation (CCI) promote and encourage the use of flexible terms and conditions in Australian Government grants and research contracts, including those specifically related to background and project IP licences, warranties, indemnities and moral rights. </w:t>
      </w:r>
      <w:r w:rsidR="009D42F2">
        <w:rPr>
          <w:rFonts w:asciiTheme="minorHAnsi" w:eastAsiaTheme="minorHAnsi" w:hAnsiTheme="minorHAnsi"/>
          <w:sz w:val="22"/>
          <w:szCs w:val="22"/>
          <w:lang w:eastAsia="en-US"/>
        </w:rPr>
        <w:t xml:space="preserve"> </w:t>
      </w:r>
      <w:r w:rsidRPr="00150BA2">
        <w:rPr>
          <w:rFonts w:asciiTheme="minorHAnsi" w:eastAsiaTheme="minorHAnsi" w:hAnsiTheme="minorHAnsi"/>
          <w:sz w:val="22"/>
          <w:szCs w:val="22"/>
          <w:lang w:eastAsia="en-US"/>
        </w:rPr>
        <w:t xml:space="preserve">ANSTO </w:t>
      </w:r>
      <w:r w:rsidR="009D42F2">
        <w:rPr>
          <w:rFonts w:asciiTheme="minorHAnsi" w:eastAsiaTheme="minorHAnsi" w:hAnsiTheme="minorHAnsi"/>
          <w:sz w:val="22"/>
          <w:szCs w:val="22"/>
          <w:lang w:eastAsia="en-US"/>
        </w:rPr>
        <w:t>was a member</w:t>
      </w:r>
      <w:r w:rsidRPr="00150BA2">
        <w:rPr>
          <w:rFonts w:asciiTheme="minorHAnsi" w:eastAsiaTheme="minorHAnsi" w:hAnsiTheme="minorHAnsi"/>
          <w:sz w:val="22"/>
          <w:szCs w:val="22"/>
          <w:lang w:eastAsia="en-US"/>
        </w:rPr>
        <w:t xml:space="preserve"> of the CCI </w:t>
      </w:r>
      <w:r w:rsidR="00811716">
        <w:rPr>
          <w:rFonts w:asciiTheme="minorHAnsi" w:eastAsiaTheme="minorHAnsi" w:hAnsiTheme="minorHAnsi"/>
          <w:sz w:val="22"/>
          <w:szCs w:val="22"/>
          <w:lang w:eastAsia="en-US"/>
        </w:rPr>
        <w:t>w</w:t>
      </w:r>
      <w:r w:rsidRPr="00150BA2">
        <w:rPr>
          <w:rFonts w:asciiTheme="minorHAnsi" w:eastAsiaTheme="minorHAnsi" w:hAnsiTheme="minorHAnsi"/>
          <w:sz w:val="22"/>
          <w:szCs w:val="22"/>
          <w:lang w:eastAsia="en-US"/>
        </w:rPr>
        <w:t xml:space="preserve">orking group </w:t>
      </w:r>
      <w:r>
        <w:rPr>
          <w:rFonts w:asciiTheme="minorHAnsi" w:eastAsiaTheme="minorHAnsi" w:hAnsiTheme="minorHAnsi"/>
          <w:sz w:val="22"/>
          <w:szCs w:val="22"/>
          <w:lang w:eastAsia="en-US"/>
        </w:rPr>
        <w:t xml:space="preserve">responsible </w:t>
      </w:r>
      <w:r w:rsidRPr="00150BA2">
        <w:rPr>
          <w:rFonts w:asciiTheme="minorHAnsi" w:eastAsiaTheme="minorHAnsi" w:hAnsiTheme="minorHAnsi"/>
          <w:sz w:val="22"/>
          <w:szCs w:val="22"/>
          <w:lang w:eastAsia="en-US"/>
        </w:rPr>
        <w:t>for</w:t>
      </w:r>
      <w:r>
        <w:rPr>
          <w:rFonts w:asciiTheme="minorHAnsi" w:eastAsiaTheme="minorHAnsi" w:hAnsiTheme="minorHAnsi"/>
          <w:sz w:val="22"/>
          <w:szCs w:val="22"/>
          <w:lang w:eastAsia="en-US"/>
        </w:rPr>
        <w:t xml:space="preserve"> implementing</w:t>
      </w:r>
      <w:r w:rsidRPr="00150BA2">
        <w:rPr>
          <w:rFonts w:asciiTheme="minorHAnsi" w:eastAsiaTheme="minorHAnsi" w:hAnsiTheme="minorHAnsi"/>
          <w:sz w:val="22"/>
          <w:szCs w:val="22"/>
          <w:lang w:eastAsia="en-US"/>
        </w:rPr>
        <w:t xml:space="preserve"> this recommendation, which </w:t>
      </w:r>
      <w:r>
        <w:rPr>
          <w:rFonts w:asciiTheme="minorHAnsi" w:eastAsiaTheme="minorHAnsi" w:hAnsiTheme="minorHAnsi"/>
          <w:sz w:val="22"/>
          <w:szCs w:val="22"/>
          <w:lang w:eastAsia="en-US"/>
        </w:rPr>
        <w:t xml:space="preserve">culminated in the </w:t>
      </w:r>
      <w:r w:rsidRPr="00150BA2">
        <w:rPr>
          <w:rFonts w:asciiTheme="minorHAnsi" w:eastAsiaTheme="minorHAnsi" w:hAnsiTheme="minorHAnsi"/>
          <w:sz w:val="22"/>
          <w:szCs w:val="22"/>
          <w:lang w:eastAsia="en-US"/>
        </w:rPr>
        <w:t>develop</w:t>
      </w:r>
      <w:r>
        <w:rPr>
          <w:rFonts w:asciiTheme="minorHAnsi" w:eastAsiaTheme="minorHAnsi" w:hAnsiTheme="minorHAnsi"/>
          <w:sz w:val="22"/>
          <w:szCs w:val="22"/>
          <w:lang w:eastAsia="en-US"/>
        </w:rPr>
        <w:t>ment of</w:t>
      </w:r>
      <w:r w:rsidRPr="00150BA2">
        <w:rPr>
          <w:rFonts w:asciiTheme="minorHAnsi" w:eastAsiaTheme="minorHAnsi" w:hAnsiTheme="minorHAnsi"/>
          <w:sz w:val="22"/>
          <w:szCs w:val="22"/>
          <w:lang w:eastAsia="en-US"/>
        </w:rPr>
        <w:t xml:space="preserve"> a Draft Guide document for government to use when engaging with industry </w:t>
      </w:r>
      <w:r>
        <w:rPr>
          <w:rFonts w:asciiTheme="minorHAnsi" w:eastAsiaTheme="minorHAnsi" w:hAnsiTheme="minorHAnsi"/>
          <w:sz w:val="22"/>
          <w:szCs w:val="22"/>
          <w:lang w:eastAsia="en-US"/>
        </w:rPr>
        <w:t>in</w:t>
      </w:r>
      <w:r w:rsidRPr="00150BA2">
        <w:rPr>
          <w:rFonts w:asciiTheme="minorHAnsi" w:eastAsiaTheme="minorHAnsi" w:hAnsiTheme="minorHAnsi"/>
          <w:sz w:val="22"/>
          <w:szCs w:val="22"/>
          <w:lang w:eastAsia="en-US"/>
        </w:rPr>
        <w:t xml:space="preserve"> undertak</w:t>
      </w:r>
      <w:r>
        <w:rPr>
          <w:rFonts w:asciiTheme="minorHAnsi" w:eastAsiaTheme="minorHAnsi" w:hAnsiTheme="minorHAnsi"/>
          <w:sz w:val="22"/>
          <w:szCs w:val="22"/>
          <w:lang w:eastAsia="en-US"/>
        </w:rPr>
        <w:t>ing</w:t>
      </w:r>
      <w:r w:rsidRPr="00150BA2">
        <w:rPr>
          <w:rFonts w:asciiTheme="minorHAnsi" w:eastAsiaTheme="minorHAnsi" w:hAnsiTheme="minorHAnsi"/>
          <w:sz w:val="22"/>
          <w:szCs w:val="22"/>
          <w:lang w:eastAsia="en-US"/>
        </w:rPr>
        <w:t xml:space="preserve"> joint research. </w:t>
      </w:r>
      <w:r w:rsidR="009D42F2">
        <w:rPr>
          <w:rFonts w:asciiTheme="minorHAnsi" w:eastAsiaTheme="minorHAnsi" w:hAnsiTheme="minorHAnsi"/>
          <w:sz w:val="22"/>
          <w:szCs w:val="22"/>
          <w:lang w:eastAsia="en-US"/>
        </w:rPr>
        <w:t xml:space="preserve"> </w:t>
      </w:r>
      <w:r w:rsidRPr="00150BA2">
        <w:rPr>
          <w:rFonts w:asciiTheme="minorHAnsi" w:eastAsiaTheme="minorHAnsi" w:hAnsiTheme="minorHAnsi"/>
          <w:sz w:val="22"/>
          <w:szCs w:val="22"/>
          <w:lang w:eastAsia="en-US"/>
        </w:rPr>
        <w:t xml:space="preserve">ANSTO supports the approach espoused in the Draft Guide, namely that government should consider </w:t>
      </w:r>
      <w:r>
        <w:rPr>
          <w:rFonts w:asciiTheme="minorHAnsi" w:eastAsiaTheme="minorHAnsi" w:hAnsiTheme="minorHAnsi"/>
          <w:sz w:val="22"/>
          <w:szCs w:val="22"/>
          <w:lang w:eastAsia="en-US"/>
        </w:rPr>
        <w:t>its</w:t>
      </w:r>
      <w:r w:rsidRPr="00150BA2">
        <w:rPr>
          <w:rFonts w:asciiTheme="minorHAnsi" w:eastAsiaTheme="minorHAnsi" w:hAnsiTheme="minorHAnsi"/>
          <w:sz w:val="22"/>
          <w:szCs w:val="22"/>
          <w:lang w:eastAsia="en-US"/>
        </w:rPr>
        <w:t xml:space="preserve"> needs on a project-by-project basis, rather than having a one-fits-all approach</w:t>
      </w:r>
      <w:r w:rsidR="005218DC">
        <w:rPr>
          <w:rFonts w:asciiTheme="minorHAnsi" w:eastAsiaTheme="minorHAnsi" w:hAnsiTheme="minorHAnsi"/>
          <w:sz w:val="22"/>
          <w:szCs w:val="22"/>
          <w:lang w:eastAsia="en-US"/>
        </w:rPr>
        <w:t>, especially in relation</w:t>
      </w:r>
      <w:r w:rsidRPr="00150BA2">
        <w:rPr>
          <w:rFonts w:asciiTheme="minorHAnsi" w:eastAsiaTheme="minorHAnsi" w:hAnsiTheme="minorHAnsi"/>
          <w:sz w:val="22"/>
          <w:szCs w:val="22"/>
          <w:lang w:eastAsia="en-US"/>
        </w:rPr>
        <w:t xml:space="preserve"> to intellectual property.</w:t>
      </w:r>
      <w:r w:rsidR="005218DC">
        <w:rPr>
          <w:rFonts w:asciiTheme="minorHAnsi" w:eastAsiaTheme="minorHAnsi" w:hAnsiTheme="minorHAnsi"/>
          <w:sz w:val="22"/>
          <w:szCs w:val="22"/>
          <w:lang w:eastAsia="en-US"/>
        </w:rPr>
        <w:t xml:space="preserve"> </w:t>
      </w:r>
      <w:r w:rsidR="009D42F2">
        <w:rPr>
          <w:rFonts w:asciiTheme="minorHAnsi" w:eastAsiaTheme="minorHAnsi" w:hAnsiTheme="minorHAnsi"/>
          <w:sz w:val="22"/>
          <w:szCs w:val="22"/>
          <w:lang w:eastAsia="en-US"/>
        </w:rPr>
        <w:t xml:space="preserve"> </w:t>
      </w:r>
      <w:r w:rsidR="005218DC">
        <w:rPr>
          <w:rFonts w:asciiTheme="minorHAnsi" w:eastAsiaTheme="minorHAnsi" w:hAnsiTheme="minorHAnsi"/>
          <w:sz w:val="22"/>
          <w:szCs w:val="22"/>
          <w:lang w:eastAsia="en-US"/>
        </w:rPr>
        <w:t xml:space="preserve">Such an approach would enable quicker and simpler engagement with industry, and address concerns that engagement is often difficult and complicated. </w:t>
      </w:r>
      <w:r w:rsidRPr="00150BA2">
        <w:rPr>
          <w:rFonts w:asciiTheme="minorHAnsi" w:eastAsiaTheme="minorHAnsi" w:hAnsiTheme="minorHAnsi"/>
          <w:sz w:val="22"/>
          <w:szCs w:val="22"/>
          <w:lang w:eastAsia="en-US"/>
        </w:rPr>
        <w:t xml:space="preserve"> The Draft Guide is currently open for consultation.</w:t>
      </w:r>
    </w:p>
    <w:p w14:paraId="4BDFBB99" w14:textId="77777777" w:rsidR="00150BA2" w:rsidRDefault="00150BA2" w:rsidP="000E0AD9">
      <w:pPr>
        <w:autoSpaceDE w:val="0"/>
        <w:autoSpaceDN w:val="0"/>
        <w:adjustRightInd w:val="0"/>
      </w:pPr>
    </w:p>
    <w:p w14:paraId="4BDFBB9A" w14:textId="77777777" w:rsidR="00150BA2" w:rsidRPr="00150BA2" w:rsidRDefault="00641CCD" w:rsidP="000E0AD9">
      <w:pPr>
        <w:autoSpaceDE w:val="0"/>
        <w:autoSpaceDN w:val="0"/>
        <w:adjustRightInd w:val="0"/>
      </w:pPr>
      <w:r>
        <w:rPr>
          <w:rFonts w:asciiTheme="minorHAnsi" w:eastAsiaTheme="minorHAnsi" w:hAnsiTheme="minorHAnsi"/>
          <w:sz w:val="22"/>
          <w:szCs w:val="22"/>
          <w:lang w:eastAsia="en-US"/>
        </w:rPr>
        <w:t>ANSTO has also provided submissions to IP Australia in its development of an IP Toolkit for Collaboration. ANSTO support</w:t>
      </w:r>
      <w:r w:rsidR="009D42F2">
        <w:rPr>
          <w:rFonts w:asciiTheme="minorHAnsi" w:eastAsiaTheme="minorHAnsi" w:hAnsiTheme="minorHAnsi"/>
          <w:sz w:val="22"/>
          <w:szCs w:val="22"/>
          <w:lang w:eastAsia="en-US"/>
        </w:rPr>
        <w:t>s the</w:t>
      </w:r>
      <w:r>
        <w:rPr>
          <w:rFonts w:asciiTheme="minorHAnsi" w:eastAsiaTheme="minorHAnsi" w:hAnsiTheme="minorHAnsi"/>
          <w:sz w:val="22"/>
          <w:szCs w:val="22"/>
          <w:lang w:eastAsia="en-US"/>
        </w:rPr>
        <w:t xml:space="preserve"> development of an IP Toolkit to assist government, universities and industry in streamlining their processes of engagement and collaboration. This should include provision of sample template documents as well as guidance on how to assess potential commercial outcomes. </w:t>
      </w:r>
    </w:p>
    <w:p w14:paraId="4BDFBB9B" w14:textId="77777777" w:rsidR="00150BA2" w:rsidRPr="00150BA2" w:rsidRDefault="00150BA2" w:rsidP="00EA0991">
      <w:pPr>
        <w:pStyle w:val="NoSpacing"/>
      </w:pPr>
    </w:p>
    <w:p w14:paraId="4BDFBB9C" w14:textId="77777777" w:rsidR="008B0CFE" w:rsidRPr="006A58D6" w:rsidRDefault="00916BDF" w:rsidP="00EA0991">
      <w:pPr>
        <w:pStyle w:val="NoSpacing"/>
      </w:pPr>
      <w:r w:rsidRPr="006A58D6">
        <w:t>For its research infrastructure output,</w:t>
      </w:r>
      <w:r w:rsidR="00EA0991" w:rsidRPr="006A58D6">
        <w:t xml:space="preserve"> </w:t>
      </w:r>
      <w:r w:rsidRPr="006A58D6">
        <w:t xml:space="preserve">ANSTO embraces an </w:t>
      </w:r>
      <w:r w:rsidR="00EA0991" w:rsidRPr="006A58D6">
        <w:t>o</w:t>
      </w:r>
      <w:r w:rsidR="008B0CFE" w:rsidRPr="006A58D6">
        <w:t>pen access policy</w:t>
      </w:r>
      <w:r w:rsidR="00EA0991" w:rsidRPr="006A58D6">
        <w:t xml:space="preserve"> </w:t>
      </w:r>
      <w:r w:rsidRPr="006A58D6">
        <w:t>making its raw data a</w:t>
      </w:r>
      <w:r w:rsidR="00C61097" w:rsidRPr="006A58D6">
        <w:t>ccessible</w:t>
      </w:r>
      <w:r w:rsidRPr="006A58D6">
        <w:t xml:space="preserve">, and much of </w:t>
      </w:r>
      <w:r w:rsidR="00A22D7E">
        <w:t>ANSTO’s</w:t>
      </w:r>
      <w:r w:rsidRPr="006A58D6">
        <w:t xml:space="preserve"> research output is freely available.  ANSTO has a policy position on data archiving which encourages openness</w:t>
      </w:r>
      <w:r w:rsidR="00F41CED" w:rsidRPr="006A58D6">
        <w:t xml:space="preserve">. </w:t>
      </w:r>
      <w:r w:rsidR="00EA56A8" w:rsidRPr="006A58D6">
        <w:t xml:space="preserve"> </w:t>
      </w:r>
      <w:r w:rsidR="0024123A" w:rsidRPr="006A58D6">
        <w:t xml:space="preserve">As noted </w:t>
      </w:r>
      <w:r w:rsidR="006A58D6" w:rsidRPr="006A58D6">
        <w:t>above</w:t>
      </w:r>
      <w:r w:rsidR="0024123A" w:rsidRPr="006A58D6">
        <w:t>, ANSTO has established a number of points of contact (</w:t>
      </w:r>
      <w:r w:rsidR="006A58D6" w:rsidRPr="006A58D6">
        <w:t>accessible</w:t>
      </w:r>
      <w:r w:rsidR="0024123A" w:rsidRPr="006A58D6">
        <w:t xml:space="preserve"> via the ANSTO website) for business to </w:t>
      </w:r>
      <w:r w:rsidR="006A58D6" w:rsidRPr="006A58D6">
        <w:t>access</w:t>
      </w:r>
      <w:r w:rsidR="0024123A" w:rsidRPr="006A58D6">
        <w:t xml:space="preserve"> ANSTO’s facilities.  </w:t>
      </w:r>
      <w:r w:rsidR="005E41E8">
        <w:t xml:space="preserve">At the same time, we are obviously conscious that the results of research undertaken on </w:t>
      </w:r>
      <w:r w:rsidR="00ED777D">
        <w:t>behalf</w:t>
      </w:r>
      <w:r w:rsidR="005E41E8">
        <w:t xml:space="preserve"> of or jointly with commercial partners may need appropriate protection.</w:t>
      </w:r>
    </w:p>
    <w:p w14:paraId="4BDFBB9E" w14:textId="77777777" w:rsidR="00480698" w:rsidRPr="00182615" w:rsidRDefault="00480698" w:rsidP="00745A95">
      <w:pPr>
        <w:pStyle w:val="Heading2"/>
      </w:pPr>
      <w:r w:rsidRPr="00182615">
        <w:lastRenderedPageBreak/>
        <w:t>Recommendation</w:t>
      </w:r>
      <w:r>
        <w:t>s</w:t>
      </w:r>
      <w:r w:rsidRPr="00182615">
        <w:t>:</w:t>
      </w:r>
    </w:p>
    <w:p w14:paraId="4BDFBB9F" w14:textId="77777777" w:rsidR="00480698" w:rsidRDefault="00480698" w:rsidP="00480698">
      <w:pPr>
        <w:pStyle w:val="NoSpacing"/>
      </w:pPr>
    </w:p>
    <w:p w14:paraId="4BDFBBA0" w14:textId="77777777" w:rsidR="00480698" w:rsidRPr="00480698" w:rsidRDefault="00ED777D" w:rsidP="00480698">
      <w:pPr>
        <w:pStyle w:val="PlainText"/>
        <w:numPr>
          <w:ilvl w:val="0"/>
          <w:numId w:val="2"/>
        </w:numPr>
      </w:pPr>
      <w:r>
        <w:rPr>
          <w:rFonts w:asciiTheme="minorHAnsi" w:hAnsiTheme="minorHAnsi"/>
          <w:szCs w:val="22"/>
        </w:rPr>
        <w:t>When</w:t>
      </w:r>
      <w:r w:rsidR="00480698">
        <w:rPr>
          <w:rFonts w:asciiTheme="minorHAnsi" w:hAnsiTheme="minorHAnsi"/>
          <w:szCs w:val="22"/>
        </w:rPr>
        <w:t xml:space="preserve"> interacting with industry, g</w:t>
      </w:r>
      <w:r w:rsidR="00480698" w:rsidRPr="00150BA2">
        <w:rPr>
          <w:rFonts w:asciiTheme="minorHAnsi" w:hAnsiTheme="minorHAnsi"/>
          <w:szCs w:val="22"/>
        </w:rPr>
        <w:t xml:space="preserve">overnment </w:t>
      </w:r>
      <w:r>
        <w:rPr>
          <w:rFonts w:asciiTheme="minorHAnsi" w:hAnsiTheme="minorHAnsi"/>
          <w:szCs w:val="22"/>
        </w:rPr>
        <w:t>agencies</w:t>
      </w:r>
      <w:r w:rsidR="00480698">
        <w:rPr>
          <w:rFonts w:asciiTheme="minorHAnsi" w:hAnsiTheme="minorHAnsi"/>
          <w:szCs w:val="22"/>
        </w:rPr>
        <w:t xml:space="preserve"> </w:t>
      </w:r>
      <w:r w:rsidR="00480698" w:rsidRPr="00150BA2">
        <w:rPr>
          <w:rFonts w:asciiTheme="minorHAnsi" w:hAnsiTheme="minorHAnsi"/>
          <w:szCs w:val="22"/>
        </w:rPr>
        <w:t xml:space="preserve">should consider </w:t>
      </w:r>
      <w:r w:rsidR="00480698">
        <w:rPr>
          <w:rFonts w:asciiTheme="minorHAnsi" w:hAnsiTheme="minorHAnsi"/>
          <w:szCs w:val="22"/>
        </w:rPr>
        <w:t>their</w:t>
      </w:r>
      <w:r w:rsidR="00480698" w:rsidRPr="00150BA2">
        <w:rPr>
          <w:rFonts w:asciiTheme="minorHAnsi" w:hAnsiTheme="minorHAnsi"/>
          <w:szCs w:val="22"/>
        </w:rPr>
        <w:t xml:space="preserve"> needs on a project-by-project basis, rather than having a one-fits-all approach</w:t>
      </w:r>
      <w:r w:rsidR="00480698">
        <w:rPr>
          <w:rFonts w:asciiTheme="minorHAnsi" w:hAnsiTheme="minorHAnsi"/>
          <w:szCs w:val="22"/>
        </w:rPr>
        <w:t>, especially in relation</w:t>
      </w:r>
      <w:r w:rsidR="00480698" w:rsidRPr="00150BA2">
        <w:rPr>
          <w:rFonts w:asciiTheme="minorHAnsi" w:hAnsiTheme="minorHAnsi"/>
          <w:szCs w:val="22"/>
        </w:rPr>
        <w:t xml:space="preserve"> to intellectual property.</w:t>
      </w:r>
      <w:r w:rsidR="00480698">
        <w:rPr>
          <w:rFonts w:asciiTheme="minorHAnsi" w:hAnsiTheme="minorHAnsi"/>
          <w:szCs w:val="22"/>
        </w:rPr>
        <w:t xml:space="preserve"> </w:t>
      </w:r>
    </w:p>
    <w:p w14:paraId="4BDFBBA1" w14:textId="77777777" w:rsidR="00480698" w:rsidRDefault="00480698" w:rsidP="00480698">
      <w:pPr>
        <w:pStyle w:val="PlainText"/>
        <w:rPr>
          <w:rFonts w:asciiTheme="minorHAnsi" w:hAnsiTheme="minorHAnsi"/>
          <w:szCs w:val="22"/>
        </w:rPr>
      </w:pPr>
    </w:p>
    <w:p w14:paraId="4BDFBBA2" w14:textId="77777777" w:rsidR="00480698" w:rsidRDefault="005E41E8" w:rsidP="00480698">
      <w:pPr>
        <w:pStyle w:val="PlainText"/>
        <w:numPr>
          <w:ilvl w:val="0"/>
          <w:numId w:val="4"/>
        </w:numPr>
      </w:pPr>
      <w:r>
        <w:t xml:space="preserve">That research providers </w:t>
      </w:r>
      <w:r w:rsidR="00ED777D">
        <w:t>embrace</w:t>
      </w:r>
      <w:r>
        <w:t xml:space="preserve"> an </w:t>
      </w:r>
      <w:r w:rsidRPr="006A58D6">
        <w:t xml:space="preserve">open access policy making its research output freely available </w:t>
      </w:r>
      <w:r>
        <w:t xml:space="preserve">and </w:t>
      </w:r>
      <w:r w:rsidRPr="006A58D6">
        <w:t xml:space="preserve">raw data accessible, </w:t>
      </w:r>
      <w:r>
        <w:t xml:space="preserve">subject to any commercial confidentiality </w:t>
      </w:r>
      <w:r w:rsidR="00ED777D">
        <w:t>considerations</w:t>
      </w:r>
      <w:r>
        <w:t xml:space="preserve"> when </w:t>
      </w:r>
      <w:r w:rsidR="00ED777D">
        <w:t>partnering</w:t>
      </w:r>
      <w:r>
        <w:t xml:space="preserve"> with industry.  </w:t>
      </w:r>
      <w:r w:rsidRPr="006A58D6">
        <w:t xml:space="preserve"> </w:t>
      </w:r>
    </w:p>
    <w:p w14:paraId="4BDFBBA4" w14:textId="77777777" w:rsidR="008B0CFE" w:rsidRPr="006A58D6" w:rsidRDefault="005E41E8" w:rsidP="00745A95">
      <w:pPr>
        <w:pStyle w:val="Heading1"/>
      </w:pPr>
      <w:r w:rsidRPr="006A58D6">
        <w:t>INCREASING INDUSTRY-RELEVANT RESEARCH TRAINING</w:t>
      </w:r>
    </w:p>
    <w:p w14:paraId="4BDFBBA5" w14:textId="77777777" w:rsidR="00966CA9" w:rsidRPr="006A58D6" w:rsidRDefault="00966CA9" w:rsidP="008B0CFE">
      <w:pPr>
        <w:pStyle w:val="NoSpacing"/>
      </w:pPr>
    </w:p>
    <w:p w14:paraId="4BDFBBA6" w14:textId="77777777" w:rsidR="0053292D" w:rsidRPr="006A58D6" w:rsidRDefault="00A22D7E" w:rsidP="008B0CFE">
      <w:pPr>
        <w:pStyle w:val="NoSpacing"/>
      </w:pPr>
      <w:r>
        <w:t>ANSTO</w:t>
      </w:r>
      <w:r w:rsidRPr="006A58D6">
        <w:t xml:space="preserve"> </w:t>
      </w:r>
      <w:r w:rsidR="00966CA9" w:rsidRPr="006A58D6">
        <w:t>welcome</w:t>
      </w:r>
      <w:r>
        <w:t>s</w:t>
      </w:r>
      <w:r w:rsidR="00966CA9" w:rsidRPr="006A58D6">
        <w:t xml:space="preserve"> th</w:t>
      </w:r>
      <w:r w:rsidR="00C61097" w:rsidRPr="006A58D6">
        <w:t xml:space="preserve">e </w:t>
      </w:r>
      <w:r w:rsidR="005E41E8">
        <w:t>Chief Scientist</w:t>
      </w:r>
      <w:r w:rsidR="00C61097" w:rsidRPr="006A58D6">
        <w:t>’s</w:t>
      </w:r>
      <w:r w:rsidR="0019764F">
        <w:t xml:space="preserve"> </w:t>
      </w:r>
      <w:r w:rsidR="0019764F" w:rsidRPr="006A58D6">
        <w:t>Science, Technology, Engineering and Mathematics</w:t>
      </w:r>
      <w:r w:rsidR="00C61097" w:rsidRPr="006A58D6">
        <w:t xml:space="preserve"> </w:t>
      </w:r>
      <w:r w:rsidR="0019764F">
        <w:t>(</w:t>
      </w:r>
      <w:r w:rsidR="00C61097" w:rsidRPr="006A58D6">
        <w:t>STEM</w:t>
      </w:r>
      <w:r w:rsidR="0019764F">
        <w:t>)</w:t>
      </w:r>
      <w:r w:rsidR="00C61097" w:rsidRPr="006A58D6">
        <w:t xml:space="preserve"> initiative that embraces the entire educational system from pre-school to higher education. </w:t>
      </w:r>
      <w:r w:rsidR="009D42F2">
        <w:t xml:space="preserve"> </w:t>
      </w:r>
      <w:r w:rsidR="00C61097" w:rsidRPr="006A58D6">
        <w:t xml:space="preserve">At ANSTO, research training for university students mainly </w:t>
      </w:r>
      <w:r w:rsidR="008744A1" w:rsidRPr="006A58D6">
        <w:t xml:space="preserve">takes </w:t>
      </w:r>
      <w:r w:rsidR="00C61097" w:rsidRPr="006A58D6">
        <w:t>place through collaborations with universities</w:t>
      </w:r>
      <w:r w:rsidR="008744A1" w:rsidRPr="006A58D6">
        <w:t>,</w:t>
      </w:r>
      <w:r w:rsidR="00C61097" w:rsidRPr="006A58D6">
        <w:t xml:space="preserve"> as ANSTO is not a degree-awarding institution. </w:t>
      </w:r>
      <w:r w:rsidR="00D04407">
        <w:t>Even so</w:t>
      </w:r>
      <w:r w:rsidR="00811716">
        <w:t>,</w:t>
      </w:r>
      <w:r w:rsidR="0019764F">
        <w:t xml:space="preserve"> ANSTO hosts university students</w:t>
      </w:r>
      <w:r w:rsidR="00D04407">
        <w:t xml:space="preserve"> to undertake research (in co-supervision) </w:t>
      </w:r>
      <w:r w:rsidR="00D76EC4">
        <w:t xml:space="preserve">in a variety of scientific fields </w:t>
      </w:r>
      <w:r w:rsidR="00905A50">
        <w:t xml:space="preserve">for various degrees </w:t>
      </w:r>
      <w:r w:rsidR="00D04407">
        <w:t>(bachelor, master, PhD), including year-in-industry students</w:t>
      </w:r>
      <w:r w:rsidR="00905A50">
        <w:t>,</w:t>
      </w:r>
      <w:r w:rsidR="00D04407">
        <w:t xml:space="preserve"> and organises schools that offer specialised training, often hands-on</w:t>
      </w:r>
      <w:r w:rsidR="00811716">
        <w:t>,</w:t>
      </w:r>
      <w:r w:rsidR="00D56E43">
        <w:t xml:space="preserve"> to transfer knowledge and expertise</w:t>
      </w:r>
      <w:r w:rsidR="00D04407">
        <w:t xml:space="preserve">. </w:t>
      </w:r>
      <w:r w:rsidR="00C61097" w:rsidRPr="006A58D6">
        <w:t xml:space="preserve">In their internships, students not only carry out research, but </w:t>
      </w:r>
      <w:r w:rsidR="008744A1" w:rsidRPr="006A58D6">
        <w:t xml:space="preserve">also </w:t>
      </w:r>
      <w:r w:rsidR="009D42F2">
        <w:t>address</w:t>
      </w:r>
      <w:r w:rsidR="009D42F2" w:rsidRPr="006A58D6">
        <w:t xml:space="preserve"> </w:t>
      </w:r>
      <w:r w:rsidR="009D42F2">
        <w:t>engineering</w:t>
      </w:r>
      <w:r w:rsidR="009D42F2" w:rsidRPr="006A58D6">
        <w:t xml:space="preserve"> </w:t>
      </w:r>
      <w:r w:rsidR="009D42F2">
        <w:t>challenges</w:t>
      </w:r>
      <w:r w:rsidR="00C61097" w:rsidRPr="006A58D6">
        <w:t xml:space="preserve">. Due to </w:t>
      </w:r>
      <w:r>
        <w:t>its</w:t>
      </w:r>
      <w:r w:rsidRPr="006A58D6">
        <w:t xml:space="preserve"> </w:t>
      </w:r>
      <w:r w:rsidR="00C61097" w:rsidRPr="006A58D6">
        <w:t>specialised expertise in the nuclear sector</w:t>
      </w:r>
      <w:r w:rsidR="008744A1" w:rsidRPr="006A58D6">
        <w:t>,</w:t>
      </w:r>
      <w:r w:rsidR="00C61097" w:rsidRPr="006A58D6">
        <w:t xml:space="preserve"> </w:t>
      </w:r>
      <w:r>
        <w:t>ANSTO is</w:t>
      </w:r>
      <w:r w:rsidR="00C61097" w:rsidRPr="006A58D6">
        <w:t xml:space="preserve"> </w:t>
      </w:r>
      <w:r w:rsidR="009D42F2">
        <w:t xml:space="preserve">also </w:t>
      </w:r>
      <w:r w:rsidR="00C61097" w:rsidRPr="006A58D6">
        <w:t>a recognised partner for international st</w:t>
      </w:r>
      <w:r w:rsidR="005E7A58" w:rsidRPr="006A58D6">
        <w:t xml:space="preserve">udents. </w:t>
      </w:r>
      <w:r w:rsidR="00811716">
        <w:t xml:space="preserve"> </w:t>
      </w:r>
      <w:r w:rsidR="005E7A58" w:rsidRPr="006A58D6">
        <w:t xml:space="preserve">For example, the Korea Nuclear International Cooperation Foundation (KONICOF) sponsors internships at ANSTO. </w:t>
      </w:r>
      <w:r w:rsidR="00811716">
        <w:t xml:space="preserve"> </w:t>
      </w:r>
      <w:r w:rsidR="005E7A58" w:rsidRPr="006A58D6">
        <w:t xml:space="preserve">There is lack of </w:t>
      </w:r>
      <w:r>
        <w:t xml:space="preserve">similar </w:t>
      </w:r>
      <w:r w:rsidR="005E7A58" w:rsidRPr="006A58D6">
        <w:t>programmes in Australia that foster this type of</w:t>
      </w:r>
      <w:r w:rsidR="00DF200A" w:rsidRPr="006A58D6">
        <w:t xml:space="preserve"> international relationship-</w:t>
      </w:r>
      <w:r w:rsidR="005E7A58" w:rsidRPr="006A58D6">
        <w:t xml:space="preserve">building for Australian students to experience different cultures in addition to </w:t>
      </w:r>
      <w:r>
        <w:t>receiving</w:t>
      </w:r>
      <w:r w:rsidRPr="006A58D6">
        <w:t xml:space="preserve"> </w:t>
      </w:r>
      <w:r w:rsidR="005E7A58" w:rsidRPr="006A58D6">
        <w:t>research-industry training</w:t>
      </w:r>
      <w:r w:rsidR="00C61097" w:rsidRPr="006A58D6">
        <w:t xml:space="preserve">. </w:t>
      </w:r>
      <w:r w:rsidR="00811716">
        <w:t xml:space="preserve"> </w:t>
      </w:r>
      <w:r w:rsidR="0053292D" w:rsidRPr="006A58D6">
        <w:t xml:space="preserve">Such hands-on training exposes students early on </w:t>
      </w:r>
      <w:r w:rsidR="00DF200A" w:rsidRPr="006A58D6">
        <w:t>to</w:t>
      </w:r>
      <w:r w:rsidR="0053292D" w:rsidRPr="006A58D6">
        <w:t xml:space="preserve"> skills that are useful for</w:t>
      </w:r>
      <w:r w:rsidR="00DF200A" w:rsidRPr="006A58D6">
        <w:t xml:space="preserve"> establishing networks, building relations</w:t>
      </w:r>
      <w:r w:rsidR="0053292D" w:rsidRPr="006A58D6">
        <w:t xml:space="preserve"> and becoming </w:t>
      </w:r>
      <w:r w:rsidR="005E7A58" w:rsidRPr="006A58D6">
        <w:t>knowledge brokers</w:t>
      </w:r>
      <w:r w:rsidR="0053292D" w:rsidRPr="006A58D6">
        <w:t>.</w:t>
      </w:r>
      <w:r w:rsidR="00D76EC4" w:rsidRPr="00D76EC4">
        <w:t xml:space="preserve"> </w:t>
      </w:r>
      <w:r w:rsidR="00811716">
        <w:t xml:space="preserve"> </w:t>
      </w:r>
      <w:r w:rsidR="00D76EC4">
        <w:t xml:space="preserve">ANSTO would welcome programmes that include entrepreneurship at an early stage </w:t>
      </w:r>
      <w:r w:rsidR="003A3985">
        <w:t>of study</w:t>
      </w:r>
      <w:r w:rsidR="00D76EC4">
        <w:t xml:space="preserve"> to overcome the </w:t>
      </w:r>
      <w:r w:rsidR="00D76EC4" w:rsidRPr="00D76EC4">
        <w:t xml:space="preserve">different perceptions </w:t>
      </w:r>
      <w:r w:rsidR="00D76EC4">
        <w:t xml:space="preserve">of </w:t>
      </w:r>
      <w:r w:rsidR="00D56E43">
        <w:t xml:space="preserve">the </w:t>
      </w:r>
      <w:r w:rsidR="00D76EC4" w:rsidRPr="00D76EC4">
        <w:t xml:space="preserve">different </w:t>
      </w:r>
      <w:r w:rsidR="00D76EC4">
        <w:t>sectors</w:t>
      </w:r>
      <w:r w:rsidR="00D56E43">
        <w:t>,</w:t>
      </w:r>
      <w:r w:rsidR="00D76EC4">
        <w:t xml:space="preserve"> and consequently foster a </w:t>
      </w:r>
      <w:r w:rsidR="003A3985">
        <w:t>cultural</w:t>
      </w:r>
      <w:r w:rsidR="00D76EC4">
        <w:t xml:space="preserve"> change. </w:t>
      </w:r>
      <w:r w:rsidR="00D76EC4" w:rsidRPr="00D76EC4">
        <w:t xml:space="preserve"> </w:t>
      </w:r>
      <w:r w:rsidR="00D76EC4">
        <w:t xml:space="preserve">Through practical training courses in specialised areas, such as radiation protection, </w:t>
      </w:r>
      <w:r w:rsidR="00D56E43">
        <w:t xml:space="preserve">ANSTO </w:t>
      </w:r>
      <w:r w:rsidR="002F2E5E">
        <w:t>knows</w:t>
      </w:r>
      <w:r w:rsidR="00D76EC4">
        <w:t xml:space="preserve"> how important it is to have a holistic approach that embraces continuous learning across disciplines. Our vocational courses are appreciated by </w:t>
      </w:r>
      <w:r w:rsidR="00D56E43">
        <w:t xml:space="preserve">a </w:t>
      </w:r>
      <w:r w:rsidR="00D76EC4">
        <w:t>broad range of industrial sectors, from health to min</w:t>
      </w:r>
      <w:r w:rsidR="00B20C03">
        <w:t>erals.</w:t>
      </w:r>
      <w:r w:rsidR="00D76EC4">
        <w:t xml:space="preserve"> </w:t>
      </w:r>
    </w:p>
    <w:p w14:paraId="4BDFBBA7" w14:textId="77777777" w:rsidR="0053292D" w:rsidRPr="006A58D6" w:rsidRDefault="0053292D" w:rsidP="008B0CFE">
      <w:pPr>
        <w:pStyle w:val="NoSpacing"/>
      </w:pPr>
    </w:p>
    <w:p w14:paraId="4BDFBBA8" w14:textId="77777777" w:rsidR="0053292D" w:rsidRPr="006A58D6" w:rsidRDefault="00DF200A" w:rsidP="008B0CFE">
      <w:pPr>
        <w:pStyle w:val="NoSpacing"/>
      </w:pPr>
      <w:r w:rsidRPr="006A58D6">
        <w:t xml:space="preserve">As young people need to </w:t>
      </w:r>
      <w:r w:rsidR="008744A1" w:rsidRPr="006A58D6">
        <w:t xml:space="preserve">be </w:t>
      </w:r>
      <w:r w:rsidRPr="006A58D6">
        <w:t xml:space="preserve">exposed to science early on </w:t>
      </w:r>
      <w:r w:rsidR="006A58D6">
        <w:t>i</w:t>
      </w:r>
      <w:r w:rsidR="008744A1" w:rsidRPr="006A58D6">
        <w:t xml:space="preserve">n </w:t>
      </w:r>
      <w:r w:rsidR="006A58D6" w:rsidRPr="006A58D6">
        <w:t>order</w:t>
      </w:r>
      <w:r w:rsidR="008744A1" w:rsidRPr="006A58D6">
        <w:t xml:space="preserve"> </w:t>
      </w:r>
      <w:r w:rsidRPr="006A58D6">
        <w:t xml:space="preserve">to engage their interest in a science </w:t>
      </w:r>
      <w:r w:rsidR="008744A1" w:rsidRPr="006A58D6">
        <w:t xml:space="preserve">career, </w:t>
      </w:r>
      <w:r w:rsidR="00857F69" w:rsidRPr="006A58D6">
        <w:t xml:space="preserve">ANSTO </w:t>
      </w:r>
      <w:r w:rsidR="0053292D" w:rsidRPr="006A58D6">
        <w:t xml:space="preserve">offers </w:t>
      </w:r>
      <w:r w:rsidR="00B20C03">
        <w:t xml:space="preserve">educational </w:t>
      </w:r>
      <w:r w:rsidR="0053292D" w:rsidRPr="006A58D6">
        <w:t xml:space="preserve">visiting tours not only for the general public, but also for school pupils. </w:t>
      </w:r>
      <w:r w:rsidR="005E41E8">
        <w:t xml:space="preserve"> </w:t>
      </w:r>
      <w:r w:rsidR="0053292D" w:rsidRPr="006A58D6">
        <w:t>For high</w:t>
      </w:r>
      <w:r w:rsidR="008744A1" w:rsidRPr="006A58D6">
        <w:t xml:space="preserve"> </w:t>
      </w:r>
      <w:r w:rsidR="0053292D" w:rsidRPr="006A58D6">
        <w:t xml:space="preserve">schools, there are tours that supplement the curriculum and provide teachers with the appropriate </w:t>
      </w:r>
      <w:r w:rsidR="008744A1" w:rsidRPr="006A58D6">
        <w:t xml:space="preserve">learning </w:t>
      </w:r>
      <w:r w:rsidR="0053292D" w:rsidRPr="006A58D6">
        <w:t>material</w:t>
      </w:r>
      <w:r w:rsidR="008744A1" w:rsidRPr="006A58D6">
        <w:t>s</w:t>
      </w:r>
      <w:r w:rsidR="0053292D" w:rsidRPr="006A58D6">
        <w:t xml:space="preserve">. </w:t>
      </w:r>
      <w:r w:rsidR="005E41E8">
        <w:t xml:space="preserve"> </w:t>
      </w:r>
      <w:r w:rsidR="0053292D" w:rsidRPr="006A58D6">
        <w:t>This includes also speci</w:t>
      </w:r>
      <w:r w:rsidR="005633C0" w:rsidRPr="006A58D6">
        <w:t>fic teacher training</w:t>
      </w:r>
      <w:r w:rsidR="008744A1" w:rsidRPr="006A58D6">
        <w:t>, with ANSTO recently being accredited as a Board of Studies, Teaching and Educational Standards (BOSTES) NSW endorsed provider of professional development at the proficient teacher level of the Australian Professional Standards for Teachers</w:t>
      </w:r>
      <w:r w:rsidR="0053292D" w:rsidRPr="006A58D6">
        <w:t xml:space="preserve">. </w:t>
      </w:r>
      <w:r w:rsidR="005E41E8">
        <w:t xml:space="preserve"> </w:t>
      </w:r>
      <w:r w:rsidR="00B20C03">
        <w:t xml:space="preserve">Experiential educational programmes are also run to capture the imagination of primary school students. </w:t>
      </w:r>
      <w:r w:rsidR="001D259B">
        <w:t xml:space="preserve"> </w:t>
      </w:r>
      <w:r w:rsidR="0053292D" w:rsidRPr="006A58D6">
        <w:t xml:space="preserve">Due to the </w:t>
      </w:r>
      <w:r w:rsidR="005633C0" w:rsidRPr="006A58D6">
        <w:t>low number of</w:t>
      </w:r>
      <w:r w:rsidR="0053292D" w:rsidRPr="006A58D6">
        <w:t xml:space="preserve"> female STEM students</w:t>
      </w:r>
      <w:r w:rsidR="000E0D07" w:rsidRPr="006A58D6">
        <w:t>,</w:t>
      </w:r>
      <w:r w:rsidR="00DB44A2" w:rsidRPr="006A58D6">
        <w:t xml:space="preserve"> we also </w:t>
      </w:r>
      <w:r w:rsidR="0053292D" w:rsidRPr="006A58D6">
        <w:t>provide</w:t>
      </w:r>
      <w:r w:rsidR="00DB44A2" w:rsidRPr="006A58D6">
        <w:t xml:space="preserve"> lectures </w:t>
      </w:r>
      <w:r w:rsidR="008744A1" w:rsidRPr="006A58D6">
        <w:t xml:space="preserve">by </w:t>
      </w:r>
      <w:r w:rsidR="00DB44A2" w:rsidRPr="006A58D6">
        <w:t>female role models and foster discussion and engagement</w:t>
      </w:r>
      <w:r w:rsidR="005633C0" w:rsidRPr="006A58D6">
        <w:t xml:space="preserve"> to attract pupils into STEM</w:t>
      </w:r>
      <w:r w:rsidR="00DB44A2" w:rsidRPr="006A58D6">
        <w:t xml:space="preserve">. </w:t>
      </w:r>
    </w:p>
    <w:p w14:paraId="4BDFBBAA" w14:textId="77777777" w:rsidR="005E41E8" w:rsidRPr="00182615" w:rsidRDefault="005E41E8" w:rsidP="00745A95">
      <w:pPr>
        <w:pStyle w:val="Heading2"/>
      </w:pPr>
      <w:r w:rsidRPr="00182615">
        <w:t>Recommendation</w:t>
      </w:r>
      <w:r>
        <w:t>s</w:t>
      </w:r>
      <w:r w:rsidRPr="00182615">
        <w:t>:</w:t>
      </w:r>
    </w:p>
    <w:p w14:paraId="4BDFBBAB" w14:textId="77777777" w:rsidR="005E41E8" w:rsidRDefault="005E41E8" w:rsidP="005E41E8">
      <w:pPr>
        <w:pStyle w:val="NoSpacing"/>
      </w:pPr>
    </w:p>
    <w:p w14:paraId="4BDFBBAC" w14:textId="77777777" w:rsidR="005E41E8" w:rsidRPr="005E41E8" w:rsidRDefault="005E41E8" w:rsidP="005E41E8">
      <w:pPr>
        <w:pStyle w:val="PlainText"/>
        <w:numPr>
          <w:ilvl w:val="0"/>
          <w:numId w:val="2"/>
        </w:numPr>
      </w:pPr>
      <w:r>
        <w:rPr>
          <w:rFonts w:asciiTheme="minorHAnsi" w:hAnsiTheme="minorHAnsi"/>
          <w:szCs w:val="22"/>
        </w:rPr>
        <w:t xml:space="preserve">The development of a national STEM strategy is vital for the maintenance of Australia’s national research capability.  Without that capability, strategies for </w:t>
      </w:r>
      <w:r w:rsidR="00ED777D">
        <w:rPr>
          <w:rFonts w:asciiTheme="minorHAnsi" w:hAnsiTheme="minorHAnsi"/>
          <w:szCs w:val="22"/>
        </w:rPr>
        <w:t>engagement</w:t>
      </w:r>
      <w:r>
        <w:rPr>
          <w:rFonts w:asciiTheme="minorHAnsi" w:hAnsiTheme="minorHAnsi"/>
          <w:szCs w:val="22"/>
        </w:rPr>
        <w:t xml:space="preserve"> with industry </w:t>
      </w:r>
      <w:r w:rsidR="00ED777D">
        <w:rPr>
          <w:rFonts w:asciiTheme="minorHAnsi" w:hAnsiTheme="minorHAnsi"/>
          <w:szCs w:val="22"/>
        </w:rPr>
        <w:t>will</w:t>
      </w:r>
      <w:r>
        <w:rPr>
          <w:rFonts w:asciiTheme="minorHAnsi" w:hAnsiTheme="minorHAnsi"/>
          <w:szCs w:val="22"/>
        </w:rPr>
        <w:t xml:space="preserve"> be of little assistance to Australia’s national competitiveness</w:t>
      </w:r>
      <w:r w:rsidRPr="00150BA2">
        <w:rPr>
          <w:rFonts w:asciiTheme="minorHAnsi" w:hAnsiTheme="minorHAnsi"/>
          <w:szCs w:val="22"/>
        </w:rPr>
        <w:t>.</w:t>
      </w:r>
      <w:r>
        <w:rPr>
          <w:rFonts w:asciiTheme="minorHAnsi" w:hAnsiTheme="minorHAnsi"/>
          <w:szCs w:val="22"/>
        </w:rPr>
        <w:t xml:space="preserve"> </w:t>
      </w:r>
    </w:p>
    <w:p w14:paraId="4BDFBBAD" w14:textId="77777777" w:rsidR="005E41E8" w:rsidRDefault="005E41E8" w:rsidP="005E41E8">
      <w:pPr>
        <w:pStyle w:val="PlainText"/>
        <w:rPr>
          <w:rFonts w:asciiTheme="minorHAnsi" w:hAnsiTheme="minorHAnsi"/>
          <w:szCs w:val="22"/>
        </w:rPr>
      </w:pPr>
    </w:p>
    <w:p w14:paraId="4BDFBBAE" w14:textId="77777777" w:rsidR="005E41E8" w:rsidRPr="00480698" w:rsidRDefault="005E41E8" w:rsidP="005E41E8">
      <w:pPr>
        <w:pStyle w:val="PlainText"/>
        <w:numPr>
          <w:ilvl w:val="0"/>
          <w:numId w:val="2"/>
        </w:numPr>
      </w:pPr>
      <w:r>
        <w:lastRenderedPageBreak/>
        <w:t>Research inst</w:t>
      </w:r>
      <w:r w:rsidR="00ED777D">
        <w:t>it</w:t>
      </w:r>
      <w:r>
        <w:t xml:space="preserve">utions </w:t>
      </w:r>
      <w:r w:rsidR="00B20C03">
        <w:t>must</w:t>
      </w:r>
      <w:r>
        <w:t xml:space="preserve"> </w:t>
      </w:r>
      <w:r w:rsidR="00B20C03">
        <w:t xml:space="preserve">further </w:t>
      </w:r>
      <w:r>
        <w:t xml:space="preserve">develop engagement </w:t>
      </w:r>
      <w:r w:rsidR="00B20C03">
        <w:t xml:space="preserve">programmes </w:t>
      </w:r>
      <w:r>
        <w:t xml:space="preserve">with </w:t>
      </w:r>
      <w:r w:rsidR="00B20C03">
        <w:t xml:space="preserve">primary and secondary school programs to ensure continuous engagement throughout a school career with the sciences as part of a national curriculum strategy along with demonstrating the opportunity for the business/industry side of science. </w:t>
      </w:r>
    </w:p>
    <w:p w14:paraId="4BDFBBB0" w14:textId="77777777" w:rsidR="008B0CFE" w:rsidRPr="006A58D6" w:rsidRDefault="005E41E8" w:rsidP="00745A95">
      <w:pPr>
        <w:pStyle w:val="Heading1"/>
      </w:pPr>
      <w:r w:rsidRPr="006A58D6">
        <w:t>MEASUREMENT OF OUTCOMES</w:t>
      </w:r>
    </w:p>
    <w:p w14:paraId="4BDFBBB1" w14:textId="77777777" w:rsidR="00D40A66" w:rsidRPr="006A58D6" w:rsidRDefault="00D40A66" w:rsidP="00DB44A2">
      <w:pPr>
        <w:pStyle w:val="NoSpacing"/>
      </w:pPr>
    </w:p>
    <w:p w14:paraId="4BDFBBB2" w14:textId="77777777" w:rsidR="00423324" w:rsidRDefault="00423324" w:rsidP="00DB44A2">
      <w:pPr>
        <w:pStyle w:val="NoSpacing"/>
      </w:pPr>
      <w:r>
        <w:t xml:space="preserve">Research outcomes are monitored and evaluated through the ARC’s </w:t>
      </w:r>
      <w:r w:rsidRPr="00423324">
        <w:t>Excellence in Research for Australia (ERA) initiative</w:t>
      </w:r>
      <w:r>
        <w:t xml:space="preserve">, which has been comprehensively adopted in Australia.  Commercial outcomes of research are monitored and evaluated on the basis of the development of an IP portfolio (e.g. number of patents, development of know-how, etc.) and/or in the delivery of commercial reports (or ‘grey’ literature) to clients and other stakeholders. </w:t>
      </w:r>
    </w:p>
    <w:p w14:paraId="4BDFBBB3" w14:textId="77777777" w:rsidR="00423324" w:rsidRDefault="00423324" w:rsidP="00DB44A2">
      <w:pPr>
        <w:pStyle w:val="NoSpacing"/>
      </w:pPr>
    </w:p>
    <w:p w14:paraId="4BDFBBB4" w14:textId="77777777" w:rsidR="005B5500" w:rsidRDefault="00423324" w:rsidP="00DB44A2">
      <w:pPr>
        <w:pStyle w:val="NoSpacing"/>
      </w:pPr>
      <w:r>
        <w:t>C</w:t>
      </w:r>
      <w:r w:rsidR="00DB44A2" w:rsidRPr="006A58D6">
        <w:t xml:space="preserve">apturing of research-industry relations </w:t>
      </w:r>
      <w:r w:rsidR="00D40A66" w:rsidRPr="006A58D6">
        <w:t>outcomes is</w:t>
      </w:r>
      <w:r w:rsidR="00DB44A2" w:rsidRPr="006A58D6">
        <w:t xml:space="preserve"> difficult as this ‘grey’ literature lacks bibliographic control</w:t>
      </w:r>
      <w:r w:rsidR="00D40A66" w:rsidRPr="006A58D6">
        <w:t xml:space="preserve"> </w:t>
      </w:r>
      <w:r w:rsidR="00C350A1" w:rsidRPr="006A58D6">
        <w:t>with</w:t>
      </w:r>
      <w:r w:rsidR="00D40A66" w:rsidRPr="006A58D6">
        <w:t xml:space="preserve"> </w:t>
      </w:r>
      <w:r w:rsidR="00C350A1" w:rsidRPr="006A58D6">
        <w:t xml:space="preserve">non-standardised </w:t>
      </w:r>
      <w:r w:rsidR="00D40A66" w:rsidRPr="006A58D6">
        <w:t>documents</w:t>
      </w:r>
      <w:r w:rsidR="00C350A1" w:rsidRPr="006A58D6">
        <w:t>, e.g. in layout,</w:t>
      </w:r>
      <w:r w:rsidR="00D40A66" w:rsidRPr="006A58D6">
        <w:t xml:space="preserve"> and different channels of distribution. </w:t>
      </w:r>
      <w:r w:rsidR="000E0D07" w:rsidRPr="006A58D6">
        <w:t xml:space="preserve"> Although case studies are a useful way to understand the impact of R&amp;D, some </w:t>
      </w:r>
      <w:r w:rsidR="00A22D7E">
        <w:t xml:space="preserve">defined </w:t>
      </w:r>
      <w:r w:rsidR="000E0D07" w:rsidRPr="006A58D6">
        <w:t xml:space="preserve">metrics would be valuable.  </w:t>
      </w:r>
      <w:r w:rsidR="005E41E8">
        <w:t>When</w:t>
      </w:r>
      <w:r w:rsidR="0024123A" w:rsidRPr="006A58D6">
        <w:t xml:space="preserve"> measur</w:t>
      </w:r>
      <w:r w:rsidR="005E41E8">
        <w:t>ing impact, it should be taken into account that</w:t>
      </w:r>
      <w:r w:rsidR="0024123A" w:rsidRPr="006A58D6">
        <w:t xml:space="preserve"> it can take 20 years to develop a new product or establish a new medical treatment.  </w:t>
      </w:r>
    </w:p>
    <w:p w14:paraId="4BDFBBB5" w14:textId="77777777" w:rsidR="00A22D7E" w:rsidRDefault="00A22D7E" w:rsidP="00DB44A2">
      <w:pPr>
        <w:pStyle w:val="NoSpacing"/>
      </w:pPr>
    </w:p>
    <w:p w14:paraId="4BDFBBB6" w14:textId="77777777" w:rsidR="00DB44A2" w:rsidRPr="006A58D6" w:rsidRDefault="002F2E5E" w:rsidP="00DB44A2">
      <w:pPr>
        <w:pStyle w:val="NoSpacing"/>
      </w:pPr>
      <w:r>
        <w:t xml:space="preserve">ANSTO supports the development of </w:t>
      </w:r>
      <w:r w:rsidRPr="006A58D6">
        <w:t>an impact and engagement metric</w:t>
      </w:r>
      <w:r>
        <w:t xml:space="preserve"> for measurement of industry outcomes, as has been done at a number of overseas institutions.  At the same time, establishing </w:t>
      </w:r>
      <w:r w:rsidR="005B5500">
        <w:t xml:space="preserve">a mechanism similar to the ERA for evaluating research-industry outcomes must be careful to ensure it drives the behaviour for which it is established, as any metrics system is prone to unintended consequences. </w:t>
      </w:r>
      <w:r>
        <w:t xml:space="preserve"> In its early years, the implementation of any such metric will therefore need to be monitored, with a preparedness </w:t>
      </w:r>
      <w:r w:rsidR="00B20C03">
        <w:t xml:space="preserve">and flexibility </w:t>
      </w:r>
      <w:r>
        <w:t>to make changes if it is seen to drive unintended behaviours.  The Australian Academy of Technological Sciences and Engineering (</w:t>
      </w:r>
      <w:r w:rsidR="00DB44A2" w:rsidRPr="006A58D6">
        <w:t>ATSE</w:t>
      </w:r>
      <w:r>
        <w:t>)</w:t>
      </w:r>
      <w:r w:rsidR="00D40A66" w:rsidRPr="006A58D6">
        <w:t xml:space="preserve"> </w:t>
      </w:r>
      <w:r w:rsidR="0024123A" w:rsidRPr="006A58D6">
        <w:t xml:space="preserve">has </w:t>
      </w:r>
      <w:r w:rsidR="00D40A66" w:rsidRPr="006A58D6">
        <w:t>suggest</w:t>
      </w:r>
      <w:r w:rsidR="0024123A" w:rsidRPr="006A58D6">
        <w:t>ed</w:t>
      </w:r>
      <w:r w:rsidR="00D40A66" w:rsidRPr="006A58D6">
        <w:t xml:space="preserve"> an impact and engagement metric </w:t>
      </w:r>
      <w:r w:rsidR="00DB44A2" w:rsidRPr="006A58D6">
        <w:t xml:space="preserve">(see </w:t>
      </w:r>
      <w:hyperlink r:id="rId13" w:history="1">
        <w:r w:rsidR="00DB44A2" w:rsidRPr="006A58D6">
          <w:rPr>
            <w:rStyle w:val="Hyperlink"/>
          </w:rPr>
          <w:t>http://www.atse.org.au/atse/activity/innovation/reports/content/activity/innovation-content/developing-impact-engagement-australia-metric.aspx</w:t>
        </w:r>
      </w:hyperlink>
      <w:r w:rsidR="00DB44A2" w:rsidRPr="006A58D6">
        <w:t>). However, additional administrative burden should be avoided as much as possible</w:t>
      </w:r>
      <w:r w:rsidR="005B5500">
        <w:t xml:space="preserve"> and it may be necessary to consider a set of metrics that evolve over time, recognising the differences in measures that will drive the embryonic nature of research-industry collaboration in Australia at present, ve</w:t>
      </w:r>
      <w:r w:rsidR="00A22D7E">
        <w:t>r</w:t>
      </w:r>
      <w:r w:rsidR="005B5500">
        <w:t>sus the measures required to sustain established programs in the future</w:t>
      </w:r>
    </w:p>
    <w:p w14:paraId="4BDFBBB8" w14:textId="77777777" w:rsidR="005E41E8" w:rsidRPr="00182615" w:rsidRDefault="005E41E8" w:rsidP="00745A95">
      <w:pPr>
        <w:pStyle w:val="Heading2"/>
      </w:pPr>
      <w:r w:rsidRPr="00182615">
        <w:t>Recommendation:</w:t>
      </w:r>
    </w:p>
    <w:p w14:paraId="4BDFBBB9" w14:textId="77777777" w:rsidR="005E41E8" w:rsidRDefault="005E41E8" w:rsidP="005E41E8">
      <w:pPr>
        <w:pStyle w:val="NoSpacing"/>
      </w:pPr>
    </w:p>
    <w:p w14:paraId="4BDFBBBA" w14:textId="77777777" w:rsidR="005E41E8" w:rsidRPr="005E41E8" w:rsidRDefault="005E41E8" w:rsidP="005E41E8">
      <w:pPr>
        <w:pStyle w:val="PlainText"/>
        <w:numPr>
          <w:ilvl w:val="0"/>
          <w:numId w:val="2"/>
        </w:numPr>
      </w:pPr>
      <w:r>
        <w:rPr>
          <w:rFonts w:asciiTheme="minorHAnsi" w:hAnsiTheme="minorHAnsi"/>
          <w:szCs w:val="22"/>
        </w:rPr>
        <w:t xml:space="preserve">The </w:t>
      </w:r>
      <w:r w:rsidR="00B20C03">
        <w:rPr>
          <w:rFonts w:asciiTheme="minorHAnsi" w:hAnsiTheme="minorHAnsi"/>
          <w:szCs w:val="22"/>
        </w:rPr>
        <w:t xml:space="preserve">consultative </w:t>
      </w:r>
      <w:r>
        <w:rPr>
          <w:rFonts w:asciiTheme="minorHAnsi" w:hAnsiTheme="minorHAnsi"/>
          <w:szCs w:val="22"/>
        </w:rPr>
        <w:t xml:space="preserve">development of </w:t>
      </w:r>
      <w:r w:rsidRPr="006A58D6">
        <w:t xml:space="preserve">an impact and engagement metric </w:t>
      </w:r>
      <w:r>
        <w:t xml:space="preserve">for evaluating research-industry </w:t>
      </w:r>
      <w:r w:rsidR="00ED777D">
        <w:t>interactions is important</w:t>
      </w:r>
      <w:r>
        <w:t xml:space="preserve">.  However, such a </w:t>
      </w:r>
      <w:r w:rsidR="00ED777D">
        <w:t>metric</w:t>
      </w:r>
      <w:r>
        <w:t xml:space="preserve"> should be open to amendment, particularly in its first years, in the light of experience in its </w:t>
      </w:r>
      <w:r w:rsidR="00ED777D">
        <w:t>implementation</w:t>
      </w:r>
      <w:r>
        <w:t xml:space="preserve">. </w:t>
      </w:r>
      <w:r>
        <w:rPr>
          <w:rFonts w:asciiTheme="minorHAnsi" w:hAnsiTheme="minorHAnsi"/>
          <w:szCs w:val="22"/>
        </w:rPr>
        <w:t xml:space="preserve"> </w:t>
      </w:r>
    </w:p>
    <w:p w14:paraId="4BDFBBBC" w14:textId="77777777" w:rsidR="008B0CFE" w:rsidRPr="006A58D6" w:rsidRDefault="00ED777D" w:rsidP="00745A95">
      <w:pPr>
        <w:pStyle w:val="Heading1"/>
      </w:pPr>
      <w:r w:rsidRPr="006A58D6">
        <w:t>CAPITALISING ON THE MEDICAL RESEARCH FUTURE FUND</w:t>
      </w:r>
    </w:p>
    <w:p w14:paraId="4BDFBBBD" w14:textId="77777777" w:rsidR="00CB328A" w:rsidRDefault="00CB328A" w:rsidP="00CB328A">
      <w:pPr>
        <w:pStyle w:val="NoSpacing"/>
      </w:pPr>
    </w:p>
    <w:p w14:paraId="4BDFBBBE" w14:textId="77777777" w:rsidR="009D42F2" w:rsidRPr="006A58D6" w:rsidRDefault="009D42F2" w:rsidP="00CB328A">
      <w:pPr>
        <w:pStyle w:val="NoSpacing"/>
      </w:pPr>
      <w:r>
        <w:t xml:space="preserve">When the Fund is established, it will be important to ensure that it is not bound by the same restrictive rules regarding eligibility for funding as apply currently to the ARC and NHMRC grants.  If ANSTO is the best partner on research in a particular area – which it may </w:t>
      </w:r>
      <w:proofErr w:type="gramStart"/>
      <w:r>
        <w:t>well</w:t>
      </w:r>
      <w:proofErr w:type="gramEnd"/>
      <w:r>
        <w:t xml:space="preserve"> be in some areas of diagnosis – industry should be free to partner with </w:t>
      </w:r>
      <w:r w:rsidR="00B20C03">
        <w:t>ANSTO</w:t>
      </w:r>
      <w:r>
        <w:t xml:space="preserve"> without feeling a need to bring in a university as an additional partner in order to secure access to funding.</w:t>
      </w:r>
    </w:p>
    <w:p w14:paraId="4BDFBBBF" w14:textId="77777777" w:rsidR="00C270AC" w:rsidRDefault="00C270AC"/>
    <w:p w14:paraId="4BDFBBC0" w14:textId="77777777" w:rsidR="00ED777D" w:rsidRPr="00182615" w:rsidRDefault="00ED777D" w:rsidP="00745A95">
      <w:pPr>
        <w:pStyle w:val="Heading2"/>
      </w:pPr>
      <w:r w:rsidRPr="00182615">
        <w:lastRenderedPageBreak/>
        <w:t>Recommend</w:t>
      </w:r>
      <w:bookmarkStart w:id="0" w:name="_GoBack"/>
      <w:bookmarkEnd w:id="0"/>
      <w:r w:rsidRPr="00182615">
        <w:t>ation:</w:t>
      </w:r>
    </w:p>
    <w:p w14:paraId="4BDFBBC1" w14:textId="77777777" w:rsidR="00ED777D" w:rsidRDefault="00ED777D" w:rsidP="00ED777D">
      <w:pPr>
        <w:pStyle w:val="NoSpacing"/>
      </w:pPr>
    </w:p>
    <w:p w14:paraId="4BDFBBC2" w14:textId="77777777" w:rsidR="00ED777D" w:rsidRDefault="00ED777D" w:rsidP="00ED777D">
      <w:pPr>
        <w:pStyle w:val="PlainText"/>
        <w:numPr>
          <w:ilvl w:val="0"/>
          <w:numId w:val="2"/>
        </w:numPr>
      </w:pPr>
      <w:r>
        <w:t>Researchers from PFRAs should be able to access funding from the proposed medical research future fund to support collaboration with industry</w:t>
      </w:r>
      <w:r w:rsidR="00B20C03">
        <w:t xml:space="preserve"> as part of broadening the opportunity base for as many stakeholders as possible for the biggest possible impact and outcomes.</w:t>
      </w:r>
    </w:p>
    <w:p w14:paraId="4BDFBBC3" w14:textId="77777777" w:rsidR="00ED777D" w:rsidRPr="006A58D6" w:rsidRDefault="00ED777D"/>
    <w:sectPr w:rsidR="00ED777D" w:rsidRPr="006A58D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FBBC6" w14:textId="77777777" w:rsidR="00C72075" w:rsidRDefault="00C72075" w:rsidP="001F0548">
      <w:r>
        <w:separator/>
      </w:r>
    </w:p>
  </w:endnote>
  <w:endnote w:type="continuationSeparator" w:id="0">
    <w:p w14:paraId="4BDFBBC7" w14:textId="77777777" w:rsidR="00C72075" w:rsidRDefault="00C72075" w:rsidP="001F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902799"/>
      <w:docPartObj>
        <w:docPartGallery w:val="Page Numbers (Bottom of Page)"/>
        <w:docPartUnique/>
      </w:docPartObj>
    </w:sdtPr>
    <w:sdtEndPr>
      <w:rPr>
        <w:noProof/>
      </w:rPr>
    </w:sdtEndPr>
    <w:sdtContent>
      <w:p w14:paraId="4BDFBBC9" w14:textId="77777777" w:rsidR="00DF200A" w:rsidRDefault="00DF200A">
        <w:pPr>
          <w:pStyle w:val="Footer"/>
        </w:pPr>
        <w:r>
          <w:fldChar w:fldCharType="begin"/>
        </w:r>
        <w:r>
          <w:instrText xml:space="preserve"> PAGE   \* MERGEFORMAT </w:instrText>
        </w:r>
        <w:r>
          <w:fldChar w:fldCharType="separate"/>
        </w:r>
        <w:r w:rsidR="00745A95">
          <w:rPr>
            <w:noProof/>
          </w:rPr>
          <w:t>7</w:t>
        </w:r>
        <w:r>
          <w:rPr>
            <w:noProof/>
          </w:rPr>
          <w:fldChar w:fldCharType="end"/>
        </w:r>
      </w:p>
    </w:sdtContent>
  </w:sdt>
  <w:p w14:paraId="4BDFBBCA" w14:textId="77777777" w:rsidR="00DF200A" w:rsidRDefault="00DF2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FBBC4" w14:textId="77777777" w:rsidR="00C72075" w:rsidRDefault="00C72075" w:rsidP="001F0548">
      <w:r>
        <w:separator/>
      </w:r>
    </w:p>
  </w:footnote>
  <w:footnote w:type="continuationSeparator" w:id="0">
    <w:p w14:paraId="4BDFBBC5" w14:textId="77777777" w:rsidR="00C72075" w:rsidRDefault="00C72075" w:rsidP="001F0548">
      <w:r>
        <w:continuationSeparator/>
      </w:r>
    </w:p>
  </w:footnote>
  <w:footnote w:id="1">
    <w:p w14:paraId="4BDFBBCB" w14:textId="77777777" w:rsidR="009F1D27" w:rsidRPr="00811716" w:rsidRDefault="009F1D27" w:rsidP="00811716">
      <w:pPr>
        <w:pStyle w:val="PlainText"/>
        <w:rPr>
          <w:sz w:val="20"/>
          <w:szCs w:val="20"/>
        </w:rPr>
      </w:pPr>
      <w:r w:rsidRPr="00811716">
        <w:rPr>
          <w:rStyle w:val="FootnoteReference"/>
          <w:sz w:val="20"/>
          <w:szCs w:val="20"/>
        </w:rPr>
        <w:footnoteRef/>
      </w:r>
      <w:r w:rsidRPr="00811716">
        <w:rPr>
          <w:sz w:val="20"/>
          <w:szCs w:val="20"/>
        </w:rPr>
        <w:t xml:space="preserve"> See for example </w:t>
      </w:r>
      <w:hyperlink r:id="rId1" w:history="1">
        <w:r w:rsidRPr="00811716">
          <w:rPr>
            <w:rStyle w:val="Hyperlink"/>
            <w:sz w:val="20"/>
            <w:szCs w:val="20"/>
          </w:rPr>
          <w:t>http://www.tnw.tudelft.nl/?id=33099&amp;L=1</w:t>
        </w:r>
      </w:hyperlink>
      <w:r w:rsidRPr="0081171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BBC8" w14:textId="77777777" w:rsidR="0024123A" w:rsidRDefault="00241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4761B"/>
    <w:multiLevelType w:val="hybridMultilevel"/>
    <w:tmpl w:val="6D20E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DE069C4"/>
    <w:multiLevelType w:val="hybridMultilevel"/>
    <w:tmpl w:val="4A32D2EE"/>
    <w:lvl w:ilvl="0" w:tplc="DA6606A6">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75666F"/>
    <w:multiLevelType w:val="hybridMultilevel"/>
    <w:tmpl w:val="D5CEC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E0E027A"/>
    <w:multiLevelType w:val="hybridMultilevel"/>
    <w:tmpl w:val="66B482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FE"/>
    <w:rsid w:val="00037EF4"/>
    <w:rsid w:val="00047F0F"/>
    <w:rsid w:val="00074110"/>
    <w:rsid w:val="000C5F45"/>
    <w:rsid w:val="000E0AD9"/>
    <w:rsid w:val="000E0B96"/>
    <w:rsid w:val="000E0D07"/>
    <w:rsid w:val="0011325D"/>
    <w:rsid w:val="001156A1"/>
    <w:rsid w:val="00150BA2"/>
    <w:rsid w:val="00155F40"/>
    <w:rsid w:val="001605E2"/>
    <w:rsid w:val="00182615"/>
    <w:rsid w:val="0019764F"/>
    <w:rsid w:val="001A62C3"/>
    <w:rsid w:val="001A7BA8"/>
    <w:rsid w:val="001C0B34"/>
    <w:rsid w:val="001D259B"/>
    <w:rsid w:val="001D6E8E"/>
    <w:rsid w:val="001E4E4E"/>
    <w:rsid w:val="001F0548"/>
    <w:rsid w:val="0024123A"/>
    <w:rsid w:val="00241F31"/>
    <w:rsid w:val="00273DFB"/>
    <w:rsid w:val="002A0C48"/>
    <w:rsid w:val="002A5977"/>
    <w:rsid w:val="002C1F7B"/>
    <w:rsid w:val="002D39FF"/>
    <w:rsid w:val="002D60FA"/>
    <w:rsid w:val="002F2E5E"/>
    <w:rsid w:val="00333BB6"/>
    <w:rsid w:val="00352DB9"/>
    <w:rsid w:val="003A3985"/>
    <w:rsid w:val="003A3BB5"/>
    <w:rsid w:val="00423324"/>
    <w:rsid w:val="00440F50"/>
    <w:rsid w:val="00450703"/>
    <w:rsid w:val="00456D01"/>
    <w:rsid w:val="00460611"/>
    <w:rsid w:val="00471B69"/>
    <w:rsid w:val="00480698"/>
    <w:rsid w:val="0048592C"/>
    <w:rsid w:val="00497243"/>
    <w:rsid w:val="004E3A5D"/>
    <w:rsid w:val="00504CD3"/>
    <w:rsid w:val="005218DC"/>
    <w:rsid w:val="00530036"/>
    <w:rsid w:val="0053292D"/>
    <w:rsid w:val="00537B67"/>
    <w:rsid w:val="00550A4C"/>
    <w:rsid w:val="005526D0"/>
    <w:rsid w:val="005633C0"/>
    <w:rsid w:val="005658ED"/>
    <w:rsid w:val="00585C5D"/>
    <w:rsid w:val="005A36DD"/>
    <w:rsid w:val="005B5500"/>
    <w:rsid w:val="005C582A"/>
    <w:rsid w:val="005E230B"/>
    <w:rsid w:val="005E41E8"/>
    <w:rsid w:val="005E7A58"/>
    <w:rsid w:val="00641CCD"/>
    <w:rsid w:val="00647DC5"/>
    <w:rsid w:val="006A58D6"/>
    <w:rsid w:val="006C7305"/>
    <w:rsid w:val="00745A95"/>
    <w:rsid w:val="00754104"/>
    <w:rsid w:val="00792672"/>
    <w:rsid w:val="007B07AD"/>
    <w:rsid w:val="007F2FCD"/>
    <w:rsid w:val="00801AE8"/>
    <w:rsid w:val="00811716"/>
    <w:rsid w:val="0082265B"/>
    <w:rsid w:val="0083501E"/>
    <w:rsid w:val="00857F69"/>
    <w:rsid w:val="008744A1"/>
    <w:rsid w:val="008B0CFE"/>
    <w:rsid w:val="00905A50"/>
    <w:rsid w:val="00916BDF"/>
    <w:rsid w:val="00966CA9"/>
    <w:rsid w:val="0099675C"/>
    <w:rsid w:val="009B51AF"/>
    <w:rsid w:val="009D42F2"/>
    <w:rsid w:val="009D7F91"/>
    <w:rsid w:val="009F1D27"/>
    <w:rsid w:val="00A1339D"/>
    <w:rsid w:val="00A21139"/>
    <w:rsid w:val="00A22D7E"/>
    <w:rsid w:val="00A2400B"/>
    <w:rsid w:val="00A27E76"/>
    <w:rsid w:val="00A479E1"/>
    <w:rsid w:val="00A60B5F"/>
    <w:rsid w:val="00A636FA"/>
    <w:rsid w:val="00A65D30"/>
    <w:rsid w:val="00A857DD"/>
    <w:rsid w:val="00AE29CC"/>
    <w:rsid w:val="00AE5F96"/>
    <w:rsid w:val="00B14138"/>
    <w:rsid w:val="00B20C03"/>
    <w:rsid w:val="00C04EF4"/>
    <w:rsid w:val="00C270AC"/>
    <w:rsid w:val="00C3002D"/>
    <w:rsid w:val="00C350A1"/>
    <w:rsid w:val="00C40992"/>
    <w:rsid w:val="00C61097"/>
    <w:rsid w:val="00C72075"/>
    <w:rsid w:val="00CB328A"/>
    <w:rsid w:val="00CC380B"/>
    <w:rsid w:val="00CE09FF"/>
    <w:rsid w:val="00D04407"/>
    <w:rsid w:val="00D25583"/>
    <w:rsid w:val="00D40A66"/>
    <w:rsid w:val="00D45FB0"/>
    <w:rsid w:val="00D47261"/>
    <w:rsid w:val="00D56E43"/>
    <w:rsid w:val="00D6048A"/>
    <w:rsid w:val="00D76EC4"/>
    <w:rsid w:val="00D878F5"/>
    <w:rsid w:val="00DB44A2"/>
    <w:rsid w:val="00DC37DC"/>
    <w:rsid w:val="00DF200A"/>
    <w:rsid w:val="00E14174"/>
    <w:rsid w:val="00E37C60"/>
    <w:rsid w:val="00E4561E"/>
    <w:rsid w:val="00EA0991"/>
    <w:rsid w:val="00EA56A8"/>
    <w:rsid w:val="00EC1E26"/>
    <w:rsid w:val="00ED6D91"/>
    <w:rsid w:val="00ED777D"/>
    <w:rsid w:val="00EF5954"/>
    <w:rsid w:val="00F358C5"/>
    <w:rsid w:val="00F41CED"/>
    <w:rsid w:val="00F4670C"/>
    <w:rsid w:val="00F6309E"/>
    <w:rsid w:val="00F64F00"/>
    <w:rsid w:val="00F86AA8"/>
    <w:rsid w:val="00FD3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DF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2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45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5A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FE"/>
    <w:pPr>
      <w:spacing w:after="0" w:line="240" w:lineRule="auto"/>
    </w:pPr>
  </w:style>
  <w:style w:type="paragraph" w:styleId="PlainText">
    <w:name w:val="Plain Text"/>
    <w:basedOn w:val="Normal"/>
    <w:link w:val="PlainTextChar"/>
    <w:uiPriority w:val="99"/>
    <w:unhideWhenUsed/>
    <w:rsid w:val="005C582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C582A"/>
    <w:rPr>
      <w:rFonts w:ascii="Calibri" w:hAnsi="Calibri"/>
      <w:szCs w:val="21"/>
    </w:rPr>
  </w:style>
  <w:style w:type="paragraph" w:styleId="Header">
    <w:name w:val="header"/>
    <w:basedOn w:val="Normal"/>
    <w:link w:val="HeaderChar"/>
    <w:uiPriority w:val="99"/>
    <w:unhideWhenUsed/>
    <w:rsid w:val="001F0548"/>
    <w:pPr>
      <w:tabs>
        <w:tab w:val="center" w:pos="4513"/>
        <w:tab w:val="right" w:pos="9026"/>
      </w:tabs>
    </w:pPr>
  </w:style>
  <w:style w:type="character" w:customStyle="1" w:styleId="HeaderChar">
    <w:name w:val="Header Char"/>
    <w:basedOn w:val="DefaultParagraphFont"/>
    <w:link w:val="Header"/>
    <w:uiPriority w:val="99"/>
    <w:rsid w:val="001F054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F0548"/>
    <w:pPr>
      <w:tabs>
        <w:tab w:val="center" w:pos="4513"/>
        <w:tab w:val="right" w:pos="9026"/>
      </w:tabs>
    </w:pPr>
  </w:style>
  <w:style w:type="character" w:customStyle="1" w:styleId="FooterChar">
    <w:name w:val="Footer Char"/>
    <w:basedOn w:val="DefaultParagraphFont"/>
    <w:link w:val="Footer"/>
    <w:uiPriority w:val="99"/>
    <w:rsid w:val="001F0548"/>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14174"/>
    <w:rPr>
      <w:color w:val="0000FF" w:themeColor="hyperlink"/>
      <w:u w:val="single"/>
    </w:rPr>
  </w:style>
  <w:style w:type="paragraph" w:styleId="BalloonText">
    <w:name w:val="Balloon Text"/>
    <w:basedOn w:val="Normal"/>
    <w:link w:val="BalloonTextChar"/>
    <w:uiPriority w:val="99"/>
    <w:semiHidden/>
    <w:unhideWhenUsed/>
    <w:rsid w:val="00A60B5F"/>
    <w:rPr>
      <w:rFonts w:ascii="Tahoma" w:hAnsi="Tahoma" w:cs="Tahoma"/>
      <w:sz w:val="16"/>
      <w:szCs w:val="16"/>
    </w:rPr>
  </w:style>
  <w:style w:type="character" w:customStyle="1" w:styleId="BalloonTextChar">
    <w:name w:val="Balloon Text Char"/>
    <w:basedOn w:val="DefaultParagraphFont"/>
    <w:link w:val="BalloonText"/>
    <w:uiPriority w:val="99"/>
    <w:semiHidden/>
    <w:rsid w:val="00A60B5F"/>
    <w:rPr>
      <w:rFonts w:ascii="Tahoma" w:eastAsia="Times New Roman" w:hAnsi="Tahoma" w:cs="Tahoma"/>
      <w:sz w:val="16"/>
      <w:szCs w:val="16"/>
      <w:lang w:eastAsia="en-AU"/>
    </w:rPr>
  </w:style>
  <w:style w:type="paragraph" w:customStyle="1" w:styleId="Default">
    <w:name w:val="Default"/>
    <w:rsid w:val="00A1339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B51AF"/>
    <w:rPr>
      <w:sz w:val="16"/>
      <w:szCs w:val="16"/>
    </w:rPr>
  </w:style>
  <w:style w:type="paragraph" w:styleId="CommentText">
    <w:name w:val="annotation text"/>
    <w:basedOn w:val="Normal"/>
    <w:link w:val="CommentTextChar"/>
    <w:uiPriority w:val="99"/>
    <w:semiHidden/>
    <w:unhideWhenUsed/>
    <w:rsid w:val="009B51AF"/>
    <w:rPr>
      <w:sz w:val="20"/>
      <w:szCs w:val="20"/>
    </w:rPr>
  </w:style>
  <w:style w:type="character" w:customStyle="1" w:styleId="CommentTextChar">
    <w:name w:val="Comment Text Char"/>
    <w:basedOn w:val="DefaultParagraphFont"/>
    <w:link w:val="CommentText"/>
    <w:uiPriority w:val="99"/>
    <w:semiHidden/>
    <w:rsid w:val="009B51A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B51AF"/>
    <w:rPr>
      <w:b/>
      <w:bCs/>
    </w:rPr>
  </w:style>
  <w:style w:type="character" w:customStyle="1" w:styleId="CommentSubjectChar">
    <w:name w:val="Comment Subject Char"/>
    <w:basedOn w:val="CommentTextChar"/>
    <w:link w:val="CommentSubject"/>
    <w:uiPriority w:val="99"/>
    <w:semiHidden/>
    <w:rsid w:val="009B51AF"/>
    <w:rPr>
      <w:rFonts w:ascii="Times New Roman" w:eastAsia="Times New Roman" w:hAnsi="Times New Roman" w:cs="Times New Roman"/>
      <w:b/>
      <w:bCs/>
      <w:sz w:val="20"/>
      <w:szCs w:val="20"/>
      <w:lang w:eastAsia="en-AU"/>
    </w:rPr>
  </w:style>
  <w:style w:type="paragraph" w:styleId="Revision">
    <w:name w:val="Revision"/>
    <w:hidden/>
    <w:uiPriority w:val="99"/>
    <w:semiHidden/>
    <w:rsid w:val="00801AE8"/>
    <w:pPr>
      <w:spacing w:after="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9F1D27"/>
    <w:rPr>
      <w:sz w:val="20"/>
      <w:szCs w:val="20"/>
    </w:rPr>
  </w:style>
  <w:style w:type="character" w:customStyle="1" w:styleId="FootnoteTextChar">
    <w:name w:val="Footnote Text Char"/>
    <w:basedOn w:val="DefaultParagraphFont"/>
    <w:link w:val="FootnoteText"/>
    <w:uiPriority w:val="99"/>
    <w:semiHidden/>
    <w:rsid w:val="009F1D2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9F1D27"/>
    <w:rPr>
      <w:vertAlign w:val="superscript"/>
    </w:rPr>
  </w:style>
  <w:style w:type="character" w:styleId="FollowedHyperlink">
    <w:name w:val="FollowedHyperlink"/>
    <w:basedOn w:val="DefaultParagraphFont"/>
    <w:uiPriority w:val="99"/>
    <w:semiHidden/>
    <w:unhideWhenUsed/>
    <w:rsid w:val="009F1D27"/>
    <w:rPr>
      <w:color w:val="800080" w:themeColor="followedHyperlink"/>
      <w:u w:val="single"/>
    </w:rPr>
  </w:style>
  <w:style w:type="paragraph" w:styleId="ListParagraph">
    <w:name w:val="List Paragraph"/>
    <w:basedOn w:val="Normal"/>
    <w:uiPriority w:val="34"/>
    <w:qFormat/>
    <w:rsid w:val="00F358C5"/>
    <w:pPr>
      <w:ind w:left="720"/>
      <w:contextualSpacing/>
    </w:pPr>
  </w:style>
  <w:style w:type="paragraph" w:styleId="Title">
    <w:name w:val="Title"/>
    <w:basedOn w:val="Normal"/>
    <w:next w:val="Normal"/>
    <w:link w:val="TitleChar"/>
    <w:uiPriority w:val="10"/>
    <w:qFormat/>
    <w:rsid w:val="00745A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A95"/>
    <w:rPr>
      <w:rFonts w:asciiTheme="majorHAnsi" w:eastAsiaTheme="majorEastAsia" w:hAnsiTheme="majorHAnsi" w:cstheme="majorBidi"/>
      <w:color w:val="17365D" w:themeColor="text2" w:themeShade="BF"/>
      <w:spacing w:val="5"/>
      <w:kern w:val="28"/>
      <w:sz w:val="52"/>
      <w:szCs w:val="52"/>
      <w:lang w:eastAsia="en-AU"/>
    </w:rPr>
  </w:style>
  <w:style w:type="paragraph" w:styleId="Subtitle">
    <w:name w:val="Subtitle"/>
    <w:basedOn w:val="Normal"/>
    <w:next w:val="Normal"/>
    <w:link w:val="SubtitleChar"/>
    <w:uiPriority w:val="11"/>
    <w:qFormat/>
    <w:rsid w:val="00745A9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5A95"/>
    <w:rPr>
      <w:rFonts w:asciiTheme="majorHAnsi" w:eastAsiaTheme="majorEastAsia" w:hAnsiTheme="majorHAnsi" w:cstheme="majorBidi"/>
      <w:i/>
      <w:iCs/>
      <w:color w:val="4F81BD" w:themeColor="accent1"/>
      <w:spacing w:val="15"/>
      <w:sz w:val="24"/>
      <w:szCs w:val="24"/>
      <w:lang w:eastAsia="en-AU"/>
    </w:rPr>
  </w:style>
  <w:style w:type="character" w:customStyle="1" w:styleId="Heading1Char">
    <w:name w:val="Heading 1 Char"/>
    <w:basedOn w:val="DefaultParagraphFont"/>
    <w:link w:val="Heading1"/>
    <w:uiPriority w:val="9"/>
    <w:rsid w:val="00745A9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745A95"/>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2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45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5A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FE"/>
    <w:pPr>
      <w:spacing w:after="0" w:line="240" w:lineRule="auto"/>
    </w:pPr>
  </w:style>
  <w:style w:type="paragraph" w:styleId="PlainText">
    <w:name w:val="Plain Text"/>
    <w:basedOn w:val="Normal"/>
    <w:link w:val="PlainTextChar"/>
    <w:uiPriority w:val="99"/>
    <w:unhideWhenUsed/>
    <w:rsid w:val="005C582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C582A"/>
    <w:rPr>
      <w:rFonts w:ascii="Calibri" w:hAnsi="Calibri"/>
      <w:szCs w:val="21"/>
    </w:rPr>
  </w:style>
  <w:style w:type="paragraph" w:styleId="Header">
    <w:name w:val="header"/>
    <w:basedOn w:val="Normal"/>
    <w:link w:val="HeaderChar"/>
    <w:uiPriority w:val="99"/>
    <w:unhideWhenUsed/>
    <w:rsid w:val="001F0548"/>
    <w:pPr>
      <w:tabs>
        <w:tab w:val="center" w:pos="4513"/>
        <w:tab w:val="right" w:pos="9026"/>
      </w:tabs>
    </w:pPr>
  </w:style>
  <w:style w:type="character" w:customStyle="1" w:styleId="HeaderChar">
    <w:name w:val="Header Char"/>
    <w:basedOn w:val="DefaultParagraphFont"/>
    <w:link w:val="Header"/>
    <w:uiPriority w:val="99"/>
    <w:rsid w:val="001F054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F0548"/>
    <w:pPr>
      <w:tabs>
        <w:tab w:val="center" w:pos="4513"/>
        <w:tab w:val="right" w:pos="9026"/>
      </w:tabs>
    </w:pPr>
  </w:style>
  <w:style w:type="character" w:customStyle="1" w:styleId="FooterChar">
    <w:name w:val="Footer Char"/>
    <w:basedOn w:val="DefaultParagraphFont"/>
    <w:link w:val="Footer"/>
    <w:uiPriority w:val="99"/>
    <w:rsid w:val="001F0548"/>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14174"/>
    <w:rPr>
      <w:color w:val="0000FF" w:themeColor="hyperlink"/>
      <w:u w:val="single"/>
    </w:rPr>
  </w:style>
  <w:style w:type="paragraph" w:styleId="BalloonText">
    <w:name w:val="Balloon Text"/>
    <w:basedOn w:val="Normal"/>
    <w:link w:val="BalloonTextChar"/>
    <w:uiPriority w:val="99"/>
    <w:semiHidden/>
    <w:unhideWhenUsed/>
    <w:rsid w:val="00A60B5F"/>
    <w:rPr>
      <w:rFonts w:ascii="Tahoma" w:hAnsi="Tahoma" w:cs="Tahoma"/>
      <w:sz w:val="16"/>
      <w:szCs w:val="16"/>
    </w:rPr>
  </w:style>
  <w:style w:type="character" w:customStyle="1" w:styleId="BalloonTextChar">
    <w:name w:val="Balloon Text Char"/>
    <w:basedOn w:val="DefaultParagraphFont"/>
    <w:link w:val="BalloonText"/>
    <w:uiPriority w:val="99"/>
    <w:semiHidden/>
    <w:rsid w:val="00A60B5F"/>
    <w:rPr>
      <w:rFonts w:ascii="Tahoma" w:eastAsia="Times New Roman" w:hAnsi="Tahoma" w:cs="Tahoma"/>
      <w:sz w:val="16"/>
      <w:szCs w:val="16"/>
      <w:lang w:eastAsia="en-AU"/>
    </w:rPr>
  </w:style>
  <w:style w:type="paragraph" w:customStyle="1" w:styleId="Default">
    <w:name w:val="Default"/>
    <w:rsid w:val="00A1339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B51AF"/>
    <w:rPr>
      <w:sz w:val="16"/>
      <w:szCs w:val="16"/>
    </w:rPr>
  </w:style>
  <w:style w:type="paragraph" w:styleId="CommentText">
    <w:name w:val="annotation text"/>
    <w:basedOn w:val="Normal"/>
    <w:link w:val="CommentTextChar"/>
    <w:uiPriority w:val="99"/>
    <w:semiHidden/>
    <w:unhideWhenUsed/>
    <w:rsid w:val="009B51AF"/>
    <w:rPr>
      <w:sz w:val="20"/>
      <w:szCs w:val="20"/>
    </w:rPr>
  </w:style>
  <w:style w:type="character" w:customStyle="1" w:styleId="CommentTextChar">
    <w:name w:val="Comment Text Char"/>
    <w:basedOn w:val="DefaultParagraphFont"/>
    <w:link w:val="CommentText"/>
    <w:uiPriority w:val="99"/>
    <w:semiHidden/>
    <w:rsid w:val="009B51A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B51AF"/>
    <w:rPr>
      <w:b/>
      <w:bCs/>
    </w:rPr>
  </w:style>
  <w:style w:type="character" w:customStyle="1" w:styleId="CommentSubjectChar">
    <w:name w:val="Comment Subject Char"/>
    <w:basedOn w:val="CommentTextChar"/>
    <w:link w:val="CommentSubject"/>
    <w:uiPriority w:val="99"/>
    <w:semiHidden/>
    <w:rsid w:val="009B51AF"/>
    <w:rPr>
      <w:rFonts w:ascii="Times New Roman" w:eastAsia="Times New Roman" w:hAnsi="Times New Roman" w:cs="Times New Roman"/>
      <w:b/>
      <w:bCs/>
      <w:sz w:val="20"/>
      <w:szCs w:val="20"/>
      <w:lang w:eastAsia="en-AU"/>
    </w:rPr>
  </w:style>
  <w:style w:type="paragraph" w:styleId="Revision">
    <w:name w:val="Revision"/>
    <w:hidden/>
    <w:uiPriority w:val="99"/>
    <w:semiHidden/>
    <w:rsid w:val="00801AE8"/>
    <w:pPr>
      <w:spacing w:after="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9F1D27"/>
    <w:rPr>
      <w:sz w:val="20"/>
      <w:szCs w:val="20"/>
    </w:rPr>
  </w:style>
  <w:style w:type="character" w:customStyle="1" w:styleId="FootnoteTextChar">
    <w:name w:val="Footnote Text Char"/>
    <w:basedOn w:val="DefaultParagraphFont"/>
    <w:link w:val="FootnoteText"/>
    <w:uiPriority w:val="99"/>
    <w:semiHidden/>
    <w:rsid w:val="009F1D2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9F1D27"/>
    <w:rPr>
      <w:vertAlign w:val="superscript"/>
    </w:rPr>
  </w:style>
  <w:style w:type="character" w:styleId="FollowedHyperlink">
    <w:name w:val="FollowedHyperlink"/>
    <w:basedOn w:val="DefaultParagraphFont"/>
    <w:uiPriority w:val="99"/>
    <w:semiHidden/>
    <w:unhideWhenUsed/>
    <w:rsid w:val="009F1D27"/>
    <w:rPr>
      <w:color w:val="800080" w:themeColor="followedHyperlink"/>
      <w:u w:val="single"/>
    </w:rPr>
  </w:style>
  <w:style w:type="paragraph" w:styleId="ListParagraph">
    <w:name w:val="List Paragraph"/>
    <w:basedOn w:val="Normal"/>
    <w:uiPriority w:val="34"/>
    <w:qFormat/>
    <w:rsid w:val="00F358C5"/>
    <w:pPr>
      <w:ind w:left="720"/>
      <w:contextualSpacing/>
    </w:pPr>
  </w:style>
  <w:style w:type="paragraph" w:styleId="Title">
    <w:name w:val="Title"/>
    <w:basedOn w:val="Normal"/>
    <w:next w:val="Normal"/>
    <w:link w:val="TitleChar"/>
    <w:uiPriority w:val="10"/>
    <w:qFormat/>
    <w:rsid w:val="00745A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A95"/>
    <w:rPr>
      <w:rFonts w:asciiTheme="majorHAnsi" w:eastAsiaTheme="majorEastAsia" w:hAnsiTheme="majorHAnsi" w:cstheme="majorBidi"/>
      <w:color w:val="17365D" w:themeColor="text2" w:themeShade="BF"/>
      <w:spacing w:val="5"/>
      <w:kern w:val="28"/>
      <w:sz w:val="52"/>
      <w:szCs w:val="52"/>
      <w:lang w:eastAsia="en-AU"/>
    </w:rPr>
  </w:style>
  <w:style w:type="paragraph" w:styleId="Subtitle">
    <w:name w:val="Subtitle"/>
    <w:basedOn w:val="Normal"/>
    <w:next w:val="Normal"/>
    <w:link w:val="SubtitleChar"/>
    <w:uiPriority w:val="11"/>
    <w:qFormat/>
    <w:rsid w:val="00745A9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5A95"/>
    <w:rPr>
      <w:rFonts w:asciiTheme="majorHAnsi" w:eastAsiaTheme="majorEastAsia" w:hAnsiTheme="majorHAnsi" w:cstheme="majorBidi"/>
      <w:i/>
      <w:iCs/>
      <w:color w:val="4F81BD" w:themeColor="accent1"/>
      <w:spacing w:val="15"/>
      <w:sz w:val="24"/>
      <w:szCs w:val="24"/>
      <w:lang w:eastAsia="en-AU"/>
    </w:rPr>
  </w:style>
  <w:style w:type="character" w:customStyle="1" w:styleId="Heading1Char">
    <w:name w:val="Heading 1 Char"/>
    <w:basedOn w:val="DefaultParagraphFont"/>
    <w:link w:val="Heading1"/>
    <w:uiPriority w:val="9"/>
    <w:rsid w:val="00745A9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745A95"/>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se.org.au/atse/activity/innovation/reports/content/activity/innovation-content/developing-impact-engagement-australia-metric.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elmholtz.de/en/research/research_infrastruc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nw.tudelft.nl/?id=33099&amp;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BCR1400112</SubmissionID>
    <OriginalFileName xmlns="ed110c73-9675-4a40-bedd-85eaf2417466">ANSTO submission-boost-commercial return research_Final.docx</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5029-E893-4E4E-8460-D667B3FCFE64}"/>
</file>

<file path=customXml/itemProps2.xml><?xml version="1.0" encoding="utf-8"?>
<ds:datastoreItem xmlns:ds="http://schemas.openxmlformats.org/officeDocument/2006/customXml" ds:itemID="{134997BE-CC57-40AB-A7DD-8D5BADD131DF}"/>
</file>

<file path=customXml/itemProps3.xml><?xml version="1.0" encoding="utf-8"?>
<ds:datastoreItem xmlns:ds="http://schemas.openxmlformats.org/officeDocument/2006/customXml" ds:itemID="{C87BF3F5-FE78-4C41-B788-0C5FBFCBE64C}"/>
</file>

<file path=customXml/itemProps4.xml><?xml version="1.0" encoding="utf-8"?>
<ds:datastoreItem xmlns:ds="http://schemas.openxmlformats.org/officeDocument/2006/customXml" ds:itemID="{6E190B7D-AE39-42B1-8CDA-15580D23DA3F}"/>
</file>

<file path=docProps/app.xml><?xml version="1.0" encoding="utf-8"?>
<Properties xmlns="http://schemas.openxmlformats.org/officeDocument/2006/extended-properties" xmlns:vt="http://schemas.openxmlformats.org/officeDocument/2006/docPropsVTypes">
  <Template>2326983A.dotm</Template>
  <TotalTime>4</TotalTime>
  <Pages>7</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21419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1_Boosting_the_commercial_return_ANSTO_12022015_BCR1400112.docx</dc:title>
  <dc:creator>BUTTNER, Herma</dc:creator>
  <cp:lastModifiedBy>Drew Menzies-McVey</cp:lastModifiedBy>
  <cp:revision>3</cp:revision>
  <cp:lastPrinted>2014-11-25T05:11:00Z</cp:lastPrinted>
  <dcterms:created xsi:type="dcterms:W3CDTF">2014-12-05T05:11:00Z</dcterms:created>
  <dcterms:modified xsi:type="dcterms:W3CDTF">2015-02-18T05:04:00Z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