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Layout w:type="fixed"/>
        <w:tblCellMar>
          <w:left w:w="107" w:type="dxa"/>
          <w:right w:w="107" w:type="dxa"/>
        </w:tblCellMar>
        <w:tblLook w:val="0000" w:firstRow="0" w:lastRow="0" w:firstColumn="0" w:lastColumn="0" w:noHBand="0" w:noVBand="0"/>
      </w:tblPr>
      <w:tblGrid>
        <w:gridCol w:w="6061"/>
        <w:gridCol w:w="3544"/>
      </w:tblGrid>
      <w:tr w:rsidR="00C07B67" w14:paraId="3F63B053" w14:textId="77777777" w:rsidTr="00DC2E3A">
        <w:tc>
          <w:tcPr>
            <w:tcW w:w="6061" w:type="dxa"/>
          </w:tcPr>
          <w:p w14:paraId="3F63B04E" w14:textId="77777777" w:rsidR="00C07B67" w:rsidRPr="00FB1D56" w:rsidRDefault="00C07B67" w:rsidP="00C07B67">
            <w:pPr>
              <w:pStyle w:val="Heading5"/>
              <w:spacing w:before="120" w:line="240" w:lineRule="auto"/>
              <w:rPr>
                <w:rFonts w:ascii="Times New Roman" w:hAnsi="Times New Roman" w:cs="Times New Roman"/>
                <w:color w:val="auto"/>
                <w:sz w:val="74"/>
                <w:szCs w:val="24"/>
              </w:rPr>
            </w:pPr>
            <w:bookmarkStart w:id="0" w:name="CursorPositionBM"/>
            <w:bookmarkEnd w:id="0"/>
          </w:p>
          <w:p w14:paraId="3F63B04F" w14:textId="77777777" w:rsidR="00C07B67" w:rsidRPr="00FB1D56" w:rsidRDefault="00C07B67" w:rsidP="00C07B67">
            <w:pPr>
              <w:pStyle w:val="Heading5"/>
              <w:spacing w:before="120" w:line="240" w:lineRule="auto"/>
              <w:rPr>
                <w:rFonts w:ascii="Times New Roman" w:hAnsi="Times New Roman" w:cs="Times New Roman"/>
                <w:i/>
                <w:color w:val="auto"/>
                <w:sz w:val="44"/>
                <w:szCs w:val="44"/>
              </w:rPr>
            </w:pPr>
            <w:r w:rsidRPr="00FB1D56">
              <w:rPr>
                <w:rFonts w:ascii="Times New Roman" w:hAnsi="Times New Roman" w:cs="Times New Roman"/>
                <w:color w:val="auto"/>
                <w:sz w:val="44"/>
                <w:szCs w:val="44"/>
              </w:rPr>
              <w:t>Innovation Australia</w:t>
            </w:r>
          </w:p>
          <w:p w14:paraId="3F63B050" w14:textId="77777777" w:rsidR="00C07B67" w:rsidRPr="00FB1D56" w:rsidRDefault="00C07B67" w:rsidP="00C07B67">
            <w:pPr>
              <w:pStyle w:val="address"/>
              <w:tabs>
                <w:tab w:val="center" w:pos="3969"/>
              </w:tabs>
              <w:ind w:left="12" w:right="2123"/>
              <w:jc w:val="left"/>
              <w:rPr>
                <w:sz w:val="24"/>
                <w:szCs w:val="24"/>
              </w:rPr>
            </w:pPr>
          </w:p>
        </w:tc>
        <w:tc>
          <w:tcPr>
            <w:tcW w:w="3544" w:type="dxa"/>
          </w:tcPr>
          <w:p w14:paraId="3F63B051" w14:textId="77777777" w:rsidR="00C07B67" w:rsidRPr="00DD5D78" w:rsidRDefault="00C07B67" w:rsidP="00C07B67">
            <w:pPr>
              <w:pStyle w:val="address"/>
              <w:widowControl w:val="0"/>
              <w:rPr>
                <w:rFonts w:ascii="Arial Narrow" w:hAnsi="Arial Narrow"/>
                <w:sz w:val="16"/>
                <w:szCs w:val="16"/>
              </w:rPr>
            </w:pPr>
            <w:r>
              <w:rPr>
                <w:rFonts w:ascii="Arial Narrow" w:hAnsi="Arial Narrow"/>
                <w:noProof/>
                <w:sz w:val="16"/>
                <w:szCs w:val="16"/>
                <w:lang w:val="en-AU"/>
              </w:rPr>
              <w:drawing>
                <wp:inline distT="0" distB="0" distL="0" distR="0" wp14:anchorId="3F63B12D" wp14:editId="563AEE23">
                  <wp:extent cx="1651000" cy="1117600"/>
                  <wp:effectExtent l="0" t="0" r="6350" b="6350"/>
                  <wp:docPr id="1" name="Picture 1" descr="Industry Logo" title="Australian Government coat of arms, Department of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str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0" cy="1117600"/>
                          </a:xfrm>
                          <a:prstGeom prst="rect">
                            <a:avLst/>
                          </a:prstGeom>
                          <a:noFill/>
                          <a:ln>
                            <a:noFill/>
                          </a:ln>
                        </pic:spPr>
                      </pic:pic>
                    </a:graphicData>
                  </a:graphic>
                </wp:inline>
              </w:drawing>
            </w:r>
          </w:p>
          <w:p w14:paraId="3F63B052" w14:textId="77777777" w:rsidR="00C07B67" w:rsidRPr="00B03CCF" w:rsidRDefault="00C07B67" w:rsidP="00C07B67">
            <w:pPr>
              <w:pStyle w:val="address"/>
              <w:widowControl w:val="0"/>
              <w:rPr>
                <w:rFonts w:ascii="Arial Narrow" w:hAnsi="Arial Narrow"/>
                <w:sz w:val="16"/>
                <w:szCs w:val="16"/>
              </w:rPr>
            </w:pPr>
          </w:p>
        </w:tc>
      </w:tr>
      <w:tr w:rsidR="00C07B67" w:rsidRPr="00C07B67" w14:paraId="3F63B05F" w14:textId="77777777" w:rsidTr="00DC2E3A">
        <w:trPr>
          <w:trHeight w:val="2025"/>
        </w:trPr>
        <w:tc>
          <w:tcPr>
            <w:tcW w:w="6061" w:type="dxa"/>
          </w:tcPr>
          <w:p w14:paraId="3F63B054" w14:textId="77777777" w:rsidR="00C07B67" w:rsidRDefault="004A1401" w:rsidP="00C07B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Boosting Commercial Returns from Research </w:t>
            </w:r>
            <w:r w:rsidR="00501D4B">
              <w:rPr>
                <w:rFonts w:ascii="Times New Roman" w:hAnsi="Times New Roman" w:cs="Times New Roman"/>
                <w:sz w:val="24"/>
                <w:szCs w:val="24"/>
              </w:rPr>
              <w:t>Review</w:t>
            </w:r>
          </w:p>
          <w:p w14:paraId="3F63B055" w14:textId="77777777" w:rsidR="004A1401" w:rsidRDefault="004A1401" w:rsidP="004A14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Department of Education and </w:t>
            </w:r>
          </w:p>
          <w:p w14:paraId="3F63B056" w14:textId="77777777" w:rsidR="00C07B67" w:rsidRDefault="00C07B67" w:rsidP="00C07B67">
            <w:pPr>
              <w:spacing w:after="0" w:line="240" w:lineRule="auto"/>
              <w:rPr>
                <w:rFonts w:ascii="Times New Roman" w:hAnsi="Times New Roman" w:cs="Times New Roman"/>
                <w:sz w:val="24"/>
                <w:szCs w:val="24"/>
              </w:rPr>
            </w:pPr>
            <w:r>
              <w:rPr>
                <w:rFonts w:ascii="Times New Roman" w:hAnsi="Times New Roman" w:cs="Times New Roman"/>
                <w:sz w:val="24"/>
                <w:szCs w:val="24"/>
              </w:rPr>
              <w:t>Department of Industry</w:t>
            </w:r>
          </w:p>
          <w:p w14:paraId="3F63B057" w14:textId="77777777" w:rsidR="00C07B67" w:rsidRDefault="00C07B67" w:rsidP="00C07B67">
            <w:pPr>
              <w:spacing w:after="0" w:line="240" w:lineRule="auto"/>
              <w:rPr>
                <w:rFonts w:ascii="Times New Roman" w:hAnsi="Times New Roman" w:cs="Times New Roman"/>
                <w:sz w:val="24"/>
                <w:szCs w:val="24"/>
              </w:rPr>
            </w:pPr>
            <w:r>
              <w:rPr>
                <w:rFonts w:ascii="Times New Roman" w:hAnsi="Times New Roman" w:cs="Times New Roman"/>
                <w:sz w:val="24"/>
                <w:szCs w:val="24"/>
              </w:rPr>
              <w:t>GPO Box 9839</w:t>
            </w:r>
          </w:p>
          <w:p w14:paraId="3F63B058" w14:textId="77777777" w:rsidR="00C07B67" w:rsidRDefault="00C07B67" w:rsidP="00C07B67">
            <w:pPr>
              <w:spacing w:after="0" w:line="240" w:lineRule="auto"/>
              <w:rPr>
                <w:rFonts w:ascii="Times New Roman" w:hAnsi="Times New Roman" w:cs="Times New Roman"/>
                <w:sz w:val="24"/>
                <w:szCs w:val="24"/>
              </w:rPr>
            </w:pPr>
            <w:r>
              <w:rPr>
                <w:rFonts w:ascii="Times New Roman" w:hAnsi="Times New Roman" w:cs="Times New Roman"/>
                <w:sz w:val="24"/>
                <w:szCs w:val="24"/>
              </w:rPr>
              <w:t>CANBERRA  ACT  2601</w:t>
            </w:r>
          </w:p>
          <w:p w14:paraId="3F63B059" w14:textId="77777777" w:rsidR="00C07B67" w:rsidRDefault="00C07B67" w:rsidP="00C07B67">
            <w:pPr>
              <w:spacing w:after="0" w:line="240" w:lineRule="auto"/>
              <w:rPr>
                <w:rFonts w:ascii="Times New Roman" w:hAnsi="Times New Roman" w:cs="Times New Roman"/>
                <w:sz w:val="24"/>
                <w:szCs w:val="24"/>
              </w:rPr>
            </w:pPr>
          </w:p>
          <w:p w14:paraId="3F63B05A" w14:textId="77777777" w:rsidR="00EC2790" w:rsidRDefault="00EC2790" w:rsidP="00C07B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email: </w:t>
            </w:r>
            <w:hyperlink r:id="rId13" w:history="1">
              <w:r w:rsidR="008A59DA" w:rsidRPr="006F42E0">
                <w:rPr>
                  <w:rStyle w:val="Hyperlink"/>
                  <w:rFonts w:ascii="Times New Roman" w:hAnsi="Times New Roman" w:cs="Times New Roman"/>
                  <w:sz w:val="24"/>
                  <w:szCs w:val="24"/>
                </w:rPr>
                <w:t>ReviewConsultations@education.gov.au</w:t>
              </w:r>
            </w:hyperlink>
          </w:p>
          <w:p w14:paraId="3F63B05B" w14:textId="77777777" w:rsidR="00EC2790" w:rsidRPr="00C07B67" w:rsidRDefault="00EC2790" w:rsidP="00C07B67">
            <w:pPr>
              <w:spacing w:after="0" w:line="240" w:lineRule="auto"/>
              <w:rPr>
                <w:rFonts w:ascii="Times New Roman" w:hAnsi="Times New Roman" w:cs="Times New Roman"/>
                <w:sz w:val="24"/>
                <w:szCs w:val="24"/>
              </w:rPr>
            </w:pPr>
          </w:p>
        </w:tc>
        <w:tc>
          <w:tcPr>
            <w:tcW w:w="3544" w:type="dxa"/>
          </w:tcPr>
          <w:p w14:paraId="3F63B05C" w14:textId="77777777" w:rsidR="00C07B67" w:rsidRPr="00C07B67" w:rsidRDefault="00C07B67" w:rsidP="00C07B67">
            <w:pPr>
              <w:pStyle w:val="address"/>
              <w:widowControl w:val="0"/>
              <w:rPr>
                <w:rFonts w:ascii="Arial Narrow" w:hAnsi="Arial Narrow" w:cs="Arial"/>
                <w:sz w:val="16"/>
                <w:szCs w:val="16"/>
              </w:rPr>
            </w:pPr>
            <w:r w:rsidRPr="00C07B67">
              <w:rPr>
                <w:rFonts w:ascii="Arial Narrow" w:hAnsi="Arial Narrow" w:cs="Arial"/>
                <w:sz w:val="16"/>
                <w:szCs w:val="16"/>
              </w:rPr>
              <w:t>Nishi, 2 Phillip Law Street</w:t>
            </w:r>
            <w:r w:rsidRPr="00C07B67">
              <w:rPr>
                <w:rFonts w:ascii="Arial Narrow" w:hAnsi="Arial Narrow" w:cs="Arial"/>
                <w:sz w:val="16"/>
                <w:szCs w:val="16"/>
              </w:rPr>
              <w:br/>
              <w:t>CANBERRA CITY ACT 2600</w:t>
            </w:r>
            <w:r w:rsidRPr="00C07B67">
              <w:rPr>
                <w:rFonts w:ascii="Arial Narrow" w:hAnsi="Arial Narrow" w:cs="Arial"/>
                <w:sz w:val="16"/>
                <w:szCs w:val="16"/>
              </w:rPr>
              <w:br/>
              <w:t>GPO Box 9839</w:t>
            </w:r>
            <w:r w:rsidRPr="00C07B67">
              <w:rPr>
                <w:rFonts w:ascii="Arial Narrow" w:hAnsi="Arial Narrow" w:cs="Arial"/>
                <w:sz w:val="16"/>
                <w:szCs w:val="16"/>
              </w:rPr>
              <w:br/>
              <w:t>Canberra ACT 2601 Australia</w:t>
            </w:r>
          </w:p>
          <w:p w14:paraId="3F63B05D" w14:textId="77777777" w:rsidR="00C07B67" w:rsidRPr="00C07B67" w:rsidRDefault="00C07B67" w:rsidP="00C07B67">
            <w:pPr>
              <w:pStyle w:val="address"/>
              <w:widowControl w:val="0"/>
              <w:rPr>
                <w:rFonts w:ascii="Arial Narrow" w:hAnsi="Arial Narrow" w:cs="Arial"/>
                <w:sz w:val="16"/>
                <w:szCs w:val="16"/>
              </w:rPr>
            </w:pPr>
            <w:r w:rsidRPr="00C07B67">
              <w:rPr>
                <w:rFonts w:ascii="Arial Narrow" w:hAnsi="Arial Narrow" w:cs="Arial"/>
                <w:sz w:val="16"/>
                <w:szCs w:val="16"/>
              </w:rPr>
              <w:t>Phone: +61 2 6213 7400</w:t>
            </w:r>
          </w:p>
          <w:p w14:paraId="3F63B05E" w14:textId="77777777" w:rsidR="00C07B67" w:rsidRPr="00C07B67" w:rsidRDefault="00C07B67" w:rsidP="00C07B67">
            <w:pPr>
              <w:pStyle w:val="address"/>
              <w:widowControl w:val="0"/>
              <w:rPr>
                <w:rFonts w:ascii="Arial Narrow" w:hAnsi="Arial Narrow" w:cs="Arial"/>
                <w:sz w:val="16"/>
                <w:szCs w:val="16"/>
              </w:rPr>
            </w:pPr>
            <w:r w:rsidRPr="00C07B67">
              <w:rPr>
                <w:rFonts w:ascii="Arial Narrow" w:hAnsi="Arial Narrow" w:cs="Arial"/>
                <w:sz w:val="16"/>
                <w:szCs w:val="16"/>
              </w:rPr>
              <w:t xml:space="preserve">Email: </w:t>
            </w:r>
            <w:hyperlink r:id="rId14" w:history="1">
              <w:r w:rsidR="004A1401" w:rsidRPr="009A0C1E">
                <w:rPr>
                  <w:rStyle w:val="Hyperlink"/>
                  <w:rFonts w:ascii="Arial Narrow" w:eastAsiaTheme="majorEastAsia" w:hAnsi="Arial Narrow" w:cs="Arial"/>
                  <w:sz w:val="16"/>
                  <w:szCs w:val="16"/>
                </w:rPr>
                <w:t>InnovationAustralia@Industry.gov.au</w:t>
              </w:r>
            </w:hyperlink>
            <w:r w:rsidRPr="00C07B67">
              <w:rPr>
                <w:rFonts w:ascii="Arial Narrow" w:hAnsi="Arial Narrow" w:cs="Arial"/>
                <w:sz w:val="16"/>
                <w:szCs w:val="16"/>
              </w:rPr>
              <w:br/>
              <w:t xml:space="preserve">Web: </w:t>
            </w:r>
            <w:hyperlink r:id="rId15" w:history="1">
              <w:r w:rsidRPr="00C07B67">
                <w:rPr>
                  <w:rStyle w:val="Hyperlink"/>
                  <w:rFonts w:ascii="Arial Narrow" w:eastAsiaTheme="majorEastAsia" w:hAnsi="Arial Narrow" w:cs="Arial"/>
                  <w:color w:val="auto"/>
                  <w:sz w:val="16"/>
                  <w:szCs w:val="16"/>
                </w:rPr>
                <w:t>www.ausindustry.gov.au</w:t>
              </w:r>
            </w:hyperlink>
            <w:r w:rsidRPr="00C07B67">
              <w:rPr>
                <w:rFonts w:ascii="Arial Narrow" w:hAnsi="Arial Narrow" w:cs="Arial"/>
                <w:sz w:val="16"/>
                <w:szCs w:val="16"/>
              </w:rPr>
              <w:br/>
              <w:t>ABN: 74 599 608 295</w:t>
            </w:r>
          </w:p>
        </w:tc>
      </w:tr>
    </w:tbl>
    <w:p w14:paraId="3F63B060" w14:textId="77777777" w:rsidR="00C07B67" w:rsidRPr="00C07B67" w:rsidRDefault="00C07B67" w:rsidP="00C07B67">
      <w:pPr>
        <w:spacing w:line="240" w:lineRule="auto"/>
        <w:rPr>
          <w:rFonts w:ascii="Times New Roman" w:hAnsi="Times New Roman" w:cs="Times New Roman"/>
          <w:sz w:val="24"/>
          <w:szCs w:val="24"/>
        </w:rPr>
      </w:pPr>
      <w:r w:rsidRPr="00C07B67">
        <w:rPr>
          <w:rFonts w:ascii="Times New Roman" w:hAnsi="Times New Roman" w:cs="Times New Roman"/>
          <w:sz w:val="24"/>
          <w:szCs w:val="24"/>
        </w:rPr>
        <w:t xml:space="preserve">Dear </w:t>
      </w:r>
      <w:bookmarkStart w:id="1" w:name="SalutationBM"/>
      <w:bookmarkEnd w:id="1"/>
      <w:r w:rsidR="00C215EE">
        <w:rPr>
          <w:rFonts w:ascii="Times New Roman" w:hAnsi="Times New Roman" w:cs="Times New Roman"/>
          <w:sz w:val="24"/>
          <w:szCs w:val="24"/>
        </w:rPr>
        <w:t>Sir</w:t>
      </w:r>
    </w:p>
    <w:p w14:paraId="3F63B061" w14:textId="77777777" w:rsidR="00C07B67" w:rsidRPr="004A1401" w:rsidRDefault="004A1401" w:rsidP="00A668D1">
      <w:pPr>
        <w:pStyle w:val="Heading1"/>
      </w:pPr>
      <w:r w:rsidRPr="004A1401">
        <w:t xml:space="preserve">Boosting the Commercial Returns from Research - Response to </w:t>
      </w:r>
      <w:r w:rsidR="00501D4B" w:rsidRPr="004A1401">
        <w:t>Discussion Paper</w:t>
      </w:r>
    </w:p>
    <w:p w14:paraId="3F63B062" w14:textId="77777777" w:rsidR="004A1401" w:rsidRPr="004A1401" w:rsidRDefault="00EC2790" w:rsidP="004A1401">
      <w:pPr>
        <w:ind w:right="95"/>
        <w:rPr>
          <w:rFonts w:ascii="Times New Roman" w:hAnsi="Times New Roman" w:cs="Times New Roman"/>
          <w:iCs/>
          <w:sz w:val="24"/>
          <w:szCs w:val="24"/>
          <w:lang w:bidi="ar-SA"/>
        </w:rPr>
      </w:pPr>
      <w:r w:rsidRPr="004A1401">
        <w:rPr>
          <w:rFonts w:ascii="Times New Roman" w:hAnsi="Times New Roman" w:cs="Times New Roman"/>
          <w:i/>
          <w:iCs/>
          <w:sz w:val="24"/>
          <w:szCs w:val="24"/>
          <w:lang w:bidi="ar-SA"/>
        </w:rPr>
        <w:t>Innovation Australia</w:t>
      </w:r>
      <w:r w:rsidRPr="004A1401">
        <w:rPr>
          <w:rFonts w:ascii="Times New Roman" w:hAnsi="Times New Roman" w:cs="Times New Roman"/>
          <w:iCs/>
          <w:sz w:val="24"/>
          <w:szCs w:val="24"/>
          <w:lang w:bidi="ar-SA"/>
        </w:rPr>
        <w:t xml:space="preserve"> is pleased to provide the </w:t>
      </w:r>
      <w:r w:rsidRPr="004A1401">
        <w:rPr>
          <w:rFonts w:ascii="Times New Roman" w:hAnsi="Times New Roman" w:cs="Times New Roman"/>
          <w:iCs/>
          <w:sz w:val="24"/>
          <w:szCs w:val="24"/>
          <w:u w:val="single"/>
          <w:lang w:bidi="ar-SA"/>
        </w:rPr>
        <w:t>attached</w:t>
      </w:r>
      <w:r w:rsidRPr="004A1401">
        <w:rPr>
          <w:rFonts w:ascii="Times New Roman" w:hAnsi="Times New Roman" w:cs="Times New Roman"/>
          <w:iCs/>
          <w:sz w:val="24"/>
          <w:szCs w:val="24"/>
          <w:lang w:bidi="ar-SA"/>
        </w:rPr>
        <w:t xml:space="preserve"> submission in response to the</w:t>
      </w:r>
      <w:r w:rsidR="004A1401" w:rsidRPr="004A1401">
        <w:rPr>
          <w:rFonts w:ascii="Times New Roman" w:hAnsi="Times New Roman" w:cs="Times New Roman"/>
          <w:iCs/>
          <w:sz w:val="24"/>
          <w:szCs w:val="24"/>
          <w:lang w:bidi="ar-SA"/>
        </w:rPr>
        <w:t xml:space="preserve"> discussion paper “</w:t>
      </w:r>
      <w:r w:rsidR="004A1401" w:rsidRPr="004A1401">
        <w:rPr>
          <w:rFonts w:ascii="Times New Roman" w:hAnsi="Times New Roman" w:cs="Times New Roman"/>
          <w:sz w:val="24"/>
          <w:szCs w:val="24"/>
        </w:rPr>
        <w:t xml:space="preserve">Boosting the Commercial Returns from Research” prepared jointly by the Department of Education and the Department of Industry. </w:t>
      </w:r>
      <w:r w:rsidR="00DF3EF5" w:rsidRPr="004A1401">
        <w:rPr>
          <w:rFonts w:ascii="Times New Roman" w:hAnsi="Times New Roman" w:cs="Times New Roman"/>
          <w:i/>
          <w:iCs/>
          <w:sz w:val="24"/>
          <w:szCs w:val="24"/>
          <w:lang w:bidi="ar-SA"/>
        </w:rPr>
        <w:t>Innovation Australia’s</w:t>
      </w:r>
      <w:r w:rsidR="00DF3EF5" w:rsidRPr="004A1401">
        <w:rPr>
          <w:rFonts w:ascii="Times New Roman" w:hAnsi="Times New Roman" w:cs="Times New Roman"/>
          <w:iCs/>
          <w:sz w:val="24"/>
          <w:szCs w:val="24"/>
          <w:lang w:bidi="ar-SA"/>
        </w:rPr>
        <w:t xml:space="preserve"> submission </w:t>
      </w:r>
      <w:r w:rsidR="004A1401" w:rsidRPr="004A1401">
        <w:rPr>
          <w:rFonts w:ascii="Times New Roman" w:hAnsi="Times New Roman" w:cs="Times New Roman"/>
          <w:iCs/>
          <w:sz w:val="24"/>
          <w:szCs w:val="24"/>
          <w:lang w:bidi="ar-SA"/>
        </w:rPr>
        <w:t xml:space="preserve">recommends a wide range of policies that can be used to increase the rate of return of commercial returns from research. We have also made a number of additional points on issues not discussed in the paper but which are also important in improving commercialisation of research. </w:t>
      </w:r>
    </w:p>
    <w:p w14:paraId="3F63B063" w14:textId="77777777" w:rsidR="004A1401" w:rsidRPr="004A1401" w:rsidRDefault="004A1401" w:rsidP="004A1401">
      <w:pPr>
        <w:ind w:right="95"/>
        <w:rPr>
          <w:rFonts w:ascii="Times New Roman" w:hAnsi="Times New Roman" w:cs="Times New Roman"/>
          <w:sz w:val="24"/>
          <w:szCs w:val="24"/>
        </w:rPr>
      </w:pPr>
      <w:r w:rsidRPr="004A1401">
        <w:rPr>
          <w:rFonts w:ascii="Times New Roman" w:hAnsi="Times New Roman" w:cs="Times New Roman"/>
          <w:sz w:val="24"/>
          <w:szCs w:val="24"/>
        </w:rPr>
        <w:t xml:space="preserve">The R&amp;D Incentive Committee operates under delegation from </w:t>
      </w:r>
      <w:r>
        <w:rPr>
          <w:rFonts w:ascii="Times New Roman" w:hAnsi="Times New Roman" w:cs="Times New Roman"/>
          <w:i/>
          <w:sz w:val="24"/>
          <w:szCs w:val="24"/>
        </w:rPr>
        <w:t>Innovation Australia</w:t>
      </w:r>
      <w:r w:rsidRPr="004A1401">
        <w:rPr>
          <w:rFonts w:ascii="Times New Roman" w:hAnsi="Times New Roman" w:cs="Times New Roman"/>
          <w:sz w:val="24"/>
          <w:szCs w:val="24"/>
        </w:rPr>
        <w:t xml:space="preserve"> and provides oversight over the R&amp;D Tax Incentive. A submission from this Committee, which has a particular focus on the R&amp;D Tax incentive, is included </w:t>
      </w:r>
      <w:r w:rsidR="006F70D5">
        <w:rPr>
          <w:rFonts w:ascii="Times New Roman" w:hAnsi="Times New Roman" w:cs="Times New Roman"/>
          <w:sz w:val="24"/>
          <w:szCs w:val="24"/>
        </w:rPr>
        <w:t>as part of</w:t>
      </w:r>
      <w:r w:rsidR="00C215EE">
        <w:rPr>
          <w:rFonts w:ascii="Times New Roman" w:hAnsi="Times New Roman" w:cs="Times New Roman"/>
          <w:sz w:val="24"/>
          <w:szCs w:val="24"/>
        </w:rPr>
        <w:t xml:space="preserve"> </w:t>
      </w:r>
      <w:r w:rsidR="006F70D5">
        <w:rPr>
          <w:rFonts w:ascii="Times New Roman" w:hAnsi="Times New Roman" w:cs="Times New Roman"/>
          <w:sz w:val="24"/>
          <w:szCs w:val="24"/>
        </w:rPr>
        <w:t>our</w:t>
      </w:r>
      <w:r w:rsidR="006F70D5" w:rsidRPr="006F70D5">
        <w:rPr>
          <w:rFonts w:ascii="Times New Roman" w:hAnsi="Times New Roman" w:cs="Times New Roman"/>
          <w:sz w:val="24"/>
          <w:szCs w:val="24"/>
        </w:rPr>
        <w:t xml:space="preserve"> submission</w:t>
      </w:r>
    </w:p>
    <w:p w14:paraId="3F63B064" w14:textId="77777777" w:rsidR="00EC2790" w:rsidRPr="004A1401" w:rsidRDefault="004A1401" w:rsidP="00571C97">
      <w:pPr>
        <w:spacing w:line="240" w:lineRule="auto"/>
        <w:rPr>
          <w:rFonts w:ascii="Times New Roman" w:hAnsi="Times New Roman" w:cs="Times New Roman"/>
          <w:iCs/>
          <w:sz w:val="24"/>
          <w:szCs w:val="24"/>
          <w:lang w:bidi="ar-SA"/>
        </w:rPr>
      </w:pPr>
      <w:r w:rsidRPr="004A1401">
        <w:rPr>
          <w:rFonts w:ascii="Times New Roman" w:hAnsi="Times New Roman" w:cs="Times New Roman"/>
          <w:iCs/>
          <w:sz w:val="24"/>
          <w:szCs w:val="24"/>
          <w:lang w:bidi="ar-SA"/>
        </w:rPr>
        <w:t>Our suggestions are intended to increase t</w:t>
      </w:r>
      <w:r w:rsidR="00DF3EF5" w:rsidRPr="004A1401">
        <w:rPr>
          <w:rFonts w:ascii="Times New Roman" w:hAnsi="Times New Roman" w:cs="Times New Roman"/>
          <w:iCs/>
          <w:sz w:val="24"/>
          <w:szCs w:val="24"/>
          <w:lang w:bidi="ar-SA"/>
        </w:rPr>
        <w:t xml:space="preserve">he rate of return from Government </w:t>
      </w:r>
      <w:r w:rsidR="00922CB3" w:rsidRPr="004A1401">
        <w:rPr>
          <w:rFonts w:ascii="Times New Roman" w:hAnsi="Times New Roman" w:cs="Times New Roman"/>
          <w:iCs/>
          <w:sz w:val="24"/>
          <w:szCs w:val="24"/>
          <w:lang w:bidi="ar-SA"/>
        </w:rPr>
        <w:t xml:space="preserve">research </w:t>
      </w:r>
      <w:r w:rsidR="00DF3EF5" w:rsidRPr="004A1401">
        <w:rPr>
          <w:rFonts w:ascii="Times New Roman" w:hAnsi="Times New Roman" w:cs="Times New Roman"/>
          <w:iCs/>
          <w:sz w:val="24"/>
          <w:szCs w:val="24"/>
          <w:lang w:bidi="ar-SA"/>
        </w:rPr>
        <w:t>funding</w:t>
      </w:r>
      <w:r w:rsidR="00922CB3" w:rsidRPr="004A1401">
        <w:rPr>
          <w:rFonts w:ascii="Times New Roman" w:hAnsi="Times New Roman" w:cs="Times New Roman"/>
          <w:iCs/>
          <w:sz w:val="24"/>
          <w:szCs w:val="24"/>
          <w:lang w:bidi="ar-SA"/>
        </w:rPr>
        <w:t xml:space="preserve"> in line with the Australian Government’s </w:t>
      </w:r>
      <w:r w:rsidR="00922CB3" w:rsidRPr="004A1401">
        <w:rPr>
          <w:rFonts w:ascii="Times New Roman" w:hAnsi="Times New Roman" w:cs="Times New Roman"/>
          <w:i/>
          <w:iCs/>
          <w:sz w:val="24"/>
          <w:szCs w:val="24"/>
          <w:lang w:bidi="ar-SA"/>
        </w:rPr>
        <w:t>Industry Innovation and Competitiveness Agenda</w:t>
      </w:r>
      <w:r w:rsidR="00922CB3" w:rsidRPr="004A1401">
        <w:rPr>
          <w:rFonts w:ascii="Times New Roman" w:hAnsi="Times New Roman" w:cs="Times New Roman"/>
          <w:iCs/>
          <w:sz w:val="24"/>
          <w:szCs w:val="24"/>
          <w:lang w:bidi="ar-SA"/>
        </w:rPr>
        <w:t xml:space="preserve"> (the Agenda)</w:t>
      </w:r>
      <w:r w:rsidR="00EB0307" w:rsidRPr="004A1401">
        <w:rPr>
          <w:rFonts w:ascii="Times New Roman" w:hAnsi="Times New Roman" w:cs="Times New Roman"/>
          <w:iCs/>
          <w:sz w:val="24"/>
          <w:szCs w:val="24"/>
          <w:lang w:bidi="ar-SA"/>
        </w:rPr>
        <w:t xml:space="preserve"> and reduce </w:t>
      </w:r>
      <w:r w:rsidRPr="004A1401">
        <w:rPr>
          <w:rFonts w:ascii="Times New Roman" w:hAnsi="Times New Roman" w:cs="Times New Roman"/>
          <w:iCs/>
          <w:sz w:val="24"/>
          <w:szCs w:val="24"/>
          <w:lang w:bidi="ar-SA"/>
        </w:rPr>
        <w:t xml:space="preserve">red tape and the </w:t>
      </w:r>
      <w:r w:rsidR="00EB0307" w:rsidRPr="004A1401">
        <w:rPr>
          <w:rFonts w:ascii="Times New Roman" w:hAnsi="Times New Roman" w:cs="Times New Roman"/>
          <w:iCs/>
          <w:sz w:val="24"/>
          <w:szCs w:val="24"/>
          <w:lang w:bidi="ar-SA"/>
        </w:rPr>
        <w:t>dependence on the public purse</w:t>
      </w:r>
      <w:r w:rsidR="00571C97" w:rsidRPr="004A1401">
        <w:rPr>
          <w:rFonts w:ascii="Times New Roman" w:hAnsi="Times New Roman" w:cs="Times New Roman"/>
          <w:iCs/>
          <w:sz w:val="24"/>
          <w:szCs w:val="24"/>
          <w:lang w:bidi="ar-SA"/>
        </w:rPr>
        <w:t>.</w:t>
      </w:r>
    </w:p>
    <w:p w14:paraId="3F63B065" w14:textId="77777777" w:rsidR="006F70D5" w:rsidRDefault="004A1401" w:rsidP="00571C97">
      <w:pPr>
        <w:pStyle w:val="hps-normal"/>
        <w:spacing w:line="276" w:lineRule="auto"/>
      </w:pPr>
      <w:r w:rsidRPr="004A1401">
        <w:t>Our secretariat will be pleased to provide copies of previous submissions made by the Board and which</w:t>
      </w:r>
      <w:r w:rsidR="00C215EE">
        <w:t xml:space="preserve"> </w:t>
      </w:r>
      <w:r w:rsidRPr="004A1401">
        <w:t xml:space="preserve">are referred to in the document. </w:t>
      </w:r>
    </w:p>
    <w:p w14:paraId="3F63B06C" w14:textId="77777777" w:rsidR="006F70D5" w:rsidRDefault="00C215EE" w:rsidP="00C215EE">
      <w:pPr>
        <w:spacing w:before="120" w:after="0" w:line="240" w:lineRule="auto"/>
      </w:pPr>
      <w:r>
        <w:rPr>
          <w:rFonts w:ascii="Times New Roman" w:hAnsi="Times New Roman" w:cs="Times New Roman"/>
          <w:sz w:val="24"/>
          <w:szCs w:val="24"/>
        </w:rPr>
        <w:t>3</w:t>
      </w:r>
      <w:r w:rsidR="003F7FC4" w:rsidRPr="004A1401">
        <w:rPr>
          <w:rFonts w:ascii="Times New Roman" w:hAnsi="Times New Roman" w:cs="Times New Roman"/>
          <w:sz w:val="24"/>
          <w:szCs w:val="24"/>
        </w:rPr>
        <w:t xml:space="preserve"> December</w:t>
      </w:r>
      <w:r w:rsidR="00C07B67" w:rsidRPr="004A1401">
        <w:rPr>
          <w:rFonts w:ascii="Times New Roman" w:hAnsi="Times New Roman" w:cs="Times New Roman"/>
          <w:sz w:val="24"/>
          <w:szCs w:val="24"/>
        </w:rPr>
        <w:t xml:space="preserve"> 2014</w:t>
      </w:r>
      <w:r w:rsidR="006F70D5">
        <w:br w:type="page"/>
      </w:r>
    </w:p>
    <w:p w14:paraId="3F63B06D" w14:textId="77777777" w:rsidR="0092700E" w:rsidRPr="004A1401" w:rsidRDefault="0092700E" w:rsidP="004A1401">
      <w:pPr>
        <w:spacing w:before="120" w:after="0" w:line="240" w:lineRule="auto"/>
        <w:rPr>
          <w:rFonts w:ascii="Times New Roman" w:hAnsi="Times New Roman" w:cs="Times New Roman"/>
          <w:b/>
          <w:iCs/>
          <w:sz w:val="24"/>
          <w:szCs w:val="24"/>
          <w:u w:val="single"/>
          <w:lang w:bidi="ar-SA"/>
        </w:rPr>
      </w:pPr>
    </w:p>
    <w:p w14:paraId="3F63B06E" w14:textId="77777777" w:rsidR="00C44652" w:rsidRPr="004A1401" w:rsidRDefault="00984007" w:rsidP="00A668D1">
      <w:pPr>
        <w:pStyle w:val="Title"/>
        <w:rPr>
          <w:lang w:bidi="ar-SA"/>
        </w:rPr>
      </w:pPr>
      <w:r>
        <w:rPr>
          <w:lang w:bidi="ar-SA"/>
        </w:rPr>
        <w:t>Innovation Australia</w:t>
      </w:r>
    </w:p>
    <w:p w14:paraId="3F63B06F" w14:textId="77777777" w:rsidR="00836FA8" w:rsidRPr="00984007" w:rsidRDefault="00836FA8" w:rsidP="00A668D1">
      <w:pPr>
        <w:pStyle w:val="Subtitle"/>
        <w:rPr>
          <w:lang w:bidi="ar-SA"/>
        </w:rPr>
      </w:pPr>
      <w:r w:rsidRPr="00984007">
        <w:rPr>
          <w:lang w:bidi="ar-SA"/>
        </w:rPr>
        <w:t xml:space="preserve">Submission </w:t>
      </w:r>
      <w:r w:rsidR="00EC2790" w:rsidRPr="00984007">
        <w:rPr>
          <w:lang w:bidi="ar-SA"/>
        </w:rPr>
        <w:t>to</w:t>
      </w:r>
      <w:r w:rsidR="00C215EE">
        <w:rPr>
          <w:lang w:bidi="ar-SA"/>
        </w:rPr>
        <w:t xml:space="preserve"> </w:t>
      </w:r>
      <w:r w:rsidR="004A1401" w:rsidRPr="00984007">
        <w:t>Boosting the Commercial Returns from Research</w:t>
      </w:r>
      <w:r w:rsidR="00C215EE">
        <w:t xml:space="preserve"> </w:t>
      </w:r>
      <w:r w:rsidR="00C44652" w:rsidRPr="00984007">
        <w:rPr>
          <w:lang w:bidi="ar-SA"/>
        </w:rPr>
        <w:t>Review</w:t>
      </w:r>
    </w:p>
    <w:p w14:paraId="3F63B070" w14:textId="77777777" w:rsidR="00836FA8" w:rsidRPr="00984007" w:rsidRDefault="00836FA8" w:rsidP="00C07B67">
      <w:pPr>
        <w:autoSpaceDE w:val="0"/>
        <w:autoSpaceDN w:val="0"/>
        <w:adjustRightInd w:val="0"/>
        <w:spacing w:after="0" w:line="240" w:lineRule="auto"/>
        <w:rPr>
          <w:rFonts w:ascii="Times New Roman" w:hAnsi="Times New Roman" w:cs="Times New Roman"/>
          <w:b/>
          <w:iCs/>
          <w:sz w:val="24"/>
          <w:szCs w:val="24"/>
          <w:u w:val="single"/>
          <w:lang w:bidi="ar-SA"/>
        </w:rPr>
      </w:pPr>
    </w:p>
    <w:p w14:paraId="3F63B073" w14:textId="77777777" w:rsidR="00984007" w:rsidRPr="00984007" w:rsidRDefault="00984007" w:rsidP="00984007">
      <w:pPr>
        <w:spacing w:after="0"/>
        <w:ind w:right="95"/>
        <w:jc w:val="both"/>
        <w:rPr>
          <w:rFonts w:ascii="Times New Roman" w:hAnsi="Times New Roman" w:cs="Times New Roman"/>
          <w:sz w:val="24"/>
          <w:szCs w:val="24"/>
        </w:rPr>
      </w:pPr>
      <w:r w:rsidRPr="00984007">
        <w:rPr>
          <w:rFonts w:ascii="Times New Roman" w:hAnsi="Times New Roman" w:cs="Times New Roman"/>
          <w:i/>
          <w:sz w:val="24"/>
          <w:szCs w:val="24"/>
        </w:rPr>
        <w:t>Innovation Australia (</w:t>
      </w:r>
      <w:r w:rsidRPr="00984007">
        <w:rPr>
          <w:rFonts w:ascii="Times New Roman" w:hAnsi="Times New Roman" w:cs="Times New Roman"/>
          <w:sz w:val="24"/>
          <w:szCs w:val="24"/>
        </w:rPr>
        <w:t>IA Board</w:t>
      </w:r>
      <w:r w:rsidRPr="00984007">
        <w:rPr>
          <w:rFonts w:ascii="Times New Roman" w:hAnsi="Times New Roman" w:cs="Times New Roman"/>
          <w:i/>
          <w:sz w:val="24"/>
          <w:szCs w:val="24"/>
        </w:rPr>
        <w:t xml:space="preserve">) </w:t>
      </w:r>
      <w:r w:rsidRPr="00984007">
        <w:rPr>
          <w:rFonts w:ascii="Times New Roman" w:hAnsi="Times New Roman" w:cs="Times New Roman"/>
          <w:sz w:val="24"/>
          <w:szCs w:val="24"/>
        </w:rPr>
        <w:t xml:space="preserve">has a key role in providing independent advice to the Government on matters relating to innovation in business and industry. This submission is made in response to the discussion paper, “Boosting the Commercial Returns from Research” prepared jointly by the Department of Education and the Department of Industry. </w:t>
      </w:r>
    </w:p>
    <w:p w14:paraId="3F63B074" w14:textId="77777777" w:rsidR="00984007" w:rsidRPr="00984007" w:rsidRDefault="00984007" w:rsidP="00984007">
      <w:pPr>
        <w:spacing w:after="0"/>
        <w:ind w:right="95"/>
        <w:jc w:val="both"/>
        <w:rPr>
          <w:rFonts w:ascii="Times New Roman" w:hAnsi="Times New Roman" w:cs="Times New Roman"/>
          <w:sz w:val="24"/>
          <w:szCs w:val="24"/>
        </w:rPr>
      </w:pPr>
    </w:p>
    <w:p w14:paraId="3F63B075" w14:textId="77777777" w:rsidR="00984007" w:rsidRPr="00984007" w:rsidRDefault="00984007" w:rsidP="00984007">
      <w:pPr>
        <w:spacing w:after="0"/>
        <w:ind w:right="95"/>
        <w:jc w:val="both"/>
        <w:rPr>
          <w:rFonts w:ascii="Times New Roman" w:hAnsi="Times New Roman" w:cs="Times New Roman"/>
          <w:sz w:val="24"/>
          <w:szCs w:val="24"/>
        </w:rPr>
      </w:pPr>
      <w:r w:rsidRPr="00984007">
        <w:rPr>
          <w:rFonts w:ascii="Times New Roman" w:hAnsi="Times New Roman" w:cs="Times New Roman"/>
          <w:sz w:val="24"/>
          <w:szCs w:val="24"/>
        </w:rPr>
        <w:t xml:space="preserve">The R&amp;D Incentive Committee operates under delegation from the IA Board and provides oversight over the R&amp;D Tax Incentive. A submission from this Committee, which has a particular focus on the R&amp;D Tax incentive, is included in </w:t>
      </w:r>
      <w:r w:rsidRPr="00984007">
        <w:rPr>
          <w:rFonts w:ascii="Times New Roman" w:hAnsi="Times New Roman" w:cs="Times New Roman"/>
          <w:b/>
          <w:sz w:val="24"/>
          <w:szCs w:val="24"/>
        </w:rPr>
        <w:t>Attachment 1.</w:t>
      </w:r>
    </w:p>
    <w:p w14:paraId="3F63B077" w14:textId="77777777" w:rsidR="00984007" w:rsidRPr="00984007" w:rsidRDefault="00984007" w:rsidP="00A668D1">
      <w:pPr>
        <w:pStyle w:val="Heading1"/>
      </w:pPr>
      <w:r w:rsidRPr="00984007">
        <w:t>BACKGROUND TO THIS SUBMISSION</w:t>
      </w:r>
    </w:p>
    <w:p w14:paraId="3F63B078" w14:textId="77777777" w:rsidR="00984007" w:rsidRPr="00984007" w:rsidRDefault="00984007" w:rsidP="00984007">
      <w:pPr>
        <w:spacing w:after="0"/>
        <w:jc w:val="both"/>
        <w:rPr>
          <w:rFonts w:ascii="Times New Roman" w:hAnsi="Times New Roman" w:cs="Times New Roman"/>
          <w:sz w:val="24"/>
          <w:szCs w:val="24"/>
        </w:rPr>
      </w:pPr>
    </w:p>
    <w:p w14:paraId="3F63B079" w14:textId="77777777" w:rsidR="00984007" w:rsidRPr="00984007" w:rsidRDefault="00984007" w:rsidP="00984007">
      <w:pPr>
        <w:autoSpaceDE w:val="0"/>
        <w:autoSpaceDN w:val="0"/>
        <w:adjustRightInd w:val="0"/>
        <w:spacing w:after="0"/>
        <w:jc w:val="both"/>
        <w:rPr>
          <w:rFonts w:ascii="Times New Roman" w:hAnsi="Times New Roman" w:cs="Times New Roman"/>
          <w:sz w:val="24"/>
          <w:szCs w:val="24"/>
        </w:rPr>
      </w:pPr>
      <w:r w:rsidRPr="00984007">
        <w:rPr>
          <w:rFonts w:ascii="Times New Roman" w:hAnsi="Times New Roman" w:cs="Times New Roman"/>
          <w:sz w:val="24"/>
          <w:szCs w:val="24"/>
        </w:rPr>
        <w:t>The Australian innovation system is a complex set of activities and relationships -encompassing multiple industries, stakeholders, enablers and value chains. This complexity results in inefficiencies and confusion, creating barriers for the successful commercialisation of research outcomes</w:t>
      </w:r>
      <w:r w:rsidRPr="00984007">
        <w:rPr>
          <w:rStyle w:val="FootnoteReference"/>
          <w:rFonts w:ascii="Times New Roman" w:hAnsi="Times New Roman" w:cs="Times New Roman"/>
          <w:sz w:val="24"/>
          <w:szCs w:val="24"/>
        </w:rPr>
        <w:footnoteReference w:id="1"/>
      </w:r>
      <w:r w:rsidRPr="00984007">
        <w:rPr>
          <w:rFonts w:ascii="Times New Roman" w:hAnsi="Times New Roman" w:cs="Times New Roman"/>
          <w:sz w:val="24"/>
          <w:szCs w:val="24"/>
        </w:rPr>
        <w:t>. A whole of government approach, as advocated by the recently released OECD report on Science Technology and Innovation</w:t>
      </w:r>
      <w:r w:rsidRPr="00984007">
        <w:rPr>
          <w:rStyle w:val="FootnoteReference"/>
          <w:rFonts w:ascii="Times New Roman" w:hAnsi="Times New Roman" w:cs="Times New Roman"/>
          <w:sz w:val="24"/>
          <w:szCs w:val="24"/>
        </w:rPr>
        <w:footnoteReference w:id="2"/>
      </w:r>
      <w:r w:rsidRPr="00984007">
        <w:rPr>
          <w:rFonts w:ascii="Times New Roman" w:hAnsi="Times New Roman" w:cs="Times New Roman"/>
          <w:sz w:val="24"/>
          <w:szCs w:val="24"/>
        </w:rPr>
        <w:t xml:space="preserve"> will deliver more effective utilisation of government support, consistent with the Government’s objectives for reduced red tape and increased efficiencies. </w:t>
      </w:r>
    </w:p>
    <w:p w14:paraId="3F63B07A" w14:textId="77777777" w:rsidR="00984007" w:rsidRPr="00984007" w:rsidRDefault="00984007" w:rsidP="00984007">
      <w:pPr>
        <w:spacing w:after="0"/>
        <w:jc w:val="both"/>
        <w:rPr>
          <w:rFonts w:ascii="Times New Roman" w:hAnsi="Times New Roman" w:cs="Times New Roman"/>
          <w:sz w:val="24"/>
          <w:szCs w:val="24"/>
        </w:rPr>
      </w:pPr>
    </w:p>
    <w:p w14:paraId="3F63B07B"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 xml:space="preserve">While noting the “overarching ambitions” enunciated in the discussion paper, this submission principally addresses the fourth ambition, for an “industry policy that fosters innovation and entrepreneurship”. It also notes the focus on “better translation of research into commercial outcomes…. will help drive innovation… grow successful businesses and research capacity, and boost productivity and exports”. </w:t>
      </w:r>
      <w:r w:rsidR="00C215EE">
        <w:rPr>
          <w:rFonts w:ascii="Times New Roman" w:hAnsi="Times New Roman" w:cs="Times New Roman"/>
          <w:sz w:val="24"/>
          <w:szCs w:val="24"/>
        </w:rPr>
        <w:t>I</w:t>
      </w:r>
      <w:r w:rsidRPr="00984007">
        <w:rPr>
          <w:rFonts w:ascii="Times New Roman" w:hAnsi="Times New Roman" w:cs="Times New Roman"/>
          <w:sz w:val="24"/>
          <w:szCs w:val="24"/>
        </w:rPr>
        <w:t>A Board’s strong support of this ambition is evident in the advice and submissions made over recent years, which have highlighted that:</w:t>
      </w:r>
    </w:p>
    <w:p w14:paraId="3F63B07C" w14:textId="77777777" w:rsidR="00984007" w:rsidRPr="00984007" w:rsidRDefault="00984007" w:rsidP="00984007">
      <w:pPr>
        <w:spacing w:after="0"/>
        <w:jc w:val="both"/>
        <w:rPr>
          <w:rFonts w:ascii="Times New Roman" w:hAnsi="Times New Roman" w:cs="Times New Roman"/>
          <w:sz w:val="24"/>
          <w:szCs w:val="24"/>
        </w:rPr>
      </w:pPr>
    </w:p>
    <w:p w14:paraId="3F63B07D" w14:textId="77777777" w:rsidR="00984007" w:rsidRPr="00984007" w:rsidRDefault="00984007" w:rsidP="00984007">
      <w:pPr>
        <w:pStyle w:val="ListParagraph"/>
        <w:numPr>
          <w:ilvl w:val="0"/>
          <w:numId w:val="16"/>
        </w:numPr>
        <w:spacing w:after="0"/>
        <w:contextualSpacing w:val="0"/>
        <w:jc w:val="both"/>
        <w:rPr>
          <w:rFonts w:ascii="Times New Roman" w:hAnsi="Times New Roman" w:cs="Times New Roman"/>
          <w:sz w:val="24"/>
          <w:szCs w:val="24"/>
        </w:rPr>
      </w:pPr>
      <w:r w:rsidRPr="00984007">
        <w:rPr>
          <w:rFonts w:ascii="Times New Roman" w:hAnsi="Times New Roman" w:cs="Times New Roman"/>
          <w:sz w:val="24"/>
          <w:szCs w:val="24"/>
        </w:rPr>
        <w:t>the effectiveness of and returns from various government innovation support programmes is significantly discounted by deficiencies in the engagement of Australia’s universities and publicly funded research organisations (PFROs) with industry and other users of research;</w:t>
      </w:r>
    </w:p>
    <w:p w14:paraId="3F63B07E" w14:textId="77777777" w:rsidR="00984007" w:rsidRPr="00984007" w:rsidRDefault="00984007" w:rsidP="00984007">
      <w:pPr>
        <w:pStyle w:val="ListParagraph"/>
        <w:numPr>
          <w:ilvl w:val="0"/>
          <w:numId w:val="16"/>
        </w:numPr>
        <w:spacing w:after="0"/>
        <w:contextualSpacing w:val="0"/>
        <w:jc w:val="both"/>
        <w:rPr>
          <w:rFonts w:ascii="Times New Roman" w:hAnsi="Times New Roman" w:cs="Times New Roman"/>
          <w:sz w:val="24"/>
          <w:szCs w:val="24"/>
        </w:rPr>
      </w:pPr>
      <w:r w:rsidRPr="00984007">
        <w:rPr>
          <w:rFonts w:ascii="Times New Roman" w:hAnsi="Times New Roman" w:cs="Times New Roman"/>
          <w:sz w:val="24"/>
          <w:szCs w:val="24"/>
        </w:rPr>
        <w:t>remedying these deficiencies will rely substantially on systemic changes in the higher education and R&amp;D systems, and less on new programme interventions;</w:t>
      </w:r>
    </w:p>
    <w:p w14:paraId="3F63B07F" w14:textId="77777777" w:rsidR="00984007" w:rsidRPr="00984007" w:rsidRDefault="00984007" w:rsidP="00984007">
      <w:pPr>
        <w:pStyle w:val="ListParagraph"/>
        <w:numPr>
          <w:ilvl w:val="0"/>
          <w:numId w:val="16"/>
        </w:numPr>
        <w:spacing w:after="0"/>
        <w:contextualSpacing w:val="0"/>
        <w:jc w:val="both"/>
        <w:rPr>
          <w:rFonts w:ascii="Times New Roman" w:hAnsi="Times New Roman" w:cs="Times New Roman"/>
          <w:sz w:val="24"/>
          <w:szCs w:val="24"/>
        </w:rPr>
      </w:pPr>
      <w:r w:rsidRPr="00984007">
        <w:rPr>
          <w:rFonts w:ascii="Times New Roman" w:hAnsi="Times New Roman" w:cs="Times New Roman"/>
          <w:sz w:val="24"/>
          <w:szCs w:val="24"/>
        </w:rPr>
        <w:lastRenderedPageBreak/>
        <w:t>systemic change may be achievable without significant new budget outlays;</w:t>
      </w:r>
    </w:p>
    <w:p w14:paraId="3F63B080" w14:textId="77777777" w:rsidR="00984007" w:rsidRPr="00984007" w:rsidRDefault="00984007" w:rsidP="00984007">
      <w:pPr>
        <w:pStyle w:val="ListParagraph"/>
        <w:numPr>
          <w:ilvl w:val="0"/>
          <w:numId w:val="16"/>
        </w:numPr>
        <w:spacing w:after="0"/>
        <w:contextualSpacing w:val="0"/>
        <w:jc w:val="both"/>
        <w:rPr>
          <w:rFonts w:ascii="Times New Roman" w:hAnsi="Times New Roman" w:cs="Times New Roman"/>
          <w:sz w:val="24"/>
          <w:szCs w:val="24"/>
        </w:rPr>
      </w:pPr>
      <w:r w:rsidRPr="00984007">
        <w:rPr>
          <w:rFonts w:ascii="Times New Roman" w:hAnsi="Times New Roman" w:cs="Times New Roman"/>
          <w:sz w:val="24"/>
          <w:szCs w:val="24"/>
        </w:rPr>
        <w:t>the deficiencies do not lie exclusively with the universities and PFROs but also in the willingness or ability of businesses to participate in innovation;</w:t>
      </w:r>
    </w:p>
    <w:p w14:paraId="3F63B081" w14:textId="77777777" w:rsidR="00984007" w:rsidRPr="00984007" w:rsidRDefault="00984007" w:rsidP="00984007">
      <w:pPr>
        <w:pStyle w:val="ListParagraph"/>
        <w:numPr>
          <w:ilvl w:val="0"/>
          <w:numId w:val="16"/>
        </w:numPr>
        <w:spacing w:after="0"/>
        <w:contextualSpacing w:val="0"/>
        <w:jc w:val="both"/>
        <w:rPr>
          <w:rFonts w:ascii="Times New Roman" w:hAnsi="Times New Roman" w:cs="Times New Roman"/>
          <w:sz w:val="24"/>
          <w:szCs w:val="24"/>
        </w:rPr>
      </w:pPr>
      <w:r w:rsidRPr="00984007">
        <w:rPr>
          <w:rFonts w:ascii="Times New Roman" w:hAnsi="Times New Roman" w:cs="Times New Roman"/>
          <w:sz w:val="24"/>
          <w:szCs w:val="24"/>
        </w:rPr>
        <w:t>market failure in early-stage equity capital markets is a problem in all modern capitalist democracies, and particularly in Australia, and depends on a variety of government interventions for remedy;</w:t>
      </w:r>
    </w:p>
    <w:p w14:paraId="3F63B082" w14:textId="77777777" w:rsidR="00984007" w:rsidRPr="00984007" w:rsidRDefault="00984007" w:rsidP="00984007">
      <w:pPr>
        <w:pStyle w:val="ListParagraph"/>
        <w:numPr>
          <w:ilvl w:val="0"/>
          <w:numId w:val="16"/>
        </w:numPr>
        <w:spacing w:after="0"/>
        <w:contextualSpacing w:val="0"/>
        <w:jc w:val="both"/>
        <w:rPr>
          <w:rFonts w:ascii="Times New Roman" w:hAnsi="Times New Roman" w:cs="Times New Roman"/>
          <w:sz w:val="24"/>
          <w:szCs w:val="24"/>
        </w:rPr>
      </w:pPr>
      <w:r w:rsidRPr="00984007">
        <w:rPr>
          <w:rFonts w:ascii="Times New Roman" w:hAnsi="Times New Roman" w:cs="Times New Roman"/>
          <w:sz w:val="24"/>
          <w:szCs w:val="24"/>
        </w:rPr>
        <w:t>public procurement policies could enable the Government to play a key role as a lead customer for certain innovative products and services; and</w:t>
      </w:r>
    </w:p>
    <w:p w14:paraId="3F63B083" w14:textId="77777777" w:rsidR="00984007" w:rsidRPr="00984007" w:rsidRDefault="00984007" w:rsidP="00984007">
      <w:pPr>
        <w:pStyle w:val="ListParagraph"/>
        <w:numPr>
          <w:ilvl w:val="0"/>
          <w:numId w:val="16"/>
        </w:numPr>
        <w:spacing w:after="0"/>
        <w:contextualSpacing w:val="0"/>
        <w:jc w:val="both"/>
        <w:rPr>
          <w:rFonts w:ascii="Times New Roman" w:hAnsi="Times New Roman" w:cs="Times New Roman"/>
          <w:sz w:val="24"/>
          <w:szCs w:val="24"/>
        </w:rPr>
      </w:pPr>
      <w:proofErr w:type="gramStart"/>
      <w:r w:rsidRPr="00984007">
        <w:rPr>
          <w:rFonts w:ascii="Times New Roman" w:hAnsi="Times New Roman" w:cs="Times New Roman"/>
          <w:sz w:val="24"/>
          <w:szCs w:val="24"/>
        </w:rPr>
        <w:t>there</w:t>
      </w:r>
      <w:proofErr w:type="gramEnd"/>
      <w:r w:rsidRPr="00984007">
        <w:rPr>
          <w:rFonts w:ascii="Times New Roman" w:hAnsi="Times New Roman" w:cs="Times New Roman"/>
          <w:sz w:val="24"/>
          <w:szCs w:val="24"/>
        </w:rPr>
        <w:t xml:space="preserve"> is a need for stability of policy and programmes for sufficient periods of time, and across changes of government to enable their effectiveness to be properly evaluated and to provide continuity and some certainty to businesses and research end-users.</w:t>
      </w:r>
    </w:p>
    <w:p w14:paraId="3F63B085" w14:textId="77777777" w:rsidR="00984007" w:rsidRPr="00984007" w:rsidRDefault="00984007" w:rsidP="00A668D1">
      <w:pPr>
        <w:pStyle w:val="Heading1"/>
      </w:pPr>
      <w:r w:rsidRPr="00984007">
        <w:t xml:space="preserve">RESPONSES TO PROPOSALS </w:t>
      </w:r>
    </w:p>
    <w:p w14:paraId="3F63B086" w14:textId="77777777" w:rsidR="00984007" w:rsidRPr="00984007" w:rsidRDefault="00984007" w:rsidP="00984007">
      <w:pPr>
        <w:spacing w:after="0"/>
        <w:jc w:val="both"/>
        <w:rPr>
          <w:rFonts w:ascii="Times New Roman" w:hAnsi="Times New Roman" w:cs="Times New Roman"/>
          <w:sz w:val="24"/>
          <w:szCs w:val="24"/>
        </w:rPr>
      </w:pPr>
    </w:p>
    <w:p w14:paraId="3F63B087"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Our responses to the specific proposals in the discussion paper are listed below:</w:t>
      </w:r>
    </w:p>
    <w:p w14:paraId="3F63B089" w14:textId="77777777" w:rsidR="00984007" w:rsidRPr="00984007" w:rsidRDefault="00984007" w:rsidP="00A668D1">
      <w:pPr>
        <w:pStyle w:val="Heading2"/>
      </w:pPr>
      <w:r w:rsidRPr="00984007">
        <w:t>Creating stronger incentives for research-industry collaboration</w:t>
      </w:r>
    </w:p>
    <w:p w14:paraId="3F63B08A" w14:textId="77777777" w:rsidR="00984007" w:rsidRPr="00984007" w:rsidRDefault="00984007" w:rsidP="00984007">
      <w:pPr>
        <w:spacing w:after="0"/>
        <w:jc w:val="both"/>
        <w:rPr>
          <w:rFonts w:ascii="Times New Roman" w:hAnsi="Times New Roman" w:cs="Times New Roman"/>
          <w:sz w:val="24"/>
          <w:szCs w:val="24"/>
        </w:rPr>
      </w:pPr>
    </w:p>
    <w:p w14:paraId="3F63B08B"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The IA Board agrees with the proposal to create stronger incentives for research-industry collaboration. We suggest that applicants for competitive research grants should be required to make a statement about “pathways to utilisation’. A “nil” response should be allowable for fundamental and basic research where it is genuinely unknowable (mathematics, astrophysics, exobiology etc.). A disciplined approach to evaluating researchers’ responses will build awareness of the importance of utilisation.</w:t>
      </w:r>
    </w:p>
    <w:p w14:paraId="3F63B08C" w14:textId="77777777" w:rsidR="00984007" w:rsidRPr="00984007" w:rsidRDefault="00984007" w:rsidP="00984007">
      <w:pPr>
        <w:spacing w:after="0"/>
        <w:jc w:val="both"/>
        <w:rPr>
          <w:rFonts w:ascii="Times New Roman" w:hAnsi="Times New Roman" w:cs="Times New Roman"/>
          <w:sz w:val="24"/>
          <w:szCs w:val="24"/>
        </w:rPr>
      </w:pPr>
    </w:p>
    <w:p w14:paraId="3F63B08D"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The IA Board has strongly advocated for better measures of research outcomes and innovation (see further detail below). These can include indicators of “collaboration” and “engagement” that provide insight into what sort of behaviours and incentives will work.</w:t>
      </w:r>
    </w:p>
    <w:p w14:paraId="3F63B08E" w14:textId="77777777" w:rsidR="00984007" w:rsidRPr="00984007" w:rsidRDefault="00984007" w:rsidP="00984007">
      <w:pPr>
        <w:spacing w:after="0"/>
        <w:jc w:val="both"/>
        <w:rPr>
          <w:rFonts w:ascii="Times New Roman" w:hAnsi="Times New Roman" w:cs="Times New Roman"/>
          <w:sz w:val="24"/>
          <w:szCs w:val="24"/>
        </w:rPr>
      </w:pPr>
    </w:p>
    <w:p w14:paraId="3F63B08F"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Various modes of business - PFROs - collaboration are working successfully in Australia and internationally. Proposals to leverage greater collaboration should be based on analysis of the effectiveness of these programmes and the manner in which current support is utilised.</w:t>
      </w:r>
      <w:r w:rsidRPr="00984007">
        <w:rPr>
          <w:rFonts w:ascii="Times New Roman" w:hAnsi="Times New Roman" w:cs="Times New Roman"/>
          <w:b/>
          <w:sz w:val="24"/>
          <w:szCs w:val="24"/>
        </w:rPr>
        <w:t xml:space="preserve"> Attachment 1</w:t>
      </w:r>
      <w:r w:rsidRPr="00984007">
        <w:rPr>
          <w:rFonts w:ascii="Times New Roman" w:hAnsi="Times New Roman" w:cs="Times New Roman"/>
          <w:sz w:val="24"/>
          <w:szCs w:val="24"/>
        </w:rPr>
        <w:t xml:space="preserve"> provides suggestions for the use of the tax system to provide broader incentives for collaboration, provided that there are clear rules to support compliance. Existing industry-PFRO support programmes e.g. Resea</w:t>
      </w:r>
      <w:r w:rsidR="00C215EE">
        <w:rPr>
          <w:rFonts w:ascii="Times New Roman" w:hAnsi="Times New Roman" w:cs="Times New Roman"/>
          <w:sz w:val="24"/>
          <w:szCs w:val="24"/>
        </w:rPr>
        <w:t>rch Connect, ARC Linkage grants</w:t>
      </w:r>
      <w:r w:rsidRPr="00984007">
        <w:rPr>
          <w:rFonts w:ascii="Times New Roman" w:hAnsi="Times New Roman" w:cs="Times New Roman"/>
          <w:sz w:val="24"/>
          <w:szCs w:val="24"/>
        </w:rPr>
        <w:t xml:space="preserve"> also need evaluation in supporting commercial outcomes.</w:t>
      </w:r>
    </w:p>
    <w:p w14:paraId="3F63B090" w14:textId="77777777" w:rsidR="00984007" w:rsidRPr="00984007" w:rsidRDefault="00984007" w:rsidP="00984007">
      <w:pPr>
        <w:spacing w:after="0"/>
        <w:jc w:val="both"/>
        <w:rPr>
          <w:rFonts w:ascii="Times New Roman" w:hAnsi="Times New Roman" w:cs="Times New Roman"/>
          <w:sz w:val="24"/>
          <w:szCs w:val="24"/>
        </w:rPr>
      </w:pPr>
    </w:p>
    <w:p w14:paraId="3F63B091" w14:textId="77777777" w:rsidR="00984007" w:rsidRDefault="00984007">
      <w:pPr>
        <w:rPr>
          <w:rFonts w:ascii="Times New Roman" w:hAnsi="Times New Roman" w:cs="Times New Roman"/>
          <w:sz w:val="24"/>
          <w:szCs w:val="24"/>
        </w:rPr>
      </w:pPr>
      <w:r>
        <w:rPr>
          <w:rFonts w:ascii="Times New Roman" w:hAnsi="Times New Roman" w:cs="Times New Roman"/>
          <w:sz w:val="24"/>
          <w:szCs w:val="24"/>
        </w:rPr>
        <w:br w:type="page"/>
      </w:r>
    </w:p>
    <w:p w14:paraId="3F63B092"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lastRenderedPageBreak/>
        <w:t>Collaboration between businesses, especially those with complementary capabilities may also result improve commercial outcomes of research. The CRC Programme is a significant mechanism for business-to-business and many-to-many collaboration. The IA Board has suggested how the CRC model can be modified for improved outcomes in a separate submission to the CRC Review</w:t>
      </w:r>
      <w:r w:rsidRPr="00984007">
        <w:rPr>
          <w:rStyle w:val="FootnoteReference"/>
          <w:rFonts w:ascii="Times New Roman" w:hAnsi="Times New Roman" w:cs="Times New Roman"/>
          <w:sz w:val="24"/>
          <w:szCs w:val="24"/>
        </w:rPr>
        <w:footnoteReference w:id="3"/>
      </w:r>
      <w:r w:rsidRPr="00984007">
        <w:rPr>
          <w:rFonts w:ascii="Times New Roman" w:hAnsi="Times New Roman" w:cs="Times New Roman"/>
          <w:sz w:val="24"/>
          <w:szCs w:val="24"/>
        </w:rPr>
        <w:t xml:space="preserve">. The proposed Industry Growth Centres are also a means to drive collaboration for innovation and translation, although their </w:t>
      </w:r>
      <w:r w:rsidR="00450772">
        <w:rPr>
          <w:rFonts w:ascii="Times New Roman" w:hAnsi="Times New Roman" w:cs="Times New Roman"/>
          <w:sz w:val="24"/>
          <w:szCs w:val="24"/>
        </w:rPr>
        <w:t xml:space="preserve">working structure and </w:t>
      </w:r>
      <w:r w:rsidRPr="00984007">
        <w:rPr>
          <w:rFonts w:ascii="Times New Roman" w:hAnsi="Times New Roman" w:cs="Times New Roman"/>
          <w:sz w:val="24"/>
          <w:szCs w:val="24"/>
        </w:rPr>
        <w:t>performance remains to be demonstrated.</w:t>
      </w:r>
    </w:p>
    <w:p w14:paraId="3F63B094" w14:textId="77777777" w:rsidR="00984007" w:rsidRPr="00984007" w:rsidRDefault="00984007" w:rsidP="00A668D1">
      <w:pPr>
        <w:pStyle w:val="Heading2"/>
      </w:pPr>
      <w:r w:rsidRPr="00984007">
        <w:t>Supporting research infrastructure</w:t>
      </w:r>
    </w:p>
    <w:p w14:paraId="3F63B095" w14:textId="77777777" w:rsidR="00984007" w:rsidRPr="00984007" w:rsidRDefault="00984007" w:rsidP="00984007">
      <w:pPr>
        <w:spacing w:after="0"/>
        <w:jc w:val="both"/>
        <w:rPr>
          <w:rFonts w:ascii="Times New Roman" w:hAnsi="Times New Roman" w:cs="Times New Roman"/>
          <w:sz w:val="24"/>
          <w:szCs w:val="24"/>
        </w:rPr>
      </w:pPr>
    </w:p>
    <w:p w14:paraId="3F63B096"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The IA Board strongly supports the development of long term roadmaps for research infrastructure investment which link to a national strategy on research priorities.</w:t>
      </w:r>
    </w:p>
    <w:p w14:paraId="3F63B098" w14:textId="77777777" w:rsidR="00984007" w:rsidRPr="00984007" w:rsidRDefault="00984007" w:rsidP="00A668D1">
      <w:pPr>
        <w:pStyle w:val="Heading2"/>
      </w:pPr>
      <w:r w:rsidRPr="00984007">
        <w:t>Providing better access to research</w:t>
      </w:r>
    </w:p>
    <w:p w14:paraId="3F63B099" w14:textId="77777777" w:rsidR="00984007" w:rsidRPr="00984007" w:rsidRDefault="00984007" w:rsidP="00984007">
      <w:pPr>
        <w:spacing w:after="0"/>
        <w:jc w:val="both"/>
        <w:rPr>
          <w:rFonts w:ascii="Times New Roman" w:hAnsi="Times New Roman" w:cs="Times New Roman"/>
          <w:sz w:val="24"/>
          <w:szCs w:val="24"/>
        </w:rPr>
      </w:pPr>
    </w:p>
    <w:p w14:paraId="3F63B09A"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Intellectual property (IP) is a significant, and often strategic, intangible asset for innovating companies. The IA Board agrees that increased access to the results of research may increase commercialisation rates for research. However ownership issues need to be able to be resolved in a timely and cost effective manner to provide incentives for commercialisation. Many PFROs in Australia and internationally have a range of strategies for IP ownership from “open innovation” to IP that is owned by the institution and licensed to industry. This is a complex area with no standardised solutions. Policies in this area need to be supported by careful analysis and review on outcomes achieved to date in Australia and internationally.</w:t>
      </w:r>
    </w:p>
    <w:p w14:paraId="3F63B09C" w14:textId="77777777" w:rsidR="00984007" w:rsidRPr="00984007" w:rsidRDefault="00984007" w:rsidP="00A668D1">
      <w:pPr>
        <w:pStyle w:val="Heading2"/>
      </w:pPr>
      <w:r w:rsidRPr="00984007">
        <w:t>Increasing industry-relevant research training</w:t>
      </w:r>
    </w:p>
    <w:p w14:paraId="3F63B09D" w14:textId="77777777" w:rsidR="00984007" w:rsidRPr="00984007" w:rsidRDefault="00984007" w:rsidP="00984007">
      <w:pPr>
        <w:spacing w:after="0"/>
        <w:jc w:val="both"/>
        <w:rPr>
          <w:rFonts w:ascii="Times New Roman" w:hAnsi="Times New Roman" w:cs="Times New Roman"/>
          <w:sz w:val="24"/>
          <w:szCs w:val="24"/>
        </w:rPr>
      </w:pPr>
    </w:p>
    <w:p w14:paraId="3F63B09E"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The IA Board believes that any “review of research training arrangements” should explicitly address the currently dominant emphasis on training PhDs for careers as researchers in PFROs, to the detriment of both the PhD students and the broader economy.</w:t>
      </w:r>
    </w:p>
    <w:p w14:paraId="3F63B09F" w14:textId="77777777" w:rsidR="00984007" w:rsidRPr="00984007" w:rsidRDefault="00984007" w:rsidP="00984007">
      <w:pPr>
        <w:pStyle w:val="ListParagraph"/>
        <w:numPr>
          <w:ilvl w:val="0"/>
          <w:numId w:val="17"/>
        </w:numPr>
        <w:spacing w:after="0"/>
        <w:jc w:val="both"/>
        <w:rPr>
          <w:rFonts w:ascii="Times New Roman" w:hAnsi="Times New Roman" w:cs="Times New Roman"/>
          <w:sz w:val="24"/>
          <w:szCs w:val="24"/>
        </w:rPr>
      </w:pPr>
      <w:r w:rsidRPr="00984007">
        <w:rPr>
          <w:rFonts w:ascii="Times New Roman" w:hAnsi="Times New Roman" w:cs="Times New Roman"/>
          <w:sz w:val="24"/>
          <w:szCs w:val="24"/>
        </w:rPr>
        <w:t>The CRC Programme is one model which enables “industry ready” PhD graduates, trained jointly with the research users although other models are prevalent and are generally driven by university placement programmes;</w:t>
      </w:r>
    </w:p>
    <w:p w14:paraId="3F63B0A0" w14:textId="77777777" w:rsidR="00984007" w:rsidRPr="00984007" w:rsidRDefault="00984007" w:rsidP="00984007">
      <w:pPr>
        <w:pStyle w:val="ListParagraph"/>
        <w:numPr>
          <w:ilvl w:val="0"/>
          <w:numId w:val="14"/>
        </w:numPr>
        <w:spacing w:after="0"/>
        <w:jc w:val="both"/>
        <w:rPr>
          <w:rFonts w:ascii="Times New Roman" w:hAnsi="Times New Roman" w:cs="Times New Roman"/>
          <w:sz w:val="24"/>
          <w:szCs w:val="24"/>
        </w:rPr>
      </w:pPr>
      <w:r w:rsidRPr="00984007">
        <w:rPr>
          <w:rFonts w:ascii="Times New Roman" w:hAnsi="Times New Roman" w:cs="Times New Roman"/>
          <w:sz w:val="24"/>
          <w:szCs w:val="24"/>
        </w:rPr>
        <w:t>The mobility of staff between universities and research users (without current disincentives but ideally with incentives), should be seen as a form of advanced training; and</w:t>
      </w:r>
    </w:p>
    <w:p w14:paraId="3F63B0A1" w14:textId="77777777" w:rsidR="00984007" w:rsidRPr="00984007" w:rsidRDefault="00984007" w:rsidP="00984007">
      <w:pPr>
        <w:pStyle w:val="ListParagraph"/>
        <w:numPr>
          <w:ilvl w:val="0"/>
          <w:numId w:val="14"/>
        </w:numPr>
        <w:spacing w:after="0"/>
        <w:jc w:val="both"/>
        <w:rPr>
          <w:rFonts w:ascii="Times New Roman" w:hAnsi="Times New Roman" w:cs="Times New Roman"/>
          <w:sz w:val="24"/>
          <w:szCs w:val="24"/>
        </w:rPr>
      </w:pPr>
      <w:r w:rsidRPr="00984007">
        <w:rPr>
          <w:rFonts w:ascii="Times New Roman" w:hAnsi="Times New Roman" w:cs="Times New Roman"/>
          <w:sz w:val="24"/>
          <w:szCs w:val="24"/>
        </w:rPr>
        <w:t>Staff mobility and exchange should form part of metrics for research impact.</w:t>
      </w:r>
    </w:p>
    <w:p w14:paraId="3F63B0A2" w14:textId="77777777" w:rsidR="00984007" w:rsidRPr="00984007" w:rsidRDefault="00984007" w:rsidP="00984007">
      <w:pPr>
        <w:pStyle w:val="ListParagraph"/>
        <w:spacing w:after="0"/>
        <w:jc w:val="both"/>
        <w:rPr>
          <w:rFonts w:ascii="Times New Roman" w:hAnsi="Times New Roman" w:cs="Times New Roman"/>
          <w:sz w:val="24"/>
          <w:szCs w:val="24"/>
        </w:rPr>
      </w:pPr>
    </w:p>
    <w:p w14:paraId="3F63B0A3" w14:textId="77777777" w:rsidR="00984007" w:rsidRDefault="00984007">
      <w:pPr>
        <w:rPr>
          <w:rFonts w:ascii="Times New Roman" w:hAnsi="Times New Roman" w:cs="Times New Roman"/>
          <w:b/>
          <w:i/>
          <w:sz w:val="24"/>
          <w:szCs w:val="24"/>
        </w:rPr>
      </w:pPr>
      <w:r>
        <w:rPr>
          <w:rFonts w:ascii="Times New Roman" w:hAnsi="Times New Roman" w:cs="Times New Roman"/>
          <w:b/>
          <w:i/>
          <w:sz w:val="24"/>
          <w:szCs w:val="24"/>
        </w:rPr>
        <w:br w:type="page"/>
      </w:r>
    </w:p>
    <w:p w14:paraId="3F63B0A4" w14:textId="77777777" w:rsidR="00984007" w:rsidRPr="00984007" w:rsidRDefault="00984007" w:rsidP="00A668D1">
      <w:pPr>
        <w:pStyle w:val="Heading2"/>
      </w:pPr>
      <w:r w:rsidRPr="00984007">
        <w:lastRenderedPageBreak/>
        <w:t>Measurement of outcomes</w:t>
      </w:r>
    </w:p>
    <w:p w14:paraId="3F63B0A5" w14:textId="77777777" w:rsidR="00984007" w:rsidRPr="00984007" w:rsidRDefault="00984007" w:rsidP="00984007">
      <w:pPr>
        <w:spacing w:after="0"/>
        <w:jc w:val="both"/>
        <w:rPr>
          <w:rFonts w:ascii="Times New Roman" w:hAnsi="Times New Roman" w:cs="Times New Roman"/>
          <w:sz w:val="24"/>
          <w:szCs w:val="24"/>
        </w:rPr>
      </w:pPr>
    </w:p>
    <w:p w14:paraId="3F63B0A6"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The IA Board has been advocating for better measures of research outcomes for the last few years and has been working with the ATN and other universities to develop and promote such measures.</w:t>
      </w:r>
    </w:p>
    <w:p w14:paraId="3F63B0A7" w14:textId="77777777" w:rsidR="00984007" w:rsidRPr="00984007" w:rsidRDefault="00984007" w:rsidP="00984007">
      <w:pPr>
        <w:spacing w:after="0"/>
        <w:ind w:left="-360"/>
        <w:jc w:val="both"/>
        <w:rPr>
          <w:rFonts w:ascii="Times New Roman" w:hAnsi="Times New Roman" w:cs="Times New Roman"/>
          <w:sz w:val="24"/>
          <w:szCs w:val="24"/>
        </w:rPr>
      </w:pPr>
    </w:p>
    <w:p w14:paraId="3F63B0A8" w14:textId="77777777" w:rsidR="00984007" w:rsidRPr="00984007" w:rsidRDefault="00984007" w:rsidP="00984007">
      <w:pPr>
        <w:pStyle w:val="ListParagraph"/>
        <w:spacing w:after="0"/>
        <w:ind w:left="0"/>
        <w:jc w:val="both"/>
        <w:rPr>
          <w:rFonts w:ascii="Times New Roman" w:hAnsi="Times New Roman" w:cs="Times New Roman"/>
          <w:sz w:val="24"/>
          <w:szCs w:val="24"/>
        </w:rPr>
      </w:pPr>
      <w:r w:rsidRPr="00984007">
        <w:rPr>
          <w:rFonts w:ascii="Times New Roman" w:hAnsi="Times New Roman" w:cs="Times New Roman"/>
          <w:sz w:val="24"/>
          <w:szCs w:val="24"/>
        </w:rPr>
        <w:t>Clearly, there is an overwhelming need for a national approach to assessment of “research impact” for publicly funded research, to complement the Excellence in Research Australia (ERA) assessments. IA Board suggests that:</w:t>
      </w:r>
    </w:p>
    <w:p w14:paraId="3F63B0A9" w14:textId="77777777" w:rsidR="00984007" w:rsidRPr="00984007" w:rsidRDefault="00984007" w:rsidP="00984007">
      <w:pPr>
        <w:pStyle w:val="ListParagraph"/>
        <w:spacing w:after="0"/>
        <w:ind w:left="0"/>
        <w:contextualSpacing w:val="0"/>
        <w:jc w:val="both"/>
        <w:rPr>
          <w:rFonts w:ascii="Times New Roman" w:hAnsi="Times New Roman" w:cs="Times New Roman"/>
          <w:sz w:val="24"/>
          <w:szCs w:val="24"/>
        </w:rPr>
      </w:pPr>
    </w:p>
    <w:p w14:paraId="3F63B0AA" w14:textId="77777777" w:rsidR="00984007" w:rsidRPr="00984007" w:rsidRDefault="00984007" w:rsidP="00984007">
      <w:pPr>
        <w:pStyle w:val="ListParagraph"/>
        <w:numPr>
          <w:ilvl w:val="1"/>
          <w:numId w:val="18"/>
        </w:numPr>
        <w:spacing w:after="0"/>
        <w:contextualSpacing w:val="0"/>
        <w:jc w:val="both"/>
        <w:rPr>
          <w:rFonts w:ascii="Times New Roman" w:hAnsi="Times New Roman" w:cs="Times New Roman"/>
          <w:sz w:val="24"/>
          <w:szCs w:val="24"/>
        </w:rPr>
      </w:pPr>
      <w:r w:rsidRPr="00984007">
        <w:rPr>
          <w:rFonts w:ascii="Times New Roman" w:hAnsi="Times New Roman" w:cs="Times New Roman"/>
          <w:sz w:val="24"/>
          <w:szCs w:val="24"/>
        </w:rPr>
        <w:t xml:space="preserve">indicators of research impact are the end-game and should include successful commercialisation and global market potential; </w:t>
      </w:r>
    </w:p>
    <w:p w14:paraId="3F63B0AB" w14:textId="77777777" w:rsidR="00984007" w:rsidRPr="00984007" w:rsidRDefault="00984007" w:rsidP="00984007">
      <w:pPr>
        <w:pStyle w:val="ListParagraph"/>
        <w:numPr>
          <w:ilvl w:val="1"/>
          <w:numId w:val="18"/>
        </w:numPr>
        <w:spacing w:after="0"/>
        <w:contextualSpacing w:val="0"/>
        <w:jc w:val="both"/>
        <w:rPr>
          <w:rFonts w:ascii="Times New Roman" w:hAnsi="Times New Roman" w:cs="Times New Roman"/>
          <w:sz w:val="24"/>
          <w:szCs w:val="24"/>
        </w:rPr>
      </w:pPr>
      <w:r w:rsidRPr="00984007">
        <w:rPr>
          <w:rFonts w:ascii="Times New Roman" w:hAnsi="Times New Roman" w:cs="Times New Roman"/>
          <w:sz w:val="24"/>
          <w:szCs w:val="24"/>
        </w:rPr>
        <w:t>indicators of “collaboration” and “engagement” are not substitutes but can provide complementary or intermediate indications of research impact;</w:t>
      </w:r>
    </w:p>
    <w:p w14:paraId="3F63B0AC" w14:textId="77777777" w:rsidR="00984007" w:rsidRPr="00984007" w:rsidRDefault="00984007" w:rsidP="00984007">
      <w:pPr>
        <w:pStyle w:val="ListParagraph"/>
        <w:numPr>
          <w:ilvl w:val="1"/>
          <w:numId w:val="18"/>
        </w:numPr>
        <w:spacing w:after="0"/>
        <w:contextualSpacing w:val="0"/>
        <w:jc w:val="both"/>
        <w:rPr>
          <w:rFonts w:ascii="Times New Roman" w:hAnsi="Times New Roman" w:cs="Times New Roman"/>
          <w:sz w:val="24"/>
          <w:szCs w:val="24"/>
        </w:rPr>
      </w:pPr>
      <w:r w:rsidRPr="00984007">
        <w:rPr>
          <w:rFonts w:ascii="Times New Roman" w:hAnsi="Times New Roman" w:cs="Times New Roman"/>
          <w:sz w:val="24"/>
          <w:szCs w:val="24"/>
        </w:rPr>
        <w:t>research impacts should be assessed across not only STEM fields, but to be acceptable and credible across the university system, also allow for impact of research in the HASS fields; and</w:t>
      </w:r>
    </w:p>
    <w:p w14:paraId="3F63B0AD" w14:textId="77777777" w:rsidR="00984007" w:rsidRPr="00984007" w:rsidRDefault="00984007" w:rsidP="00984007">
      <w:pPr>
        <w:pStyle w:val="ListParagraph"/>
        <w:numPr>
          <w:ilvl w:val="1"/>
          <w:numId w:val="18"/>
        </w:numPr>
        <w:spacing w:after="0"/>
        <w:contextualSpacing w:val="0"/>
        <w:jc w:val="both"/>
        <w:rPr>
          <w:rFonts w:ascii="Times New Roman" w:hAnsi="Times New Roman" w:cs="Times New Roman"/>
          <w:sz w:val="24"/>
          <w:szCs w:val="24"/>
        </w:rPr>
      </w:pPr>
      <w:proofErr w:type="gramStart"/>
      <w:r w:rsidRPr="00984007">
        <w:rPr>
          <w:rFonts w:ascii="Times New Roman" w:hAnsi="Times New Roman" w:cs="Times New Roman"/>
          <w:sz w:val="24"/>
          <w:szCs w:val="24"/>
        </w:rPr>
        <w:t>pilot</w:t>
      </w:r>
      <w:proofErr w:type="gramEnd"/>
      <w:r w:rsidRPr="00984007">
        <w:rPr>
          <w:rFonts w:ascii="Times New Roman" w:hAnsi="Times New Roman" w:cs="Times New Roman"/>
          <w:sz w:val="24"/>
          <w:szCs w:val="24"/>
        </w:rPr>
        <w:t xml:space="preserve"> work already done in Australia by the ATN and Go8 and by the Academy of Technological Sciences and Engineering (ATSE), and experience in other countries, indicates a combination of qualitative approaches and metrics will provide the best assessments. Considerations to date are that:</w:t>
      </w:r>
    </w:p>
    <w:p w14:paraId="3F63B0AE" w14:textId="77777777" w:rsidR="00984007" w:rsidRPr="00984007" w:rsidRDefault="00984007" w:rsidP="00984007">
      <w:pPr>
        <w:pStyle w:val="ListParagraph"/>
        <w:numPr>
          <w:ilvl w:val="2"/>
          <w:numId w:val="13"/>
        </w:numPr>
        <w:spacing w:after="0"/>
        <w:contextualSpacing w:val="0"/>
        <w:jc w:val="both"/>
        <w:rPr>
          <w:rFonts w:ascii="Times New Roman" w:hAnsi="Times New Roman" w:cs="Times New Roman"/>
          <w:sz w:val="24"/>
          <w:szCs w:val="24"/>
        </w:rPr>
      </w:pPr>
      <w:r w:rsidRPr="00984007">
        <w:rPr>
          <w:rFonts w:ascii="Times New Roman" w:hAnsi="Times New Roman" w:cs="Times New Roman"/>
          <w:sz w:val="24"/>
          <w:szCs w:val="24"/>
        </w:rPr>
        <w:t xml:space="preserve">proxy measures like patent numbers are useful but not sufficiently meaningful or applicable across diverse fields to be used as metrics; </w:t>
      </w:r>
    </w:p>
    <w:p w14:paraId="3F63B0AF" w14:textId="77777777" w:rsidR="00984007" w:rsidRPr="00984007" w:rsidRDefault="00984007" w:rsidP="00984007">
      <w:pPr>
        <w:pStyle w:val="ListParagraph"/>
        <w:numPr>
          <w:ilvl w:val="2"/>
          <w:numId w:val="13"/>
        </w:numPr>
        <w:spacing w:after="0"/>
        <w:contextualSpacing w:val="0"/>
        <w:jc w:val="both"/>
        <w:rPr>
          <w:rFonts w:ascii="Times New Roman" w:hAnsi="Times New Roman" w:cs="Times New Roman"/>
          <w:sz w:val="24"/>
          <w:szCs w:val="24"/>
        </w:rPr>
      </w:pPr>
      <w:r w:rsidRPr="00984007">
        <w:rPr>
          <w:rFonts w:ascii="Times New Roman" w:hAnsi="Times New Roman" w:cs="Times New Roman"/>
          <w:sz w:val="24"/>
          <w:szCs w:val="24"/>
        </w:rPr>
        <w:t>metrics that measure behaviours (mobility and exchange of people etc.) are important;</w:t>
      </w:r>
    </w:p>
    <w:p w14:paraId="3F63B0B0" w14:textId="77777777" w:rsidR="00984007" w:rsidRPr="00984007" w:rsidRDefault="00984007" w:rsidP="00984007">
      <w:pPr>
        <w:pStyle w:val="ListParagraph"/>
        <w:numPr>
          <w:ilvl w:val="2"/>
          <w:numId w:val="13"/>
        </w:numPr>
        <w:spacing w:after="0"/>
        <w:contextualSpacing w:val="0"/>
        <w:jc w:val="both"/>
        <w:rPr>
          <w:rFonts w:ascii="Times New Roman" w:hAnsi="Times New Roman" w:cs="Times New Roman"/>
          <w:sz w:val="24"/>
          <w:szCs w:val="24"/>
        </w:rPr>
      </w:pPr>
      <w:proofErr w:type="gramStart"/>
      <w:r w:rsidRPr="00984007">
        <w:rPr>
          <w:rFonts w:ascii="Times New Roman" w:hAnsi="Times New Roman" w:cs="Times New Roman"/>
          <w:sz w:val="24"/>
          <w:szCs w:val="24"/>
        </w:rPr>
        <w:t>there</w:t>
      </w:r>
      <w:proofErr w:type="gramEnd"/>
      <w:r w:rsidRPr="00984007">
        <w:rPr>
          <w:rFonts w:ascii="Times New Roman" w:hAnsi="Times New Roman" w:cs="Times New Roman"/>
          <w:sz w:val="24"/>
          <w:szCs w:val="24"/>
        </w:rPr>
        <w:t xml:space="preserve"> is no single metric that will suffice, and all metrics examined to date are by themselves inadequate for assessing research impact. A coherent set of metrics is likely to be proposed in early 2015.</w:t>
      </w:r>
    </w:p>
    <w:p w14:paraId="3F63B0B2" w14:textId="77777777" w:rsidR="00984007" w:rsidRPr="00984007" w:rsidRDefault="00984007" w:rsidP="00A668D1">
      <w:pPr>
        <w:pStyle w:val="Heading2"/>
      </w:pPr>
      <w:proofErr w:type="spellStart"/>
      <w:r w:rsidRPr="00984007">
        <w:t>Capitalising</w:t>
      </w:r>
      <w:proofErr w:type="spellEnd"/>
      <w:r w:rsidRPr="00984007">
        <w:t xml:space="preserve"> on the Medical Research Future Fund (MRRF)</w:t>
      </w:r>
    </w:p>
    <w:p w14:paraId="3F63B0B3" w14:textId="77777777" w:rsidR="00984007" w:rsidRPr="00984007" w:rsidRDefault="00984007" w:rsidP="00984007">
      <w:pPr>
        <w:spacing w:after="0"/>
        <w:jc w:val="both"/>
        <w:rPr>
          <w:rFonts w:ascii="Times New Roman" w:hAnsi="Times New Roman" w:cs="Times New Roman"/>
          <w:sz w:val="24"/>
          <w:szCs w:val="24"/>
        </w:rPr>
      </w:pPr>
    </w:p>
    <w:p w14:paraId="3F63B0B4"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The IA Board supports the bold ambition and novel approach to establishing the MRRF. It notes that, while adoption and utilisation in clinical practice is likely to be successful, Australia’s capacity to “commercialise” and thereby capitalise on the results of important areas of biomedical research (new therapeutics, diagnostics, etc.) is likely to be constrained by:</w:t>
      </w:r>
    </w:p>
    <w:p w14:paraId="3F63B0B5" w14:textId="77777777" w:rsidR="00984007" w:rsidRPr="00984007" w:rsidRDefault="00984007" w:rsidP="00984007">
      <w:pPr>
        <w:pStyle w:val="ListParagraph"/>
        <w:numPr>
          <w:ilvl w:val="1"/>
          <w:numId w:val="15"/>
        </w:numPr>
        <w:spacing w:after="0"/>
        <w:jc w:val="both"/>
        <w:rPr>
          <w:rFonts w:ascii="Times New Roman" w:hAnsi="Times New Roman" w:cs="Times New Roman"/>
          <w:sz w:val="24"/>
          <w:szCs w:val="24"/>
        </w:rPr>
      </w:pPr>
      <w:r w:rsidRPr="00984007">
        <w:rPr>
          <w:rFonts w:ascii="Times New Roman" w:hAnsi="Times New Roman" w:cs="Times New Roman"/>
          <w:sz w:val="24"/>
          <w:szCs w:val="24"/>
        </w:rPr>
        <w:t>capital availability;</w:t>
      </w:r>
    </w:p>
    <w:p w14:paraId="3F63B0B6" w14:textId="77777777" w:rsidR="00984007" w:rsidRPr="00984007" w:rsidRDefault="00984007" w:rsidP="00984007">
      <w:pPr>
        <w:pStyle w:val="ListParagraph"/>
        <w:numPr>
          <w:ilvl w:val="1"/>
          <w:numId w:val="15"/>
        </w:numPr>
        <w:spacing w:after="0"/>
        <w:jc w:val="both"/>
        <w:rPr>
          <w:rFonts w:ascii="Times New Roman" w:hAnsi="Times New Roman" w:cs="Times New Roman"/>
          <w:sz w:val="24"/>
          <w:szCs w:val="24"/>
        </w:rPr>
      </w:pPr>
      <w:r w:rsidRPr="00984007">
        <w:rPr>
          <w:rFonts w:ascii="Times New Roman" w:hAnsi="Times New Roman" w:cs="Times New Roman"/>
          <w:sz w:val="24"/>
          <w:szCs w:val="24"/>
        </w:rPr>
        <w:t>experience and know-how;</w:t>
      </w:r>
    </w:p>
    <w:p w14:paraId="3F63B0B7" w14:textId="77777777" w:rsidR="00984007" w:rsidRPr="00984007" w:rsidRDefault="00984007" w:rsidP="00984007">
      <w:pPr>
        <w:pStyle w:val="ListParagraph"/>
        <w:numPr>
          <w:ilvl w:val="1"/>
          <w:numId w:val="15"/>
        </w:numPr>
        <w:spacing w:after="0"/>
        <w:jc w:val="both"/>
        <w:rPr>
          <w:rFonts w:ascii="Times New Roman" w:hAnsi="Times New Roman" w:cs="Times New Roman"/>
          <w:sz w:val="24"/>
          <w:szCs w:val="24"/>
        </w:rPr>
      </w:pPr>
      <w:r w:rsidRPr="00984007">
        <w:rPr>
          <w:rFonts w:ascii="Times New Roman" w:hAnsi="Times New Roman" w:cs="Times New Roman"/>
          <w:sz w:val="24"/>
          <w:szCs w:val="24"/>
        </w:rPr>
        <w:t>absence of partners; and</w:t>
      </w:r>
    </w:p>
    <w:p w14:paraId="3F63B0B8" w14:textId="77777777" w:rsidR="00984007" w:rsidRPr="00984007" w:rsidRDefault="00984007" w:rsidP="00984007">
      <w:pPr>
        <w:pStyle w:val="ListParagraph"/>
        <w:numPr>
          <w:ilvl w:val="1"/>
          <w:numId w:val="15"/>
        </w:numPr>
        <w:spacing w:after="0"/>
        <w:jc w:val="both"/>
        <w:rPr>
          <w:rFonts w:ascii="Times New Roman" w:hAnsi="Times New Roman" w:cs="Times New Roman"/>
          <w:sz w:val="24"/>
          <w:szCs w:val="24"/>
        </w:rPr>
      </w:pPr>
      <w:proofErr w:type="gramStart"/>
      <w:r w:rsidRPr="00984007">
        <w:rPr>
          <w:rFonts w:ascii="Times New Roman" w:hAnsi="Times New Roman" w:cs="Times New Roman"/>
          <w:sz w:val="24"/>
          <w:szCs w:val="24"/>
        </w:rPr>
        <w:t>market</w:t>
      </w:r>
      <w:proofErr w:type="gramEnd"/>
      <w:r w:rsidRPr="00984007">
        <w:rPr>
          <w:rFonts w:ascii="Times New Roman" w:hAnsi="Times New Roman" w:cs="Times New Roman"/>
          <w:sz w:val="24"/>
          <w:szCs w:val="24"/>
        </w:rPr>
        <w:t xml:space="preserve"> size.</w:t>
      </w:r>
    </w:p>
    <w:p w14:paraId="3F63B0B9" w14:textId="77777777" w:rsidR="00984007" w:rsidRPr="00984007" w:rsidRDefault="00984007" w:rsidP="00984007">
      <w:pPr>
        <w:spacing w:after="0"/>
        <w:jc w:val="both"/>
        <w:rPr>
          <w:rFonts w:ascii="Times New Roman" w:hAnsi="Times New Roman" w:cs="Times New Roman"/>
          <w:sz w:val="24"/>
          <w:szCs w:val="24"/>
        </w:rPr>
      </w:pPr>
    </w:p>
    <w:p w14:paraId="3F63B0BA" w14:textId="77777777" w:rsidR="00984007" w:rsidRDefault="00984007">
      <w:pPr>
        <w:rPr>
          <w:rFonts w:ascii="Times New Roman" w:hAnsi="Times New Roman" w:cs="Times New Roman"/>
          <w:sz w:val="24"/>
          <w:szCs w:val="24"/>
        </w:rPr>
      </w:pPr>
      <w:r>
        <w:rPr>
          <w:rFonts w:ascii="Times New Roman" w:hAnsi="Times New Roman" w:cs="Times New Roman"/>
          <w:sz w:val="24"/>
          <w:szCs w:val="24"/>
        </w:rPr>
        <w:br w:type="page"/>
      </w:r>
    </w:p>
    <w:p w14:paraId="3F63B0BB"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lastRenderedPageBreak/>
        <w:t>Therefore, a significant proportion of the assets of the MRFF should be dedicated to translation and commercialisation activities. The existence of the Medical Research Commercialisation Fund and possible raising of MRCF Fund 2, which will reportedly attract superannuation funds as investors (in stark contrast to the general situation in early-stage equity capital markets at present), should be taken into account in planning the MRRF.</w:t>
      </w:r>
    </w:p>
    <w:p w14:paraId="3F63B0BD" w14:textId="77777777" w:rsidR="00984007" w:rsidRPr="00984007" w:rsidRDefault="00984007" w:rsidP="00A668D1">
      <w:pPr>
        <w:pStyle w:val="Heading1"/>
      </w:pPr>
      <w:r w:rsidRPr="00984007">
        <w:t>OTHER ISSUES</w:t>
      </w:r>
    </w:p>
    <w:p w14:paraId="3F63B0BE" w14:textId="77777777" w:rsidR="00984007" w:rsidRPr="00984007" w:rsidRDefault="00984007" w:rsidP="00984007">
      <w:pPr>
        <w:spacing w:after="0"/>
        <w:jc w:val="both"/>
        <w:rPr>
          <w:rFonts w:ascii="Times New Roman" w:hAnsi="Times New Roman" w:cs="Times New Roman"/>
          <w:sz w:val="24"/>
          <w:szCs w:val="24"/>
        </w:rPr>
      </w:pPr>
    </w:p>
    <w:p w14:paraId="3F63B0BF"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Certain issues raised in the body of the discussion paper were not then covered in the proposals in Section 5.</w:t>
      </w:r>
    </w:p>
    <w:p w14:paraId="3F63B0C1" w14:textId="77777777" w:rsidR="00984007" w:rsidRPr="00093AE2" w:rsidRDefault="00984007" w:rsidP="00A668D1">
      <w:pPr>
        <w:pStyle w:val="Heading2"/>
      </w:pPr>
      <w:r w:rsidRPr="00093AE2">
        <w:t>Data analytics</w:t>
      </w:r>
    </w:p>
    <w:p w14:paraId="3F63B0C2" w14:textId="77777777" w:rsidR="00984007" w:rsidRPr="00984007" w:rsidRDefault="00984007" w:rsidP="00984007">
      <w:pPr>
        <w:spacing w:after="0"/>
        <w:jc w:val="both"/>
        <w:rPr>
          <w:rFonts w:ascii="Times New Roman" w:hAnsi="Times New Roman" w:cs="Times New Roman"/>
          <w:sz w:val="24"/>
          <w:szCs w:val="24"/>
        </w:rPr>
      </w:pPr>
    </w:p>
    <w:p w14:paraId="3F63B0C3"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There is a pressing need for effective analysis on the impact of government support programmes over the past decade, the sectors that have benefitted, employment created, economic benefits, multiplier effects and net returns. Big Data analytics tools should be able to make a contribution to support policy development.</w:t>
      </w:r>
    </w:p>
    <w:p w14:paraId="3F63B0C5" w14:textId="77777777" w:rsidR="00984007" w:rsidRPr="00093AE2" w:rsidRDefault="00984007" w:rsidP="00A668D1">
      <w:pPr>
        <w:pStyle w:val="Heading2"/>
      </w:pPr>
      <w:r w:rsidRPr="00093AE2">
        <w:t>Innovation in the services sector</w:t>
      </w:r>
    </w:p>
    <w:p w14:paraId="3F63B0C6" w14:textId="77777777" w:rsidR="00984007" w:rsidRPr="00984007" w:rsidRDefault="00984007" w:rsidP="00984007">
      <w:pPr>
        <w:spacing w:after="0"/>
        <w:jc w:val="both"/>
        <w:rPr>
          <w:rFonts w:ascii="Times New Roman" w:hAnsi="Times New Roman" w:cs="Times New Roman"/>
          <w:b/>
          <w:sz w:val="24"/>
          <w:szCs w:val="24"/>
          <w:u w:val="single"/>
        </w:rPr>
      </w:pPr>
    </w:p>
    <w:p w14:paraId="3F63B0C7"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 xml:space="preserve">The discussion paper does not explicitly discuss innovation in the services sector although many digital innovations are proving disruptive to established industry structures while improving service delivery in B2B and P2P solutions (for example </w:t>
      </w:r>
      <w:proofErr w:type="spellStart"/>
      <w:r w:rsidRPr="00984007">
        <w:rPr>
          <w:rFonts w:ascii="Times New Roman" w:hAnsi="Times New Roman" w:cs="Times New Roman"/>
          <w:sz w:val="24"/>
          <w:szCs w:val="24"/>
        </w:rPr>
        <w:t>Uber</w:t>
      </w:r>
      <w:proofErr w:type="spellEnd"/>
      <w:r w:rsidRPr="00984007">
        <w:rPr>
          <w:rFonts w:ascii="Times New Roman" w:hAnsi="Times New Roman" w:cs="Times New Roman"/>
          <w:sz w:val="24"/>
          <w:szCs w:val="24"/>
        </w:rPr>
        <w:t xml:space="preserve"> taxis, Air </w:t>
      </w:r>
      <w:proofErr w:type="spellStart"/>
      <w:r w:rsidRPr="00984007">
        <w:rPr>
          <w:rFonts w:ascii="Times New Roman" w:hAnsi="Times New Roman" w:cs="Times New Roman"/>
          <w:sz w:val="24"/>
          <w:szCs w:val="24"/>
        </w:rPr>
        <w:t>BnB</w:t>
      </w:r>
      <w:proofErr w:type="spellEnd"/>
      <w:r w:rsidRPr="00984007">
        <w:rPr>
          <w:rFonts w:ascii="Times New Roman" w:hAnsi="Times New Roman" w:cs="Times New Roman"/>
          <w:sz w:val="24"/>
          <w:szCs w:val="24"/>
        </w:rPr>
        <w:t>). Innovating service companies may create significant employment especially as they are scalable and can successfully go global.</w:t>
      </w:r>
    </w:p>
    <w:p w14:paraId="3F63B0C9" w14:textId="77777777" w:rsidR="00984007" w:rsidRPr="00093AE2" w:rsidRDefault="00984007" w:rsidP="00A668D1">
      <w:pPr>
        <w:pStyle w:val="Heading2"/>
      </w:pPr>
      <w:r w:rsidRPr="00093AE2">
        <w:t>Entrepreneurship</w:t>
      </w:r>
    </w:p>
    <w:p w14:paraId="3F63B0CA" w14:textId="77777777" w:rsidR="00984007" w:rsidRPr="00984007" w:rsidRDefault="00984007" w:rsidP="00984007">
      <w:pPr>
        <w:spacing w:after="0"/>
        <w:jc w:val="both"/>
        <w:rPr>
          <w:rFonts w:ascii="Times New Roman" w:hAnsi="Times New Roman" w:cs="Times New Roman"/>
          <w:sz w:val="24"/>
          <w:szCs w:val="24"/>
        </w:rPr>
      </w:pPr>
    </w:p>
    <w:p w14:paraId="3F63B0CB"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A report from the Commercialisation Australia (CA) Board in 2014</w:t>
      </w:r>
      <w:r w:rsidRPr="00984007">
        <w:rPr>
          <w:rStyle w:val="FootnoteReference"/>
          <w:rFonts w:ascii="Times New Roman" w:hAnsi="Times New Roman" w:cs="Times New Roman"/>
          <w:sz w:val="24"/>
          <w:szCs w:val="24"/>
        </w:rPr>
        <w:footnoteReference w:id="4"/>
      </w:r>
      <w:r w:rsidRPr="00984007">
        <w:rPr>
          <w:rFonts w:ascii="Times New Roman" w:hAnsi="Times New Roman" w:cs="Times New Roman"/>
          <w:sz w:val="24"/>
          <w:szCs w:val="24"/>
        </w:rPr>
        <w:t xml:space="preserve">, based on direct experience and citing studies by PricewaterhouseCoopers, concluded that Australians </w:t>
      </w:r>
      <w:r w:rsidR="00D5510C">
        <w:rPr>
          <w:rFonts w:ascii="Times New Roman" w:hAnsi="Times New Roman" w:cs="Times New Roman"/>
          <w:sz w:val="24"/>
          <w:szCs w:val="24"/>
        </w:rPr>
        <w:t xml:space="preserve">were </w:t>
      </w:r>
      <w:r w:rsidRPr="00984007">
        <w:rPr>
          <w:rFonts w:ascii="Times New Roman" w:hAnsi="Times New Roman" w:cs="Times New Roman"/>
          <w:sz w:val="24"/>
          <w:szCs w:val="24"/>
        </w:rPr>
        <w:t>no less well disposed to entrepreneurial behaviour than people in other countries, but that there were systemic impediments to fully expressing and capitalising on this.</w:t>
      </w:r>
    </w:p>
    <w:p w14:paraId="3F63B0CC" w14:textId="77777777" w:rsidR="00984007" w:rsidRPr="00984007" w:rsidRDefault="00984007" w:rsidP="00984007">
      <w:pPr>
        <w:spacing w:after="0"/>
        <w:jc w:val="both"/>
        <w:rPr>
          <w:rFonts w:ascii="Times New Roman" w:hAnsi="Times New Roman" w:cs="Times New Roman"/>
          <w:sz w:val="24"/>
          <w:szCs w:val="24"/>
        </w:rPr>
      </w:pPr>
    </w:p>
    <w:p w14:paraId="3F63B0CD"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The IA Board strongly supports the Government’s decision to address one of these impediments i.e. the current tax treatment applied to employee share schemes.</w:t>
      </w:r>
    </w:p>
    <w:p w14:paraId="3F63B0CE" w14:textId="77777777" w:rsidR="00984007" w:rsidRPr="00984007" w:rsidRDefault="00984007" w:rsidP="00984007">
      <w:pPr>
        <w:spacing w:after="0"/>
        <w:jc w:val="both"/>
        <w:rPr>
          <w:rFonts w:ascii="Times New Roman" w:hAnsi="Times New Roman" w:cs="Times New Roman"/>
          <w:sz w:val="24"/>
          <w:szCs w:val="24"/>
        </w:rPr>
      </w:pPr>
    </w:p>
    <w:p w14:paraId="3F63B0CF"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The CA Board report noted the important role, over a decade and more, of initiatives such as incubators, accelerators, and mentorship programmes. The original government-supported activities are now complemented by many similar private activities, at least in the limited area of lean start-ups in digital services and software.</w:t>
      </w:r>
    </w:p>
    <w:p w14:paraId="3F63B0D0" w14:textId="77777777" w:rsidR="00984007" w:rsidRPr="00984007" w:rsidRDefault="00984007" w:rsidP="00984007">
      <w:pPr>
        <w:spacing w:after="0"/>
        <w:jc w:val="both"/>
        <w:rPr>
          <w:rFonts w:ascii="Times New Roman" w:hAnsi="Times New Roman" w:cs="Times New Roman"/>
          <w:sz w:val="24"/>
          <w:szCs w:val="24"/>
        </w:rPr>
      </w:pPr>
    </w:p>
    <w:p w14:paraId="3F63B0D1" w14:textId="77777777" w:rsidR="00984007" w:rsidRDefault="00984007">
      <w:pPr>
        <w:rPr>
          <w:rFonts w:ascii="Times New Roman" w:hAnsi="Times New Roman" w:cs="Times New Roman"/>
          <w:b/>
          <w:sz w:val="24"/>
          <w:szCs w:val="24"/>
        </w:rPr>
      </w:pPr>
      <w:r>
        <w:rPr>
          <w:rFonts w:ascii="Times New Roman" w:hAnsi="Times New Roman" w:cs="Times New Roman"/>
          <w:b/>
          <w:sz w:val="24"/>
          <w:szCs w:val="24"/>
        </w:rPr>
        <w:br w:type="page"/>
      </w:r>
    </w:p>
    <w:p w14:paraId="3F63B0D2" w14:textId="77777777" w:rsidR="00984007" w:rsidRPr="00093AE2" w:rsidRDefault="00984007" w:rsidP="00A668D1">
      <w:pPr>
        <w:pStyle w:val="Heading2"/>
      </w:pPr>
      <w:r w:rsidRPr="00093AE2">
        <w:lastRenderedPageBreak/>
        <w:t>Early-stage capital</w:t>
      </w:r>
    </w:p>
    <w:p w14:paraId="3F63B0D4"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The discussion paper (Pages 6, 16 and 17) highlights the problem of access to finance for innovation-active firms, especially those that are new or small or both, and the fact that Australia significantly underperforms all comparator countries. Various approaches taken in other countries are identified, including co-investment funds, tax incentives and grants. Virtually all western democracies provide some form of government intervention to deal with market failure in the early-stage equity capital market (ESECM).</w:t>
      </w:r>
    </w:p>
    <w:p w14:paraId="3F63B0D5" w14:textId="77777777" w:rsidR="00984007" w:rsidRPr="00984007" w:rsidRDefault="00984007" w:rsidP="00984007">
      <w:pPr>
        <w:spacing w:after="0"/>
        <w:jc w:val="both"/>
        <w:rPr>
          <w:rFonts w:ascii="Times New Roman" w:hAnsi="Times New Roman" w:cs="Times New Roman"/>
          <w:sz w:val="24"/>
          <w:szCs w:val="24"/>
        </w:rPr>
      </w:pPr>
    </w:p>
    <w:p w14:paraId="3F63B0D6"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The IA Board notes that the Government has not included measures to address this market failure and has withdrawn support for the venture capital segment by terminating the Innovation Investment Funds (IIF) co-investment programme</w:t>
      </w:r>
      <w:r w:rsidRPr="00984007">
        <w:rPr>
          <w:rStyle w:val="FootnoteReference"/>
          <w:rFonts w:ascii="Times New Roman" w:hAnsi="Times New Roman" w:cs="Times New Roman"/>
          <w:sz w:val="24"/>
          <w:szCs w:val="24"/>
        </w:rPr>
        <w:footnoteReference w:id="5"/>
      </w:r>
      <w:r w:rsidRPr="00984007">
        <w:rPr>
          <w:rFonts w:ascii="Times New Roman" w:hAnsi="Times New Roman" w:cs="Times New Roman"/>
          <w:sz w:val="24"/>
          <w:szCs w:val="24"/>
        </w:rPr>
        <w:t xml:space="preserve">. This policy approach will exacerbate the difficulty currently experienced by innovation-active firms in gaining access to early-stage investment capital and will be significantly detrimental to the success of other initiatives to boost commercial returns from research. Moreover analysis of returns from such programmes indicates a </w:t>
      </w:r>
      <w:r w:rsidR="00CE00DC">
        <w:rPr>
          <w:rFonts w:ascii="Times New Roman" w:hAnsi="Times New Roman" w:cs="Times New Roman"/>
          <w:sz w:val="24"/>
          <w:szCs w:val="24"/>
        </w:rPr>
        <w:t xml:space="preserve">significant </w:t>
      </w:r>
      <w:r w:rsidRPr="00984007">
        <w:rPr>
          <w:rFonts w:ascii="Times New Roman" w:hAnsi="Times New Roman" w:cs="Times New Roman"/>
          <w:sz w:val="24"/>
          <w:szCs w:val="24"/>
        </w:rPr>
        <w:t>return to the government which excludes multiplier effects of developing entrepreneurship s</w:t>
      </w:r>
      <w:r w:rsidR="00FF09B5">
        <w:rPr>
          <w:rFonts w:ascii="Times New Roman" w:hAnsi="Times New Roman" w:cs="Times New Roman"/>
          <w:sz w:val="24"/>
          <w:szCs w:val="24"/>
        </w:rPr>
        <w:t>k</w:t>
      </w:r>
      <w:r w:rsidRPr="00984007">
        <w:rPr>
          <w:rFonts w:ascii="Times New Roman" w:hAnsi="Times New Roman" w:cs="Times New Roman"/>
          <w:sz w:val="24"/>
          <w:szCs w:val="24"/>
        </w:rPr>
        <w:t xml:space="preserve">ills, creating </w:t>
      </w:r>
      <w:r w:rsidR="009D0787">
        <w:rPr>
          <w:rFonts w:ascii="Times New Roman" w:hAnsi="Times New Roman" w:cs="Times New Roman"/>
          <w:sz w:val="24"/>
          <w:szCs w:val="24"/>
        </w:rPr>
        <w:t xml:space="preserve">high expertise </w:t>
      </w:r>
      <w:r w:rsidRPr="00984007">
        <w:rPr>
          <w:rFonts w:ascii="Times New Roman" w:hAnsi="Times New Roman" w:cs="Times New Roman"/>
          <w:sz w:val="24"/>
          <w:szCs w:val="24"/>
        </w:rPr>
        <w:t>employment and exports</w:t>
      </w:r>
      <w:r w:rsidR="009D0787" w:rsidRPr="009D0787">
        <w:rPr>
          <w:rFonts w:ascii="Times New Roman" w:hAnsi="Times New Roman" w:cs="Times New Roman"/>
        </w:rPr>
        <w:t xml:space="preserve"> </w:t>
      </w:r>
      <w:r w:rsidR="009D0787">
        <w:rPr>
          <w:rFonts w:ascii="Times New Roman" w:hAnsi="Times New Roman" w:cs="Times New Roman"/>
        </w:rPr>
        <w:t xml:space="preserve">as well as </w:t>
      </w:r>
      <w:r w:rsidR="009D0787">
        <w:rPr>
          <w:rFonts w:ascii="Times New Roman" w:eastAsia="Times New Roman" w:hAnsi="Times New Roman" w:cs="Times New Roman"/>
          <w:color w:val="000000"/>
          <w:lang w:eastAsia="en-AU"/>
        </w:rPr>
        <w:t xml:space="preserve">developing the market appetite for venture </w:t>
      </w:r>
      <w:r w:rsidR="009D0787" w:rsidRPr="0094136C">
        <w:rPr>
          <w:rFonts w:ascii="Times New Roman" w:eastAsia="Times New Roman" w:hAnsi="Times New Roman" w:cs="Times New Roman"/>
          <w:color w:val="000000"/>
          <w:sz w:val="24"/>
          <w:szCs w:val="24"/>
          <w:lang w:eastAsia="en-AU"/>
        </w:rPr>
        <w:t xml:space="preserve">capital </w:t>
      </w:r>
      <w:r w:rsidR="009D0787">
        <w:rPr>
          <w:rFonts w:ascii="Times New Roman" w:eastAsia="Times New Roman" w:hAnsi="Times New Roman" w:cs="Times New Roman"/>
          <w:color w:val="000000"/>
          <w:lang w:eastAsia="en-AU"/>
        </w:rPr>
        <w:t>investment which will support future start-ups and commercialisation efforts.</w:t>
      </w:r>
    </w:p>
    <w:p w14:paraId="3F63B0D7" w14:textId="77777777" w:rsidR="00984007" w:rsidRPr="00984007" w:rsidRDefault="00984007" w:rsidP="00984007">
      <w:pPr>
        <w:spacing w:after="0"/>
        <w:jc w:val="both"/>
        <w:rPr>
          <w:rFonts w:ascii="Times New Roman" w:hAnsi="Times New Roman" w:cs="Times New Roman"/>
          <w:sz w:val="24"/>
          <w:szCs w:val="24"/>
        </w:rPr>
      </w:pPr>
    </w:p>
    <w:p w14:paraId="3F63B0D8"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The IA Board supports the initiatives to support employee share options and crowd-sourced equity funding. These will contribute to boosting commercial returns from research but are unlikely to overcome the market’s failure to provide early-stage capital. The changing nature of the ESECM, documented in the report from the CA Board in 2014, provides an opportunity for the Government to think differently about policy and programmes for addressing the capital market failure.</w:t>
      </w:r>
    </w:p>
    <w:p w14:paraId="3F63B0DA" w14:textId="77777777" w:rsidR="00984007" w:rsidRPr="00093AE2" w:rsidRDefault="00984007" w:rsidP="00A668D1">
      <w:pPr>
        <w:pStyle w:val="Heading2"/>
      </w:pPr>
      <w:r w:rsidRPr="00093AE2">
        <w:t>Procurement</w:t>
      </w:r>
    </w:p>
    <w:p w14:paraId="3F63B0DB" w14:textId="77777777" w:rsidR="00984007" w:rsidRPr="00984007" w:rsidRDefault="00984007" w:rsidP="00984007">
      <w:pPr>
        <w:spacing w:after="0"/>
        <w:jc w:val="both"/>
        <w:rPr>
          <w:rFonts w:ascii="Times New Roman" w:hAnsi="Times New Roman" w:cs="Times New Roman"/>
          <w:b/>
          <w:sz w:val="24"/>
          <w:szCs w:val="24"/>
          <w:u w:val="single"/>
        </w:rPr>
      </w:pPr>
    </w:p>
    <w:p w14:paraId="3F63B0DC"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Public procurement policies are being used in many countries as a tool for fostering collaboration between industry and PFROs and providing pathways for commercialisation of research. The OECD Science Technology and Industry Outlook Report 2014, indicates that support for innovation through demand side instruments like procurement will become increasingly important</w:t>
      </w:r>
      <w:r w:rsidRPr="00984007">
        <w:rPr>
          <w:rStyle w:val="FootnoteReference"/>
          <w:rFonts w:ascii="Times New Roman" w:hAnsi="Times New Roman" w:cs="Times New Roman"/>
          <w:b/>
          <w:sz w:val="24"/>
          <w:szCs w:val="24"/>
          <w:u w:val="single"/>
        </w:rPr>
        <w:footnoteReference w:id="6"/>
      </w:r>
      <w:r w:rsidRPr="00984007">
        <w:rPr>
          <w:rFonts w:ascii="Times New Roman" w:hAnsi="Times New Roman" w:cs="Times New Roman"/>
          <w:sz w:val="24"/>
          <w:szCs w:val="24"/>
        </w:rPr>
        <w:t>. The IA Board has previously provided</w:t>
      </w:r>
      <w:r w:rsidRPr="00984007">
        <w:rPr>
          <w:rStyle w:val="FootnoteReference"/>
          <w:rFonts w:ascii="Times New Roman" w:hAnsi="Times New Roman" w:cs="Times New Roman"/>
          <w:sz w:val="24"/>
          <w:szCs w:val="24"/>
        </w:rPr>
        <w:footnoteReference w:id="7"/>
      </w:r>
      <w:r w:rsidRPr="00984007">
        <w:rPr>
          <w:rFonts w:ascii="Times New Roman" w:hAnsi="Times New Roman" w:cs="Times New Roman"/>
          <w:sz w:val="24"/>
          <w:szCs w:val="24"/>
        </w:rPr>
        <w:t xml:space="preserve"> arguments for the use of procurement to boost commercial returns, and notes that such policies:</w:t>
      </w:r>
    </w:p>
    <w:p w14:paraId="3F63B0DD" w14:textId="77777777" w:rsidR="00984007" w:rsidRPr="00984007" w:rsidRDefault="00984007" w:rsidP="00984007">
      <w:pPr>
        <w:pStyle w:val="ListParagraph"/>
        <w:numPr>
          <w:ilvl w:val="1"/>
          <w:numId w:val="12"/>
        </w:numPr>
        <w:spacing w:after="0"/>
        <w:jc w:val="both"/>
        <w:rPr>
          <w:rFonts w:ascii="Times New Roman" w:hAnsi="Times New Roman" w:cs="Times New Roman"/>
          <w:sz w:val="24"/>
          <w:szCs w:val="24"/>
        </w:rPr>
      </w:pPr>
      <w:r w:rsidRPr="00984007">
        <w:rPr>
          <w:rFonts w:ascii="Times New Roman" w:hAnsi="Times New Roman" w:cs="Times New Roman"/>
          <w:sz w:val="24"/>
          <w:szCs w:val="24"/>
        </w:rPr>
        <w:t>are systemic in their effect;</w:t>
      </w:r>
    </w:p>
    <w:p w14:paraId="3F63B0DE" w14:textId="77777777" w:rsidR="00984007" w:rsidRPr="00984007" w:rsidRDefault="00984007" w:rsidP="00984007">
      <w:pPr>
        <w:pStyle w:val="ListParagraph"/>
        <w:numPr>
          <w:ilvl w:val="1"/>
          <w:numId w:val="12"/>
        </w:numPr>
        <w:spacing w:after="0"/>
        <w:jc w:val="both"/>
        <w:rPr>
          <w:rFonts w:ascii="Times New Roman" w:hAnsi="Times New Roman" w:cs="Times New Roman"/>
          <w:sz w:val="24"/>
          <w:szCs w:val="24"/>
        </w:rPr>
      </w:pPr>
      <w:r w:rsidRPr="00984007">
        <w:rPr>
          <w:rFonts w:ascii="Times New Roman" w:hAnsi="Times New Roman" w:cs="Times New Roman"/>
          <w:sz w:val="24"/>
          <w:szCs w:val="24"/>
        </w:rPr>
        <w:t>do not necessarily add to budget outlays; and</w:t>
      </w:r>
    </w:p>
    <w:p w14:paraId="3F63B0DF" w14:textId="77777777" w:rsidR="00984007" w:rsidRPr="00984007" w:rsidRDefault="00984007" w:rsidP="00984007">
      <w:pPr>
        <w:pStyle w:val="ListParagraph"/>
        <w:numPr>
          <w:ilvl w:val="1"/>
          <w:numId w:val="12"/>
        </w:numPr>
        <w:spacing w:after="0"/>
        <w:jc w:val="both"/>
        <w:rPr>
          <w:rFonts w:ascii="Times New Roman" w:hAnsi="Times New Roman" w:cs="Times New Roman"/>
          <w:sz w:val="24"/>
          <w:szCs w:val="24"/>
        </w:rPr>
      </w:pPr>
      <w:proofErr w:type="gramStart"/>
      <w:r w:rsidRPr="00984007">
        <w:rPr>
          <w:rFonts w:ascii="Times New Roman" w:hAnsi="Times New Roman" w:cs="Times New Roman"/>
          <w:sz w:val="24"/>
          <w:szCs w:val="24"/>
        </w:rPr>
        <w:lastRenderedPageBreak/>
        <w:t>are</w:t>
      </w:r>
      <w:proofErr w:type="gramEnd"/>
      <w:r w:rsidRPr="00984007">
        <w:rPr>
          <w:rFonts w:ascii="Times New Roman" w:hAnsi="Times New Roman" w:cs="Times New Roman"/>
          <w:sz w:val="24"/>
          <w:szCs w:val="24"/>
        </w:rPr>
        <w:t xml:space="preserve"> becoming more widespread, according to the just-released OECD Science, Technology and Industry Outlook 2014, especially to foster collaboration and support for SMEs. </w:t>
      </w:r>
    </w:p>
    <w:p w14:paraId="3F63B0E1" w14:textId="77777777" w:rsidR="00984007" w:rsidRPr="00093AE2" w:rsidRDefault="00984007" w:rsidP="00A668D1">
      <w:pPr>
        <w:pStyle w:val="Heading2"/>
      </w:pPr>
      <w:r w:rsidRPr="00093AE2">
        <w:t>International Collaboration</w:t>
      </w:r>
    </w:p>
    <w:p w14:paraId="3F63B0E2" w14:textId="77777777" w:rsidR="00984007" w:rsidRPr="00984007" w:rsidRDefault="00984007" w:rsidP="00984007">
      <w:pPr>
        <w:spacing w:after="0"/>
        <w:jc w:val="both"/>
        <w:rPr>
          <w:rFonts w:ascii="Times New Roman" w:hAnsi="Times New Roman" w:cs="Times New Roman"/>
          <w:sz w:val="24"/>
          <w:szCs w:val="24"/>
        </w:rPr>
      </w:pPr>
    </w:p>
    <w:p w14:paraId="3F63B0E3"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International collaboration is becoming increasingly important in leveraging knowledge and specialised expertise as well as investment in research infrastructure for higher order outcomes. The IITB-Monash University collaborative model</w:t>
      </w:r>
      <w:r w:rsidRPr="00984007">
        <w:rPr>
          <w:rStyle w:val="FootnoteReference"/>
          <w:rFonts w:ascii="Times New Roman" w:hAnsi="Times New Roman" w:cs="Times New Roman"/>
          <w:sz w:val="24"/>
          <w:szCs w:val="24"/>
        </w:rPr>
        <w:footnoteReference w:id="8"/>
      </w:r>
      <w:r w:rsidRPr="00984007">
        <w:rPr>
          <w:rFonts w:ascii="Times New Roman" w:hAnsi="Times New Roman" w:cs="Times New Roman"/>
          <w:sz w:val="24"/>
          <w:szCs w:val="24"/>
        </w:rPr>
        <w:t xml:space="preserve"> may provide useful insights on the issues to be addressed if this strategy is to be supported nationally.</w:t>
      </w:r>
    </w:p>
    <w:p w14:paraId="3F63B0E5" w14:textId="77777777" w:rsidR="00984007" w:rsidRPr="00093AE2" w:rsidRDefault="00984007" w:rsidP="00A668D1">
      <w:pPr>
        <w:pStyle w:val="Heading2"/>
      </w:pPr>
      <w:r w:rsidRPr="00093AE2">
        <w:t>Diversity</w:t>
      </w:r>
    </w:p>
    <w:p w14:paraId="3F63B0E6" w14:textId="77777777" w:rsidR="00984007" w:rsidRPr="00984007" w:rsidRDefault="00984007" w:rsidP="00984007">
      <w:pPr>
        <w:spacing w:after="0"/>
        <w:jc w:val="both"/>
        <w:rPr>
          <w:rFonts w:ascii="Times New Roman" w:hAnsi="Times New Roman" w:cs="Times New Roman"/>
          <w:sz w:val="24"/>
          <w:szCs w:val="24"/>
        </w:rPr>
      </w:pPr>
    </w:p>
    <w:p w14:paraId="3F63B0E7"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t>There is a great deal of international evidence that diverse teams drive greater levels of innovation</w:t>
      </w:r>
      <w:r w:rsidRPr="00984007">
        <w:rPr>
          <w:rStyle w:val="FootnoteReference"/>
          <w:rFonts w:ascii="Times New Roman" w:hAnsi="Times New Roman" w:cs="Times New Roman"/>
          <w:sz w:val="24"/>
          <w:szCs w:val="24"/>
        </w:rPr>
        <w:footnoteReference w:id="9"/>
      </w:r>
      <w:r w:rsidRPr="00984007">
        <w:rPr>
          <w:rFonts w:ascii="Times New Roman" w:hAnsi="Times New Roman" w:cs="Times New Roman"/>
          <w:sz w:val="24"/>
          <w:szCs w:val="24"/>
        </w:rPr>
        <w:t xml:space="preserve"> .Strategies to enhance the diversity of research teams in both PFROs and business in terms of gender, ethnicity, age and other factors should be built into factors for evaluating the performance of teams and the delivery of outcomes.</w:t>
      </w:r>
    </w:p>
    <w:p w14:paraId="3F63B0E9" w14:textId="77777777" w:rsidR="00984007" w:rsidRPr="00984007" w:rsidRDefault="00984007" w:rsidP="00A668D1">
      <w:pPr>
        <w:pStyle w:val="Heading1"/>
      </w:pPr>
      <w:r w:rsidRPr="00984007">
        <w:t>CONCLUSIONS</w:t>
      </w:r>
    </w:p>
    <w:p w14:paraId="3F63B0EA" w14:textId="77777777" w:rsidR="00984007" w:rsidRPr="00984007" w:rsidRDefault="00984007" w:rsidP="00984007">
      <w:pPr>
        <w:spacing w:after="0"/>
        <w:jc w:val="both"/>
        <w:rPr>
          <w:rFonts w:ascii="Times New Roman" w:hAnsi="Times New Roman" w:cs="Times New Roman"/>
          <w:sz w:val="24"/>
          <w:szCs w:val="24"/>
        </w:rPr>
      </w:pPr>
    </w:p>
    <w:p w14:paraId="3F63B0EB" w14:textId="77777777" w:rsidR="00984007" w:rsidRPr="00984007" w:rsidRDefault="00984007" w:rsidP="00984007">
      <w:pPr>
        <w:pStyle w:val="ListParagraph"/>
        <w:autoSpaceDE w:val="0"/>
        <w:autoSpaceDN w:val="0"/>
        <w:adjustRightInd w:val="0"/>
        <w:spacing w:after="0"/>
        <w:ind w:left="0" w:right="95"/>
        <w:jc w:val="both"/>
        <w:rPr>
          <w:rFonts w:ascii="Times New Roman" w:hAnsi="Times New Roman" w:cs="Times New Roman"/>
          <w:sz w:val="24"/>
          <w:szCs w:val="24"/>
        </w:rPr>
      </w:pPr>
      <w:r w:rsidRPr="00984007">
        <w:rPr>
          <w:rFonts w:ascii="Times New Roman" w:hAnsi="Times New Roman" w:cs="Times New Roman"/>
          <w:i/>
          <w:iCs/>
          <w:sz w:val="24"/>
          <w:szCs w:val="24"/>
        </w:rPr>
        <w:t>Innovation Australia</w:t>
      </w:r>
      <w:r w:rsidR="00093AE2">
        <w:rPr>
          <w:rFonts w:ascii="Times New Roman" w:hAnsi="Times New Roman" w:cs="Times New Roman"/>
          <w:i/>
          <w:iCs/>
          <w:sz w:val="24"/>
          <w:szCs w:val="24"/>
        </w:rPr>
        <w:t xml:space="preserve"> </w:t>
      </w:r>
      <w:r w:rsidRPr="00984007">
        <w:rPr>
          <w:rFonts w:ascii="Times New Roman" w:hAnsi="Times New Roman" w:cs="Times New Roman"/>
          <w:sz w:val="24"/>
          <w:szCs w:val="24"/>
        </w:rPr>
        <w:t>strongly supports the intention to adopt measures to boost commercial returns from Australia’s research effort.</w:t>
      </w:r>
      <w:r w:rsidRPr="00984007">
        <w:rPr>
          <w:rFonts w:ascii="Times New Roman" w:hAnsi="Times New Roman" w:cs="Times New Roman"/>
          <w:iCs/>
          <w:sz w:val="24"/>
          <w:szCs w:val="24"/>
        </w:rPr>
        <w:t xml:space="preserve"> Many of the recommendations are consistent with those made in previous submissions and support the Government's agenda for increased industry innovation and competitiveness. We are</w:t>
      </w:r>
      <w:r w:rsidRPr="00984007">
        <w:rPr>
          <w:rFonts w:ascii="Times New Roman" w:hAnsi="Times New Roman" w:cs="Times New Roman"/>
          <w:sz w:val="24"/>
          <w:szCs w:val="24"/>
        </w:rPr>
        <w:t xml:space="preserve"> available to discuss the above recommendations and their implications and to provide copies of previous submissions if required.</w:t>
      </w:r>
    </w:p>
    <w:p w14:paraId="3F63B0EC" w14:textId="77777777" w:rsidR="00984007" w:rsidRPr="00984007" w:rsidRDefault="00984007" w:rsidP="00984007">
      <w:pPr>
        <w:spacing w:after="0"/>
        <w:jc w:val="both"/>
        <w:rPr>
          <w:rFonts w:ascii="Times New Roman" w:hAnsi="Times New Roman" w:cs="Times New Roman"/>
          <w:sz w:val="24"/>
          <w:szCs w:val="24"/>
        </w:rPr>
      </w:pPr>
      <w:r w:rsidRPr="00984007">
        <w:rPr>
          <w:rFonts w:ascii="Times New Roman" w:hAnsi="Times New Roman" w:cs="Times New Roman"/>
          <w:sz w:val="24"/>
          <w:szCs w:val="24"/>
        </w:rPr>
        <w:br w:type="page"/>
      </w:r>
    </w:p>
    <w:p w14:paraId="3F63B0ED" w14:textId="77777777" w:rsidR="00984007" w:rsidRPr="00984007" w:rsidRDefault="00984007" w:rsidP="00984007">
      <w:pPr>
        <w:spacing w:after="0"/>
        <w:jc w:val="right"/>
        <w:rPr>
          <w:rFonts w:ascii="Times New Roman" w:hAnsi="Times New Roman" w:cs="Times New Roman"/>
          <w:b/>
          <w:sz w:val="24"/>
          <w:szCs w:val="24"/>
        </w:rPr>
      </w:pPr>
      <w:r w:rsidRPr="00984007">
        <w:rPr>
          <w:rFonts w:ascii="Times New Roman" w:hAnsi="Times New Roman" w:cs="Times New Roman"/>
          <w:b/>
          <w:sz w:val="24"/>
          <w:szCs w:val="24"/>
        </w:rPr>
        <w:lastRenderedPageBreak/>
        <w:t>Attachment 1</w:t>
      </w:r>
    </w:p>
    <w:p w14:paraId="3F63B0EE" w14:textId="77777777" w:rsidR="00984007" w:rsidRPr="00984007" w:rsidRDefault="00984007" w:rsidP="00984007">
      <w:pPr>
        <w:spacing w:after="0"/>
        <w:jc w:val="both"/>
        <w:rPr>
          <w:rFonts w:ascii="Times New Roman" w:hAnsi="Times New Roman" w:cs="Times New Roman"/>
          <w:b/>
          <w:sz w:val="24"/>
          <w:szCs w:val="24"/>
        </w:rPr>
      </w:pPr>
    </w:p>
    <w:p w14:paraId="3F63B0EF" w14:textId="77777777" w:rsidR="00093AE2" w:rsidRDefault="00984007" w:rsidP="00A668D1">
      <w:pPr>
        <w:pStyle w:val="Heading1"/>
      </w:pPr>
      <w:r w:rsidRPr="00984007">
        <w:t xml:space="preserve">R&amp;D Incentives Committee Submission </w:t>
      </w:r>
    </w:p>
    <w:p w14:paraId="3F63B0F0" w14:textId="77777777" w:rsidR="00984007" w:rsidRPr="00984007" w:rsidRDefault="00984007" w:rsidP="00984007">
      <w:pPr>
        <w:spacing w:after="0"/>
        <w:jc w:val="both"/>
        <w:rPr>
          <w:rFonts w:ascii="Times New Roman" w:hAnsi="Times New Roman" w:cs="Times New Roman"/>
          <w:b/>
          <w:sz w:val="24"/>
          <w:szCs w:val="24"/>
        </w:rPr>
      </w:pPr>
      <w:r w:rsidRPr="00984007">
        <w:rPr>
          <w:rFonts w:ascii="Times New Roman" w:hAnsi="Times New Roman" w:cs="Times New Roman"/>
          <w:b/>
          <w:sz w:val="24"/>
          <w:szCs w:val="24"/>
        </w:rPr>
        <w:t>[</w:t>
      </w:r>
      <w:proofErr w:type="gramStart"/>
      <w:r w:rsidRPr="00984007">
        <w:rPr>
          <w:rFonts w:ascii="Times New Roman" w:hAnsi="Times New Roman" w:cs="Times New Roman"/>
          <w:b/>
          <w:sz w:val="24"/>
          <w:szCs w:val="24"/>
        </w:rPr>
        <w:t>attachment</w:t>
      </w:r>
      <w:proofErr w:type="gramEnd"/>
      <w:r w:rsidRPr="00984007">
        <w:rPr>
          <w:rFonts w:ascii="Times New Roman" w:hAnsi="Times New Roman" w:cs="Times New Roman"/>
          <w:b/>
          <w:sz w:val="24"/>
          <w:szCs w:val="24"/>
        </w:rPr>
        <w:t xml:space="preserve"> </w:t>
      </w:r>
      <w:r w:rsidR="00093AE2">
        <w:rPr>
          <w:rFonts w:ascii="Times New Roman" w:hAnsi="Times New Roman" w:cs="Times New Roman"/>
          <w:b/>
          <w:sz w:val="24"/>
          <w:szCs w:val="24"/>
        </w:rPr>
        <w:t xml:space="preserve">1 </w:t>
      </w:r>
      <w:r w:rsidRPr="00984007">
        <w:rPr>
          <w:rFonts w:ascii="Times New Roman" w:hAnsi="Times New Roman" w:cs="Times New Roman"/>
          <w:b/>
          <w:sz w:val="24"/>
          <w:szCs w:val="24"/>
        </w:rPr>
        <w:t>to Innovation Australia’s submission]</w:t>
      </w:r>
    </w:p>
    <w:p w14:paraId="3F63B0F1" w14:textId="77777777" w:rsidR="00984007" w:rsidRPr="00984007" w:rsidRDefault="00984007" w:rsidP="00984007">
      <w:pPr>
        <w:spacing w:after="0"/>
        <w:jc w:val="both"/>
        <w:rPr>
          <w:rFonts w:ascii="Times New Roman" w:hAnsi="Times New Roman" w:cs="Times New Roman"/>
          <w:b/>
          <w:sz w:val="24"/>
          <w:szCs w:val="24"/>
        </w:rPr>
      </w:pPr>
    </w:p>
    <w:p w14:paraId="3F63B0F3" w14:textId="77777777" w:rsidR="00CA533E" w:rsidRDefault="00CA533E" w:rsidP="00CA533E">
      <w:pPr>
        <w:autoSpaceDE w:val="0"/>
        <w:autoSpaceDN w:val="0"/>
        <w:adjustRightInd w:val="0"/>
        <w:spacing w:after="0"/>
        <w:jc w:val="both"/>
        <w:rPr>
          <w:rFonts w:ascii="Times New Roman" w:hAnsi="Times New Roman" w:cs="Times New Roman"/>
          <w:sz w:val="24"/>
          <w:szCs w:val="24"/>
        </w:rPr>
      </w:pPr>
      <w:r w:rsidRPr="00D51454">
        <w:rPr>
          <w:rFonts w:ascii="Times New Roman" w:hAnsi="Times New Roman" w:cs="Times New Roman"/>
          <w:color w:val="000000"/>
          <w:sz w:val="24"/>
          <w:szCs w:val="24"/>
        </w:rPr>
        <w:t xml:space="preserve">The R&amp;D Incentive Committee’s </w:t>
      </w:r>
      <w:r w:rsidRPr="00D51454">
        <w:rPr>
          <w:rFonts w:ascii="Times New Roman" w:hAnsi="Times New Roman" w:cs="Times New Roman"/>
          <w:sz w:val="24"/>
          <w:szCs w:val="24"/>
        </w:rPr>
        <w:t>responsibilities include administering and monitoring aspects of the R&amp;D Tax Incentive Programme and the R&amp;D Tax Concession Programme.</w:t>
      </w:r>
    </w:p>
    <w:p w14:paraId="3F63B0F4" w14:textId="77777777" w:rsidR="00CA533E" w:rsidRPr="00D51454" w:rsidRDefault="00CA533E" w:rsidP="00CA533E">
      <w:pPr>
        <w:autoSpaceDE w:val="0"/>
        <w:autoSpaceDN w:val="0"/>
        <w:adjustRightInd w:val="0"/>
        <w:spacing w:after="0"/>
        <w:jc w:val="both"/>
        <w:rPr>
          <w:rFonts w:ascii="Times New Roman" w:hAnsi="Times New Roman" w:cs="Times New Roman"/>
          <w:sz w:val="24"/>
          <w:szCs w:val="24"/>
        </w:rPr>
      </w:pPr>
    </w:p>
    <w:p w14:paraId="3F63B0F5" w14:textId="77777777" w:rsidR="00CA533E" w:rsidRDefault="00CA533E" w:rsidP="00CA533E">
      <w:pPr>
        <w:spacing w:after="0"/>
        <w:jc w:val="both"/>
        <w:rPr>
          <w:rFonts w:ascii="Times New Roman" w:hAnsi="Times New Roman" w:cs="Times New Roman"/>
          <w:sz w:val="24"/>
          <w:szCs w:val="24"/>
        </w:rPr>
      </w:pPr>
      <w:r w:rsidRPr="00D51454">
        <w:rPr>
          <w:rFonts w:ascii="Times New Roman" w:hAnsi="Times New Roman" w:cs="Times New Roman"/>
          <w:color w:val="000000"/>
          <w:sz w:val="24"/>
          <w:szCs w:val="24"/>
        </w:rPr>
        <w:t>The</w:t>
      </w:r>
      <w:r w:rsidRPr="00D51454">
        <w:rPr>
          <w:rFonts w:ascii="Times New Roman" w:hAnsi="Times New Roman" w:cs="Times New Roman"/>
          <w:i/>
          <w:color w:val="000000"/>
          <w:sz w:val="24"/>
          <w:szCs w:val="24"/>
        </w:rPr>
        <w:t xml:space="preserve"> R&amp;D Incentives Committee (Committee) </w:t>
      </w:r>
      <w:r w:rsidRPr="00D51454">
        <w:rPr>
          <w:rFonts w:ascii="Times New Roman" w:hAnsi="Times New Roman" w:cs="Times New Roman"/>
          <w:color w:val="000000"/>
          <w:sz w:val="24"/>
          <w:szCs w:val="24"/>
        </w:rPr>
        <w:t xml:space="preserve">supports the focus of this review in boosting the commercial outcomes from research. This objective is consistent with the government’s </w:t>
      </w:r>
      <w:r w:rsidRPr="00D51454">
        <w:rPr>
          <w:rFonts w:ascii="Times New Roman" w:hAnsi="Times New Roman" w:cs="Times New Roman"/>
          <w:i/>
          <w:color w:val="000000"/>
          <w:sz w:val="24"/>
          <w:szCs w:val="24"/>
        </w:rPr>
        <w:t>Industry Innovation and Competitiveness Agenda</w:t>
      </w:r>
      <w:r w:rsidRPr="00D51454">
        <w:rPr>
          <w:rFonts w:ascii="Times New Roman" w:hAnsi="Times New Roman" w:cs="Times New Roman"/>
          <w:color w:val="000000"/>
          <w:sz w:val="24"/>
          <w:szCs w:val="24"/>
        </w:rPr>
        <w:t xml:space="preserve">. We note, however, that there will always be a need to maintain a certain level of fundamental research which will not be otherwise undertaken by the private sector due to the long lead times and uncertain outcomes and paths to commercialisation. </w:t>
      </w:r>
      <w:r>
        <w:rPr>
          <w:rFonts w:ascii="Times New Roman" w:hAnsi="Times New Roman" w:cs="Times New Roman"/>
          <w:color w:val="000000"/>
          <w:sz w:val="24"/>
          <w:szCs w:val="24"/>
        </w:rPr>
        <w:t>B</w:t>
      </w:r>
      <w:r w:rsidRPr="00D51454">
        <w:rPr>
          <w:rFonts w:ascii="Times New Roman" w:hAnsi="Times New Roman" w:cs="Times New Roman"/>
          <w:color w:val="000000"/>
          <w:sz w:val="24"/>
          <w:szCs w:val="24"/>
        </w:rPr>
        <w:t>reakthroughs from such research</w:t>
      </w:r>
      <w:r>
        <w:rPr>
          <w:rFonts w:ascii="Times New Roman" w:hAnsi="Times New Roman" w:cs="Times New Roman"/>
          <w:color w:val="000000"/>
          <w:sz w:val="24"/>
          <w:szCs w:val="24"/>
        </w:rPr>
        <w:t xml:space="preserve"> (for example CSIRO – </w:t>
      </w:r>
      <w:proofErr w:type="spellStart"/>
      <w:r>
        <w:rPr>
          <w:rFonts w:ascii="Times New Roman" w:hAnsi="Times New Roman" w:cs="Times New Roman"/>
          <w:color w:val="000000"/>
          <w:sz w:val="24"/>
          <w:szCs w:val="24"/>
        </w:rPr>
        <w:t>Wifi</w:t>
      </w:r>
      <w:proofErr w:type="spellEnd"/>
      <w:r>
        <w:rPr>
          <w:rFonts w:ascii="Times New Roman" w:hAnsi="Times New Roman" w:cs="Times New Roman"/>
          <w:color w:val="000000"/>
          <w:sz w:val="24"/>
          <w:szCs w:val="24"/>
        </w:rPr>
        <w:t xml:space="preserve">) </w:t>
      </w:r>
      <w:r w:rsidRPr="00D51454">
        <w:rPr>
          <w:rFonts w:ascii="Times New Roman" w:hAnsi="Times New Roman" w:cs="Times New Roman"/>
          <w:color w:val="000000"/>
          <w:sz w:val="24"/>
          <w:szCs w:val="24"/>
        </w:rPr>
        <w:t>can result in large and, frequently disruptive, gains. F</w:t>
      </w:r>
      <w:r w:rsidRPr="00D51454">
        <w:rPr>
          <w:rFonts w:ascii="Times New Roman" w:hAnsi="Times New Roman" w:cs="Times New Roman"/>
          <w:sz w:val="24"/>
          <w:szCs w:val="24"/>
        </w:rPr>
        <w:t>undamental, pure research is usually undertaken by publicly funded research organisations (PFROs) and most leading economies continue to provide funding for this type of research.</w:t>
      </w:r>
    </w:p>
    <w:p w14:paraId="3F63B0F6" w14:textId="77777777" w:rsidR="00CA533E" w:rsidRPr="00D51454" w:rsidRDefault="00CA533E" w:rsidP="00CA533E">
      <w:pPr>
        <w:spacing w:after="0"/>
        <w:jc w:val="both"/>
        <w:rPr>
          <w:rFonts w:ascii="Times New Roman" w:hAnsi="Times New Roman" w:cs="Times New Roman"/>
          <w:sz w:val="24"/>
          <w:szCs w:val="24"/>
        </w:rPr>
      </w:pPr>
    </w:p>
    <w:p w14:paraId="3F63B0F7" w14:textId="77777777" w:rsidR="00CA533E" w:rsidRPr="00D51454" w:rsidRDefault="00CA533E" w:rsidP="00CA533E">
      <w:pPr>
        <w:spacing w:after="0"/>
        <w:jc w:val="both"/>
        <w:rPr>
          <w:rFonts w:ascii="Times New Roman" w:hAnsi="Times New Roman" w:cs="Times New Roman"/>
          <w:sz w:val="24"/>
          <w:szCs w:val="24"/>
        </w:rPr>
      </w:pPr>
      <w:r w:rsidRPr="00D51454">
        <w:rPr>
          <w:rFonts w:ascii="Times New Roman" w:hAnsi="Times New Roman" w:cs="Times New Roman"/>
          <w:sz w:val="24"/>
          <w:szCs w:val="24"/>
        </w:rPr>
        <w:t>Nevertheless, there is also a pressing need to provide appropriate support frameworks and incentives for research that is expected to be commercialised and generate returns for the organisations involved (private or public) and the Australian economy.</w:t>
      </w:r>
    </w:p>
    <w:p w14:paraId="3F63B0F9" w14:textId="77777777" w:rsidR="00CA533E" w:rsidRPr="00D51454" w:rsidRDefault="00CA533E" w:rsidP="00A668D1">
      <w:pPr>
        <w:pStyle w:val="Heading2"/>
      </w:pPr>
      <w:r w:rsidRPr="00D51454">
        <w:t>The role of the R&amp;D Tax Incentive in supporting commercialisation</w:t>
      </w:r>
    </w:p>
    <w:p w14:paraId="3F63B0FB" w14:textId="77777777" w:rsidR="00CA533E" w:rsidRPr="00D51454" w:rsidRDefault="00CA533E" w:rsidP="00CA533E">
      <w:pPr>
        <w:autoSpaceDE w:val="0"/>
        <w:autoSpaceDN w:val="0"/>
        <w:adjustRightInd w:val="0"/>
        <w:spacing w:after="0"/>
        <w:jc w:val="both"/>
        <w:rPr>
          <w:rFonts w:ascii="Times New Roman" w:hAnsi="Times New Roman" w:cs="Times New Roman"/>
          <w:color w:val="000000"/>
          <w:sz w:val="24"/>
          <w:szCs w:val="24"/>
        </w:rPr>
      </w:pPr>
      <w:r w:rsidRPr="00D51454">
        <w:rPr>
          <w:rFonts w:ascii="Times New Roman" w:hAnsi="Times New Roman" w:cs="Times New Roman"/>
          <w:color w:val="000000"/>
          <w:sz w:val="24"/>
          <w:szCs w:val="24"/>
        </w:rPr>
        <w:t xml:space="preserve">The Committee supports the premise from the discussion paper for this review that the R&amp;D Tax Incentive has been one of the Government’s most significant levers for encouraging business innovation. While the primary objective of the R&amp;D Tax Incentive is to support R&amp;D conducted by </w:t>
      </w:r>
      <w:r>
        <w:rPr>
          <w:rFonts w:ascii="Times New Roman" w:hAnsi="Times New Roman" w:cs="Times New Roman"/>
          <w:color w:val="000000"/>
          <w:sz w:val="24"/>
          <w:szCs w:val="24"/>
        </w:rPr>
        <w:t>industry</w:t>
      </w:r>
      <w:r w:rsidRPr="00D51454">
        <w:rPr>
          <w:rFonts w:ascii="Times New Roman" w:hAnsi="Times New Roman" w:cs="Times New Roman"/>
          <w:color w:val="000000"/>
          <w:sz w:val="24"/>
          <w:szCs w:val="24"/>
        </w:rPr>
        <w:t xml:space="preserve"> in Australia, we believe there is scope for the programme (or an alternative mechanism which uses the tax system) to encourage </w:t>
      </w:r>
      <w:r>
        <w:rPr>
          <w:rFonts w:ascii="Times New Roman" w:hAnsi="Times New Roman" w:cs="Times New Roman"/>
          <w:color w:val="000000"/>
          <w:sz w:val="24"/>
          <w:szCs w:val="24"/>
        </w:rPr>
        <w:t xml:space="preserve">further </w:t>
      </w:r>
      <w:r w:rsidRPr="00D51454">
        <w:rPr>
          <w:rFonts w:ascii="Times New Roman" w:hAnsi="Times New Roman" w:cs="Times New Roman"/>
          <w:color w:val="000000"/>
          <w:sz w:val="24"/>
          <w:szCs w:val="24"/>
        </w:rPr>
        <w:t xml:space="preserve">collaboration between industry and PFROs. </w:t>
      </w:r>
    </w:p>
    <w:p w14:paraId="3F63B0FC" w14:textId="77777777" w:rsidR="00CA533E" w:rsidRPr="00D51454" w:rsidRDefault="00CA533E" w:rsidP="00CA533E">
      <w:pPr>
        <w:autoSpaceDE w:val="0"/>
        <w:autoSpaceDN w:val="0"/>
        <w:adjustRightInd w:val="0"/>
        <w:spacing w:after="0"/>
        <w:jc w:val="both"/>
        <w:rPr>
          <w:rFonts w:ascii="Times New Roman" w:hAnsi="Times New Roman" w:cs="Times New Roman"/>
          <w:color w:val="000000"/>
          <w:sz w:val="24"/>
          <w:szCs w:val="24"/>
        </w:rPr>
      </w:pPr>
    </w:p>
    <w:p w14:paraId="3F63B0FD" w14:textId="77777777" w:rsidR="00CA533E" w:rsidRDefault="00CA533E" w:rsidP="00CA533E">
      <w:pPr>
        <w:spacing w:after="0"/>
        <w:jc w:val="both"/>
        <w:rPr>
          <w:rFonts w:ascii="Times New Roman" w:hAnsi="Times New Roman" w:cs="Times New Roman"/>
          <w:sz w:val="24"/>
          <w:szCs w:val="24"/>
        </w:rPr>
      </w:pPr>
      <w:r w:rsidRPr="00D51454">
        <w:rPr>
          <w:rFonts w:ascii="Times New Roman" w:hAnsi="Times New Roman" w:cs="Times New Roman"/>
          <w:sz w:val="24"/>
          <w:szCs w:val="24"/>
        </w:rPr>
        <w:t>Many countries around the world have scheme</w:t>
      </w:r>
      <w:r>
        <w:rPr>
          <w:rFonts w:ascii="Times New Roman" w:hAnsi="Times New Roman" w:cs="Times New Roman"/>
          <w:sz w:val="24"/>
          <w:szCs w:val="24"/>
        </w:rPr>
        <w:t>s</w:t>
      </w:r>
      <w:r w:rsidR="00093AE2">
        <w:rPr>
          <w:rFonts w:ascii="Times New Roman" w:hAnsi="Times New Roman" w:cs="Times New Roman"/>
          <w:sz w:val="24"/>
          <w:szCs w:val="24"/>
        </w:rPr>
        <w:t xml:space="preserve"> </w:t>
      </w:r>
      <w:r>
        <w:rPr>
          <w:rFonts w:ascii="Times New Roman" w:hAnsi="Times New Roman" w:cs="Times New Roman"/>
          <w:sz w:val="24"/>
          <w:szCs w:val="24"/>
        </w:rPr>
        <w:t>that</w:t>
      </w:r>
      <w:r w:rsidRPr="00D51454">
        <w:rPr>
          <w:rFonts w:ascii="Times New Roman" w:hAnsi="Times New Roman" w:cs="Times New Roman"/>
          <w:sz w:val="24"/>
          <w:szCs w:val="24"/>
        </w:rPr>
        <w:t xml:space="preserve"> support R&amp;D </w:t>
      </w:r>
      <w:r>
        <w:rPr>
          <w:rFonts w:ascii="Times New Roman" w:hAnsi="Times New Roman" w:cs="Times New Roman"/>
          <w:sz w:val="24"/>
          <w:szCs w:val="24"/>
        </w:rPr>
        <w:t>using the tax system. A</w:t>
      </w:r>
      <w:r w:rsidRPr="00D51454">
        <w:rPr>
          <w:rFonts w:ascii="Times New Roman" w:hAnsi="Times New Roman" w:cs="Times New Roman"/>
          <w:sz w:val="24"/>
          <w:szCs w:val="24"/>
        </w:rPr>
        <w:t>ccording to the accounting firm KPMG, there is an escalating competition to provide R&amp;D incentives in a country’s jurisdiction to attract innovating companies. The United States, United Kingdom, Canada, Germany and Japan are among the top countries, including Australia, that provide R&amp;D Tax Incentives.</w:t>
      </w:r>
      <w:r w:rsidRPr="00D51454">
        <w:rPr>
          <w:rStyle w:val="FootnoteReference"/>
          <w:rFonts w:ascii="Times New Roman" w:hAnsi="Times New Roman" w:cs="Times New Roman"/>
          <w:sz w:val="24"/>
          <w:szCs w:val="24"/>
        </w:rPr>
        <w:footnoteReference w:id="10"/>
      </w:r>
      <w:r w:rsidRPr="00D51454">
        <w:rPr>
          <w:rFonts w:ascii="Times New Roman" w:hAnsi="Times New Roman" w:cs="Times New Roman"/>
          <w:sz w:val="24"/>
          <w:szCs w:val="24"/>
        </w:rPr>
        <w:t xml:space="preserve"> The Ernst and Young (EY) global comparison of tax incentives shows the large number of countries with R&amp;D tax incentives including China, Indonesia, Japan, Malaysia, Philippines, Singapore, South Korea and Vietnam.</w:t>
      </w:r>
      <w:r w:rsidRPr="00D51454">
        <w:rPr>
          <w:rStyle w:val="FootnoteReference"/>
          <w:rFonts w:ascii="Times New Roman" w:hAnsi="Times New Roman" w:cs="Times New Roman"/>
          <w:sz w:val="24"/>
          <w:szCs w:val="24"/>
        </w:rPr>
        <w:footnoteReference w:id="11"/>
      </w:r>
      <w:r w:rsidRPr="00D51454">
        <w:rPr>
          <w:rFonts w:ascii="Times New Roman" w:hAnsi="Times New Roman" w:cs="Times New Roman"/>
          <w:sz w:val="24"/>
          <w:szCs w:val="24"/>
        </w:rPr>
        <w:t xml:space="preserve"> Given the competition in our own region, it is critical that Australia is proactive in developing policy in this area. </w:t>
      </w:r>
    </w:p>
    <w:p w14:paraId="3F63B0FE" w14:textId="77777777" w:rsidR="00CA533E" w:rsidRPr="00D51454" w:rsidRDefault="00CA533E" w:rsidP="00CA533E">
      <w:pPr>
        <w:spacing w:after="0"/>
        <w:jc w:val="both"/>
        <w:rPr>
          <w:rFonts w:ascii="Times New Roman" w:hAnsi="Times New Roman" w:cs="Times New Roman"/>
          <w:sz w:val="24"/>
          <w:szCs w:val="24"/>
        </w:rPr>
      </w:pPr>
    </w:p>
    <w:p w14:paraId="3F63B0FF" w14:textId="77777777" w:rsidR="00CA533E" w:rsidRDefault="00CA533E" w:rsidP="00CA533E">
      <w:pPr>
        <w:spacing w:after="0"/>
        <w:jc w:val="both"/>
        <w:rPr>
          <w:rFonts w:ascii="Times New Roman" w:eastAsia="Times New Roman" w:hAnsi="Times New Roman" w:cs="Times New Roman"/>
          <w:sz w:val="24"/>
          <w:szCs w:val="24"/>
        </w:rPr>
      </w:pPr>
      <w:r w:rsidRPr="00D51454">
        <w:rPr>
          <w:rFonts w:ascii="Times New Roman" w:hAnsi="Times New Roman" w:cs="Times New Roman"/>
          <w:sz w:val="24"/>
          <w:szCs w:val="24"/>
        </w:rPr>
        <w:t xml:space="preserve">For Australia, innovation is vital to ensure the growth of the economy and its competitiveness. For example the </w:t>
      </w:r>
      <w:r w:rsidRPr="00D51454">
        <w:rPr>
          <w:rFonts w:ascii="Times New Roman" w:hAnsi="Times New Roman" w:cs="Times New Roman"/>
          <w:iCs/>
          <w:sz w:val="24"/>
          <w:szCs w:val="24"/>
        </w:rPr>
        <w:t xml:space="preserve">released draft </w:t>
      </w:r>
      <w:r w:rsidRPr="00D51454">
        <w:rPr>
          <w:rFonts w:ascii="Times New Roman" w:hAnsi="Times New Roman" w:cs="Times New Roman"/>
          <w:i/>
          <w:iCs/>
          <w:sz w:val="24"/>
          <w:szCs w:val="24"/>
        </w:rPr>
        <w:t>Report on Competition Policy Review</w:t>
      </w:r>
      <w:r w:rsidRPr="00D51454">
        <w:rPr>
          <w:rStyle w:val="FootnoteReference"/>
          <w:rFonts w:ascii="Times New Roman" w:hAnsi="Times New Roman" w:cs="Times New Roman"/>
          <w:i/>
          <w:iCs/>
          <w:sz w:val="24"/>
          <w:szCs w:val="24"/>
        </w:rPr>
        <w:footnoteReference w:id="12"/>
      </w:r>
      <w:r w:rsidRPr="00D51454">
        <w:rPr>
          <w:rFonts w:ascii="Times New Roman" w:hAnsi="Times New Roman" w:cs="Times New Roman"/>
          <w:iCs/>
          <w:sz w:val="24"/>
          <w:szCs w:val="24"/>
        </w:rPr>
        <w:t xml:space="preserve"> emphasises the need for an open economy that “</w:t>
      </w:r>
      <w:r w:rsidRPr="00D51454">
        <w:rPr>
          <w:rFonts w:ascii="Times New Roman" w:eastAsia="Times New Roman" w:hAnsi="Times New Roman" w:cs="Times New Roman"/>
          <w:sz w:val="24"/>
          <w:szCs w:val="24"/>
        </w:rPr>
        <w:t>encourages innovation, entrepreneurship and the entry of new players.” The report identifies innovation and the development of new technologies as a key influence on the economy.</w:t>
      </w:r>
    </w:p>
    <w:p w14:paraId="3F63B100" w14:textId="77777777" w:rsidR="00CA533E" w:rsidRPr="00D51454" w:rsidRDefault="00CA533E" w:rsidP="00CA533E">
      <w:pPr>
        <w:spacing w:after="0"/>
        <w:jc w:val="both"/>
        <w:rPr>
          <w:rFonts w:ascii="Times New Roman" w:hAnsi="Times New Roman" w:cs="Times New Roman"/>
          <w:sz w:val="24"/>
          <w:szCs w:val="24"/>
        </w:rPr>
      </w:pPr>
    </w:p>
    <w:p w14:paraId="3F63B101" w14:textId="77777777" w:rsidR="00CA533E" w:rsidRDefault="00CA533E" w:rsidP="00CA533E">
      <w:pPr>
        <w:spacing w:after="0"/>
        <w:jc w:val="both"/>
        <w:rPr>
          <w:rFonts w:ascii="Times New Roman" w:eastAsia="Times New Roman" w:hAnsi="Times New Roman" w:cs="Times New Roman"/>
          <w:color w:val="000000"/>
          <w:sz w:val="24"/>
          <w:szCs w:val="24"/>
        </w:rPr>
      </w:pPr>
      <w:r w:rsidRPr="00D51454">
        <w:rPr>
          <w:rFonts w:ascii="Times New Roman" w:eastAsia="Times New Roman" w:hAnsi="Times New Roman" w:cs="Times New Roman"/>
          <w:sz w:val="24"/>
          <w:szCs w:val="24"/>
        </w:rPr>
        <w:t xml:space="preserve">While PFROs in Australia tend to work in basic research, industry R&amp;D is usually a first step in developing and commercialising innovative products successfully. </w:t>
      </w:r>
      <w:r w:rsidRPr="00D51454">
        <w:rPr>
          <w:rFonts w:ascii="Times New Roman" w:hAnsi="Times New Roman" w:cs="Times New Roman"/>
          <w:sz w:val="24"/>
          <w:szCs w:val="24"/>
        </w:rPr>
        <w:t xml:space="preserve">It should also be </w:t>
      </w:r>
      <w:r w:rsidRPr="00D51454">
        <w:rPr>
          <w:rStyle w:val="yiv5779722754"/>
          <w:rFonts w:ascii="Times New Roman" w:eastAsia="Times New Roman" w:hAnsi="Times New Roman" w:cs="Times New Roman"/>
          <w:color w:val="000000"/>
          <w:sz w:val="24"/>
          <w:szCs w:val="24"/>
        </w:rPr>
        <w:t xml:space="preserve">possible to encourage collaboration where demand is driven by industry through industry-PFRO collaboration. This is an industry “pull” factor rather than a science 'push'. </w:t>
      </w:r>
      <w:r w:rsidRPr="00D51454">
        <w:rPr>
          <w:rFonts w:ascii="Times New Roman" w:eastAsia="Times New Roman" w:hAnsi="Times New Roman" w:cs="Times New Roman"/>
          <w:color w:val="000000"/>
          <w:sz w:val="24"/>
          <w:szCs w:val="24"/>
        </w:rPr>
        <w:t>Many PFROs in Germany, for example, collaborate successfully with industry on this basis.</w:t>
      </w:r>
    </w:p>
    <w:p w14:paraId="3F63B102" w14:textId="77777777" w:rsidR="00CA533E" w:rsidRPr="00D51454" w:rsidRDefault="00CA533E" w:rsidP="00CA533E">
      <w:pPr>
        <w:spacing w:after="0"/>
        <w:jc w:val="both"/>
        <w:rPr>
          <w:rFonts w:ascii="Times New Roman" w:eastAsia="Times New Roman" w:hAnsi="Times New Roman" w:cs="Times New Roman"/>
          <w:color w:val="000000"/>
          <w:sz w:val="24"/>
          <w:szCs w:val="24"/>
        </w:rPr>
      </w:pPr>
    </w:p>
    <w:p w14:paraId="3F63B103" w14:textId="77777777" w:rsidR="00CA533E" w:rsidRDefault="00CA533E" w:rsidP="00CA533E">
      <w:pPr>
        <w:shd w:val="clear" w:color="auto" w:fill="FFFFFF"/>
        <w:spacing w:after="0"/>
        <w:jc w:val="both"/>
        <w:rPr>
          <w:rFonts w:ascii="Times New Roman" w:eastAsia="Times New Roman" w:hAnsi="Times New Roman" w:cs="Times New Roman"/>
          <w:color w:val="000000"/>
          <w:sz w:val="24"/>
          <w:szCs w:val="24"/>
        </w:rPr>
      </w:pPr>
      <w:r w:rsidRPr="00D51454">
        <w:rPr>
          <w:rFonts w:ascii="Times New Roman" w:hAnsi="Times New Roman" w:cs="Times New Roman"/>
          <w:sz w:val="24"/>
          <w:szCs w:val="24"/>
        </w:rPr>
        <w:t xml:space="preserve">The R&amp;D Tax Incentive is one (established) means of providing coherent, strategic incentives for collaboration with an emphasis on industry-led innovation diffusion, commercialisation and internationalisation. It </w:t>
      </w:r>
      <w:r w:rsidRPr="00D51454">
        <w:rPr>
          <w:rFonts w:ascii="Times New Roman" w:eastAsia="Times New Roman" w:hAnsi="Times New Roman" w:cs="Times New Roman"/>
          <w:color w:val="000000"/>
          <w:sz w:val="24"/>
          <w:szCs w:val="24"/>
        </w:rPr>
        <w:t xml:space="preserve">can provide the driver for industry to fund outcome driven research (industry pull) rather than science driven.  </w:t>
      </w:r>
    </w:p>
    <w:p w14:paraId="3F63B105" w14:textId="77777777" w:rsidR="00CA533E" w:rsidRPr="00D51454" w:rsidRDefault="00CA533E" w:rsidP="00A668D1">
      <w:pPr>
        <w:pStyle w:val="Heading2"/>
        <w:rPr>
          <w:rFonts w:eastAsia="Times New Roman"/>
        </w:rPr>
      </w:pPr>
      <w:r w:rsidRPr="00D51454">
        <w:rPr>
          <w:rFonts w:eastAsia="Times New Roman"/>
        </w:rPr>
        <w:t>Advantages of the R&amp;D Tax Incentive</w:t>
      </w:r>
    </w:p>
    <w:p w14:paraId="3F63B107" w14:textId="77777777" w:rsidR="00CA533E" w:rsidRPr="00D51454" w:rsidRDefault="00CA533E" w:rsidP="00CA533E">
      <w:pPr>
        <w:spacing w:after="0"/>
        <w:jc w:val="both"/>
        <w:rPr>
          <w:rFonts w:ascii="Times New Roman" w:hAnsi="Times New Roman" w:cs="Times New Roman"/>
          <w:sz w:val="24"/>
          <w:szCs w:val="24"/>
        </w:rPr>
      </w:pPr>
      <w:r>
        <w:rPr>
          <w:rFonts w:ascii="Times New Roman" w:hAnsi="Times New Roman" w:cs="Times New Roman"/>
          <w:sz w:val="24"/>
          <w:szCs w:val="24"/>
        </w:rPr>
        <w:t xml:space="preserve">Key advantages of the </w:t>
      </w:r>
      <w:r w:rsidRPr="00D51454">
        <w:rPr>
          <w:rFonts w:ascii="Times New Roman" w:hAnsi="Times New Roman" w:cs="Times New Roman"/>
          <w:sz w:val="24"/>
          <w:szCs w:val="24"/>
        </w:rPr>
        <w:t>R&amp;D Tax Incentive are:</w:t>
      </w:r>
    </w:p>
    <w:p w14:paraId="3F63B108" w14:textId="77777777" w:rsidR="00CA533E" w:rsidRPr="00D51454" w:rsidRDefault="00CA533E" w:rsidP="00CA533E">
      <w:pPr>
        <w:pStyle w:val="ListParagraph"/>
        <w:numPr>
          <w:ilvl w:val="0"/>
          <w:numId w:val="19"/>
        </w:numPr>
        <w:shd w:val="clear" w:color="auto" w:fill="FFFFFF"/>
        <w:spacing w:after="0"/>
        <w:ind w:left="357" w:hanging="357"/>
        <w:contextualSpacing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i</w:t>
      </w:r>
      <w:r w:rsidRPr="00D51454">
        <w:rPr>
          <w:rFonts w:ascii="Times New Roman" w:eastAsia="Times New Roman" w:hAnsi="Times New Roman" w:cs="Times New Roman"/>
          <w:color w:val="000000"/>
          <w:sz w:val="24"/>
          <w:szCs w:val="24"/>
        </w:rPr>
        <w:t xml:space="preserve">t is well known and widely accepted </w:t>
      </w:r>
      <w:r w:rsidRPr="00D51454">
        <w:rPr>
          <w:rFonts w:ascii="Times New Roman" w:hAnsi="Times New Roman" w:cs="Times New Roman"/>
          <w:sz w:val="24"/>
          <w:szCs w:val="24"/>
        </w:rPr>
        <w:t xml:space="preserve">within industry </w:t>
      </w:r>
      <w:r>
        <w:rPr>
          <w:rFonts w:ascii="Times New Roman" w:hAnsi="Times New Roman" w:cs="Times New Roman"/>
          <w:sz w:val="24"/>
          <w:szCs w:val="24"/>
        </w:rPr>
        <w:t>with</w:t>
      </w:r>
      <w:r w:rsidRPr="00D51454">
        <w:rPr>
          <w:rFonts w:ascii="Times New Roman" w:hAnsi="Times New Roman" w:cs="Times New Roman"/>
          <w:sz w:val="24"/>
          <w:szCs w:val="24"/>
        </w:rPr>
        <w:t xml:space="preserve"> established support structures in the </w:t>
      </w:r>
      <w:r>
        <w:rPr>
          <w:rFonts w:ascii="Times New Roman" w:hAnsi="Times New Roman" w:cs="Times New Roman"/>
          <w:sz w:val="24"/>
          <w:szCs w:val="24"/>
        </w:rPr>
        <w:t>private</w:t>
      </w:r>
      <w:r w:rsidRPr="00D51454">
        <w:rPr>
          <w:rFonts w:ascii="Times New Roman" w:hAnsi="Times New Roman" w:cs="Times New Roman"/>
          <w:sz w:val="24"/>
          <w:szCs w:val="24"/>
        </w:rPr>
        <w:t xml:space="preserve"> sector</w:t>
      </w:r>
      <w:r>
        <w:rPr>
          <w:rFonts w:ascii="Times New Roman" w:hAnsi="Times New Roman" w:cs="Times New Roman"/>
          <w:sz w:val="24"/>
          <w:szCs w:val="24"/>
        </w:rPr>
        <w:t>;</w:t>
      </w:r>
    </w:p>
    <w:p w14:paraId="3F63B109" w14:textId="77777777" w:rsidR="00CA533E" w:rsidRPr="00D51454" w:rsidRDefault="00CA533E" w:rsidP="00CA533E">
      <w:pPr>
        <w:pStyle w:val="ListParagraph"/>
        <w:numPr>
          <w:ilvl w:val="0"/>
          <w:numId w:val="19"/>
        </w:numPr>
        <w:spacing w:after="0"/>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i</w:t>
      </w:r>
      <w:r w:rsidRPr="00D51454">
        <w:rPr>
          <w:rFonts w:ascii="Times New Roman" w:hAnsi="Times New Roman" w:cs="Times New Roman"/>
          <w:sz w:val="24"/>
          <w:szCs w:val="24"/>
        </w:rPr>
        <w:t>t is an established means of providing coherent, strategic incentives for industry led collaboration with PFROs</w:t>
      </w:r>
      <w:r>
        <w:rPr>
          <w:rFonts w:ascii="Times New Roman" w:hAnsi="Times New Roman" w:cs="Times New Roman"/>
          <w:sz w:val="24"/>
          <w:szCs w:val="24"/>
        </w:rPr>
        <w:t>;</w:t>
      </w:r>
    </w:p>
    <w:p w14:paraId="3F63B10A" w14:textId="77777777" w:rsidR="00CA533E" w:rsidRPr="00716BC3" w:rsidRDefault="00CA533E" w:rsidP="00CA533E">
      <w:pPr>
        <w:pStyle w:val="ListParagraph"/>
        <w:numPr>
          <w:ilvl w:val="0"/>
          <w:numId w:val="19"/>
        </w:numPr>
        <w:spacing w:after="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16BC3">
        <w:rPr>
          <w:rFonts w:ascii="Times New Roman" w:eastAsia="Times New Roman" w:hAnsi="Times New Roman" w:cs="Times New Roman"/>
          <w:sz w:val="24"/>
          <w:szCs w:val="24"/>
        </w:rPr>
        <w:t>t provides essential cash flow support for early stage innovating companies and assists in extending research budgets;</w:t>
      </w:r>
    </w:p>
    <w:p w14:paraId="3F63B10B" w14:textId="77777777" w:rsidR="00CA533E" w:rsidRPr="00BA46B5" w:rsidRDefault="00CA533E" w:rsidP="00CA533E">
      <w:pPr>
        <w:pStyle w:val="ListParagraph"/>
        <w:numPr>
          <w:ilvl w:val="0"/>
          <w:numId w:val="19"/>
        </w:numPr>
        <w:spacing w:after="0"/>
        <w:ind w:left="357" w:hanging="357"/>
        <w:contextualSpacing w:val="0"/>
        <w:jc w:val="both"/>
        <w:rPr>
          <w:rFonts w:ascii="Times New Roman" w:hAnsi="Times New Roman" w:cs="Times New Roman"/>
          <w:sz w:val="24"/>
          <w:szCs w:val="24"/>
        </w:rPr>
      </w:pPr>
      <w:r w:rsidRPr="00BA46B5">
        <w:rPr>
          <w:rFonts w:ascii="Times New Roman" w:hAnsi="Times New Roman" w:cs="Times New Roman"/>
          <w:sz w:val="24"/>
          <w:szCs w:val="24"/>
        </w:rPr>
        <w:t xml:space="preserve">Government has well-established, cost effective compliance structures to monitor the programme; </w:t>
      </w:r>
      <w:r>
        <w:rPr>
          <w:rFonts w:ascii="Times New Roman" w:hAnsi="Times New Roman" w:cs="Times New Roman"/>
          <w:sz w:val="24"/>
          <w:szCs w:val="24"/>
        </w:rPr>
        <w:t>and</w:t>
      </w:r>
    </w:p>
    <w:p w14:paraId="3F63B10C" w14:textId="77777777" w:rsidR="00CA533E" w:rsidRPr="000D4DB0" w:rsidRDefault="00CA533E" w:rsidP="00CA533E">
      <w:pPr>
        <w:pStyle w:val="ListParagraph"/>
        <w:numPr>
          <w:ilvl w:val="0"/>
          <w:numId w:val="19"/>
        </w:numPr>
        <w:spacing w:after="0"/>
        <w:ind w:left="357" w:hanging="357"/>
        <w:contextualSpacing w:val="0"/>
        <w:jc w:val="both"/>
        <w:rPr>
          <w:rFonts w:ascii="Times New Roman" w:hAnsi="Times New Roman" w:cs="Times New Roman"/>
          <w:b/>
          <w:sz w:val="24"/>
          <w:szCs w:val="24"/>
        </w:rPr>
      </w:pPr>
      <w:proofErr w:type="gramStart"/>
      <w:r>
        <w:rPr>
          <w:rFonts w:ascii="Times New Roman" w:hAnsi="Times New Roman" w:cs="Times New Roman"/>
          <w:sz w:val="24"/>
          <w:szCs w:val="24"/>
        </w:rPr>
        <w:t>a</w:t>
      </w:r>
      <w:r w:rsidRPr="000D4DB0">
        <w:rPr>
          <w:rFonts w:ascii="Times New Roman" w:hAnsi="Times New Roman" w:cs="Times New Roman"/>
          <w:sz w:val="24"/>
          <w:szCs w:val="24"/>
        </w:rPr>
        <w:t>s</w:t>
      </w:r>
      <w:proofErr w:type="gramEnd"/>
      <w:r w:rsidRPr="000D4DB0">
        <w:rPr>
          <w:rFonts w:ascii="Times New Roman" w:hAnsi="Times New Roman" w:cs="Times New Roman"/>
          <w:sz w:val="24"/>
          <w:szCs w:val="24"/>
        </w:rPr>
        <w:t xml:space="preserve"> an entitlement programme, there are low entry costs, consistent with the government agenda to reduce red tape.</w:t>
      </w:r>
    </w:p>
    <w:p w14:paraId="3F63B10D" w14:textId="77777777" w:rsidR="00CA533E" w:rsidRDefault="00CA533E" w:rsidP="00CA533E">
      <w:pPr>
        <w:spacing w:after="0"/>
        <w:jc w:val="both"/>
        <w:rPr>
          <w:rFonts w:ascii="Times New Roman" w:hAnsi="Times New Roman" w:cs="Times New Roman"/>
          <w:b/>
          <w:sz w:val="24"/>
          <w:szCs w:val="24"/>
        </w:rPr>
      </w:pPr>
    </w:p>
    <w:p w14:paraId="3F63B10E" w14:textId="77777777" w:rsidR="00CA533E" w:rsidRDefault="00CA533E" w:rsidP="00A668D1">
      <w:pPr>
        <w:pStyle w:val="Heading2"/>
      </w:pPr>
      <w:r w:rsidRPr="00D51454">
        <w:t>Enhancing the R&amp;D Tax Incentive</w:t>
      </w:r>
    </w:p>
    <w:p w14:paraId="3F63B110" w14:textId="77777777" w:rsidR="00CA533E" w:rsidRPr="00D51454" w:rsidRDefault="00CA533E" w:rsidP="00CA533E">
      <w:pPr>
        <w:spacing w:after="0"/>
        <w:jc w:val="both"/>
        <w:rPr>
          <w:rFonts w:ascii="Times New Roman" w:hAnsi="Times New Roman" w:cs="Times New Roman"/>
          <w:sz w:val="24"/>
          <w:szCs w:val="24"/>
        </w:rPr>
      </w:pPr>
      <w:r w:rsidRPr="00D51454">
        <w:rPr>
          <w:rFonts w:ascii="Times New Roman" w:hAnsi="Times New Roman" w:cs="Times New Roman"/>
          <w:sz w:val="24"/>
          <w:szCs w:val="24"/>
        </w:rPr>
        <w:t xml:space="preserve">As an entitlement </w:t>
      </w:r>
      <w:proofErr w:type="spellStart"/>
      <w:r w:rsidRPr="00D51454">
        <w:rPr>
          <w:rFonts w:ascii="Times New Roman" w:hAnsi="Times New Roman" w:cs="Times New Roman"/>
          <w:sz w:val="24"/>
          <w:szCs w:val="24"/>
        </w:rPr>
        <w:t>programme</w:t>
      </w:r>
      <w:proofErr w:type="spellEnd"/>
      <w:r w:rsidRPr="00D51454">
        <w:rPr>
          <w:rFonts w:ascii="Times New Roman" w:hAnsi="Times New Roman" w:cs="Times New Roman"/>
          <w:sz w:val="24"/>
          <w:szCs w:val="24"/>
        </w:rPr>
        <w:t>, the R&amp;D Tax Incentive has been criticised for not producing advanced technology and products. Increased, effective collaboration with PFROs which provides industry access to higher level research activity should be encouraged by:</w:t>
      </w:r>
    </w:p>
    <w:p w14:paraId="3F63B111" w14:textId="77777777" w:rsidR="00CA533E" w:rsidRPr="00D51454" w:rsidRDefault="00CA533E" w:rsidP="00CA533E">
      <w:pPr>
        <w:pStyle w:val="ListParagraph"/>
        <w:numPr>
          <w:ilvl w:val="0"/>
          <w:numId w:val="20"/>
        </w:numPr>
        <w:spacing w:after="0"/>
        <w:ind w:left="714" w:hanging="357"/>
        <w:contextualSpacing w:val="0"/>
        <w:jc w:val="both"/>
        <w:rPr>
          <w:rFonts w:ascii="Times New Roman" w:hAnsi="Times New Roman" w:cs="Times New Roman"/>
          <w:sz w:val="24"/>
          <w:szCs w:val="24"/>
        </w:rPr>
      </w:pPr>
      <w:r w:rsidRPr="00D51454">
        <w:rPr>
          <w:rFonts w:ascii="Times New Roman" w:hAnsi="Times New Roman" w:cs="Times New Roman"/>
          <w:sz w:val="24"/>
          <w:szCs w:val="24"/>
        </w:rPr>
        <w:t xml:space="preserve">Providing additional incentives for industry-PFRO collaboration, </w:t>
      </w:r>
      <w:r w:rsidRPr="00D51454">
        <w:rPr>
          <w:rFonts w:ascii="Times New Roman" w:eastAsia="Times New Roman" w:hAnsi="Times New Roman" w:cs="Times New Roman"/>
          <w:color w:val="000000"/>
          <w:sz w:val="24"/>
          <w:szCs w:val="24"/>
        </w:rPr>
        <w:t>especially if this is to develop significant, new, invented-in-Australia technology;</w:t>
      </w:r>
    </w:p>
    <w:p w14:paraId="3F63B112" w14:textId="77777777" w:rsidR="00CA533E" w:rsidRPr="00D51454" w:rsidRDefault="00CA533E" w:rsidP="00CA533E">
      <w:pPr>
        <w:pStyle w:val="ListParagraph"/>
        <w:numPr>
          <w:ilvl w:val="0"/>
          <w:numId w:val="20"/>
        </w:numPr>
        <w:spacing w:after="0"/>
        <w:ind w:left="714" w:hanging="357"/>
        <w:contextualSpacing w:val="0"/>
        <w:jc w:val="both"/>
        <w:rPr>
          <w:rFonts w:ascii="Times New Roman" w:hAnsi="Times New Roman" w:cs="Times New Roman"/>
          <w:sz w:val="24"/>
          <w:szCs w:val="24"/>
        </w:rPr>
      </w:pPr>
      <w:r w:rsidRPr="00D51454">
        <w:rPr>
          <w:rFonts w:ascii="Times New Roman" w:hAnsi="Times New Roman" w:cs="Times New Roman"/>
          <w:sz w:val="24"/>
          <w:szCs w:val="24"/>
        </w:rPr>
        <w:t>Including success factors from university-industry collaboration in the university reward system (i.e., the ERA).</w:t>
      </w:r>
    </w:p>
    <w:p w14:paraId="3F63B113" w14:textId="77777777" w:rsidR="00093AE2" w:rsidRDefault="00093AE2">
      <w:pPr>
        <w:rPr>
          <w:rFonts w:ascii="Times New Roman" w:hAnsi="Times New Roman" w:cs="Times New Roman"/>
          <w:sz w:val="24"/>
          <w:szCs w:val="24"/>
        </w:rPr>
      </w:pPr>
      <w:r>
        <w:rPr>
          <w:rFonts w:ascii="Times New Roman" w:hAnsi="Times New Roman" w:cs="Times New Roman"/>
          <w:sz w:val="24"/>
          <w:szCs w:val="24"/>
        </w:rPr>
        <w:br w:type="page"/>
      </w:r>
    </w:p>
    <w:p w14:paraId="3F63B114" w14:textId="77777777" w:rsidR="00CA533E" w:rsidRPr="000D4DB0" w:rsidRDefault="00CA533E" w:rsidP="00CA533E">
      <w:pPr>
        <w:spacing w:after="0"/>
        <w:jc w:val="both"/>
        <w:rPr>
          <w:rFonts w:ascii="Times New Roman" w:hAnsi="Times New Roman" w:cs="Times New Roman"/>
          <w:sz w:val="24"/>
          <w:szCs w:val="24"/>
        </w:rPr>
      </w:pPr>
      <w:r w:rsidRPr="000D4DB0">
        <w:rPr>
          <w:rFonts w:ascii="Times New Roman" w:hAnsi="Times New Roman" w:cs="Times New Roman"/>
          <w:sz w:val="24"/>
          <w:szCs w:val="24"/>
        </w:rPr>
        <w:lastRenderedPageBreak/>
        <w:t>Additional incentives could be provided to industry for:</w:t>
      </w:r>
    </w:p>
    <w:p w14:paraId="3F63B115" w14:textId="77777777" w:rsidR="00CA533E" w:rsidRDefault="00CA533E" w:rsidP="00CA533E">
      <w:pPr>
        <w:pStyle w:val="ListParagraph"/>
        <w:numPr>
          <w:ilvl w:val="0"/>
          <w:numId w:val="20"/>
        </w:numPr>
        <w:spacing w:after="0"/>
        <w:ind w:left="714" w:hanging="357"/>
        <w:contextualSpacing w:val="0"/>
        <w:jc w:val="both"/>
        <w:rPr>
          <w:rFonts w:ascii="Times New Roman" w:hAnsi="Times New Roman" w:cs="Times New Roman"/>
          <w:sz w:val="24"/>
          <w:szCs w:val="24"/>
        </w:rPr>
      </w:pPr>
      <w:r w:rsidRPr="00D51454">
        <w:rPr>
          <w:rFonts w:ascii="Times New Roman" w:hAnsi="Times New Roman" w:cs="Times New Roman"/>
          <w:sz w:val="24"/>
          <w:szCs w:val="24"/>
        </w:rPr>
        <w:t>patent applications</w:t>
      </w:r>
      <w:r>
        <w:rPr>
          <w:rFonts w:ascii="Times New Roman" w:hAnsi="Times New Roman" w:cs="Times New Roman"/>
          <w:sz w:val="24"/>
          <w:szCs w:val="24"/>
        </w:rPr>
        <w:t>;</w:t>
      </w:r>
    </w:p>
    <w:p w14:paraId="3F63B116" w14:textId="77777777" w:rsidR="00CA533E" w:rsidRPr="00D51454" w:rsidRDefault="00CA533E" w:rsidP="00CA533E">
      <w:pPr>
        <w:pStyle w:val="ListParagraph"/>
        <w:numPr>
          <w:ilvl w:val="0"/>
          <w:numId w:val="20"/>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equity </w:t>
      </w:r>
      <w:r w:rsidRPr="00D51454">
        <w:rPr>
          <w:rFonts w:ascii="Times New Roman" w:hAnsi="Times New Roman" w:cs="Times New Roman"/>
          <w:sz w:val="24"/>
          <w:szCs w:val="24"/>
        </w:rPr>
        <w:t xml:space="preserve">investments in start-up companies; </w:t>
      </w:r>
    </w:p>
    <w:p w14:paraId="3F63B117" w14:textId="77777777" w:rsidR="00CA533E" w:rsidRPr="00D51454" w:rsidRDefault="00CA533E" w:rsidP="00CA533E">
      <w:pPr>
        <w:pStyle w:val="ListParagraph"/>
        <w:numPr>
          <w:ilvl w:val="0"/>
          <w:numId w:val="20"/>
        </w:numPr>
        <w:spacing w:after="0"/>
        <w:ind w:left="714" w:hanging="357"/>
        <w:contextualSpacing w:val="0"/>
        <w:jc w:val="both"/>
        <w:rPr>
          <w:rFonts w:ascii="Times New Roman" w:hAnsi="Times New Roman" w:cs="Times New Roman"/>
          <w:sz w:val="24"/>
          <w:szCs w:val="24"/>
        </w:rPr>
      </w:pPr>
      <w:r w:rsidRPr="00D51454">
        <w:rPr>
          <w:rFonts w:ascii="Times New Roman" w:hAnsi="Times New Roman" w:cs="Times New Roman"/>
          <w:sz w:val="24"/>
          <w:szCs w:val="24"/>
        </w:rPr>
        <w:t xml:space="preserve"> sales of patented technologies (similar to the “Patent Box” policy in the UK</w:t>
      </w:r>
      <w:r w:rsidRPr="00D51454">
        <w:rPr>
          <w:rStyle w:val="FootnoteReference"/>
          <w:rFonts w:ascii="Times New Roman" w:hAnsi="Times New Roman" w:cs="Times New Roman"/>
          <w:sz w:val="24"/>
          <w:szCs w:val="24"/>
        </w:rPr>
        <w:footnoteReference w:id="13"/>
      </w:r>
      <w:r w:rsidRPr="00D51454">
        <w:rPr>
          <w:rFonts w:ascii="Times New Roman" w:hAnsi="Times New Roman" w:cs="Times New Roman"/>
          <w:sz w:val="24"/>
          <w:szCs w:val="24"/>
        </w:rPr>
        <w:t xml:space="preserve"> ); </w:t>
      </w:r>
    </w:p>
    <w:p w14:paraId="3F63B118" w14:textId="77777777" w:rsidR="00CA533E" w:rsidRPr="00D51454" w:rsidRDefault="00CA533E" w:rsidP="00CA533E">
      <w:pPr>
        <w:pStyle w:val="ListParagraph"/>
        <w:numPr>
          <w:ilvl w:val="0"/>
          <w:numId w:val="20"/>
        </w:numPr>
        <w:spacing w:after="0"/>
        <w:ind w:left="714" w:hanging="357"/>
        <w:contextualSpacing w:val="0"/>
        <w:jc w:val="both"/>
        <w:rPr>
          <w:rFonts w:ascii="Times New Roman" w:hAnsi="Times New Roman" w:cs="Times New Roman"/>
          <w:sz w:val="24"/>
          <w:szCs w:val="24"/>
        </w:rPr>
      </w:pPr>
      <w:r w:rsidRPr="00D51454">
        <w:rPr>
          <w:rFonts w:ascii="Times New Roman" w:hAnsi="Times New Roman" w:cs="Times New Roman"/>
          <w:sz w:val="24"/>
          <w:szCs w:val="24"/>
        </w:rPr>
        <w:t xml:space="preserve">projects that involve international collaboration to develop advanced technology; </w:t>
      </w:r>
    </w:p>
    <w:p w14:paraId="3F63B119" w14:textId="77777777" w:rsidR="00CA533E" w:rsidRPr="00426862" w:rsidRDefault="00CA533E" w:rsidP="00CA533E">
      <w:pPr>
        <w:pStyle w:val="ListParagraph"/>
        <w:numPr>
          <w:ilvl w:val="0"/>
          <w:numId w:val="20"/>
        </w:numPr>
        <w:spacing w:after="0"/>
        <w:ind w:left="714" w:hanging="357"/>
        <w:contextualSpacing w:val="0"/>
        <w:jc w:val="both"/>
        <w:rPr>
          <w:rFonts w:ascii="Times New Roman" w:hAnsi="Times New Roman" w:cs="Times New Roman"/>
          <w:b/>
          <w:sz w:val="24"/>
          <w:szCs w:val="24"/>
        </w:rPr>
      </w:pPr>
      <w:proofErr w:type="gramStart"/>
      <w:r w:rsidRPr="000D4DB0">
        <w:rPr>
          <w:rFonts w:ascii="Times New Roman" w:hAnsi="Times New Roman" w:cs="Times New Roman"/>
          <w:sz w:val="24"/>
          <w:szCs w:val="24"/>
        </w:rPr>
        <w:t>the</w:t>
      </w:r>
      <w:proofErr w:type="gramEnd"/>
      <w:r w:rsidRPr="000D4DB0">
        <w:rPr>
          <w:rFonts w:ascii="Times New Roman" w:hAnsi="Times New Roman" w:cs="Times New Roman"/>
          <w:sz w:val="24"/>
          <w:szCs w:val="24"/>
        </w:rPr>
        <w:t xml:space="preserve"> development of research skills in industry and industry awareness of the capabilities of PFROs through collaborative projects that involve industry placements for research projects.</w:t>
      </w:r>
    </w:p>
    <w:p w14:paraId="3F63B11A" w14:textId="77777777" w:rsidR="00CA533E" w:rsidRPr="00426862" w:rsidRDefault="00CA533E" w:rsidP="00CA533E">
      <w:pPr>
        <w:spacing w:after="0"/>
        <w:ind w:left="357"/>
        <w:jc w:val="both"/>
        <w:rPr>
          <w:rFonts w:ascii="Times New Roman" w:hAnsi="Times New Roman" w:cs="Times New Roman"/>
          <w:b/>
          <w:sz w:val="24"/>
          <w:szCs w:val="24"/>
        </w:rPr>
      </w:pPr>
    </w:p>
    <w:p w14:paraId="3F63B11B" w14:textId="77777777" w:rsidR="00CA533E" w:rsidRDefault="00CA533E" w:rsidP="00A668D1">
      <w:pPr>
        <w:pStyle w:val="Heading2"/>
      </w:pPr>
      <w:r w:rsidRPr="000D4DB0">
        <w:t>Other mechanisms to support commercialisation of research</w:t>
      </w:r>
    </w:p>
    <w:p w14:paraId="3F63B11D" w14:textId="77777777" w:rsidR="00CA533E" w:rsidRDefault="00CA533E" w:rsidP="00CA533E">
      <w:pPr>
        <w:spacing w:after="0"/>
        <w:jc w:val="both"/>
        <w:rPr>
          <w:rFonts w:ascii="Times New Roman" w:hAnsi="Times New Roman" w:cs="Times New Roman"/>
          <w:sz w:val="24"/>
          <w:szCs w:val="24"/>
        </w:rPr>
      </w:pPr>
      <w:r w:rsidRPr="00D51454">
        <w:rPr>
          <w:rFonts w:ascii="Times New Roman" w:hAnsi="Times New Roman" w:cs="Times New Roman"/>
          <w:sz w:val="24"/>
          <w:szCs w:val="24"/>
        </w:rPr>
        <w:t>Once a company has developed an innovation, other forms of support are needed to enable companies, especially SMEs to commercialise their ideas.</w:t>
      </w:r>
    </w:p>
    <w:p w14:paraId="3F63B11E" w14:textId="77777777" w:rsidR="00CA533E" w:rsidRPr="00D51454" w:rsidRDefault="00CA533E" w:rsidP="00CA533E">
      <w:pPr>
        <w:spacing w:after="0"/>
        <w:jc w:val="both"/>
        <w:rPr>
          <w:rFonts w:ascii="Times New Roman" w:hAnsi="Times New Roman" w:cs="Times New Roman"/>
          <w:sz w:val="24"/>
          <w:szCs w:val="24"/>
        </w:rPr>
      </w:pPr>
    </w:p>
    <w:p w14:paraId="3F63B11F" w14:textId="77777777" w:rsidR="00CA533E" w:rsidRDefault="00CA533E" w:rsidP="00CA533E">
      <w:pPr>
        <w:spacing w:after="0"/>
        <w:jc w:val="both"/>
        <w:rPr>
          <w:rFonts w:ascii="Times New Roman" w:hAnsi="Times New Roman" w:cs="Times New Roman"/>
          <w:iCs/>
          <w:sz w:val="24"/>
          <w:szCs w:val="24"/>
        </w:rPr>
      </w:pPr>
      <w:r w:rsidRPr="00D51454">
        <w:rPr>
          <w:rFonts w:ascii="Times New Roman" w:hAnsi="Times New Roman" w:cs="Times New Roman"/>
          <w:sz w:val="24"/>
          <w:szCs w:val="24"/>
        </w:rPr>
        <w:t>Streamlined regulations</w:t>
      </w:r>
      <w:r w:rsidR="00093AE2">
        <w:rPr>
          <w:rFonts w:ascii="Times New Roman" w:hAnsi="Times New Roman" w:cs="Times New Roman"/>
          <w:sz w:val="24"/>
          <w:szCs w:val="24"/>
        </w:rPr>
        <w:t xml:space="preserve"> </w:t>
      </w:r>
      <w:r w:rsidRPr="00D51454">
        <w:rPr>
          <w:rFonts w:ascii="Times New Roman" w:hAnsi="Times New Roman" w:cs="Times New Roman"/>
          <w:sz w:val="24"/>
          <w:szCs w:val="24"/>
        </w:rPr>
        <w:t xml:space="preserve">that </w:t>
      </w:r>
      <w:r w:rsidRPr="00D51454">
        <w:rPr>
          <w:rFonts w:ascii="Times New Roman" w:hAnsi="Times New Roman" w:cs="Times New Roman"/>
          <w:iCs/>
          <w:sz w:val="24"/>
          <w:szCs w:val="24"/>
        </w:rPr>
        <w:t>accommodate emerging technologies with recognition of international approvals will reduce the time taken to bring a product to market.</w:t>
      </w:r>
    </w:p>
    <w:p w14:paraId="3F63B120" w14:textId="77777777" w:rsidR="00CA533E" w:rsidRPr="00D51454" w:rsidRDefault="00CA533E" w:rsidP="00CA533E">
      <w:pPr>
        <w:spacing w:after="0"/>
        <w:jc w:val="both"/>
        <w:rPr>
          <w:rFonts w:ascii="Times New Roman" w:hAnsi="Times New Roman" w:cs="Times New Roman"/>
          <w:iCs/>
          <w:sz w:val="24"/>
          <w:szCs w:val="24"/>
        </w:rPr>
      </w:pPr>
    </w:p>
    <w:p w14:paraId="3F63B121" w14:textId="77777777" w:rsidR="00CA533E" w:rsidRDefault="00CA533E" w:rsidP="00CA533E">
      <w:pPr>
        <w:spacing w:after="0"/>
        <w:jc w:val="both"/>
        <w:rPr>
          <w:rFonts w:ascii="Times New Roman" w:hAnsi="Times New Roman" w:cs="Times New Roman"/>
          <w:sz w:val="24"/>
          <w:szCs w:val="24"/>
        </w:rPr>
      </w:pPr>
      <w:r w:rsidRPr="00D51454">
        <w:rPr>
          <w:rFonts w:ascii="Times New Roman" w:hAnsi="Times New Roman" w:cs="Times New Roman"/>
          <w:iCs/>
          <w:sz w:val="24"/>
          <w:szCs w:val="24"/>
        </w:rPr>
        <w:t xml:space="preserve">Increased government support through </w:t>
      </w:r>
      <w:r w:rsidRPr="00D51454">
        <w:rPr>
          <w:rFonts w:ascii="Times New Roman" w:hAnsi="Times New Roman" w:cs="Times New Roman"/>
          <w:sz w:val="24"/>
          <w:szCs w:val="24"/>
        </w:rPr>
        <w:t xml:space="preserve">demand for innovative products </w:t>
      </w:r>
      <w:r>
        <w:rPr>
          <w:rFonts w:ascii="Times New Roman" w:hAnsi="Times New Roman" w:cs="Times New Roman"/>
          <w:sz w:val="24"/>
          <w:szCs w:val="24"/>
        </w:rPr>
        <w:t>will</w:t>
      </w:r>
      <w:r w:rsidRPr="00D51454">
        <w:rPr>
          <w:rFonts w:ascii="Times New Roman" w:hAnsi="Times New Roman" w:cs="Times New Roman"/>
          <w:sz w:val="24"/>
          <w:szCs w:val="24"/>
        </w:rPr>
        <w:t xml:space="preserve"> increas</w:t>
      </w:r>
      <w:r>
        <w:rPr>
          <w:rFonts w:ascii="Times New Roman" w:hAnsi="Times New Roman" w:cs="Times New Roman"/>
          <w:sz w:val="24"/>
          <w:szCs w:val="24"/>
        </w:rPr>
        <w:t>e</w:t>
      </w:r>
      <w:r w:rsidRPr="00D51454">
        <w:rPr>
          <w:rFonts w:ascii="Times New Roman" w:hAnsi="Times New Roman" w:cs="Times New Roman"/>
          <w:sz w:val="24"/>
          <w:szCs w:val="24"/>
        </w:rPr>
        <w:t xml:space="preserve"> innovation in public service delivery</w:t>
      </w:r>
      <w:r w:rsidR="00093AE2">
        <w:rPr>
          <w:rFonts w:ascii="Times New Roman" w:hAnsi="Times New Roman" w:cs="Times New Roman"/>
          <w:sz w:val="24"/>
          <w:szCs w:val="24"/>
        </w:rPr>
        <w:t xml:space="preserve"> </w:t>
      </w:r>
      <w:r w:rsidRPr="00D51454">
        <w:rPr>
          <w:rFonts w:ascii="Times New Roman" w:hAnsi="Times New Roman" w:cs="Times New Roman"/>
          <w:sz w:val="24"/>
          <w:szCs w:val="24"/>
        </w:rPr>
        <w:t>while providing market validation for innovative products and services.</w:t>
      </w:r>
    </w:p>
    <w:p w14:paraId="3F63B122" w14:textId="77777777" w:rsidR="00CA533E" w:rsidRPr="00D51454" w:rsidRDefault="00CA533E" w:rsidP="00CA533E">
      <w:pPr>
        <w:spacing w:after="0"/>
        <w:jc w:val="both"/>
        <w:rPr>
          <w:rFonts w:ascii="Times New Roman" w:hAnsi="Times New Roman" w:cs="Times New Roman"/>
          <w:sz w:val="24"/>
          <w:szCs w:val="24"/>
        </w:rPr>
      </w:pPr>
    </w:p>
    <w:p w14:paraId="3F63B123" w14:textId="77777777" w:rsidR="00CA533E" w:rsidRDefault="00CA533E" w:rsidP="00CA533E">
      <w:pPr>
        <w:spacing w:after="0"/>
        <w:jc w:val="both"/>
        <w:rPr>
          <w:rFonts w:ascii="Times New Roman" w:hAnsi="Times New Roman" w:cs="Times New Roman"/>
          <w:sz w:val="24"/>
          <w:szCs w:val="24"/>
        </w:rPr>
      </w:pPr>
      <w:r w:rsidRPr="00D51454">
        <w:rPr>
          <w:rFonts w:ascii="Times New Roman" w:hAnsi="Times New Roman" w:cs="Times New Roman"/>
          <w:sz w:val="24"/>
          <w:szCs w:val="24"/>
        </w:rPr>
        <w:t xml:space="preserve">Streamlining intellectual property ownership requirements within PFROs </w:t>
      </w:r>
      <w:r>
        <w:rPr>
          <w:rFonts w:ascii="Times New Roman" w:hAnsi="Times New Roman" w:cs="Times New Roman"/>
          <w:sz w:val="24"/>
          <w:szCs w:val="24"/>
        </w:rPr>
        <w:t xml:space="preserve">will </w:t>
      </w:r>
      <w:r w:rsidRPr="00D51454">
        <w:rPr>
          <w:rFonts w:ascii="Times New Roman" w:hAnsi="Times New Roman" w:cs="Times New Roman"/>
          <w:sz w:val="24"/>
          <w:szCs w:val="24"/>
        </w:rPr>
        <w:t>reduc</w:t>
      </w:r>
      <w:r>
        <w:rPr>
          <w:rFonts w:ascii="Times New Roman" w:hAnsi="Times New Roman" w:cs="Times New Roman"/>
          <w:sz w:val="24"/>
          <w:szCs w:val="24"/>
        </w:rPr>
        <w:t>e</w:t>
      </w:r>
      <w:r w:rsidRPr="00D51454">
        <w:rPr>
          <w:rFonts w:ascii="Times New Roman" w:hAnsi="Times New Roman" w:cs="Times New Roman"/>
          <w:sz w:val="24"/>
          <w:szCs w:val="24"/>
        </w:rPr>
        <w:t xml:space="preserve"> the </w:t>
      </w:r>
      <w:r>
        <w:rPr>
          <w:rFonts w:ascii="Times New Roman" w:hAnsi="Times New Roman" w:cs="Times New Roman"/>
          <w:sz w:val="24"/>
          <w:szCs w:val="24"/>
        </w:rPr>
        <w:t xml:space="preserve">time and </w:t>
      </w:r>
      <w:r w:rsidRPr="00D51454">
        <w:rPr>
          <w:rFonts w:ascii="Times New Roman" w:hAnsi="Times New Roman" w:cs="Times New Roman"/>
          <w:sz w:val="24"/>
          <w:szCs w:val="24"/>
        </w:rPr>
        <w:t>effort to negotiate arrangements and ensure that the</w:t>
      </w:r>
      <w:r>
        <w:rPr>
          <w:rFonts w:ascii="Times New Roman" w:hAnsi="Times New Roman" w:cs="Times New Roman"/>
          <w:sz w:val="24"/>
          <w:szCs w:val="24"/>
        </w:rPr>
        <w:t>se</w:t>
      </w:r>
      <w:r w:rsidRPr="00D51454">
        <w:rPr>
          <w:rFonts w:ascii="Times New Roman" w:hAnsi="Times New Roman" w:cs="Times New Roman"/>
          <w:sz w:val="24"/>
          <w:szCs w:val="24"/>
        </w:rPr>
        <w:t xml:space="preserve"> are effective and enforceable.</w:t>
      </w:r>
    </w:p>
    <w:p w14:paraId="3F63B124" w14:textId="77777777" w:rsidR="00CA533E" w:rsidRPr="00D51454" w:rsidRDefault="00CA533E" w:rsidP="00CA533E">
      <w:pPr>
        <w:spacing w:after="0"/>
        <w:jc w:val="both"/>
        <w:rPr>
          <w:rFonts w:ascii="Times New Roman" w:hAnsi="Times New Roman" w:cs="Times New Roman"/>
          <w:sz w:val="24"/>
          <w:szCs w:val="24"/>
        </w:rPr>
      </w:pPr>
    </w:p>
    <w:p w14:paraId="3F63B125" w14:textId="77777777" w:rsidR="00CA533E" w:rsidRDefault="00CA533E" w:rsidP="00CA533E">
      <w:pPr>
        <w:spacing w:after="0"/>
        <w:jc w:val="both"/>
        <w:rPr>
          <w:rFonts w:ascii="Times New Roman" w:hAnsi="Times New Roman" w:cs="Times New Roman"/>
          <w:sz w:val="24"/>
          <w:szCs w:val="24"/>
        </w:rPr>
      </w:pPr>
      <w:r w:rsidRPr="00D51454">
        <w:rPr>
          <w:rFonts w:ascii="Times New Roman" w:hAnsi="Times New Roman" w:cs="Times New Roman"/>
          <w:sz w:val="24"/>
          <w:szCs w:val="24"/>
        </w:rPr>
        <w:t xml:space="preserve">Reducing barriers for industry placements, for example, workers compensation and other regulations </w:t>
      </w:r>
      <w:r>
        <w:rPr>
          <w:rFonts w:ascii="Times New Roman" w:hAnsi="Times New Roman" w:cs="Times New Roman"/>
          <w:sz w:val="24"/>
          <w:szCs w:val="24"/>
        </w:rPr>
        <w:t xml:space="preserve">will facilitate knowledge transfer while reducing </w:t>
      </w:r>
      <w:r w:rsidRPr="00D51454">
        <w:rPr>
          <w:rFonts w:ascii="Times New Roman" w:hAnsi="Times New Roman" w:cs="Times New Roman"/>
          <w:sz w:val="24"/>
          <w:szCs w:val="24"/>
        </w:rPr>
        <w:t>cost</w:t>
      </w:r>
      <w:r>
        <w:rPr>
          <w:rFonts w:ascii="Times New Roman" w:hAnsi="Times New Roman" w:cs="Times New Roman"/>
          <w:sz w:val="24"/>
          <w:szCs w:val="24"/>
        </w:rPr>
        <w:t>s and red tape</w:t>
      </w:r>
      <w:r w:rsidRPr="00D51454">
        <w:rPr>
          <w:rFonts w:ascii="Times New Roman" w:hAnsi="Times New Roman" w:cs="Times New Roman"/>
          <w:sz w:val="24"/>
          <w:szCs w:val="24"/>
        </w:rPr>
        <w:t>.</w:t>
      </w:r>
    </w:p>
    <w:p w14:paraId="3F63B126" w14:textId="77777777" w:rsidR="00CA533E" w:rsidRPr="00D51454" w:rsidRDefault="00CA533E" w:rsidP="00CA533E">
      <w:pPr>
        <w:spacing w:after="0"/>
        <w:jc w:val="both"/>
        <w:rPr>
          <w:rFonts w:ascii="Times New Roman" w:hAnsi="Times New Roman" w:cs="Times New Roman"/>
          <w:sz w:val="24"/>
          <w:szCs w:val="24"/>
        </w:rPr>
      </w:pPr>
    </w:p>
    <w:p w14:paraId="3F63B127" w14:textId="77777777" w:rsidR="00CA533E" w:rsidRDefault="00CA533E" w:rsidP="00CA533E">
      <w:pPr>
        <w:spacing w:after="0"/>
        <w:jc w:val="both"/>
        <w:rPr>
          <w:rFonts w:ascii="Times New Roman" w:hAnsi="Times New Roman" w:cs="Times New Roman"/>
          <w:sz w:val="24"/>
          <w:szCs w:val="24"/>
        </w:rPr>
      </w:pPr>
      <w:r w:rsidRPr="00D51454">
        <w:rPr>
          <w:rFonts w:ascii="Times New Roman" w:hAnsi="Times New Roman" w:cs="Times New Roman"/>
          <w:sz w:val="24"/>
          <w:szCs w:val="24"/>
        </w:rPr>
        <w:t>Mentoring and support, especially for SMEs,</w:t>
      </w:r>
      <w:r w:rsidR="00093AE2">
        <w:rPr>
          <w:rFonts w:ascii="Times New Roman" w:hAnsi="Times New Roman" w:cs="Times New Roman"/>
          <w:sz w:val="24"/>
          <w:szCs w:val="24"/>
        </w:rPr>
        <w:t xml:space="preserve"> </w:t>
      </w:r>
      <w:r w:rsidRPr="000D4DB0">
        <w:rPr>
          <w:rFonts w:ascii="Times New Roman" w:hAnsi="Times New Roman" w:cs="Times New Roman"/>
          <w:sz w:val="24"/>
          <w:szCs w:val="24"/>
        </w:rPr>
        <w:t>are needed to</w:t>
      </w:r>
      <w:r w:rsidR="00093AE2">
        <w:rPr>
          <w:rFonts w:ascii="Times New Roman" w:hAnsi="Times New Roman" w:cs="Times New Roman"/>
          <w:sz w:val="24"/>
          <w:szCs w:val="24"/>
        </w:rPr>
        <w:t xml:space="preserve"> </w:t>
      </w:r>
      <w:r w:rsidRPr="00D51454">
        <w:rPr>
          <w:rFonts w:ascii="Times New Roman" w:hAnsi="Times New Roman" w:cs="Times New Roman"/>
          <w:sz w:val="24"/>
          <w:szCs w:val="24"/>
        </w:rPr>
        <w:t xml:space="preserve">develop the necessary skills to commercialise a product successfully. It may be possible to up-skill Australian entrepreneurs through programmes that use successful expatriate Australians and other </w:t>
      </w:r>
      <w:r>
        <w:rPr>
          <w:rFonts w:ascii="Times New Roman" w:hAnsi="Times New Roman" w:cs="Times New Roman"/>
          <w:sz w:val="24"/>
          <w:szCs w:val="24"/>
        </w:rPr>
        <w:t xml:space="preserve">established </w:t>
      </w:r>
      <w:r w:rsidRPr="00D51454">
        <w:rPr>
          <w:rFonts w:ascii="Times New Roman" w:hAnsi="Times New Roman" w:cs="Times New Roman"/>
          <w:sz w:val="24"/>
          <w:szCs w:val="24"/>
        </w:rPr>
        <w:t xml:space="preserve">technology entrepreneurs to transfer knowledge, especially for specific </w:t>
      </w:r>
      <w:r>
        <w:rPr>
          <w:rFonts w:ascii="Times New Roman" w:hAnsi="Times New Roman" w:cs="Times New Roman"/>
          <w:sz w:val="24"/>
          <w:szCs w:val="24"/>
        </w:rPr>
        <w:t>sectors or companies,</w:t>
      </w:r>
      <w:r w:rsidRPr="00D51454">
        <w:rPr>
          <w:rFonts w:ascii="Times New Roman" w:hAnsi="Times New Roman" w:cs="Times New Roman"/>
          <w:sz w:val="24"/>
          <w:szCs w:val="24"/>
        </w:rPr>
        <w:t xml:space="preserve"> to support commercialisation on a global level.</w:t>
      </w:r>
    </w:p>
    <w:p w14:paraId="3F63B129" w14:textId="77777777" w:rsidR="00CA533E" w:rsidRDefault="00CA533E" w:rsidP="00A668D1">
      <w:pPr>
        <w:pStyle w:val="Heading2"/>
      </w:pPr>
      <w:r w:rsidRPr="00D51454">
        <w:t>Conclusion</w:t>
      </w:r>
    </w:p>
    <w:p w14:paraId="3F63B12B" w14:textId="77777777" w:rsidR="00CA533E" w:rsidRPr="00D51454" w:rsidRDefault="00CA533E" w:rsidP="00CA533E">
      <w:pPr>
        <w:autoSpaceDE w:val="0"/>
        <w:autoSpaceDN w:val="0"/>
        <w:adjustRightInd w:val="0"/>
        <w:spacing w:after="0"/>
        <w:jc w:val="both"/>
        <w:rPr>
          <w:rFonts w:ascii="Times New Roman" w:hAnsi="Times New Roman" w:cs="Times New Roman"/>
          <w:sz w:val="24"/>
          <w:szCs w:val="24"/>
        </w:rPr>
      </w:pPr>
      <w:r w:rsidRPr="00D51454">
        <w:rPr>
          <w:rFonts w:ascii="Times New Roman" w:hAnsi="Times New Roman" w:cs="Times New Roman"/>
          <w:sz w:val="24"/>
          <w:szCs w:val="24"/>
        </w:rPr>
        <w:t>The R&amp;D Incentives Committee supports this review on the basis that it provides an opportunity to leverage existing arrangements to improve research/industry collaboration and increase the rates of commercialising from Australia’s research efforts. We would welcome the opportunity to meet with the members of the review committee to expand on the issues raised in this submission and to provide further information.</w:t>
      </w:r>
    </w:p>
    <w:p w14:paraId="3F63B12C" w14:textId="77777777" w:rsidR="00C44652" w:rsidRPr="00984007" w:rsidRDefault="00C44652" w:rsidP="00CA533E">
      <w:pPr>
        <w:autoSpaceDE w:val="0"/>
        <w:autoSpaceDN w:val="0"/>
        <w:adjustRightInd w:val="0"/>
        <w:spacing w:after="0"/>
        <w:jc w:val="both"/>
        <w:rPr>
          <w:rFonts w:ascii="Times New Roman" w:hAnsi="Times New Roman" w:cs="Times New Roman"/>
          <w:iCs/>
          <w:sz w:val="24"/>
          <w:szCs w:val="24"/>
          <w:lang w:bidi="ar-SA"/>
        </w:rPr>
      </w:pPr>
      <w:bookmarkStart w:id="2" w:name="_GoBack"/>
      <w:bookmarkEnd w:id="2"/>
    </w:p>
    <w:sectPr w:rsidR="00C44652" w:rsidRPr="00984007" w:rsidSect="00C215EE">
      <w:footerReference w:type="default" r:id="rId1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3B131" w14:textId="77777777" w:rsidR="00087FF8" w:rsidRDefault="00087FF8" w:rsidP="00CB656D">
      <w:pPr>
        <w:spacing w:after="0" w:line="240" w:lineRule="auto"/>
      </w:pPr>
      <w:r>
        <w:separator/>
      </w:r>
    </w:p>
  </w:endnote>
  <w:endnote w:type="continuationSeparator" w:id="0">
    <w:p w14:paraId="3F63B132" w14:textId="77777777" w:rsidR="00087FF8" w:rsidRDefault="00087FF8" w:rsidP="00CB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venir LT Std 65 Medium">
    <w:altName w:val="Avenir LT Std 65 Medium"/>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08135"/>
      <w:docPartObj>
        <w:docPartGallery w:val="Page Numbers (Bottom of Page)"/>
        <w:docPartUnique/>
      </w:docPartObj>
    </w:sdtPr>
    <w:sdtEndPr/>
    <w:sdtContent>
      <w:p w14:paraId="3F63B133" w14:textId="77777777" w:rsidR="00867F84" w:rsidRDefault="003A557A">
        <w:pPr>
          <w:pStyle w:val="Footer"/>
          <w:jc w:val="center"/>
        </w:pPr>
        <w:r>
          <w:fldChar w:fldCharType="begin"/>
        </w:r>
        <w:r w:rsidR="00AE3059">
          <w:instrText xml:space="preserve"> PAGE   \* MERGEFORMAT </w:instrText>
        </w:r>
        <w:r>
          <w:fldChar w:fldCharType="separate"/>
        </w:r>
        <w:r w:rsidR="009069A4">
          <w:rPr>
            <w:noProof/>
          </w:rPr>
          <w:t>11</w:t>
        </w:r>
        <w:r>
          <w:rPr>
            <w:noProof/>
          </w:rPr>
          <w:fldChar w:fldCharType="end"/>
        </w:r>
      </w:p>
    </w:sdtContent>
  </w:sdt>
  <w:p w14:paraId="3F63B134" w14:textId="77777777" w:rsidR="00867F84" w:rsidRDefault="00867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3B12F" w14:textId="77777777" w:rsidR="00087FF8" w:rsidRDefault="00087FF8" w:rsidP="00CB656D">
      <w:pPr>
        <w:spacing w:after="0" w:line="240" w:lineRule="auto"/>
      </w:pPr>
      <w:r>
        <w:separator/>
      </w:r>
    </w:p>
  </w:footnote>
  <w:footnote w:type="continuationSeparator" w:id="0">
    <w:p w14:paraId="3F63B130" w14:textId="77777777" w:rsidR="00087FF8" w:rsidRDefault="00087FF8" w:rsidP="00CB656D">
      <w:pPr>
        <w:spacing w:after="0" w:line="240" w:lineRule="auto"/>
      </w:pPr>
      <w:r>
        <w:continuationSeparator/>
      </w:r>
    </w:p>
  </w:footnote>
  <w:footnote w:id="1">
    <w:p w14:paraId="3F63B135" w14:textId="77777777" w:rsidR="00984007" w:rsidRDefault="00984007" w:rsidP="00984007">
      <w:pPr>
        <w:pStyle w:val="Pa1"/>
        <w:spacing w:before="100"/>
      </w:pPr>
      <w:r w:rsidRPr="00F469B7">
        <w:rPr>
          <w:rStyle w:val="FootnoteReference"/>
          <w:rFonts w:ascii="Times New Roman" w:hAnsi="Times New Roman" w:cs="Times New Roman"/>
          <w:sz w:val="20"/>
          <w:szCs w:val="20"/>
        </w:rPr>
        <w:footnoteRef/>
      </w:r>
      <w:r w:rsidRPr="00F469B7">
        <w:rPr>
          <w:rFonts w:ascii="Times New Roman" w:hAnsi="Times New Roman" w:cs="Times New Roman"/>
          <w:sz w:val="20"/>
          <w:szCs w:val="20"/>
        </w:rPr>
        <w:t xml:space="preserve"> See for example, Office of the Chief Scientist, “</w:t>
      </w:r>
      <w:r w:rsidRPr="00F469B7">
        <w:rPr>
          <w:rFonts w:ascii="Times New Roman" w:hAnsi="Times New Roman" w:cs="Times New Roman"/>
          <w:i/>
          <w:sz w:val="20"/>
          <w:szCs w:val="20"/>
        </w:rPr>
        <w:t>Science, Technology, Engineering and Mathematics: Australia’s Future</w:t>
      </w:r>
      <w:r w:rsidRPr="00F469B7">
        <w:rPr>
          <w:rFonts w:ascii="Times New Roman" w:hAnsi="Times New Roman" w:cs="Times New Roman"/>
          <w:sz w:val="20"/>
          <w:szCs w:val="20"/>
        </w:rPr>
        <w:t>”, September 2014, which states, “</w:t>
      </w:r>
      <w:r w:rsidRPr="00F469B7">
        <w:rPr>
          <w:rFonts w:ascii="Times New Roman" w:hAnsi="Times New Roman" w:cs="Times New Roman"/>
          <w:color w:val="000000"/>
          <w:sz w:val="20"/>
          <w:szCs w:val="20"/>
        </w:rPr>
        <w:t xml:space="preserve">Australia’s STEM investments and policies have suffered from a lack of coordination, misdirected effort, instability and duplication.” </w:t>
      </w:r>
    </w:p>
  </w:footnote>
  <w:footnote w:id="2">
    <w:p w14:paraId="3F63B136" w14:textId="77777777" w:rsidR="00984007" w:rsidRPr="00772F43" w:rsidRDefault="00984007" w:rsidP="00984007">
      <w:pPr>
        <w:pStyle w:val="FootnoteText"/>
        <w:rPr>
          <w:rFonts w:ascii="Times New Roman" w:hAnsi="Times New Roman" w:cs="Times New Roman"/>
        </w:rPr>
      </w:pPr>
      <w:r>
        <w:rPr>
          <w:rStyle w:val="FootnoteReference"/>
        </w:rPr>
        <w:footnoteRef/>
      </w:r>
      <w:hyperlink r:id="rId1" w:history="1">
        <w:r w:rsidRPr="00772F43">
          <w:rPr>
            <w:rStyle w:val="Hyperlink"/>
            <w:rFonts w:ascii="Times New Roman" w:hAnsi="Times New Roman" w:cs="Times New Roman"/>
          </w:rPr>
          <w:t>http://www.oecd.org/sti/oecd-science-technology-and-industry-outlook-19991428.htm</w:t>
        </w:r>
      </w:hyperlink>
    </w:p>
    <w:p w14:paraId="3F63B137" w14:textId="77777777" w:rsidR="00984007" w:rsidRPr="00772F43" w:rsidRDefault="00984007" w:rsidP="00984007">
      <w:pPr>
        <w:pStyle w:val="FootnoteText"/>
        <w:rPr>
          <w:rFonts w:ascii="Times New Roman" w:hAnsi="Times New Roman" w:cs="Times New Roman"/>
        </w:rPr>
      </w:pPr>
    </w:p>
  </w:footnote>
  <w:footnote w:id="3">
    <w:p w14:paraId="3F63B138" w14:textId="77777777" w:rsidR="00984007" w:rsidRDefault="00984007" w:rsidP="00984007">
      <w:pPr>
        <w:pStyle w:val="FootnoteText"/>
      </w:pPr>
      <w:r>
        <w:rPr>
          <w:rStyle w:val="FootnoteReference"/>
        </w:rPr>
        <w:footnoteRef/>
      </w:r>
      <w:r>
        <w:t>A Copy of the IA Board</w:t>
      </w:r>
      <w:r w:rsidR="00C215EE">
        <w:t>’s</w:t>
      </w:r>
      <w:r>
        <w:t xml:space="preserve"> submission to the CRC Review. November 2014 can be provided to the Review Committee by the IA Board Secretariat</w:t>
      </w:r>
      <w:r w:rsidR="00C215EE">
        <w:t>.</w:t>
      </w:r>
    </w:p>
  </w:footnote>
  <w:footnote w:id="4">
    <w:p w14:paraId="3F63B139" w14:textId="77777777" w:rsidR="00984007" w:rsidRPr="009D54ED" w:rsidRDefault="00984007" w:rsidP="00984007">
      <w:pPr>
        <w:pStyle w:val="FootnoteText"/>
        <w:rPr>
          <w:rFonts w:ascii="Times New Roman" w:hAnsi="Times New Roman" w:cs="Times New Roman"/>
        </w:rPr>
      </w:pPr>
      <w:r>
        <w:rPr>
          <w:rStyle w:val="FootnoteReference"/>
        </w:rPr>
        <w:footnoteRef/>
      </w:r>
      <w:r w:rsidRPr="009D54ED">
        <w:rPr>
          <w:rFonts w:ascii="Times New Roman" w:hAnsi="Times New Roman" w:cs="Times New Roman"/>
        </w:rPr>
        <w:t>Early Stage Capital for Innovation and Entrepreneurship, CA Board Report May 2014</w:t>
      </w:r>
    </w:p>
  </w:footnote>
  <w:footnote w:id="5">
    <w:p w14:paraId="3F63B13A" w14:textId="77777777" w:rsidR="00984007" w:rsidRPr="007D6AE5" w:rsidRDefault="00984007" w:rsidP="00984007">
      <w:pPr>
        <w:pStyle w:val="FootnoteText"/>
        <w:rPr>
          <w:rFonts w:ascii="Times New Roman" w:hAnsi="Times New Roman" w:cs="Times New Roman"/>
        </w:rPr>
      </w:pPr>
      <w:r>
        <w:rPr>
          <w:rStyle w:val="FootnoteReference"/>
        </w:rPr>
        <w:footnoteRef/>
      </w:r>
      <w:r w:rsidR="00093AE2">
        <w:rPr>
          <w:rFonts w:ascii="Times New Roman" w:hAnsi="Times New Roman" w:cs="Times New Roman"/>
        </w:rPr>
        <w:t>T</w:t>
      </w:r>
      <w:r w:rsidRPr="0063743D">
        <w:rPr>
          <w:rFonts w:ascii="Times New Roman" w:hAnsi="Times New Roman" w:cs="Times New Roman"/>
        </w:rPr>
        <w:t>he IIF program</w:t>
      </w:r>
      <w:r>
        <w:rPr>
          <w:rFonts w:ascii="Times New Roman" w:hAnsi="Times New Roman" w:cs="Times New Roman"/>
        </w:rPr>
        <w:t>me</w:t>
      </w:r>
      <w:r w:rsidRPr="0063743D">
        <w:rPr>
          <w:rFonts w:ascii="Times New Roman" w:hAnsi="Times New Roman" w:cs="Times New Roman"/>
        </w:rPr>
        <w:t xml:space="preserve"> contributed $724 million of capital commitments ($401 million public and $323 million private) to the Australian venture capital sector over 16 years and was a significant factor in supporting more than 120 start-ups</w:t>
      </w:r>
      <w:r>
        <w:rPr>
          <w:rFonts w:ascii="Times New Roman" w:hAnsi="Times New Roman" w:cs="Times New Roman"/>
        </w:rPr>
        <w:t>.</w:t>
      </w:r>
      <w:r w:rsidR="00CE00DC" w:rsidRPr="00CE00DC">
        <w:rPr>
          <w:rFonts w:ascii="Times New Roman" w:hAnsi="Times New Roman" w:cs="Times New Roman"/>
        </w:rPr>
        <w:t xml:space="preserve"> </w:t>
      </w:r>
      <w:r w:rsidR="00CE00DC" w:rsidRPr="003922FC">
        <w:rPr>
          <w:rFonts w:ascii="Times New Roman" w:hAnsi="Times New Roman" w:cs="Times New Roman"/>
        </w:rPr>
        <w:t xml:space="preserve">Of this, $530 million has been invested and total returns </w:t>
      </w:r>
      <w:r w:rsidR="00CE00DC" w:rsidRPr="003922FC">
        <w:rPr>
          <w:rFonts w:ascii="Times New Roman" w:eastAsia="Times New Roman" w:hAnsi="Times New Roman" w:cs="Times New Roman"/>
        </w:rPr>
        <w:t xml:space="preserve">to date </w:t>
      </w:r>
      <w:r w:rsidR="00CE00DC" w:rsidRPr="003922FC">
        <w:rPr>
          <w:rFonts w:ascii="Times New Roman" w:hAnsi="Times New Roman" w:cs="Times New Roman"/>
        </w:rPr>
        <w:t>are $505 million, $336 million to private investors</w:t>
      </w:r>
      <w:r w:rsidR="00CE00DC">
        <w:rPr>
          <w:rFonts w:ascii="Times New Roman" w:hAnsi="Times New Roman" w:cs="Times New Roman"/>
        </w:rPr>
        <w:t>,</w:t>
      </w:r>
      <w:r w:rsidR="00CE00DC" w:rsidRPr="003922FC">
        <w:rPr>
          <w:rFonts w:ascii="Times New Roman" w:hAnsi="Times New Roman" w:cs="Times New Roman"/>
        </w:rPr>
        <w:t xml:space="preserve"> due to their preferential treatment in the IIF model and $169 million to the government. Source: Unpublished AusIndustry data</w:t>
      </w:r>
    </w:p>
  </w:footnote>
  <w:footnote w:id="6">
    <w:p w14:paraId="3F63B13B" w14:textId="77777777" w:rsidR="00984007" w:rsidRDefault="00984007" w:rsidP="00984007">
      <w:pPr>
        <w:pStyle w:val="FootnoteText"/>
      </w:pPr>
      <w:r>
        <w:rPr>
          <w:rStyle w:val="FootnoteReference"/>
        </w:rPr>
        <w:footnoteRef/>
      </w:r>
      <w:hyperlink r:id="rId2" w:history="1">
        <w:r w:rsidRPr="009A0C1E">
          <w:rPr>
            <w:rStyle w:val="Hyperlink"/>
          </w:rPr>
          <w:t>http://www.oecd.org/sti/oecd-science-technology-and-industry-outlook-19991428.htm</w:t>
        </w:r>
      </w:hyperlink>
    </w:p>
  </w:footnote>
  <w:footnote w:id="7">
    <w:p w14:paraId="3F63B13C" w14:textId="77777777" w:rsidR="00984007" w:rsidRPr="007D6AE5" w:rsidRDefault="00984007" w:rsidP="00984007">
      <w:r w:rsidRPr="007D6AE5">
        <w:rPr>
          <w:rStyle w:val="FootnoteReference"/>
          <w:rFonts w:ascii="Times New Roman" w:hAnsi="Times New Roman" w:cs="Times New Roman"/>
          <w:sz w:val="20"/>
          <w:szCs w:val="20"/>
        </w:rPr>
        <w:footnoteRef/>
      </w:r>
      <w:r w:rsidRPr="007D6AE5">
        <w:rPr>
          <w:rFonts w:ascii="Times New Roman" w:hAnsi="Times New Roman" w:cs="Times New Roman"/>
          <w:sz w:val="20"/>
          <w:szCs w:val="20"/>
        </w:rPr>
        <w:t xml:space="preserve"> Submission to the Senate Finance and Public Administration Committees, 6 March 2014.</w:t>
      </w:r>
    </w:p>
  </w:footnote>
  <w:footnote w:id="8">
    <w:p w14:paraId="3F63B13D" w14:textId="77777777" w:rsidR="00984007" w:rsidRDefault="00984007" w:rsidP="00984007">
      <w:pPr>
        <w:pStyle w:val="FootnoteText"/>
      </w:pPr>
      <w:r w:rsidRPr="00A61048">
        <w:rPr>
          <w:rStyle w:val="FootnoteReference"/>
          <w:rFonts w:ascii="Times New Roman" w:hAnsi="Times New Roman" w:cs="Times New Roman"/>
        </w:rPr>
        <w:footnoteRef/>
      </w:r>
      <w:r w:rsidRPr="00A61048">
        <w:rPr>
          <w:rFonts w:ascii="Times New Roman" w:hAnsi="Times New Roman" w:cs="Times New Roman"/>
        </w:rPr>
        <w:t xml:space="preserve"> The IITB-Monash Research Academy is a global research partnership that delivers innovative solutions through collaborative, multi-disciplinary projects between industry and universities in India and Australia</w:t>
      </w:r>
      <w:r w:rsidR="00093AE2">
        <w:rPr>
          <w:rFonts w:ascii="Times New Roman" w:hAnsi="Times New Roman" w:cs="Times New Roman"/>
        </w:rPr>
        <w:t xml:space="preserve"> </w:t>
      </w:r>
      <w:r w:rsidRPr="00A61048">
        <w:rPr>
          <w:rFonts w:ascii="Times New Roman" w:hAnsi="Times New Roman" w:cs="Times New Roman"/>
        </w:rPr>
        <w:t>.See</w:t>
      </w:r>
      <w:r w:rsidR="00093AE2">
        <w:rPr>
          <w:rFonts w:ascii="Times New Roman" w:hAnsi="Times New Roman" w:cs="Times New Roman"/>
        </w:rPr>
        <w:t xml:space="preserve"> </w:t>
      </w:r>
      <w:hyperlink r:id="rId3" w:history="1">
        <w:r w:rsidRPr="00A61048">
          <w:rPr>
            <w:rStyle w:val="Hyperlink"/>
            <w:rFonts w:ascii="Times New Roman" w:hAnsi="Times New Roman" w:cs="Times New Roman"/>
          </w:rPr>
          <w:t>http://www.iitbmonash.org/</w:t>
        </w:r>
      </w:hyperlink>
    </w:p>
  </w:footnote>
  <w:footnote w:id="9">
    <w:p w14:paraId="3F63B13E" w14:textId="77777777" w:rsidR="00984007" w:rsidRDefault="00984007" w:rsidP="00984007">
      <w:pPr>
        <w:pStyle w:val="FootnoteText"/>
      </w:pPr>
      <w:r>
        <w:rPr>
          <w:rStyle w:val="FootnoteReference"/>
        </w:rPr>
        <w:footnoteRef/>
      </w:r>
      <w:r w:rsidRPr="00237D86">
        <w:rPr>
          <w:rFonts w:ascii="Times New Roman" w:hAnsi="Times New Roman" w:cs="Times New Roman"/>
        </w:rPr>
        <w:t>See for example - House of Commons Science and Technology Select Committee (2014) Women in scientific careers. Available at</w:t>
      </w:r>
      <w:hyperlink r:id="rId4" w:history="1">
        <w:r w:rsidRPr="00237D86">
          <w:rPr>
            <w:rStyle w:val="Hyperlink"/>
            <w:rFonts w:ascii="Times New Roman" w:hAnsi="Times New Roman" w:cs="Times New Roman"/>
          </w:rPr>
          <w:t>http://www.publications.parliament.uk/pa/cm201314/cmselect/ cmsctech/701/70102.htm</w:t>
        </w:r>
      </w:hyperlink>
      <w:r w:rsidRPr="00237D86">
        <w:rPr>
          <w:rFonts w:ascii="Times New Roman" w:hAnsi="Times New Roman" w:cs="Times New Roman"/>
          <w:color w:val="3366FF"/>
        </w:rPr>
        <w:t xml:space="preserve">; </w:t>
      </w:r>
      <w:r w:rsidRPr="00237D86">
        <w:rPr>
          <w:rFonts w:ascii="Times New Roman" w:hAnsi="Times New Roman" w:cs="Times New Roman"/>
        </w:rPr>
        <w:t xml:space="preserve">and Fostering Innovation </w:t>
      </w:r>
      <w:r w:rsidR="00093AE2" w:rsidRPr="00237D86">
        <w:rPr>
          <w:rFonts w:ascii="Times New Roman" w:hAnsi="Times New Roman" w:cs="Times New Roman"/>
        </w:rPr>
        <w:t>through</w:t>
      </w:r>
      <w:r w:rsidRPr="00237D86">
        <w:rPr>
          <w:rFonts w:ascii="Times New Roman" w:hAnsi="Times New Roman" w:cs="Times New Roman"/>
        </w:rPr>
        <w:t xml:space="preserve"> a Diverse Workforce. Forbes Insights 2011</w:t>
      </w:r>
      <w:r w:rsidRPr="00237D86">
        <w:rPr>
          <w:rFonts w:ascii="Times New Roman" w:hAnsi="Times New Roman" w:cs="Times New Roman"/>
          <w:color w:val="3366FF"/>
        </w:rPr>
        <w:t xml:space="preserve">, </w:t>
      </w:r>
      <w:hyperlink r:id="rId5" w:history="1">
        <w:r w:rsidRPr="00237D86">
          <w:rPr>
            <w:rStyle w:val="Hyperlink"/>
            <w:rFonts w:ascii="Times New Roman" w:hAnsi="Times New Roman" w:cs="Times New Roman"/>
          </w:rPr>
          <w:t>http://www.forbes.com/forbesinsights/innovation_diversity/index.html</w:t>
        </w:r>
      </w:hyperlink>
    </w:p>
  </w:footnote>
  <w:footnote w:id="10">
    <w:p w14:paraId="3F63B13F" w14:textId="77777777" w:rsidR="00CA533E" w:rsidRPr="00D51454" w:rsidRDefault="00CA533E" w:rsidP="00CA533E">
      <w:pPr>
        <w:pStyle w:val="FootnoteText"/>
        <w:rPr>
          <w:rFonts w:ascii="Times New Roman" w:hAnsi="Times New Roman" w:cs="Times New Roman"/>
        </w:rPr>
      </w:pPr>
      <w:r>
        <w:rPr>
          <w:rStyle w:val="FootnoteReference"/>
        </w:rPr>
        <w:footnoteRef/>
      </w:r>
      <w:hyperlink r:id="rId6" w:history="1">
        <w:r w:rsidRPr="00D51454">
          <w:rPr>
            <w:rStyle w:val="Hyperlink"/>
            <w:rFonts w:ascii="Times New Roman" w:hAnsi="Times New Roman" w:cs="Times New Roman"/>
          </w:rPr>
          <w:t>http://www.competitivealternatives.com/reports/2014_compalt_report_tax_en.pdf</w:t>
        </w:r>
      </w:hyperlink>
    </w:p>
  </w:footnote>
  <w:footnote w:id="11">
    <w:p w14:paraId="3F63B140" w14:textId="77777777" w:rsidR="00CA533E" w:rsidRDefault="00CA533E" w:rsidP="00CA533E">
      <w:pPr>
        <w:pStyle w:val="FootnoteText"/>
      </w:pPr>
      <w:r w:rsidRPr="00D51454">
        <w:rPr>
          <w:rStyle w:val="FootnoteReference"/>
          <w:rFonts w:ascii="Times New Roman" w:hAnsi="Times New Roman" w:cs="Times New Roman"/>
        </w:rPr>
        <w:footnoteRef/>
      </w:r>
      <w:hyperlink r:id="rId7" w:history="1">
        <w:r w:rsidRPr="00D51454">
          <w:rPr>
            <w:rStyle w:val="Hyperlink"/>
            <w:rFonts w:ascii="Times New Roman" w:hAnsi="Times New Roman" w:cs="Times New Roman"/>
          </w:rPr>
          <w:t>http://www.ey.com/Publication/vwLUAssets/EY-Worldwide_R_and_D_incentives_reference_guide/$FILE/EY-Worldwide-R&amp;D-incentives-reference-guide.pdf</w:t>
        </w:r>
      </w:hyperlink>
    </w:p>
  </w:footnote>
  <w:footnote w:id="12">
    <w:p w14:paraId="3F63B141" w14:textId="77777777" w:rsidR="00CA533E" w:rsidRPr="00A06AA7" w:rsidRDefault="00CA533E" w:rsidP="00CA533E">
      <w:pPr>
        <w:pStyle w:val="FootnoteText"/>
        <w:rPr>
          <w:rFonts w:ascii="Times New Roman" w:hAnsi="Times New Roman" w:cs="Times New Roman"/>
        </w:rPr>
      </w:pPr>
      <w:r w:rsidRPr="00A06AA7">
        <w:rPr>
          <w:rStyle w:val="FootnoteReference"/>
          <w:rFonts w:ascii="Times New Roman" w:hAnsi="Times New Roman" w:cs="Times New Roman"/>
        </w:rPr>
        <w:footnoteRef/>
      </w:r>
      <w:r w:rsidRPr="00A06AA7">
        <w:rPr>
          <w:rFonts w:ascii="Times New Roman" w:hAnsi="Times New Roman" w:cs="Times New Roman"/>
        </w:rPr>
        <w:t xml:space="preserve"> See: </w:t>
      </w:r>
      <w:hyperlink r:id="rId8" w:history="1">
        <w:r w:rsidRPr="00A06AA7">
          <w:rPr>
            <w:rStyle w:val="Hyperlink"/>
            <w:rFonts w:ascii="Times New Roman" w:eastAsia="Times New Roman" w:hAnsi="Times New Roman" w:cs="Times New Roman"/>
          </w:rPr>
          <w:t>http://competitionpolicyreview.gov.au/draft-report/</w:t>
        </w:r>
      </w:hyperlink>
    </w:p>
  </w:footnote>
  <w:footnote w:id="13">
    <w:p w14:paraId="3F63B142" w14:textId="77777777" w:rsidR="00CA533E" w:rsidRDefault="00CA533E" w:rsidP="00CA533E">
      <w:pPr>
        <w:pStyle w:val="FootnoteText"/>
      </w:pPr>
      <w:r>
        <w:rPr>
          <w:rStyle w:val="FootnoteReference"/>
        </w:rPr>
        <w:footnoteRef/>
      </w:r>
      <w:r w:rsidRPr="00D85286">
        <w:rPr>
          <w:rFonts w:ascii="Times New Roman" w:hAnsi="Times New Roman" w:cs="Times New Roman"/>
        </w:rPr>
        <w:t>T</w:t>
      </w:r>
      <w:r w:rsidRPr="00D85286">
        <w:rPr>
          <w:rFonts w:ascii="Times New Roman" w:hAnsi="Times New Roman" w:cs="Times New Roman"/>
          <w:color w:val="0B0C0C"/>
          <w:shd w:val="clear" w:color="auto" w:fill="FFFFFF"/>
        </w:rPr>
        <w:t xml:space="preserve">he Patent Box enables companies to apply a lower rate of </w:t>
      </w:r>
      <w:r>
        <w:rPr>
          <w:rFonts w:ascii="Times New Roman" w:hAnsi="Times New Roman" w:cs="Times New Roman"/>
          <w:color w:val="0B0C0C"/>
          <w:shd w:val="clear" w:color="auto" w:fill="FFFFFF"/>
        </w:rPr>
        <w:t>c</w:t>
      </w:r>
      <w:r w:rsidRPr="00D85286">
        <w:rPr>
          <w:rFonts w:ascii="Times New Roman" w:hAnsi="Times New Roman" w:cs="Times New Roman"/>
          <w:color w:val="0B0C0C"/>
          <w:shd w:val="clear" w:color="auto" w:fill="FFFFFF"/>
        </w:rPr>
        <w:t xml:space="preserve">orporation </w:t>
      </w:r>
      <w:r>
        <w:rPr>
          <w:rFonts w:ascii="Times New Roman" w:hAnsi="Times New Roman" w:cs="Times New Roman"/>
          <w:color w:val="0B0C0C"/>
          <w:shd w:val="clear" w:color="auto" w:fill="FFFFFF"/>
        </w:rPr>
        <w:t>t</w:t>
      </w:r>
      <w:r w:rsidRPr="00D85286">
        <w:rPr>
          <w:rFonts w:ascii="Times New Roman" w:hAnsi="Times New Roman" w:cs="Times New Roman"/>
          <w:color w:val="0B0C0C"/>
          <w:shd w:val="clear" w:color="auto" w:fill="FFFFFF"/>
        </w:rPr>
        <w:t xml:space="preserve">ax to profits </w:t>
      </w:r>
      <w:r>
        <w:rPr>
          <w:rFonts w:ascii="Times New Roman" w:hAnsi="Times New Roman" w:cs="Times New Roman"/>
          <w:color w:val="0B0C0C"/>
          <w:shd w:val="clear" w:color="auto" w:fill="FFFFFF"/>
        </w:rPr>
        <w:t xml:space="preserve">at 10%, </w:t>
      </w:r>
      <w:r w:rsidRPr="00D85286">
        <w:rPr>
          <w:rFonts w:ascii="Times New Roman" w:hAnsi="Times New Roman" w:cs="Times New Roman"/>
          <w:color w:val="0B0C0C"/>
          <w:shd w:val="clear" w:color="auto" w:fill="FFFFFF"/>
        </w:rPr>
        <w:t xml:space="preserve">from patented inventions. </w:t>
      </w:r>
      <w:r>
        <w:rPr>
          <w:rFonts w:ascii="Times New Roman" w:hAnsi="Times New Roman" w:cs="Times New Roman"/>
          <w:color w:val="0B0C0C"/>
          <w:shd w:val="clear" w:color="auto" w:fill="FFFFFF"/>
        </w:rPr>
        <w:t>se</w:t>
      </w:r>
      <w:r w:rsidRPr="00D85286">
        <w:rPr>
          <w:rFonts w:ascii="Times New Roman" w:hAnsi="Times New Roman" w:cs="Times New Roman"/>
          <w:color w:val="0B0C0C"/>
          <w:shd w:val="clear" w:color="auto" w:fill="FFFFFF"/>
        </w:rPr>
        <w:t xml:space="preserve">e </w:t>
      </w:r>
      <w:hyperlink r:id="rId9" w:history="1">
        <w:r w:rsidRPr="00D85286">
          <w:rPr>
            <w:rStyle w:val="Hyperlink"/>
            <w:rFonts w:ascii="Times New Roman" w:hAnsi="Times New Roman" w:cs="Times New Roman"/>
          </w:rPr>
          <w:t>https://www.gov.uk/corporation-tax-the-patent-box</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905"/>
    <w:multiLevelType w:val="hybridMultilevel"/>
    <w:tmpl w:val="C2B2A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C7CA9"/>
    <w:multiLevelType w:val="hybridMultilevel"/>
    <w:tmpl w:val="9056B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C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07690953"/>
    <w:multiLevelType w:val="hybridMultilevel"/>
    <w:tmpl w:val="F0F8119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29939C4"/>
    <w:multiLevelType w:val="hybridMultilevel"/>
    <w:tmpl w:val="A838F43C"/>
    <w:lvl w:ilvl="0" w:tplc="D766DF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4CA1A16"/>
    <w:multiLevelType w:val="hybridMultilevel"/>
    <w:tmpl w:val="CA8AAD70"/>
    <w:lvl w:ilvl="0" w:tplc="0C090019">
      <w:start w:val="1"/>
      <w:numFmt w:val="lowerLetter"/>
      <w:lvlText w:val="%1."/>
      <w:lvlJc w:val="left"/>
      <w:pPr>
        <w:ind w:left="357" w:hanging="360"/>
      </w:pPr>
      <w:rPr>
        <w:rFonts w:hint="default"/>
      </w:rPr>
    </w:lvl>
    <w:lvl w:ilvl="1" w:tplc="04090003">
      <w:start w:val="1"/>
      <w:numFmt w:val="bullet"/>
      <w:lvlText w:val="o"/>
      <w:lvlJc w:val="left"/>
      <w:pPr>
        <w:ind w:left="1077" w:hanging="360"/>
      </w:pPr>
      <w:rPr>
        <w:rFonts w:ascii="Courier New" w:hAnsi="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5">
    <w:nsid w:val="25FD0E4E"/>
    <w:multiLevelType w:val="hybridMultilevel"/>
    <w:tmpl w:val="EAC04EE2"/>
    <w:lvl w:ilvl="0" w:tplc="B71E92FC">
      <w:numFmt w:val="bullet"/>
      <w:lvlText w:val="-"/>
      <w:lvlJc w:val="left"/>
      <w:pPr>
        <w:ind w:left="360" w:hanging="360"/>
      </w:pPr>
      <w:rPr>
        <w:rFonts w:ascii="Times New Roman" w:eastAsiaTheme="minorHAnsi" w:hAnsi="Times New Roman"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B790676"/>
    <w:multiLevelType w:val="hybridMultilevel"/>
    <w:tmpl w:val="BD3E699E"/>
    <w:lvl w:ilvl="0" w:tplc="A6F6B6D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4D1D0B"/>
    <w:multiLevelType w:val="hybridMultilevel"/>
    <w:tmpl w:val="DC3C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9A1A85"/>
    <w:multiLevelType w:val="hybridMultilevel"/>
    <w:tmpl w:val="4FEA5494"/>
    <w:lvl w:ilvl="0" w:tplc="04090001">
      <w:start w:val="1"/>
      <w:numFmt w:val="bullet"/>
      <w:lvlText w:val=""/>
      <w:lvlJc w:val="left"/>
      <w:pPr>
        <w:ind w:left="-360" w:hanging="360"/>
      </w:pPr>
      <w:rPr>
        <w:rFonts w:ascii="Symbol" w:hAnsi="Symbol" w:hint="default"/>
      </w:rPr>
    </w:lvl>
    <w:lvl w:ilvl="1" w:tplc="0C090019">
      <w:start w:val="1"/>
      <w:numFmt w:val="lowerLetter"/>
      <w:lvlText w:val="%2."/>
      <w:lvlJc w:val="left"/>
      <w:pPr>
        <w:ind w:left="360" w:hanging="360"/>
      </w:pPr>
      <w:rPr>
        <w:rFonts w:hint="default"/>
      </w:rPr>
    </w:lvl>
    <w:lvl w:ilvl="2" w:tplc="0C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36410FFA"/>
    <w:multiLevelType w:val="hybridMultilevel"/>
    <w:tmpl w:val="A838F43C"/>
    <w:lvl w:ilvl="0" w:tplc="D766DF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45E244C5"/>
    <w:multiLevelType w:val="hybridMultilevel"/>
    <w:tmpl w:val="02D64D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90E55A7"/>
    <w:multiLevelType w:val="hybridMultilevel"/>
    <w:tmpl w:val="895881B8"/>
    <w:lvl w:ilvl="0" w:tplc="A6F6B6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2DB559B"/>
    <w:multiLevelType w:val="hybridMultilevel"/>
    <w:tmpl w:val="E79AC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959055D"/>
    <w:multiLevelType w:val="hybridMultilevel"/>
    <w:tmpl w:val="F1503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39F169C"/>
    <w:multiLevelType w:val="hybridMultilevel"/>
    <w:tmpl w:val="0712A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550B0D"/>
    <w:multiLevelType w:val="hybridMultilevel"/>
    <w:tmpl w:val="97005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86244BF"/>
    <w:multiLevelType w:val="hybridMultilevel"/>
    <w:tmpl w:val="D076D3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9DA1223"/>
    <w:multiLevelType w:val="hybridMultilevel"/>
    <w:tmpl w:val="46466E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5D66D56"/>
    <w:multiLevelType w:val="hybridMultilevel"/>
    <w:tmpl w:val="B134BA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FB75B41"/>
    <w:multiLevelType w:val="multilevel"/>
    <w:tmpl w:val="1F60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5"/>
  </w:num>
  <w:num w:numId="4">
    <w:abstractNumId w:val="17"/>
  </w:num>
  <w:num w:numId="5">
    <w:abstractNumId w:val="11"/>
  </w:num>
  <w:num w:numId="6">
    <w:abstractNumId w:val="19"/>
  </w:num>
  <w:num w:numId="7">
    <w:abstractNumId w:val="15"/>
  </w:num>
  <w:num w:numId="8">
    <w:abstractNumId w:val="13"/>
  </w:num>
  <w:num w:numId="9">
    <w:abstractNumId w:val="9"/>
  </w:num>
  <w:num w:numId="10">
    <w:abstractNumId w:val="12"/>
  </w:num>
  <w:num w:numId="11">
    <w:abstractNumId w:val="3"/>
  </w:num>
  <w:num w:numId="12">
    <w:abstractNumId w:val="4"/>
  </w:num>
  <w:num w:numId="13">
    <w:abstractNumId w:val="1"/>
  </w:num>
  <w:num w:numId="14">
    <w:abstractNumId w:val="14"/>
  </w:num>
  <w:num w:numId="15">
    <w:abstractNumId w:val="0"/>
  </w:num>
  <w:num w:numId="16">
    <w:abstractNumId w:val="2"/>
  </w:num>
  <w:num w:numId="17">
    <w:abstractNumId w:val="7"/>
  </w:num>
  <w:num w:numId="18">
    <w:abstractNumId w:val="8"/>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D7"/>
    <w:rsid w:val="000142EE"/>
    <w:rsid w:val="0002142F"/>
    <w:rsid w:val="0002205C"/>
    <w:rsid w:val="00026B0A"/>
    <w:rsid w:val="0006631B"/>
    <w:rsid w:val="00076EC5"/>
    <w:rsid w:val="00087FF8"/>
    <w:rsid w:val="00093AE2"/>
    <w:rsid w:val="000A6FCE"/>
    <w:rsid w:val="000E069B"/>
    <w:rsid w:val="00110E28"/>
    <w:rsid w:val="0011307D"/>
    <w:rsid w:val="00135FDA"/>
    <w:rsid w:val="00143740"/>
    <w:rsid w:val="0016667F"/>
    <w:rsid w:val="00181F3E"/>
    <w:rsid w:val="00187ACC"/>
    <w:rsid w:val="001D2B7B"/>
    <w:rsid w:val="001E5874"/>
    <w:rsid w:val="001E5CC8"/>
    <w:rsid w:val="001E7528"/>
    <w:rsid w:val="001F21A1"/>
    <w:rsid w:val="00250B60"/>
    <w:rsid w:val="002E418F"/>
    <w:rsid w:val="002F7362"/>
    <w:rsid w:val="00334CE6"/>
    <w:rsid w:val="0035256F"/>
    <w:rsid w:val="00367CFA"/>
    <w:rsid w:val="003736A2"/>
    <w:rsid w:val="0037621E"/>
    <w:rsid w:val="003A5270"/>
    <w:rsid w:val="003A557A"/>
    <w:rsid w:val="003B42BB"/>
    <w:rsid w:val="003D1293"/>
    <w:rsid w:val="003E1907"/>
    <w:rsid w:val="003F7FC4"/>
    <w:rsid w:val="00410E97"/>
    <w:rsid w:val="0042178C"/>
    <w:rsid w:val="004322C5"/>
    <w:rsid w:val="00450772"/>
    <w:rsid w:val="0046567A"/>
    <w:rsid w:val="004A1401"/>
    <w:rsid w:val="004A1C57"/>
    <w:rsid w:val="004B3CCA"/>
    <w:rsid w:val="004E0E30"/>
    <w:rsid w:val="004F2555"/>
    <w:rsid w:val="00501D4B"/>
    <w:rsid w:val="0051663A"/>
    <w:rsid w:val="0055556D"/>
    <w:rsid w:val="00557335"/>
    <w:rsid w:val="00571C97"/>
    <w:rsid w:val="00574AA9"/>
    <w:rsid w:val="00590454"/>
    <w:rsid w:val="005B64E5"/>
    <w:rsid w:val="00653F79"/>
    <w:rsid w:val="00665615"/>
    <w:rsid w:val="00670756"/>
    <w:rsid w:val="006967E6"/>
    <w:rsid w:val="006F4A68"/>
    <w:rsid w:val="006F70D5"/>
    <w:rsid w:val="00727B05"/>
    <w:rsid w:val="00760D22"/>
    <w:rsid w:val="007967F5"/>
    <w:rsid w:val="007A7146"/>
    <w:rsid w:val="007D5811"/>
    <w:rsid w:val="007F0286"/>
    <w:rsid w:val="00836FA8"/>
    <w:rsid w:val="00867F84"/>
    <w:rsid w:val="00881869"/>
    <w:rsid w:val="008A59DA"/>
    <w:rsid w:val="008F0061"/>
    <w:rsid w:val="009069A4"/>
    <w:rsid w:val="00921B49"/>
    <w:rsid w:val="00922CB3"/>
    <w:rsid w:val="0092700E"/>
    <w:rsid w:val="00942CE3"/>
    <w:rsid w:val="00957580"/>
    <w:rsid w:val="00965506"/>
    <w:rsid w:val="00984007"/>
    <w:rsid w:val="00986E09"/>
    <w:rsid w:val="009A458D"/>
    <w:rsid w:val="009C6B78"/>
    <w:rsid w:val="009D0787"/>
    <w:rsid w:val="009E7648"/>
    <w:rsid w:val="00A04BE7"/>
    <w:rsid w:val="00A06AA7"/>
    <w:rsid w:val="00A6144C"/>
    <w:rsid w:val="00A61880"/>
    <w:rsid w:val="00A668D1"/>
    <w:rsid w:val="00A752FB"/>
    <w:rsid w:val="00A75D16"/>
    <w:rsid w:val="00AA11A4"/>
    <w:rsid w:val="00AB242E"/>
    <w:rsid w:val="00AC7B9B"/>
    <w:rsid w:val="00AE3059"/>
    <w:rsid w:val="00AE6474"/>
    <w:rsid w:val="00B03C27"/>
    <w:rsid w:val="00B2040E"/>
    <w:rsid w:val="00B20A4F"/>
    <w:rsid w:val="00B23B82"/>
    <w:rsid w:val="00B279D7"/>
    <w:rsid w:val="00B27ED4"/>
    <w:rsid w:val="00B5318A"/>
    <w:rsid w:val="00B674D1"/>
    <w:rsid w:val="00B92AE2"/>
    <w:rsid w:val="00BA1002"/>
    <w:rsid w:val="00BF4D1F"/>
    <w:rsid w:val="00C00A91"/>
    <w:rsid w:val="00C07B67"/>
    <w:rsid w:val="00C15F3C"/>
    <w:rsid w:val="00C215EE"/>
    <w:rsid w:val="00C44652"/>
    <w:rsid w:val="00C46BF0"/>
    <w:rsid w:val="00C53EEE"/>
    <w:rsid w:val="00C80D3F"/>
    <w:rsid w:val="00CA533E"/>
    <w:rsid w:val="00CB656D"/>
    <w:rsid w:val="00CC465F"/>
    <w:rsid w:val="00CD72FE"/>
    <w:rsid w:val="00CE00DC"/>
    <w:rsid w:val="00D339D6"/>
    <w:rsid w:val="00D5510C"/>
    <w:rsid w:val="00D61F17"/>
    <w:rsid w:val="00DA3FE1"/>
    <w:rsid w:val="00DB05A9"/>
    <w:rsid w:val="00DB750C"/>
    <w:rsid w:val="00DC108B"/>
    <w:rsid w:val="00DC3AC1"/>
    <w:rsid w:val="00DC62A8"/>
    <w:rsid w:val="00DC76FC"/>
    <w:rsid w:val="00DF3EF5"/>
    <w:rsid w:val="00E2122E"/>
    <w:rsid w:val="00E244A5"/>
    <w:rsid w:val="00E34BC7"/>
    <w:rsid w:val="00E60862"/>
    <w:rsid w:val="00E65EC0"/>
    <w:rsid w:val="00E94591"/>
    <w:rsid w:val="00E96C14"/>
    <w:rsid w:val="00EB0307"/>
    <w:rsid w:val="00EB20F0"/>
    <w:rsid w:val="00EB4391"/>
    <w:rsid w:val="00EB4C98"/>
    <w:rsid w:val="00EC2790"/>
    <w:rsid w:val="00F701A1"/>
    <w:rsid w:val="00F76D31"/>
    <w:rsid w:val="00F8018F"/>
    <w:rsid w:val="00F81B4D"/>
    <w:rsid w:val="00F81FBC"/>
    <w:rsid w:val="00FB1D56"/>
    <w:rsid w:val="00FC3EE7"/>
    <w:rsid w:val="00FD2C53"/>
    <w:rsid w:val="00FF09B5"/>
    <w:rsid w:val="00FF43DE"/>
    <w:rsid w:val="00FF7FC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3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D1"/>
  </w:style>
  <w:style w:type="paragraph" w:styleId="Heading1">
    <w:name w:val="heading 1"/>
    <w:basedOn w:val="Normal"/>
    <w:next w:val="Normal"/>
    <w:link w:val="Heading1Char"/>
    <w:uiPriority w:val="9"/>
    <w:qFormat/>
    <w:rsid w:val="00A66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68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68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68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668D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68D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68D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68D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668D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8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68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68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668D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668D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68D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68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68D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668D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668D1"/>
    <w:pPr>
      <w:spacing w:line="240" w:lineRule="auto"/>
    </w:pPr>
    <w:rPr>
      <w:b/>
      <w:bCs/>
      <w:color w:val="4F81BD" w:themeColor="accent1"/>
      <w:sz w:val="18"/>
      <w:szCs w:val="18"/>
    </w:rPr>
  </w:style>
  <w:style w:type="paragraph" w:styleId="Title">
    <w:name w:val="Title"/>
    <w:basedOn w:val="Normal"/>
    <w:next w:val="Normal"/>
    <w:link w:val="TitleChar"/>
    <w:uiPriority w:val="10"/>
    <w:qFormat/>
    <w:rsid w:val="00A66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68D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668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68D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668D1"/>
    <w:rPr>
      <w:b/>
      <w:bCs/>
    </w:rPr>
  </w:style>
  <w:style w:type="character" w:styleId="Emphasis">
    <w:name w:val="Emphasis"/>
    <w:basedOn w:val="DefaultParagraphFont"/>
    <w:uiPriority w:val="20"/>
    <w:qFormat/>
    <w:rsid w:val="00A668D1"/>
    <w:rPr>
      <w:i/>
      <w:iCs/>
    </w:rPr>
  </w:style>
  <w:style w:type="paragraph" w:styleId="NoSpacing">
    <w:name w:val="No Spacing"/>
    <w:link w:val="NoSpacingChar"/>
    <w:uiPriority w:val="1"/>
    <w:qFormat/>
    <w:rsid w:val="00A668D1"/>
    <w:pPr>
      <w:spacing w:after="0" w:line="240" w:lineRule="auto"/>
    </w:pPr>
  </w:style>
  <w:style w:type="character" w:customStyle="1" w:styleId="NoSpacingChar">
    <w:name w:val="No Spacing Char"/>
    <w:basedOn w:val="DefaultParagraphFont"/>
    <w:link w:val="NoSpacing"/>
    <w:uiPriority w:val="1"/>
    <w:rsid w:val="0051663A"/>
  </w:style>
  <w:style w:type="paragraph" w:styleId="ListParagraph">
    <w:name w:val="List Paragraph"/>
    <w:aliases w:val="Bullet"/>
    <w:basedOn w:val="Normal"/>
    <w:link w:val="ListParagraphChar"/>
    <w:uiPriority w:val="34"/>
    <w:qFormat/>
    <w:rsid w:val="00A668D1"/>
    <w:pPr>
      <w:ind w:left="720"/>
      <w:contextualSpacing/>
    </w:pPr>
  </w:style>
  <w:style w:type="paragraph" w:styleId="Quote">
    <w:name w:val="Quote"/>
    <w:basedOn w:val="Normal"/>
    <w:next w:val="Normal"/>
    <w:link w:val="QuoteChar"/>
    <w:uiPriority w:val="29"/>
    <w:qFormat/>
    <w:rsid w:val="00A668D1"/>
    <w:rPr>
      <w:i/>
      <w:iCs/>
      <w:color w:val="000000" w:themeColor="text1"/>
    </w:rPr>
  </w:style>
  <w:style w:type="character" w:customStyle="1" w:styleId="QuoteChar">
    <w:name w:val="Quote Char"/>
    <w:basedOn w:val="DefaultParagraphFont"/>
    <w:link w:val="Quote"/>
    <w:uiPriority w:val="29"/>
    <w:rsid w:val="00A668D1"/>
    <w:rPr>
      <w:i/>
      <w:iCs/>
      <w:color w:val="000000" w:themeColor="text1"/>
    </w:rPr>
  </w:style>
  <w:style w:type="paragraph" w:styleId="IntenseQuote">
    <w:name w:val="Intense Quote"/>
    <w:basedOn w:val="Normal"/>
    <w:next w:val="Normal"/>
    <w:link w:val="IntenseQuoteChar"/>
    <w:uiPriority w:val="30"/>
    <w:qFormat/>
    <w:rsid w:val="00A668D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68D1"/>
    <w:rPr>
      <w:b/>
      <w:bCs/>
      <w:i/>
      <w:iCs/>
      <w:color w:val="4F81BD" w:themeColor="accent1"/>
    </w:rPr>
  </w:style>
  <w:style w:type="character" w:styleId="SubtleEmphasis">
    <w:name w:val="Subtle Emphasis"/>
    <w:basedOn w:val="DefaultParagraphFont"/>
    <w:uiPriority w:val="19"/>
    <w:qFormat/>
    <w:rsid w:val="00A668D1"/>
    <w:rPr>
      <w:i/>
      <w:iCs/>
      <w:color w:val="808080" w:themeColor="text1" w:themeTint="7F"/>
    </w:rPr>
  </w:style>
  <w:style w:type="character" w:styleId="IntenseEmphasis">
    <w:name w:val="Intense Emphasis"/>
    <w:basedOn w:val="DefaultParagraphFont"/>
    <w:uiPriority w:val="21"/>
    <w:qFormat/>
    <w:rsid w:val="00A668D1"/>
    <w:rPr>
      <w:b/>
      <w:bCs/>
      <w:i/>
      <w:iCs/>
      <w:color w:val="4F81BD" w:themeColor="accent1"/>
    </w:rPr>
  </w:style>
  <w:style w:type="character" w:styleId="SubtleReference">
    <w:name w:val="Subtle Reference"/>
    <w:basedOn w:val="DefaultParagraphFont"/>
    <w:uiPriority w:val="31"/>
    <w:qFormat/>
    <w:rsid w:val="00A668D1"/>
    <w:rPr>
      <w:smallCaps/>
      <w:color w:val="C0504D" w:themeColor="accent2"/>
      <w:u w:val="single"/>
    </w:rPr>
  </w:style>
  <w:style w:type="character" w:styleId="IntenseReference">
    <w:name w:val="Intense Reference"/>
    <w:basedOn w:val="DefaultParagraphFont"/>
    <w:uiPriority w:val="32"/>
    <w:qFormat/>
    <w:rsid w:val="00A668D1"/>
    <w:rPr>
      <w:b/>
      <w:bCs/>
      <w:smallCaps/>
      <w:color w:val="C0504D" w:themeColor="accent2"/>
      <w:spacing w:val="5"/>
      <w:u w:val="single"/>
    </w:rPr>
  </w:style>
  <w:style w:type="character" w:styleId="BookTitle">
    <w:name w:val="Book Title"/>
    <w:basedOn w:val="DefaultParagraphFont"/>
    <w:uiPriority w:val="33"/>
    <w:qFormat/>
    <w:rsid w:val="00A668D1"/>
    <w:rPr>
      <w:b/>
      <w:bCs/>
      <w:smallCaps/>
      <w:spacing w:val="5"/>
    </w:rPr>
  </w:style>
  <w:style w:type="paragraph" w:styleId="TOCHeading">
    <w:name w:val="TOC Heading"/>
    <w:basedOn w:val="Heading1"/>
    <w:next w:val="Normal"/>
    <w:uiPriority w:val="39"/>
    <w:unhideWhenUsed/>
    <w:qFormat/>
    <w:rsid w:val="00A668D1"/>
    <w:pPr>
      <w:outlineLvl w:val="9"/>
    </w:pPr>
  </w:style>
  <w:style w:type="paragraph" w:styleId="BalloonText">
    <w:name w:val="Balloon Text"/>
    <w:basedOn w:val="Normal"/>
    <w:link w:val="BalloonTextChar"/>
    <w:uiPriority w:val="99"/>
    <w:semiHidden/>
    <w:unhideWhenUsed/>
    <w:rsid w:val="000A6FC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6FCE"/>
    <w:rPr>
      <w:rFonts w:ascii="Lucida Grande" w:hAnsi="Lucida Grande" w:cs="Lucida Grande"/>
      <w:sz w:val="18"/>
      <w:szCs w:val="18"/>
      <w:lang w:val="en-AU"/>
    </w:rPr>
  </w:style>
  <w:style w:type="paragraph" w:styleId="FootnoteText">
    <w:name w:val="footnote text"/>
    <w:basedOn w:val="Normal"/>
    <w:link w:val="FootnoteTextChar"/>
    <w:uiPriority w:val="99"/>
    <w:unhideWhenUsed/>
    <w:rsid w:val="00CB656D"/>
    <w:pPr>
      <w:spacing w:after="0" w:line="240" w:lineRule="auto"/>
    </w:pPr>
    <w:rPr>
      <w:sz w:val="20"/>
      <w:szCs w:val="20"/>
    </w:rPr>
  </w:style>
  <w:style w:type="character" w:customStyle="1" w:styleId="FootnoteTextChar">
    <w:name w:val="Footnote Text Char"/>
    <w:basedOn w:val="DefaultParagraphFont"/>
    <w:link w:val="FootnoteText"/>
    <w:uiPriority w:val="99"/>
    <w:rsid w:val="00CB656D"/>
    <w:rPr>
      <w:sz w:val="20"/>
      <w:szCs w:val="20"/>
      <w:lang w:val="en-AU"/>
    </w:rPr>
  </w:style>
  <w:style w:type="character" w:styleId="FootnoteReference">
    <w:name w:val="footnote reference"/>
    <w:basedOn w:val="DefaultParagraphFont"/>
    <w:uiPriority w:val="99"/>
    <w:semiHidden/>
    <w:unhideWhenUsed/>
    <w:rsid w:val="00CB656D"/>
    <w:rPr>
      <w:vertAlign w:val="superscript"/>
    </w:rPr>
  </w:style>
  <w:style w:type="paragraph" w:styleId="Header">
    <w:name w:val="header"/>
    <w:basedOn w:val="Normal"/>
    <w:link w:val="HeaderChar"/>
    <w:uiPriority w:val="99"/>
    <w:unhideWhenUsed/>
    <w:rsid w:val="00F80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18F"/>
    <w:rPr>
      <w:lang w:val="en-AU"/>
    </w:rPr>
  </w:style>
  <w:style w:type="paragraph" w:styleId="Footer">
    <w:name w:val="footer"/>
    <w:basedOn w:val="Normal"/>
    <w:link w:val="FooterChar"/>
    <w:uiPriority w:val="99"/>
    <w:unhideWhenUsed/>
    <w:rsid w:val="00F80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18F"/>
    <w:rPr>
      <w:lang w:val="en-AU"/>
    </w:rPr>
  </w:style>
  <w:style w:type="character" w:styleId="Hyperlink">
    <w:name w:val="Hyperlink"/>
    <w:basedOn w:val="DefaultParagraphFont"/>
    <w:uiPriority w:val="99"/>
    <w:unhideWhenUsed/>
    <w:rsid w:val="002F7362"/>
    <w:rPr>
      <w:color w:val="0000FF" w:themeColor="hyperlink"/>
      <w:u w:val="single"/>
    </w:rPr>
  </w:style>
  <w:style w:type="character" w:styleId="FollowedHyperlink">
    <w:name w:val="FollowedHyperlink"/>
    <w:basedOn w:val="DefaultParagraphFont"/>
    <w:uiPriority w:val="99"/>
    <w:semiHidden/>
    <w:unhideWhenUsed/>
    <w:rsid w:val="00181F3E"/>
    <w:rPr>
      <w:color w:val="800080" w:themeColor="followedHyperlink"/>
      <w:u w:val="single"/>
    </w:rPr>
  </w:style>
  <w:style w:type="paragraph" w:styleId="NormalWeb">
    <w:name w:val="Normal (Web)"/>
    <w:basedOn w:val="Normal"/>
    <w:uiPriority w:val="99"/>
    <w:unhideWhenUsed/>
    <w:rsid w:val="00DB05A9"/>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character" w:styleId="CommentReference">
    <w:name w:val="annotation reference"/>
    <w:basedOn w:val="DefaultParagraphFont"/>
    <w:uiPriority w:val="99"/>
    <w:semiHidden/>
    <w:unhideWhenUsed/>
    <w:rsid w:val="003D1293"/>
    <w:rPr>
      <w:sz w:val="16"/>
      <w:szCs w:val="16"/>
    </w:rPr>
  </w:style>
  <w:style w:type="paragraph" w:styleId="CommentText">
    <w:name w:val="annotation text"/>
    <w:basedOn w:val="Normal"/>
    <w:link w:val="CommentTextChar"/>
    <w:uiPriority w:val="99"/>
    <w:semiHidden/>
    <w:unhideWhenUsed/>
    <w:rsid w:val="003D1293"/>
    <w:pPr>
      <w:spacing w:line="240" w:lineRule="auto"/>
    </w:pPr>
    <w:rPr>
      <w:sz w:val="20"/>
      <w:szCs w:val="20"/>
    </w:rPr>
  </w:style>
  <w:style w:type="character" w:customStyle="1" w:styleId="CommentTextChar">
    <w:name w:val="Comment Text Char"/>
    <w:basedOn w:val="DefaultParagraphFont"/>
    <w:link w:val="CommentText"/>
    <w:uiPriority w:val="99"/>
    <w:semiHidden/>
    <w:rsid w:val="003D1293"/>
    <w:rPr>
      <w:sz w:val="20"/>
      <w:szCs w:val="20"/>
      <w:lang w:val="en-AU"/>
    </w:rPr>
  </w:style>
  <w:style w:type="paragraph" w:styleId="CommentSubject">
    <w:name w:val="annotation subject"/>
    <w:basedOn w:val="CommentText"/>
    <w:next w:val="CommentText"/>
    <w:link w:val="CommentSubjectChar"/>
    <w:uiPriority w:val="99"/>
    <w:semiHidden/>
    <w:unhideWhenUsed/>
    <w:rsid w:val="003D1293"/>
    <w:rPr>
      <w:b/>
      <w:bCs/>
    </w:rPr>
  </w:style>
  <w:style w:type="character" w:customStyle="1" w:styleId="CommentSubjectChar">
    <w:name w:val="Comment Subject Char"/>
    <w:basedOn w:val="CommentTextChar"/>
    <w:link w:val="CommentSubject"/>
    <w:uiPriority w:val="99"/>
    <w:semiHidden/>
    <w:rsid w:val="003D1293"/>
    <w:rPr>
      <w:b/>
      <w:bCs/>
      <w:sz w:val="20"/>
      <w:szCs w:val="20"/>
      <w:lang w:val="en-AU"/>
    </w:rPr>
  </w:style>
  <w:style w:type="paragraph" w:customStyle="1" w:styleId="address">
    <w:name w:val="address"/>
    <w:basedOn w:val="Normal"/>
    <w:rsid w:val="00C07B67"/>
    <w:pPr>
      <w:spacing w:after="0" w:line="240" w:lineRule="auto"/>
      <w:jc w:val="right"/>
    </w:pPr>
    <w:rPr>
      <w:rFonts w:ascii="Times New Roman" w:eastAsia="Times New Roman" w:hAnsi="Times New Roman" w:cs="Times New Roman"/>
      <w:sz w:val="20"/>
      <w:szCs w:val="20"/>
      <w:lang w:val="en-GB" w:eastAsia="en-AU" w:bidi="ar-SA"/>
    </w:rPr>
  </w:style>
  <w:style w:type="paragraph" w:customStyle="1" w:styleId="hps-normal">
    <w:name w:val="hps-normal"/>
    <w:basedOn w:val="Normal"/>
    <w:rsid w:val="00EC279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Pa1">
    <w:name w:val="Pa1"/>
    <w:basedOn w:val="Normal"/>
    <w:next w:val="Normal"/>
    <w:uiPriority w:val="99"/>
    <w:rsid w:val="00984007"/>
    <w:pPr>
      <w:autoSpaceDE w:val="0"/>
      <w:autoSpaceDN w:val="0"/>
      <w:adjustRightInd w:val="0"/>
      <w:spacing w:after="0" w:line="201" w:lineRule="atLeast"/>
    </w:pPr>
    <w:rPr>
      <w:rFonts w:ascii="Avenir LT Std 65 Medium" w:hAnsi="Avenir LT Std 65 Medium"/>
      <w:sz w:val="24"/>
      <w:szCs w:val="24"/>
      <w:lang w:bidi="ar-SA"/>
    </w:rPr>
  </w:style>
  <w:style w:type="character" w:customStyle="1" w:styleId="ListParagraphChar">
    <w:name w:val="List Paragraph Char"/>
    <w:aliases w:val="Bullet Char"/>
    <w:link w:val="ListParagraph"/>
    <w:uiPriority w:val="34"/>
    <w:locked/>
    <w:rsid w:val="00984007"/>
  </w:style>
  <w:style w:type="character" w:customStyle="1" w:styleId="yiv5779722754">
    <w:name w:val="yiv5779722754"/>
    <w:basedOn w:val="DefaultParagraphFont"/>
    <w:rsid w:val="009840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D1"/>
  </w:style>
  <w:style w:type="paragraph" w:styleId="Heading1">
    <w:name w:val="heading 1"/>
    <w:basedOn w:val="Normal"/>
    <w:next w:val="Normal"/>
    <w:link w:val="Heading1Char"/>
    <w:uiPriority w:val="9"/>
    <w:qFormat/>
    <w:rsid w:val="00A66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68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68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68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668D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68D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68D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68D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668D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8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68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68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668D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668D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68D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68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68D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668D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668D1"/>
    <w:pPr>
      <w:spacing w:line="240" w:lineRule="auto"/>
    </w:pPr>
    <w:rPr>
      <w:b/>
      <w:bCs/>
      <w:color w:val="4F81BD" w:themeColor="accent1"/>
      <w:sz w:val="18"/>
      <w:szCs w:val="18"/>
    </w:rPr>
  </w:style>
  <w:style w:type="paragraph" w:styleId="Title">
    <w:name w:val="Title"/>
    <w:basedOn w:val="Normal"/>
    <w:next w:val="Normal"/>
    <w:link w:val="TitleChar"/>
    <w:uiPriority w:val="10"/>
    <w:qFormat/>
    <w:rsid w:val="00A66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68D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668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68D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668D1"/>
    <w:rPr>
      <w:b/>
      <w:bCs/>
    </w:rPr>
  </w:style>
  <w:style w:type="character" w:styleId="Emphasis">
    <w:name w:val="Emphasis"/>
    <w:basedOn w:val="DefaultParagraphFont"/>
    <w:uiPriority w:val="20"/>
    <w:qFormat/>
    <w:rsid w:val="00A668D1"/>
    <w:rPr>
      <w:i/>
      <w:iCs/>
    </w:rPr>
  </w:style>
  <w:style w:type="paragraph" w:styleId="NoSpacing">
    <w:name w:val="No Spacing"/>
    <w:link w:val="NoSpacingChar"/>
    <w:uiPriority w:val="1"/>
    <w:qFormat/>
    <w:rsid w:val="00A668D1"/>
    <w:pPr>
      <w:spacing w:after="0" w:line="240" w:lineRule="auto"/>
    </w:pPr>
  </w:style>
  <w:style w:type="character" w:customStyle="1" w:styleId="NoSpacingChar">
    <w:name w:val="No Spacing Char"/>
    <w:basedOn w:val="DefaultParagraphFont"/>
    <w:link w:val="NoSpacing"/>
    <w:uiPriority w:val="1"/>
    <w:rsid w:val="0051663A"/>
  </w:style>
  <w:style w:type="paragraph" w:styleId="ListParagraph">
    <w:name w:val="List Paragraph"/>
    <w:aliases w:val="Bullet"/>
    <w:basedOn w:val="Normal"/>
    <w:link w:val="ListParagraphChar"/>
    <w:uiPriority w:val="34"/>
    <w:qFormat/>
    <w:rsid w:val="00A668D1"/>
    <w:pPr>
      <w:ind w:left="720"/>
      <w:contextualSpacing/>
    </w:pPr>
  </w:style>
  <w:style w:type="paragraph" w:styleId="Quote">
    <w:name w:val="Quote"/>
    <w:basedOn w:val="Normal"/>
    <w:next w:val="Normal"/>
    <w:link w:val="QuoteChar"/>
    <w:uiPriority w:val="29"/>
    <w:qFormat/>
    <w:rsid w:val="00A668D1"/>
    <w:rPr>
      <w:i/>
      <w:iCs/>
      <w:color w:val="000000" w:themeColor="text1"/>
    </w:rPr>
  </w:style>
  <w:style w:type="character" w:customStyle="1" w:styleId="QuoteChar">
    <w:name w:val="Quote Char"/>
    <w:basedOn w:val="DefaultParagraphFont"/>
    <w:link w:val="Quote"/>
    <w:uiPriority w:val="29"/>
    <w:rsid w:val="00A668D1"/>
    <w:rPr>
      <w:i/>
      <w:iCs/>
      <w:color w:val="000000" w:themeColor="text1"/>
    </w:rPr>
  </w:style>
  <w:style w:type="paragraph" w:styleId="IntenseQuote">
    <w:name w:val="Intense Quote"/>
    <w:basedOn w:val="Normal"/>
    <w:next w:val="Normal"/>
    <w:link w:val="IntenseQuoteChar"/>
    <w:uiPriority w:val="30"/>
    <w:qFormat/>
    <w:rsid w:val="00A668D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68D1"/>
    <w:rPr>
      <w:b/>
      <w:bCs/>
      <w:i/>
      <w:iCs/>
      <w:color w:val="4F81BD" w:themeColor="accent1"/>
    </w:rPr>
  </w:style>
  <w:style w:type="character" w:styleId="SubtleEmphasis">
    <w:name w:val="Subtle Emphasis"/>
    <w:basedOn w:val="DefaultParagraphFont"/>
    <w:uiPriority w:val="19"/>
    <w:qFormat/>
    <w:rsid w:val="00A668D1"/>
    <w:rPr>
      <w:i/>
      <w:iCs/>
      <w:color w:val="808080" w:themeColor="text1" w:themeTint="7F"/>
    </w:rPr>
  </w:style>
  <w:style w:type="character" w:styleId="IntenseEmphasis">
    <w:name w:val="Intense Emphasis"/>
    <w:basedOn w:val="DefaultParagraphFont"/>
    <w:uiPriority w:val="21"/>
    <w:qFormat/>
    <w:rsid w:val="00A668D1"/>
    <w:rPr>
      <w:b/>
      <w:bCs/>
      <w:i/>
      <w:iCs/>
      <w:color w:val="4F81BD" w:themeColor="accent1"/>
    </w:rPr>
  </w:style>
  <w:style w:type="character" w:styleId="SubtleReference">
    <w:name w:val="Subtle Reference"/>
    <w:basedOn w:val="DefaultParagraphFont"/>
    <w:uiPriority w:val="31"/>
    <w:qFormat/>
    <w:rsid w:val="00A668D1"/>
    <w:rPr>
      <w:smallCaps/>
      <w:color w:val="C0504D" w:themeColor="accent2"/>
      <w:u w:val="single"/>
    </w:rPr>
  </w:style>
  <w:style w:type="character" w:styleId="IntenseReference">
    <w:name w:val="Intense Reference"/>
    <w:basedOn w:val="DefaultParagraphFont"/>
    <w:uiPriority w:val="32"/>
    <w:qFormat/>
    <w:rsid w:val="00A668D1"/>
    <w:rPr>
      <w:b/>
      <w:bCs/>
      <w:smallCaps/>
      <w:color w:val="C0504D" w:themeColor="accent2"/>
      <w:spacing w:val="5"/>
      <w:u w:val="single"/>
    </w:rPr>
  </w:style>
  <w:style w:type="character" w:styleId="BookTitle">
    <w:name w:val="Book Title"/>
    <w:basedOn w:val="DefaultParagraphFont"/>
    <w:uiPriority w:val="33"/>
    <w:qFormat/>
    <w:rsid w:val="00A668D1"/>
    <w:rPr>
      <w:b/>
      <w:bCs/>
      <w:smallCaps/>
      <w:spacing w:val="5"/>
    </w:rPr>
  </w:style>
  <w:style w:type="paragraph" w:styleId="TOCHeading">
    <w:name w:val="TOC Heading"/>
    <w:basedOn w:val="Heading1"/>
    <w:next w:val="Normal"/>
    <w:uiPriority w:val="39"/>
    <w:unhideWhenUsed/>
    <w:qFormat/>
    <w:rsid w:val="00A668D1"/>
    <w:pPr>
      <w:outlineLvl w:val="9"/>
    </w:pPr>
  </w:style>
  <w:style w:type="paragraph" w:styleId="BalloonText">
    <w:name w:val="Balloon Text"/>
    <w:basedOn w:val="Normal"/>
    <w:link w:val="BalloonTextChar"/>
    <w:uiPriority w:val="99"/>
    <w:semiHidden/>
    <w:unhideWhenUsed/>
    <w:rsid w:val="000A6FC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6FCE"/>
    <w:rPr>
      <w:rFonts w:ascii="Lucida Grande" w:hAnsi="Lucida Grande" w:cs="Lucida Grande"/>
      <w:sz w:val="18"/>
      <w:szCs w:val="18"/>
      <w:lang w:val="en-AU"/>
    </w:rPr>
  </w:style>
  <w:style w:type="paragraph" w:styleId="FootnoteText">
    <w:name w:val="footnote text"/>
    <w:basedOn w:val="Normal"/>
    <w:link w:val="FootnoteTextChar"/>
    <w:uiPriority w:val="99"/>
    <w:unhideWhenUsed/>
    <w:rsid w:val="00CB656D"/>
    <w:pPr>
      <w:spacing w:after="0" w:line="240" w:lineRule="auto"/>
    </w:pPr>
    <w:rPr>
      <w:sz w:val="20"/>
      <w:szCs w:val="20"/>
    </w:rPr>
  </w:style>
  <w:style w:type="character" w:customStyle="1" w:styleId="FootnoteTextChar">
    <w:name w:val="Footnote Text Char"/>
    <w:basedOn w:val="DefaultParagraphFont"/>
    <w:link w:val="FootnoteText"/>
    <w:uiPriority w:val="99"/>
    <w:rsid w:val="00CB656D"/>
    <w:rPr>
      <w:sz w:val="20"/>
      <w:szCs w:val="20"/>
      <w:lang w:val="en-AU"/>
    </w:rPr>
  </w:style>
  <w:style w:type="character" w:styleId="FootnoteReference">
    <w:name w:val="footnote reference"/>
    <w:basedOn w:val="DefaultParagraphFont"/>
    <w:uiPriority w:val="99"/>
    <w:semiHidden/>
    <w:unhideWhenUsed/>
    <w:rsid w:val="00CB656D"/>
    <w:rPr>
      <w:vertAlign w:val="superscript"/>
    </w:rPr>
  </w:style>
  <w:style w:type="paragraph" w:styleId="Header">
    <w:name w:val="header"/>
    <w:basedOn w:val="Normal"/>
    <w:link w:val="HeaderChar"/>
    <w:uiPriority w:val="99"/>
    <w:unhideWhenUsed/>
    <w:rsid w:val="00F80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18F"/>
    <w:rPr>
      <w:lang w:val="en-AU"/>
    </w:rPr>
  </w:style>
  <w:style w:type="paragraph" w:styleId="Footer">
    <w:name w:val="footer"/>
    <w:basedOn w:val="Normal"/>
    <w:link w:val="FooterChar"/>
    <w:uiPriority w:val="99"/>
    <w:unhideWhenUsed/>
    <w:rsid w:val="00F80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18F"/>
    <w:rPr>
      <w:lang w:val="en-AU"/>
    </w:rPr>
  </w:style>
  <w:style w:type="character" w:styleId="Hyperlink">
    <w:name w:val="Hyperlink"/>
    <w:basedOn w:val="DefaultParagraphFont"/>
    <w:uiPriority w:val="99"/>
    <w:unhideWhenUsed/>
    <w:rsid w:val="002F7362"/>
    <w:rPr>
      <w:color w:val="0000FF" w:themeColor="hyperlink"/>
      <w:u w:val="single"/>
    </w:rPr>
  </w:style>
  <w:style w:type="character" w:styleId="FollowedHyperlink">
    <w:name w:val="FollowedHyperlink"/>
    <w:basedOn w:val="DefaultParagraphFont"/>
    <w:uiPriority w:val="99"/>
    <w:semiHidden/>
    <w:unhideWhenUsed/>
    <w:rsid w:val="00181F3E"/>
    <w:rPr>
      <w:color w:val="800080" w:themeColor="followedHyperlink"/>
      <w:u w:val="single"/>
    </w:rPr>
  </w:style>
  <w:style w:type="paragraph" w:styleId="NormalWeb">
    <w:name w:val="Normal (Web)"/>
    <w:basedOn w:val="Normal"/>
    <w:uiPriority w:val="99"/>
    <w:unhideWhenUsed/>
    <w:rsid w:val="00DB05A9"/>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character" w:styleId="CommentReference">
    <w:name w:val="annotation reference"/>
    <w:basedOn w:val="DefaultParagraphFont"/>
    <w:uiPriority w:val="99"/>
    <w:semiHidden/>
    <w:unhideWhenUsed/>
    <w:rsid w:val="003D1293"/>
    <w:rPr>
      <w:sz w:val="16"/>
      <w:szCs w:val="16"/>
    </w:rPr>
  </w:style>
  <w:style w:type="paragraph" w:styleId="CommentText">
    <w:name w:val="annotation text"/>
    <w:basedOn w:val="Normal"/>
    <w:link w:val="CommentTextChar"/>
    <w:uiPriority w:val="99"/>
    <w:semiHidden/>
    <w:unhideWhenUsed/>
    <w:rsid w:val="003D1293"/>
    <w:pPr>
      <w:spacing w:line="240" w:lineRule="auto"/>
    </w:pPr>
    <w:rPr>
      <w:sz w:val="20"/>
      <w:szCs w:val="20"/>
    </w:rPr>
  </w:style>
  <w:style w:type="character" w:customStyle="1" w:styleId="CommentTextChar">
    <w:name w:val="Comment Text Char"/>
    <w:basedOn w:val="DefaultParagraphFont"/>
    <w:link w:val="CommentText"/>
    <w:uiPriority w:val="99"/>
    <w:semiHidden/>
    <w:rsid w:val="003D1293"/>
    <w:rPr>
      <w:sz w:val="20"/>
      <w:szCs w:val="20"/>
      <w:lang w:val="en-AU"/>
    </w:rPr>
  </w:style>
  <w:style w:type="paragraph" w:styleId="CommentSubject">
    <w:name w:val="annotation subject"/>
    <w:basedOn w:val="CommentText"/>
    <w:next w:val="CommentText"/>
    <w:link w:val="CommentSubjectChar"/>
    <w:uiPriority w:val="99"/>
    <w:semiHidden/>
    <w:unhideWhenUsed/>
    <w:rsid w:val="003D1293"/>
    <w:rPr>
      <w:b/>
      <w:bCs/>
    </w:rPr>
  </w:style>
  <w:style w:type="character" w:customStyle="1" w:styleId="CommentSubjectChar">
    <w:name w:val="Comment Subject Char"/>
    <w:basedOn w:val="CommentTextChar"/>
    <w:link w:val="CommentSubject"/>
    <w:uiPriority w:val="99"/>
    <w:semiHidden/>
    <w:rsid w:val="003D1293"/>
    <w:rPr>
      <w:b/>
      <w:bCs/>
      <w:sz w:val="20"/>
      <w:szCs w:val="20"/>
      <w:lang w:val="en-AU"/>
    </w:rPr>
  </w:style>
  <w:style w:type="paragraph" w:customStyle="1" w:styleId="address">
    <w:name w:val="address"/>
    <w:basedOn w:val="Normal"/>
    <w:rsid w:val="00C07B67"/>
    <w:pPr>
      <w:spacing w:after="0" w:line="240" w:lineRule="auto"/>
      <w:jc w:val="right"/>
    </w:pPr>
    <w:rPr>
      <w:rFonts w:ascii="Times New Roman" w:eastAsia="Times New Roman" w:hAnsi="Times New Roman" w:cs="Times New Roman"/>
      <w:sz w:val="20"/>
      <w:szCs w:val="20"/>
      <w:lang w:val="en-GB" w:eastAsia="en-AU" w:bidi="ar-SA"/>
    </w:rPr>
  </w:style>
  <w:style w:type="paragraph" w:customStyle="1" w:styleId="hps-normal">
    <w:name w:val="hps-normal"/>
    <w:basedOn w:val="Normal"/>
    <w:rsid w:val="00EC279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Pa1">
    <w:name w:val="Pa1"/>
    <w:basedOn w:val="Normal"/>
    <w:next w:val="Normal"/>
    <w:uiPriority w:val="99"/>
    <w:rsid w:val="00984007"/>
    <w:pPr>
      <w:autoSpaceDE w:val="0"/>
      <w:autoSpaceDN w:val="0"/>
      <w:adjustRightInd w:val="0"/>
      <w:spacing w:after="0" w:line="201" w:lineRule="atLeast"/>
    </w:pPr>
    <w:rPr>
      <w:rFonts w:ascii="Avenir LT Std 65 Medium" w:hAnsi="Avenir LT Std 65 Medium"/>
      <w:sz w:val="24"/>
      <w:szCs w:val="24"/>
      <w:lang w:bidi="ar-SA"/>
    </w:rPr>
  </w:style>
  <w:style w:type="character" w:customStyle="1" w:styleId="ListParagraphChar">
    <w:name w:val="List Paragraph Char"/>
    <w:aliases w:val="Bullet Char"/>
    <w:link w:val="ListParagraph"/>
    <w:uiPriority w:val="34"/>
    <w:locked/>
    <w:rsid w:val="00984007"/>
  </w:style>
  <w:style w:type="character" w:customStyle="1" w:styleId="yiv5779722754">
    <w:name w:val="yiv5779722754"/>
    <w:basedOn w:val="DefaultParagraphFont"/>
    <w:rsid w:val="0098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38896">
      <w:bodyDiv w:val="1"/>
      <w:marLeft w:val="0"/>
      <w:marRight w:val="0"/>
      <w:marTop w:val="0"/>
      <w:marBottom w:val="0"/>
      <w:divBdr>
        <w:top w:val="none" w:sz="0" w:space="0" w:color="auto"/>
        <w:left w:val="none" w:sz="0" w:space="0" w:color="auto"/>
        <w:bottom w:val="none" w:sz="0" w:space="0" w:color="auto"/>
        <w:right w:val="none" w:sz="0" w:space="0" w:color="auto"/>
      </w:divBdr>
    </w:div>
    <w:div w:id="1009408874">
      <w:bodyDiv w:val="1"/>
      <w:marLeft w:val="0"/>
      <w:marRight w:val="0"/>
      <w:marTop w:val="0"/>
      <w:marBottom w:val="0"/>
      <w:divBdr>
        <w:top w:val="none" w:sz="0" w:space="0" w:color="auto"/>
        <w:left w:val="none" w:sz="0" w:space="0" w:color="auto"/>
        <w:bottom w:val="none" w:sz="0" w:space="0" w:color="auto"/>
        <w:right w:val="none" w:sz="0" w:space="0" w:color="auto"/>
      </w:divBdr>
    </w:div>
    <w:div w:id="21193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viewConsultations@educ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ausindustry.gov.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novationAustralia@Industry.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ompetitionpolicyreview.gov.au/draft-report/" TargetMode="External"/><Relationship Id="rId3" Type="http://schemas.openxmlformats.org/officeDocument/2006/relationships/hyperlink" Target="http://www.iitbmonash.org/" TargetMode="External"/><Relationship Id="rId7" Type="http://schemas.openxmlformats.org/officeDocument/2006/relationships/hyperlink" Target="http://www.ey.com/Publication/vwLUAssets/EY-Worldwide_R_and_D_incentives_reference_guide/$FILE/EY-Worldwide-R&amp;D-incentives-reference-guide.pdf" TargetMode="External"/><Relationship Id="rId2" Type="http://schemas.openxmlformats.org/officeDocument/2006/relationships/hyperlink" Target="http://www.oecd.org/sti/oecd-science-technology-and-industry-outlook-19991428.htm" TargetMode="External"/><Relationship Id="rId1" Type="http://schemas.openxmlformats.org/officeDocument/2006/relationships/hyperlink" Target="http://www.oecd.org/sti/oecd-science-technology-and-industry-outlook-19991428.htm" TargetMode="External"/><Relationship Id="rId6" Type="http://schemas.openxmlformats.org/officeDocument/2006/relationships/hyperlink" Target="http://www.competitivealternatives.com/reports/2014_compalt_report_tax_en.pdf" TargetMode="External"/><Relationship Id="rId5" Type="http://schemas.openxmlformats.org/officeDocument/2006/relationships/hyperlink" Target="http://www.forbes.com/forbesinsights/innovation_diversity/index.html" TargetMode="External"/><Relationship Id="rId4" Type="http://schemas.openxmlformats.org/officeDocument/2006/relationships/hyperlink" Target="http://www.publications.parliament.uk/pa/cm201314/cmselect/%20cmsctech/701/70102.htm" TargetMode="External"/><Relationship Id="rId9" Type="http://schemas.openxmlformats.org/officeDocument/2006/relationships/hyperlink" Target="https://www.gov.uk/corporation-tax-the-patent-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BCR1400107</SubmissionID>
    <OriginalFileName xmlns="ed110c73-9675-4a40-bedd-85eaf2417466">Signed Ltr IA Board Boosting Comm Research Returns.docx</Original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D2113-8555-41FA-86DF-542DE8BF9AE1}"/>
</file>

<file path=customXml/itemProps2.xml><?xml version="1.0" encoding="utf-8"?>
<ds:datastoreItem xmlns:ds="http://schemas.openxmlformats.org/officeDocument/2006/customXml" ds:itemID="{2C764AC4-57EE-4B00-BB12-11B6621A0CA4}"/>
</file>

<file path=customXml/itemProps3.xml><?xml version="1.0" encoding="utf-8"?>
<ds:datastoreItem xmlns:ds="http://schemas.openxmlformats.org/officeDocument/2006/customXml" ds:itemID="{7B0F2BAC-FE76-402A-8F8E-24EC421E4358}"/>
</file>

<file path=customXml/itemProps4.xml><?xml version="1.0" encoding="utf-8"?>
<ds:datastoreItem xmlns:ds="http://schemas.openxmlformats.org/officeDocument/2006/customXml" ds:itemID="{0252964F-80AE-4DE2-A616-E635B335548F}"/>
</file>

<file path=docProps/app.xml><?xml version="1.0" encoding="utf-8"?>
<Properties xmlns="http://schemas.openxmlformats.org/officeDocument/2006/extended-properties" xmlns:vt="http://schemas.openxmlformats.org/officeDocument/2006/docPropsVTypes">
  <Template>E02FA6FF.dotm</Template>
  <TotalTime>20</TotalTime>
  <Pages>11</Pages>
  <Words>3591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2_Boosting_the_commercial_return_InnovationAustralia_05022015_BCR1400107.docx</dc:title>
  <dc:creator>Marlene</dc:creator>
  <cp:lastModifiedBy>Drew Menzies-McVey</cp:lastModifiedBy>
  <cp:revision>6</cp:revision>
  <cp:lastPrinted>2014-11-19T03:07:00Z</cp:lastPrinted>
  <dcterms:created xsi:type="dcterms:W3CDTF">2014-12-02T23:52:00Z</dcterms:created>
  <dcterms:modified xsi:type="dcterms:W3CDTF">2015-02-23T00:52:00Z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0x0101009532659050105A4BB64EC7FE4940F188</vt:lpwstr>
  </property>
</Properties>
</file>