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F7E28" w14:textId="77777777" w:rsidR="00704498" w:rsidRPr="00237A2E" w:rsidRDefault="00704498" w:rsidP="00AD69C6">
      <w:pPr>
        <w:pStyle w:val="Footer"/>
        <w:tabs>
          <w:tab w:val="right" w:pos="9163"/>
        </w:tabs>
        <w:jc w:val="both"/>
        <w:rPr>
          <w:rFonts w:cs="Arial"/>
          <w:b/>
          <w:sz w:val="28"/>
          <w:szCs w:val="28"/>
        </w:rPr>
      </w:pPr>
      <w:r w:rsidRPr="00237A2E">
        <w:rPr>
          <w:noProof/>
        </w:rPr>
        <w:drawing>
          <wp:anchor distT="0" distB="0" distL="114300" distR="114300" simplePos="0" relativeHeight="251659264" behindDoc="1" locked="0" layoutInCell="1" allowOverlap="1" wp14:anchorId="416F7EA5" wp14:editId="29015227">
            <wp:simplePos x="0" y="0"/>
            <wp:positionH relativeFrom="column">
              <wp:posOffset>-271780</wp:posOffset>
            </wp:positionH>
            <wp:positionV relativeFrom="paragraph">
              <wp:posOffset>-427852</wp:posOffset>
            </wp:positionV>
            <wp:extent cx="1838325" cy="815938"/>
            <wp:effectExtent l="0" t="0" r="0" b="3810"/>
            <wp:wrapNone/>
            <wp:docPr id="16" name="Picture 16" descr="Health - NSW Gov - RGB col gradient" title="NSW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NSW Gov - RGB col gradi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81593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16F7E29" w14:textId="77777777" w:rsidR="00704498" w:rsidRDefault="00704498" w:rsidP="00AD69C6">
      <w:pPr>
        <w:jc w:val="both"/>
        <w:rPr>
          <w:rFonts w:ascii="Arial" w:hAnsi="Arial" w:cs="Arial"/>
          <w:sz w:val="32"/>
          <w:szCs w:val="32"/>
        </w:rPr>
      </w:pPr>
      <w:r w:rsidRPr="00426485">
        <w:rPr>
          <w:rFonts w:ascii="Arial" w:hAnsi="Arial" w:cs="Arial"/>
          <w:noProof/>
          <w:sz w:val="32"/>
          <w:szCs w:val="32"/>
          <w:lang w:eastAsia="en-AU"/>
        </w:rPr>
        <mc:AlternateContent>
          <mc:Choice Requires="wps">
            <w:drawing>
              <wp:anchor distT="0" distB="0" distL="114300" distR="114300" simplePos="0" relativeHeight="251660288" behindDoc="0" locked="0" layoutInCell="1" allowOverlap="1" wp14:anchorId="416F7EA7" wp14:editId="416F7EA8">
                <wp:simplePos x="0" y="0"/>
                <wp:positionH relativeFrom="column">
                  <wp:posOffset>-691763</wp:posOffset>
                </wp:positionH>
                <wp:positionV relativeFrom="paragraph">
                  <wp:posOffset>379178</wp:posOffset>
                </wp:positionV>
                <wp:extent cx="6957391" cy="0"/>
                <wp:effectExtent l="0" t="0" r="15240" b="19050"/>
                <wp:wrapNone/>
                <wp:docPr id="18" name="Straight Connector 18"/>
                <wp:cNvGraphicFramePr/>
                <a:graphic xmlns:a="http://schemas.openxmlformats.org/drawingml/2006/main">
                  <a:graphicData uri="http://schemas.microsoft.com/office/word/2010/wordprocessingShape">
                    <wps:wsp>
                      <wps:cNvCnPr/>
                      <wps:spPr>
                        <a:xfrm>
                          <a:off x="0" y="0"/>
                          <a:ext cx="69573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29.85pt" to="493.4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" strokecolor="black [3213]"/>
            </w:pict>
          </mc:Fallback>
        </mc:AlternateContent>
      </w:r>
    </w:p>
    <w:p w14:paraId="416F7E2A" w14:textId="77777777" w:rsidR="00845EF7" w:rsidRPr="00845EF7" w:rsidRDefault="00845EF7" w:rsidP="00AD69C6">
      <w:pPr>
        <w:spacing w:after="0"/>
        <w:jc w:val="both"/>
        <w:rPr>
          <w:rFonts w:ascii="Arial" w:hAnsi="Arial" w:cs="Arial"/>
          <w:b/>
          <w:color w:val="000000" w:themeColor="text1"/>
          <w:sz w:val="16"/>
          <w:szCs w:val="16"/>
        </w:rPr>
      </w:pPr>
    </w:p>
    <w:p w14:paraId="416F7E2B" w14:textId="77777777" w:rsidR="00704498" w:rsidRPr="00426485" w:rsidRDefault="00704498" w:rsidP="00AD69C6">
      <w:pPr>
        <w:spacing w:after="0"/>
        <w:jc w:val="both"/>
        <w:rPr>
          <w:rFonts w:ascii="Arial" w:hAnsi="Arial" w:cs="Arial"/>
          <w:b/>
          <w:color w:val="000000" w:themeColor="text1"/>
          <w:sz w:val="28"/>
          <w:szCs w:val="28"/>
        </w:rPr>
      </w:pPr>
      <w:r w:rsidRPr="00426485">
        <w:rPr>
          <w:rFonts w:ascii="Arial" w:hAnsi="Arial" w:cs="Arial"/>
          <w:b/>
          <w:color w:val="000000" w:themeColor="text1"/>
          <w:sz w:val="28"/>
          <w:szCs w:val="28"/>
        </w:rPr>
        <w:t>NSW Office for Health and Medical Research</w:t>
      </w:r>
    </w:p>
    <w:p w14:paraId="416F7E2C" w14:textId="77777777" w:rsidR="00704498" w:rsidRPr="00426485" w:rsidRDefault="00704498" w:rsidP="00AD69C6">
      <w:pPr>
        <w:spacing w:after="0"/>
        <w:jc w:val="both"/>
        <w:rPr>
          <w:rFonts w:ascii="Arial" w:hAnsi="Arial" w:cs="Arial"/>
          <w:sz w:val="32"/>
          <w:szCs w:val="32"/>
          <w14:textFill>
            <w14:gradFill>
              <w14:gsLst>
                <w14:gs w14:pos="0">
                  <w14:schemeClr w14:val="accent1">
                    <w14:lumMod w14:val="75000"/>
                    <w14:lumOff w14:val="0"/>
                    <w14:shade w14:val="30000"/>
                    <w14:satMod w14:val="115000"/>
                  </w14:schemeClr>
                </w14:gs>
                <w14:gs w14:pos="50000">
                  <w14:schemeClr w14:val="accent1">
                    <w14:lumMod w14:val="75000"/>
                    <w14:lumOff w14:val="0"/>
                    <w14:shade w14:val="67500"/>
                    <w14:satMod w14:val="115000"/>
                  </w14:schemeClr>
                </w14:gs>
                <w14:gs w14:pos="100000">
                  <w14:schemeClr w14:val="accent1">
                    <w14:lumMod w14:val="75000"/>
                    <w14:lumOff w14:val="0"/>
                    <w14:shade w14:val="100000"/>
                    <w14:satMod w14:val="115000"/>
                  </w14:schemeClr>
                </w14:gs>
              </w14:gsLst>
              <w14:lin w14:ang="18900000" w14:scaled="0"/>
            </w14:gradFill>
          </w14:textFill>
        </w:rPr>
      </w:pPr>
    </w:p>
    <w:p w14:paraId="416F7E2D" w14:textId="77777777" w:rsidR="00704498" w:rsidRDefault="00704498" w:rsidP="00AD69C6">
      <w:pPr>
        <w:spacing w:after="0"/>
        <w:jc w:val="both"/>
        <w:rPr>
          <w:rFonts w:ascii="Arial" w:hAnsi="Arial" w:cs="Arial"/>
          <w:sz w:val="32"/>
          <w:szCs w:val="32"/>
        </w:rPr>
      </w:pPr>
    </w:p>
    <w:p w14:paraId="416F7E2E" w14:textId="77777777" w:rsidR="00704498" w:rsidRDefault="00704498" w:rsidP="00AD69C6">
      <w:pPr>
        <w:spacing w:after="0"/>
        <w:jc w:val="both"/>
        <w:rPr>
          <w:rFonts w:ascii="Arial" w:hAnsi="Arial" w:cs="Arial"/>
          <w:sz w:val="32"/>
          <w:szCs w:val="32"/>
        </w:rPr>
      </w:pPr>
    </w:p>
    <w:p w14:paraId="416F7E2F" w14:textId="77777777" w:rsidR="00704498" w:rsidRDefault="00704498" w:rsidP="00AD69C6">
      <w:pPr>
        <w:spacing w:after="0"/>
        <w:jc w:val="both"/>
        <w:rPr>
          <w:rFonts w:ascii="Arial" w:hAnsi="Arial" w:cs="Arial"/>
          <w:sz w:val="32"/>
          <w:szCs w:val="32"/>
        </w:rPr>
      </w:pPr>
    </w:p>
    <w:p w14:paraId="416F7E30" w14:textId="77777777" w:rsidR="00704498" w:rsidRDefault="00704498" w:rsidP="00AD69C6">
      <w:pPr>
        <w:spacing w:after="0"/>
        <w:jc w:val="both"/>
        <w:rPr>
          <w:rFonts w:ascii="Arial" w:hAnsi="Arial" w:cs="Arial"/>
          <w:sz w:val="32"/>
          <w:szCs w:val="32"/>
        </w:rPr>
      </w:pPr>
    </w:p>
    <w:p w14:paraId="416F7E31" w14:textId="77777777" w:rsidR="00704498" w:rsidRDefault="00704498" w:rsidP="00AD69C6">
      <w:pPr>
        <w:spacing w:after="0"/>
        <w:jc w:val="both"/>
        <w:rPr>
          <w:rFonts w:ascii="Arial" w:hAnsi="Arial" w:cs="Arial"/>
          <w:sz w:val="32"/>
          <w:szCs w:val="32"/>
        </w:rPr>
      </w:pPr>
    </w:p>
    <w:p w14:paraId="416F7E32" w14:textId="77777777" w:rsidR="00704498" w:rsidRDefault="00704498" w:rsidP="007E4164">
      <w:pPr>
        <w:pStyle w:val="Title"/>
      </w:pPr>
      <w:r>
        <w:t>Boosting the commercial returns from research</w:t>
      </w:r>
    </w:p>
    <w:p w14:paraId="416F7E33" w14:textId="77777777" w:rsidR="00704498" w:rsidRPr="00237A2E" w:rsidRDefault="00704498" w:rsidP="007E4164">
      <w:pPr>
        <w:pStyle w:val="Title"/>
      </w:pPr>
      <w:r>
        <w:t>O</w:t>
      </w:r>
      <w:r w:rsidR="00C02B9A">
        <w:t>ffice for Health and Medical Research (OH</w:t>
      </w:r>
      <w:r>
        <w:t>MR</w:t>
      </w:r>
      <w:r w:rsidR="00C02B9A">
        <w:t>)</w:t>
      </w:r>
      <w:r>
        <w:t xml:space="preserve"> Submission</w:t>
      </w:r>
    </w:p>
    <w:p w14:paraId="416F7E37" w14:textId="77777777" w:rsidR="00845EF7" w:rsidRDefault="00845EF7" w:rsidP="00AD69C6">
      <w:pPr>
        <w:jc w:val="both"/>
        <w:rPr>
          <w:rFonts w:ascii="Arial" w:hAnsi="Arial" w:cs="Arial"/>
          <w:sz w:val="32"/>
          <w:szCs w:val="32"/>
        </w:rPr>
      </w:pPr>
    </w:p>
    <w:p w14:paraId="416F7E38" w14:textId="77777777" w:rsidR="00845EF7" w:rsidRDefault="00845EF7" w:rsidP="00AD69C6">
      <w:pPr>
        <w:jc w:val="both"/>
        <w:rPr>
          <w:rFonts w:ascii="Arial" w:hAnsi="Arial" w:cs="Arial"/>
          <w:sz w:val="32"/>
          <w:szCs w:val="32"/>
        </w:rPr>
      </w:pPr>
    </w:p>
    <w:p w14:paraId="416F7E39" w14:textId="77777777" w:rsidR="00845EF7" w:rsidRDefault="00845EF7" w:rsidP="00AD69C6">
      <w:pPr>
        <w:jc w:val="both"/>
        <w:rPr>
          <w:rFonts w:ascii="Arial" w:hAnsi="Arial" w:cs="Arial"/>
          <w:sz w:val="32"/>
          <w:szCs w:val="32"/>
        </w:rPr>
      </w:pPr>
    </w:p>
    <w:p w14:paraId="416F7E3A" w14:textId="77777777" w:rsidR="00845EF7" w:rsidRDefault="00845EF7" w:rsidP="00AD69C6">
      <w:pPr>
        <w:jc w:val="both"/>
        <w:rPr>
          <w:rFonts w:ascii="Arial" w:hAnsi="Arial" w:cs="Arial"/>
          <w:sz w:val="32"/>
          <w:szCs w:val="32"/>
        </w:rPr>
      </w:pPr>
    </w:p>
    <w:p w14:paraId="416F7E3B" w14:textId="77777777" w:rsidR="00845EF7" w:rsidRDefault="00845EF7" w:rsidP="00AD69C6">
      <w:pPr>
        <w:jc w:val="both"/>
        <w:rPr>
          <w:rFonts w:ascii="Arial" w:hAnsi="Arial" w:cs="Arial"/>
          <w:sz w:val="32"/>
          <w:szCs w:val="32"/>
        </w:rPr>
      </w:pPr>
    </w:p>
    <w:p w14:paraId="416F7E3C" w14:textId="77777777" w:rsidR="00845EF7" w:rsidRDefault="00845EF7" w:rsidP="00AD69C6">
      <w:pPr>
        <w:jc w:val="both"/>
        <w:rPr>
          <w:rFonts w:ascii="Arial" w:hAnsi="Arial" w:cs="Arial"/>
          <w:sz w:val="32"/>
          <w:szCs w:val="32"/>
        </w:rPr>
      </w:pPr>
    </w:p>
    <w:p w14:paraId="416F7E3D" w14:textId="77777777" w:rsidR="00845EF7" w:rsidRDefault="00845EF7" w:rsidP="00AD69C6">
      <w:pPr>
        <w:jc w:val="both"/>
        <w:rPr>
          <w:rFonts w:ascii="Arial" w:hAnsi="Arial" w:cs="Arial"/>
          <w:sz w:val="32"/>
          <w:szCs w:val="32"/>
        </w:rPr>
      </w:pPr>
    </w:p>
    <w:p w14:paraId="416F7E3E" w14:textId="77777777" w:rsidR="00845EF7" w:rsidRDefault="00845EF7" w:rsidP="00AD69C6">
      <w:pPr>
        <w:jc w:val="both"/>
        <w:rPr>
          <w:rFonts w:ascii="Arial" w:hAnsi="Arial" w:cs="Arial"/>
          <w:sz w:val="32"/>
          <w:szCs w:val="32"/>
        </w:rPr>
      </w:pPr>
    </w:p>
    <w:p w14:paraId="416F7E3F" w14:textId="77777777" w:rsidR="00704498" w:rsidRPr="00237A2E" w:rsidRDefault="00845EF7" w:rsidP="00AD69C6">
      <w:pPr>
        <w:jc w:val="both"/>
        <w:rPr>
          <w:rFonts w:ascii="Arial" w:hAnsi="Arial" w:cs="Arial"/>
          <w:sz w:val="32"/>
          <w:szCs w:val="32"/>
        </w:rPr>
      </w:pPr>
      <w:r>
        <w:rPr>
          <w:rFonts w:ascii="Arial" w:hAnsi="Arial" w:cs="Arial"/>
          <w:sz w:val="32"/>
          <w:szCs w:val="32"/>
        </w:rPr>
        <w:t>November 2014</w:t>
      </w:r>
    </w:p>
    <w:p w14:paraId="416F7E40" w14:textId="77777777" w:rsidR="00704498" w:rsidRDefault="00704498" w:rsidP="00AD69C6">
      <w:pPr>
        <w:jc w:val="both"/>
        <w:rPr>
          <w:rFonts w:cstheme="minorHAnsi"/>
          <w:sz w:val="28"/>
          <w:szCs w:val="28"/>
        </w:rPr>
      </w:pPr>
    </w:p>
    <w:p w14:paraId="416F7E41" w14:textId="77777777" w:rsidR="00704498" w:rsidRDefault="00704498" w:rsidP="00AD69C6">
      <w:pPr>
        <w:jc w:val="both"/>
        <w:rPr>
          <w:rFonts w:cstheme="minorHAnsi"/>
          <w:sz w:val="28"/>
          <w:szCs w:val="28"/>
        </w:rPr>
      </w:pPr>
    </w:p>
    <w:p w14:paraId="416F7E42" w14:textId="77777777" w:rsidR="00704498" w:rsidRDefault="00704498" w:rsidP="00AD69C6">
      <w:pPr>
        <w:jc w:val="both"/>
        <w:rPr>
          <w:rFonts w:cstheme="minorHAnsi"/>
          <w:sz w:val="28"/>
          <w:szCs w:val="28"/>
        </w:rPr>
        <w:sectPr w:rsidR="00704498" w:rsidSect="00FE22A0">
          <w:footerReference w:type="default" r:id="rId12"/>
          <w:pgSz w:w="11906" w:h="16838"/>
          <w:pgMar w:top="1440" w:right="1440" w:bottom="1440" w:left="1440" w:header="708" w:footer="708" w:gutter="0"/>
          <w:pgNumType w:start="1"/>
          <w:cols w:space="708"/>
          <w:docGrid w:linePitch="360"/>
        </w:sectPr>
      </w:pPr>
    </w:p>
    <w:p w14:paraId="416F7E44" w14:textId="77777777" w:rsidR="00704498" w:rsidRPr="00E02FD3" w:rsidRDefault="00704498" w:rsidP="00AD69C6">
      <w:pPr>
        <w:pStyle w:val="Heading1"/>
        <w:spacing w:line="240" w:lineRule="auto"/>
        <w:jc w:val="both"/>
        <w:rPr>
          <w:rFonts w:asciiTheme="minorHAnsi" w:hAnsiTheme="minorHAnsi" w:cstheme="minorHAnsi"/>
          <w:sz w:val="32"/>
          <w:szCs w:val="32"/>
        </w:rPr>
      </w:pPr>
      <w:bookmarkStart w:id="0" w:name="_Toc404849213"/>
      <w:r>
        <w:rPr>
          <w:rFonts w:asciiTheme="minorHAnsi" w:hAnsiTheme="minorHAnsi" w:cstheme="minorHAnsi"/>
          <w:sz w:val="32"/>
          <w:szCs w:val="32"/>
        </w:rPr>
        <w:lastRenderedPageBreak/>
        <w:t>Introduction</w:t>
      </w:r>
      <w:bookmarkEnd w:id="0"/>
    </w:p>
    <w:p w14:paraId="416F7E45" w14:textId="77777777" w:rsidR="00704498" w:rsidRDefault="00704498" w:rsidP="00AD69C6">
      <w:pPr>
        <w:spacing w:line="240" w:lineRule="auto"/>
        <w:jc w:val="both"/>
        <w:rPr>
          <w:rFonts w:ascii="Arial" w:eastAsia="Times New Roman" w:hAnsi="Arial" w:cs="Arial"/>
          <w:lang w:eastAsia="en-AU"/>
        </w:rPr>
      </w:pPr>
      <w:r>
        <w:rPr>
          <w:rFonts w:ascii="Arial" w:eastAsia="Times New Roman" w:hAnsi="Arial" w:cs="Arial"/>
          <w:lang w:eastAsia="en-AU"/>
        </w:rPr>
        <w:t xml:space="preserve">The NSW Office for Health and Medical Research (OHMR) is </w:t>
      </w:r>
      <w:r w:rsidRPr="00CF4FFE">
        <w:rPr>
          <w:rFonts w:ascii="Arial" w:eastAsia="Times New Roman" w:hAnsi="Arial" w:cs="Arial"/>
          <w:lang w:eastAsia="en-AU"/>
        </w:rPr>
        <w:t>part of the NSW Ministry of Health and supports the State’s health and medical research efforts.  OHMR works with the health and medical research communities, the higher education sector and business to promote growth and innovation in research to achieve better health and economic outcomes for the people of NSW.</w:t>
      </w:r>
    </w:p>
    <w:p w14:paraId="416F7E46" w14:textId="77777777" w:rsidR="00704498" w:rsidRDefault="00704498" w:rsidP="00AD69C6">
      <w:pPr>
        <w:spacing w:line="240" w:lineRule="auto"/>
        <w:jc w:val="both"/>
        <w:rPr>
          <w:rFonts w:ascii="Arial" w:eastAsia="Times New Roman" w:hAnsi="Arial" w:cs="Arial"/>
          <w:lang w:eastAsia="en-AU"/>
        </w:rPr>
      </w:pPr>
      <w:r>
        <w:rPr>
          <w:rFonts w:ascii="Arial" w:eastAsia="Times New Roman" w:hAnsi="Arial" w:cs="Arial"/>
          <w:lang w:eastAsia="en-AU"/>
        </w:rPr>
        <w:t xml:space="preserve">In 2012, a </w:t>
      </w:r>
      <w:r w:rsidRPr="00554FD7">
        <w:rPr>
          <w:rFonts w:ascii="Arial" w:eastAsia="Times New Roman" w:hAnsi="Arial" w:cs="Arial"/>
          <w:lang w:eastAsia="en-AU"/>
        </w:rPr>
        <w:t>ten year strategic plan for health and medical research was launched</w:t>
      </w:r>
      <w:r>
        <w:rPr>
          <w:rFonts w:ascii="Arial" w:eastAsia="Times New Roman" w:hAnsi="Arial" w:cs="Arial"/>
          <w:lang w:eastAsia="en-AU"/>
        </w:rPr>
        <w:t>.</w:t>
      </w:r>
    </w:p>
    <w:p w14:paraId="416F7E47" w14:textId="77777777" w:rsidR="00704498" w:rsidRPr="00554FD7" w:rsidRDefault="00704498" w:rsidP="00AD69C6">
      <w:pPr>
        <w:spacing w:line="240" w:lineRule="auto"/>
        <w:jc w:val="both"/>
        <w:rPr>
          <w:rFonts w:ascii="Arial" w:eastAsia="Times New Roman" w:hAnsi="Arial" w:cs="Arial"/>
          <w:lang w:eastAsia="en-AU"/>
        </w:rPr>
      </w:pPr>
      <w:r w:rsidRPr="00237A2E">
        <w:rPr>
          <w:rFonts w:ascii="Arial" w:eastAsia="Times New Roman" w:hAnsi="Arial" w:cs="Arial"/>
          <w:lang w:eastAsia="en-AU"/>
        </w:rPr>
        <w:t>The NSW Government’s ten year Health and Medical Research Strategic Plan sets out a number of initiative</w:t>
      </w:r>
      <w:r>
        <w:rPr>
          <w:rFonts w:ascii="Arial" w:eastAsia="Times New Roman" w:hAnsi="Arial" w:cs="Arial"/>
          <w:lang w:eastAsia="en-AU"/>
        </w:rPr>
        <w:t>s</w:t>
      </w:r>
      <w:r w:rsidRPr="00237A2E">
        <w:rPr>
          <w:rFonts w:ascii="Arial" w:eastAsia="Times New Roman" w:hAnsi="Arial" w:cs="Arial"/>
          <w:lang w:eastAsia="en-AU"/>
        </w:rPr>
        <w:t xml:space="preserve"> to support and build health and med</w:t>
      </w:r>
      <w:r>
        <w:rPr>
          <w:rFonts w:ascii="Arial" w:eastAsia="Times New Roman" w:hAnsi="Arial" w:cs="Arial"/>
          <w:lang w:eastAsia="en-AU"/>
        </w:rPr>
        <w:t>ical research capability in NSW</w:t>
      </w:r>
      <w:r w:rsidR="00206EF3">
        <w:rPr>
          <w:rFonts w:ascii="Arial" w:eastAsia="Times New Roman" w:hAnsi="Arial" w:cs="Arial"/>
          <w:lang w:eastAsia="en-AU"/>
        </w:rPr>
        <w:t xml:space="preserve"> including</w:t>
      </w:r>
      <w:r>
        <w:rPr>
          <w:rFonts w:ascii="Arial" w:eastAsia="Times New Roman" w:hAnsi="Arial" w:cs="Arial"/>
          <w:lang w:eastAsia="en-AU"/>
        </w:rPr>
        <w:t>:</w:t>
      </w:r>
    </w:p>
    <w:p w14:paraId="416F7E48" w14:textId="77777777" w:rsidR="00704498" w:rsidRDefault="00704498" w:rsidP="00AD69C6">
      <w:pPr>
        <w:numPr>
          <w:ilvl w:val="0"/>
          <w:numId w:val="2"/>
        </w:numPr>
        <w:spacing w:after="0" w:line="240" w:lineRule="auto"/>
        <w:jc w:val="both"/>
        <w:rPr>
          <w:rFonts w:ascii="Arial" w:eastAsia="Times New Roman" w:hAnsi="Arial" w:cs="Arial"/>
        </w:rPr>
      </w:pPr>
      <w:r>
        <w:rPr>
          <w:rFonts w:ascii="Arial" w:eastAsia="Times New Roman" w:hAnsi="Arial" w:cs="Arial"/>
        </w:rPr>
        <w:t>Establishment of the Medical Devices Fund (MDF)</w:t>
      </w:r>
    </w:p>
    <w:p w14:paraId="416F7E49" w14:textId="77777777" w:rsidR="00704498" w:rsidRPr="00554FD7" w:rsidRDefault="00EF4CA4" w:rsidP="00AD69C6">
      <w:pPr>
        <w:numPr>
          <w:ilvl w:val="0"/>
          <w:numId w:val="2"/>
        </w:numPr>
        <w:spacing w:after="0" w:line="240" w:lineRule="auto"/>
        <w:jc w:val="both"/>
        <w:rPr>
          <w:rFonts w:ascii="Arial" w:eastAsia="Times New Roman" w:hAnsi="Arial" w:cs="Arial"/>
        </w:rPr>
      </w:pPr>
      <w:r>
        <w:rPr>
          <w:rFonts w:ascii="Arial" w:eastAsia="Times New Roman" w:hAnsi="Arial" w:cs="Arial"/>
        </w:rPr>
        <w:t xml:space="preserve">Establishment </w:t>
      </w:r>
      <w:r w:rsidR="00AA725C">
        <w:rPr>
          <w:rFonts w:ascii="Arial" w:eastAsia="Times New Roman" w:hAnsi="Arial" w:cs="Arial"/>
        </w:rPr>
        <w:t xml:space="preserve">of the </w:t>
      </w:r>
      <w:r w:rsidR="00704498" w:rsidRPr="00652F16">
        <w:rPr>
          <w:rFonts w:ascii="Arial" w:eastAsia="Times New Roman" w:hAnsi="Arial" w:cs="Arial"/>
        </w:rPr>
        <w:t>Medical Device Commercialisation Training</w:t>
      </w:r>
      <w:r w:rsidR="00704498">
        <w:rPr>
          <w:rFonts w:ascii="Arial" w:eastAsia="Times New Roman" w:hAnsi="Arial" w:cs="Arial"/>
        </w:rPr>
        <w:t xml:space="preserve"> Program</w:t>
      </w:r>
    </w:p>
    <w:p w14:paraId="416F7E4A" w14:textId="77777777" w:rsidR="00704498" w:rsidRPr="00554FD7" w:rsidRDefault="00EF4CA4" w:rsidP="00AD69C6">
      <w:pPr>
        <w:numPr>
          <w:ilvl w:val="0"/>
          <w:numId w:val="2"/>
        </w:numPr>
        <w:spacing w:after="0" w:line="240" w:lineRule="auto"/>
        <w:jc w:val="both"/>
        <w:rPr>
          <w:rFonts w:ascii="Arial" w:eastAsia="Times New Roman" w:hAnsi="Arial" w:cs="Arial"/>
        </w:rPr>
      </w:pPr>
      <w:r>
        <w:rPr>
          <w:rFonts w:ascii="Arial" w:eastAsia="Times New Roman" w:hAnsi="Arial" w:cs="Arial"/>
        </w:rPr>
        <w:t xml:space="preserve">Initiatives for </w:t>
      </w:r>
      <w:r w:rsidR="00704498" w:rsidRPr="00554FD7">
        <w:rPr>
          <w:rFonts w:ascii="Arial" w:eastAsia="Times New Roman" w:hAnsi="Arial" w:cs="Arial"/>
        </w:rPr>
        <w:t>Research Capacity Building</w:t>
      </w:r>
    </w:p>
    <w:p w14:paraId="416F7E4B" w14:textId="77777777" w:rsidR="00704498" w:rsidRDefault="00704498" w:rsidP="00AD69C6">
      <w:pPr>
        <w:numPr>
          <w:ilvl w:val="0"/>
          <w:numId w:val="2"/>
        </w:numPr>
        <w:spacing w:after="0" w:line="240" w:lineRule="auto"/>
        <w:jc w:val="both"/>
        <w:rPr>
          <w:rFonts w:ascii="Arial" w:eastAsia="Times New Roman" w:hAnsi="Arial" w:cs="Arial"/>
        </w:rPr>
      </w:pPr>
      <w:r w:rsidRPr="00554FD7">
        <w:rPr>
          <w:rFonts w:ascii="Arial" w:eastAsia="Times New Roman" w:hAnsi="Arial" w:cs="Arial"/>
        </w:rPr>
        <w:t>Development of a Research Hub Strategy</w:t>
      </w:r>
    </w:p>
    <w:p w14:paraId="416F7E4C" w14:textId="77777777" w:rsidR="00704498" w:rsidRPr="00652F16" w:rsidRDefault="002A3B47" w:rsidP="00AD69C6">
      <w:pPr>
        <w:numPr>
          <w:ilvl w:val="0"/>
          <w:numId w:val="2"/>
        </w:numPr>
        <w:spacing w:after="0" w:line="240" w:lineRule="auto"/>
        <w:jc w:val="both"/>
        <w:rPr>
          <w:rFonts w:ascii="Arial" w:eastAsia="Times New Roman" w:hAnsi="Arial" w:cs="Arial"/>
        </w:rPr>
      </w:pPr>
      <w:r>
        <w:rPr>
          <w:rFonts w:ascii="Arial" w:eastAsia="Times New Roman" w:hAnsi="Arial" w:cs="Arial"/>
        </w:rPr>
        <w:t>Increasing research infrastructure support through the</w:t>
      </w:r>
      <w:r w:rsidR="00704498" w:rsidRPr="00652F16">
        <w:rPr>
          <w:rFonts w:ascii="Arial" w:eastAsia="Times New Roman" w:hAnsi="Arial" w:cs="Arial"/>
        </w:rPr>
        <w:t xml:space="preserve"> Medical Research Support Program</w:t>
      </w:r>
      <w:r>
        <w:rPr>
          <w:rFonts w:ascii="Arial" w:eastAsia="Times New Roman" w:hAnsi="Arial" w:cs="Arial"/>
        </w:rPr>
        <w:t xml:space="preserve"> (MRSP)</w:t>
      </w:r>
    </w:p>
    <w:p w14:paraId="416F7E4D" w14:textId="77777777" w:rsidR="00704498" w:rsidRDefault="00704498" w:rsidP="00AD69C6">
      <w:pPr>
        <w:spacing w:after="0" w:line="240" w:lineRule="auto"/>
        <w:ind w:left="720"/>
        <w:jc w:val="both"/>
        <w:rPr>
          <w:rFonts w:ascii="Arial" w:eastAsia="Times New Roman" w:hAnsi="Arial" w:cs="Arial"/>
        </w:rPr>
      </w:pPr>
    </w:p>
    <w:p w14:paraId="416F7E4E" w14:textId="77777777" w:rsidR="00EF4980" w:rsidRDefault="00704498" w:rsidP="00AD69C6">
      <w:pPr>
        <w:spacing w:line="240" w:lineRule="auto"/>
        <w:jc w:val="both"/>
        <w:rPr>
          <w:rFonts w:ascii="Arial" w:eastAsia="Times New Roman" w:hAnsi="Arial" w:cs="Arial"/>
          <w:lang w:eastAsia="en-AU"/>
        </w:rPr>
      </w:pPr>
      <w:r w:rsidRPr="00554FD7">
        <w:rPr>
          <w:rFonts w:ascii="Arial" w:eastAsia="Times New Roman" w:hAnsi="Arial" w:cs="Arial"/>
          <w:lang w:eastAsia="en-AU"/>
        </w:rPr>
        <w:t>The main goals of the plan are to</w:t>
      </w:r>
      <w:r w:rsidR="00EF4980">
        <w:rPr>
          <w:rFonts w:ascii="Arial" w:eastAsia="Times New Roman" w:hAnsi="Arial" w:cs="Arial"/>
          <w:lang w:eastAsia="en-AU"/>
        </w:rPr>
        <w:t>:</w:t>
      </w:r>
    </w:p>
    <w:p w14:paraId="416F7E4F" w14:textId="77777777" w:rsidR="00EF4980" w:rsidRDefault="00704498" w:rsidP="00AD69C6">
      <w:pPr>
        <w:numPr>
          <w:ilvl w:val="0"/>
          <w:numId w:val="2"/>
        </w:numPr>
        <w:spacing w:after="0" w:line="240" w:lineRule="auto"/>
        <w:jc w:val="both"/>
        <w:rPr>
          <w:rFonts w:ascii="Arial" w:eastAsia="Times New Roman" w:hAnsi="Arial" w:cs="Arial"/>
          <w:lang w:eastAsia="en-AU"/>
        </w:rPr>
      </w:pPr>
      <w:r w:rsidRPr="00554FD7">
        <w:rPr>
          <w:rFonts w:ascii="Arial" w:eastAsia="Times New Roman" w:hAnsi="Arial" w:cs="Arial"/>
          <w:lang w:eastAsia="en-AU"/>
        </w:rPr>
        <w:t xml:space="preserve">enhance collaboration </w:t>
      </w:r>
      <w:r w:rsidR="00EF4980">
        <w:rPr>
          <w:rFonts w:ascii="Arial" w:eastAsia="Times New Roman" w:hAnsi="Arial" w:cs="Arial"/>
          <w:lang w:eastAsia="en-AU"/>
        </w:rPr>
        <w:t>between research organisations</w:t>
      </w:r>
    </w:p>
    <w:p w14:paraId="416F7E50" w14:textId="77777777" w:rsidR="00EF4980" w:rsidRDefault="00704498" w:rsidP="00AD69C6">
      <w:pPr>
        <w:numPr>
          <w:ilvl w:val="0"/>
          <w:numId w:val="2"/>
        </w:numPr>
        <w:spacing w:after="0" w:line="240" w:lineRule="auto"/>
        <w:jc w:val="both"/>
        <w:rPr>
          <w:rFonts w:ascii="Arial" w:eastAsia="Times New Roman" w:hAnsi="Arial" w:cs="Arial"/>
          <w:lang w:eastAsia="en-AU"/>
        </w:rPr>
      </w:pPr>
      <w:r w:rsidRPr="00554FD7">
        <w:rPr>
          <w:rFonts w:ascii="Arial" w:eastAsia="Times New Roman" w:hAnsi="Arial" w:cs="Arial"/>
          <w:lang w:eastAsia="en-AU"/>
        </w:rPr>
        <w:t>implement a priority-driven approach to research</w:t>
      </w:r>
      <w:r w:rsidR="00EF4980">
        <w:rPr>
          <w:rFonts w:ascii="Arial" w:eastAsia="Times New Roman" w:hAnsi="Arial" w:cs="Arial"/>
          <w:lang w:eastAsia="en-AU"/>
        </w:rPr>
        <w:t>,</w:t>
      </w:r>
      <w:r w:rsidRPr="00554FD7">
        <w:rPr>
          <w:rFonts w:ascii="Arial" w:eastAsia="Times New Roman" w:hAnsi="Arial" w:cs="Arial"/>
          <w:lang w:eastAsia="en-AU"/>
        </w:rPr>
        <w:t xml:space="preserve"> and </w:t>
      </w:r>
    </w:p>
    <w:p w14:paraId="416F7E51" w14:textId="77777777" w:rsidR="00704498" w:rsidRDefault="00704498" w:rsidP="00AD69C6">
      <w:pPr>
        <w:numPr>
          <w:ilvl w:val="0"/>
          <w:numId w:val="2"/>
        </w:numPr>
        <w:spacing w:after="0" w:line="240" w:lineRule="auto"/>
        <w:jc w:val="both"/>
        <w:rPr>
          <w:rFonts w:ascii="Arial" w:eastAsia="Times New Roman" w:hAnsi="Arial" w:cs="Arial"/>
          <w:lang w:eastAsia="en-AU"/>
        </w:rPr>
      </w:pPr>
      <w:proofErr w:type="gramStart"/>
      <w:r w:rsidRPr="00554FD7">
        <w:rPr>
          <w:rFonts w:ascii="Arial" w:eastAsia="Times New Roman" w:hAnsi="Arial" w:cs="Arial"/>
          <w:lang w:eastAsia="en-AU"/>
        </w:rPr>
        <w:t>facilitate</w:t>
      </w:r>
      <w:proofErr w:type="gramEnd"/>
      <w:r w:rsidRPr="00554FD7">
        <w:rPr>
          <w:rFonts w:ascii="Arial" w:eastAsia="Times New Roman" w:hAnsi="Arial" w:cs="Arial"/>
          <w:lang w:eastAsia="en-AU"/>
        </w:rPr>
        <w:t xml:space="preserve"> innovation and translational </w:t>
      </w:r>
      <w:r w:rsidR="00EF4CA4">
        <w:rPr>
          <w:rFonts w:ascii="Arial" w:eastAsia="Times New Roman" w:hAnsi="Arial" w:cs="Arial"/>
          <w:lang w:eastAsia="en-AU"/>
        </w:rPr>
        <w:t xml:space="preserve">of </w:t>
      </w:r>
      <w:r w:rsidRPr="00554FD7">
        <w:rPr>
          <w:rFonts w:ascii="Arial" w:eastAsia="Times New Roman" w:hAnsi="Arial" w:cs="Arial"/>
          <w:lang w:eastAsia="en-AU"/>
        </w:rPr>
        <w:t>research to improve patient care and health outcomes.</w:t>
      </w:r>
    </w:p>
    <w:p w14:paraId="416F7E52" w14:textId="77777777" w:rsidR="00704498" w:rsidRPr="00F82CCF" w:rsidRDefault="00704498" w:rsidP="00AD69C6">
      <w:pPr>
        <w:pStyle w:val="Heading2"/>
        <w:spacing w:line="240" w:lineRule="auto"/>
        <w:jc w:val="both"/>
        <w:rPr>
          <w:rFonts w:asciiTheme="minorHAnsi" w:hAnsiTheme="minorHAnsi" w:cstheme="minorHAnsi"/>
          <w:sz w:val="32"/>
          <w:szCs w:val="32"/>
        </w:rPr>
      </w:pPr>
      <w:bookmarkStart w:id="1" w:name="_Toc404849214"/>
      <w:r>
        <w:rPr>
          <w:rFonts w:asciiTheme="minorHAnsi" w:hAnsiTheme="minorHAnsi" w:cstheme="minorHAnsi"/>
          <w:sz w:val="32"/>
          <w:szCs w:val="32"/>
        </w:rPr>
        <w:t>Summary of Key Issues</w:t>
      </w:r>
      <w:bookmarkEnd w:id="1"/>
    </w:p>
    <w:p w14:paraId="416F7E53" w14:textId="77777777" w:rsidR="00704498" w:rsidRDefault="00704498" w:rsidP="00AD69C6">
      <w:pPr>
        <w:spacing w:line="240" w:lineRule="auto"/>
        <w:jc w:val="both"/>
        <w:rPr>
          <w:rFonts w:ascii="Arial" w:eastAsia="Times New Roman" w:hAnsi="Arial" w:cs="Arial"/>
          <w:lang w:eastAsia="en-AU"/>
        </w:rPr>
      </w:pPr>
      <w:r>
        <w:rPr>
          <w:rFonts w:ascii="Arial" w:eastAsia="Times New Roman" w:hAnsi="Arial" w:cs="Arial"/>
          <w:lang w:eastAsia="en-AU"/>
        </w:rPr>
        <w:t xml:space="preserve">The following issues were identified in the Commonwealth discussion paper in order to </w:t>
      </w:r>
      <w:r w:rsidRPr="00A7719A">
        <w:rPr>
          <w:rFonts w:ascii="Arial" w:eastAsia="Times New Roman" w:hAnsi="Arial" w:cs="Arial"/>
          <w:lang w:eastAsia="en-AU"/>
        </w:rPr>
        <w:t>improve the commercial outcomes from publicly funded research</w:t>
      </w:r>
      <w:r>
        <w:rPr>
          <w:rFonts w:ascii="Arial" w:eastAsia="Times New Roman" w:hAnsi="Arial" w:cs="Arial"/>
          <w:lang w:eastAsia="en-AU"/>
        </w:rPr>
        <w:t>:</w:t>
      </w:r>
    </w:p>
    <w:p w14:paraId="416F7E54" w14:textId="77777777" w:rsidR="00704498" w:rsidRPr="00D82516" w:rsidRDefault="00704498" w:rsidP="00AD69C6">
      <w:pPr>
        <w:pStyle w:val="Letters-smallitalic"/>
        <w:numPr>
          <w:ilvl w:val="0"/>
          <w:numId w:val="3"/>
        </w:numPr>
        <w:spacing w:line="240" w:lineRule="auto"/>
        <w:jc w:val="both"/>
        <w:rPr>
          <w:color w:val="auto"/>
          <w:sz w:val="22"/>
        </w:rPr>
      </w:pPr>
      <w:r w:rsidRPr="00D82516">
        <w:rPr>
          <w:color w:val="auto"/>
          <w:sz w:val="22"/>
        </w:rPr>
        <w:t>Creating stronger incentives for research-industry collaboration</w:t>
      </w:r>
    </w:p>
    <w:p w14:paraId="416F7E55" w14:textId="77777777" w:rsidR="00704498" w:rsidRPr="00D82516" w:rsidRDefault="00704498" w:rsidP="00AD69C6">
      <w:pPr>
        <w:pStyle w:val="Letters-smallitalic"/>
        <w:numPr>
          <w:ilvl w:val="0"/>
          <w:numId w:val="3"/>
        </w:numPr>
        <w:spacing w:line="240" w:lineRule="auto"/>
        <w:jc w:val="both"/>
        <w:rPr>
          <w:color w:val="auto"/>
          <w:sz w:val="22"/>
        </w:rPr>
      </w:pPr>
      <w:r w:rsidRPr="00D82516">
        <w:rPr>
          <w:color w:val="auto"/>
          <w:sz w:val="22"/>
        </w:rPr>
        <w:t>Supporting research infrastructure</w:t>
      </w:r>
    </w:p>
    <w:p w14:paraId="416F7E56" w14:textId="77777777" w:rsidR="00704498" w:rsidRPr="00D82516" w:rsidRDefault="00704498" w:rsidP="00AD69C6">
      <w:pPr>
        <w:pStyle w:val="Letters-smallitalic"/>
        <w:numPr>
          <w:ilvl w:val="0"/>
          <w:numId w:val="3"/>
        </w:numPr>
        <w:spacing w:line="240" w:lineRule="auto"/>
        <w:jc w:val="both"/>
        <w:rPr>
          <w:color w:val="auto"/>
          <w:sz w:val="22"/>
        </w:rPr>
      </w:pPr>
      <w:r w:rsidRPr="00D82516">
        <w:rPr>
          <w:color w:val="auto"/>
          <w:sz w:val="22"/>
        </w:rPr>
        <w:t>Providing better access to research</w:t>
      </w:r>
    </w:p>
    <w:p w14:paraId="416F7E57" w14:textId="77777777" w:rsidR="00704498" w:rsidRPr="00D82516" w:rsidRDefault="00704498" w:rsidP="00AD69C6">
      <w:pPr>
        <w:pStyle w:val="Letters-smallitalic"/>
        <w:numPr>
          <w:ilvl w:val="0"/>
          <w:numId w:val="3"/>
        </w:numPr>
        <w:spacing w:line="240" w:lineRule="auto"/>
        <w:jc w:val="both"/>
        <w:rPr>
          <w:color w:val="auto"/>
          <w:sz w:val="22"/>
        </w:rPr>
      </w:pPr>
      <w:r w:rsidRPr="00D82516">
        <w:rPr>
          <w:color w:val="auto"/>
          <w:sz w:val="22"/>
        </w:rPr>
        <w:t>Increasing industry relevant research training</w:t>
      </w:r>
    </w:p>
    <w:p w14:paraId="416F7E58" w14:textId="77777777" w:rsidR="00704498" w:rsidRPr="00D82516" w:rsidRDefault="00704498" w:rsidP="00AD69C6">
      <w:pPr>
        <w:pStyle w:val="Letters-smallitalic"/>
        <w:numPr>
          <w:ilvl w:val="0"/>
          <w:numId w:val="3"/>
        </w:numPr>
        <w:spacing w:line="240" w:lineRule="auto"/>
        <w:jc w:val="both"/>
        <w:rPr>
          <w:color w:val="auto"/>
          <w:sz w:val="22"/>
        </w:rPr>
      </w:pPr>
      <w:r w:rsidRPr="00D82516">
        <w:rPr>
          <w:color w:val="auto"/>
          <w:sz w:val="22"/>
        </w:rPr>
        <w:t>Measurement of outcomes</w:t>
      </w:r>
    </w:p>
    <w:p w14:paraId="416F7E59" w14:textId="77777777" w:rsidR="00704498" w:rsidRPr="00D82516" w:rsidRDefault="00704498" w:rsidP="00AD69C6">
      <w:pPr>
        <w:pStyle w:val="Letters-smallitalic"/>
        <w:numPr>
          <w:ilvl w:val="0"/>
          <w:numId w:val="3"/>
        </w:numPr>
        <w:spacing w:line="240" w:lineRule="auto"/>
        <w:jc w:val="both"/>
        <w:rPr>
          <w:color w:val="auto"/>
          <w:sz w:val="22"/>
        </w:rPr>
      </w:pPr>
      <w:r w:rsidRPr="00D82516">
        <w:rPr>
          <w:color w:val="auto"/>
          <w:sz w:val="22"/>
        </w:rPr>
        <w:t>Capitalising on the Medical Research Future Fund</w:t>
      </w:r>
    </w:p>
    <w:p w14:paraId="416F7E5A" w14:textId="77777777" w:rsidR="00E22AFA" w:rsidRDefault="00E22AFA" w:rsidP="00AD69C6">
      <w:pPr>
        <w:pStyle w:val="PlainText"/>
        <w:jc w:val="both"/>
        <w:rPr>
          <w:rFonts w:ascii="Arial" w:hAnsi="Arial" w:cs="Arial"/>
          <w:szCs w:val="22"/>
        </w:rPr>
      </w:pPr>
    </w:p>
    <w:p w14:paraId="416F7E5B" w14:textId="77777777" w:rsidR="00704498" w:rsidRPr="00D82516" w:rsidRDefault="00704498" w:rsidP="00AD69C6">
      <w:pPr>
        <w:pStyle w:val="PlainText"/>
        <w:jc w:val="both"/>
        <w:rPr>
          <w:rFonts w:ascii="Arial" w:hAnsi="Arial" w:cs="Arial"/>
          <w:szCs w:val="22"/>
        </w:rPr>
      </w:pPr>
      <w:r w:rsidRPr="00D82516">
        <w:rPr>
          <w:rFonts w:ascii="Arial" w:hAnsi="Arial" w:cs="Arial"/>
          <w:szCs w:val="22"/>
        </w:rPr>
        <w:t>The Commonwealth Government aims broadly to identify opportunities to adjust funding mechanisms to provide greater incentives for collaboration between researchers and industry.</w:t>
      </w:r>
    </w:p>
    <w:p w14:paraId="416F7E5C" w14:textId="77777777" w:rsidR="00704498" w:rsidRPr="00E02FD3" w:rsidRDefault="00704498" w:rsidP="00AD69C6">
      <w:pPr>
        <w:pStyle w:val="Heading2"/>
        <w:spacing w:line="240" w:lineRule="auto"/>
        <w:jc w:val="both"/>
        <w:rPr>
          <w:rFonts w:asciiTheme="minorHAnsi" w:hAnsiTheme="minorHAnsi" w:cstheme="minorHAnsi"/>
          <w:sz w:val="28"/>
          <w:szCs w:val="28"/>
          <w:lang w:eastAsia="en-AU"/>
        </w:rPr>
      </w:pPr>
      <w:bookmarkStart w:id="2" w:name="_Toc404849215"/>
      <w:r>
        <w:rPr>
          <w:rFonts w:asciiTheme="minorHAnsi" w:hAnsiTheme="minorHAnsi" w:cstheme="minorHAnsi"/>
          <w:sz w:val="28"/>
          <w:szCs w:val="28"/>
          <w:lang w:eastAsia="en-AU"/>
        </w:rPr>
        <w:t>NSW Office for Health and Medical Research position</w:t>
      </w:r>
      <w:bookmarkEnd w:id="2"/>
    </w:p>
    <w:p w14:paraId="416F7E5D" w14:textId="77777777" w:rsidR="00C15E37" w:rsidRDefault="00704498" w:rsidP="00AD69C6">
      <w:pPr>
        <w:pStyle w:val="PlainText"/>
        <w:jc w:val="both"/>
        <w:rPr>
          <w:rFonts w:ascii="Arial" w:hAnsi="Arial" w:cs="Arial"/>
          <w:szCs w:val="22"/>
        </w:rPr>
      </w:pPr>
      <w:r>
        <w:rPr>
          <w:rFonts w:ascii="Arial" w:hAnsi="Arial" w:cs="Arial"/>
          <w:szCs w:val="22"/>
        </w:rPr>
        <w:t>OHMR supports the better translation of research into</w:t>
      </w:r>
      <w:r w:rsidR="00464DE4">
        <w:rPr>
          <w:rFonts w:ascii="Arial" w:hAnsi="Arial" w:cs="Arial"/>
          <w:szCs w:val="22"/>
        </w:rPr>
        <w:t xml:space="preserve"> clinical practice and</w:t>
      </w:r>
      <w:r>
        <w:rPr>
          <w:rFonts w:ascii="Arial" w:hAnsi="Arial" w:cs="Arial"/>
          <w:szCs w:val="22"/>
        </w:rPr>
        <w:t xml:space="preserve"> commercial outcomes</w:t>
      </w:r>
      <w:r w:rsidR="002A3B47">
        <w:rPr>
          <w:rFonts w:ascii="Arial" w:hAnsi="Arial" w:cs="Arial"/>
          <w:szCs w:val="22"/>
        </w:rPr>
        <w:t>. T</w:t>
      </w:r>
      <w:r w:rsidR="00E460D3">
        <w:rPr>
          <w:rFonts w:ascii="Arial" w:hAnsi="Arial" w:cs="Arial"/>
          <w:szCs w:val="22"/>
        </w:rPr>
        <w:t xml:space="preserve">hrough </w:t>
      </w:r>
      <w:r w:rsidR="002A3B47">
        <w:rPr>
          <w:rFonts w:ascii="Arial" w:hAnsi="Arial" w:cs="Arial"/>
          <w:szCs w:val="22"/>
        </w:rPr>
        <w:t>the</w:t>
      </w:r>
      <w:r w:rsidR="00E460D3">
        <w:rPr>
          <w:rFonts w:ascii="Arial" w:hAnsi="Arial" w:cs="Arial"/>
          <w:szCs w:val="22"/>
        </w:rPr>
        <w:t xml:space="preserve"> </w:t>
      </w:r>
      <w:r w:rsidR="00464DE4">
        <w:rPr>
          <w:rFonts w:ascii="Arial" w:hAnsi="Arial" w:cs="Arial"/>
          <w:szCs w:val="22"/>
        </w:rPr>
        <w:t>Health and Medical Research Hub Strategy</w:t>
      </w:r>
      <w:r w:rsidR="002A3B47">
        <w:rPr>
          <w:rFonts w:ascii="Arial" w:hAnsi="Arial" w:cs="Arial"/>
          <w:szCs w:val="22"/>
        </w:rPr>
        <w:t>, OHMR drives state-wide capacity building, collaboration and implementation of research.</w:t>
      </w:r>
    </w:p>
    <w:p w14:paraId="416F7E5E" w14:textId="77777777" w:rsidR="00886665" w:rsidRDefault="00C15E37" w:rsidP="00AD69C6">
      <w:pPr>
        <w:pStyle w:val="PlainText"/>
        <w:jc w:val="both"/>
        <w:rPr>
          <w:rFonts w:ascii="Arial" w:hAnsi="Arial" w:cs="Arial"/>
          <w:szCs w:val="22"/>
        </w:rPr>
      </w:pPr>
      <w:r w:rsidRPr="00C15E37">
        <w:rPr>
          <w:rFonts w:ascii="Arial" w:hAnsi="Arial" w:cs="Arial"/>
          <w:szCs w:val="22"/>
        </w:rPr>
        <w:t xml:space="preserve">The </w:t>
      </w:r>
      <w:r w:rsidR="002A3B47">
        <w:rPr>
          <w:rFonts w:ascii="Arial" w:hAnsi="Arial" w:cs="Arial"/>
          <w:szCs w:val="22"/>
        </w:rPr>
        <w:t xml:space="preserve">NSW Health and Medical Research </w:t>
      </w:r>
      <w:r w:rsidRPr="00C15E37">
        <w:rPr>
          <w:rFonts w:ascii="Arial" w:hAnsi="Arial" w:cs="Arial"/>
          <w:szCs w:val="22"/>
        </w:rPr>
        <w:t>Hubs draw together geographically</w:t>
      </w:r>
      <w:r>
        <w:rPr>
          <w:rFonts w:ascii="Arial" w:hAnsi="Arial" w:cs="Arial"/>
          <w:szCs w:val="22"/>
        </w:rPr>
        <w:t xml:space="preserve"> </w:t>
      </w:r>
      <w:r w:rsidRPr="00C15E37">
        <w:rPr>
          <w:rFonts w:ascii="Arial" w:hAnsi="Arial" w:cs="Arial"/>
          <w:szCs w:val="22"/>
        </w:rPr>
        <w:t>proximate research groups in</w:t>
      </w:r>
      <w:r w:rsidR="002A3B47">
        <w:rPr>
          <w:rFonts w:ascii="Arial" w:hAnsi="Arial" w:cs="Arial"/>
          <w:szCs w:val="22"/>
        </w:rPr>
        <w:t>cluding</w:t>
      </w:r>
      <w:r w:rsidRPr="00C15E37">
        <w:rPr>
          <w:rFonts w:ascii="Arial" w:hAnsi="Arial" w:cs="Arial"/>
          <w:szCs w:val="22"/>
        </w:rPr>
        <w:t xml:space="preserve"> independent research institutes, clinical research networks, major</w:t>
      </w:r>
      <w:r>
        <w:rPr>
          <w:rFonts w:ascii="Arial" w:hAnsi="Arial" w:cs="Arial"/>
          <w:szCs w:val="22"/>
        </w:rPr>
        <w:t xml:space="preserve"> </w:t>
      </w:r>
      <w:bookmarkStart w:id="3" w:name="_GoBack"/>
      <w:bookmarkEnd w:id="3"/>
      <w:r w:rsidRPr="00C15E37">
        <w:rPr>
          <w:rFonts w:ascii="Arial" w:hAnsi="Arial" w:cs="Arial"/>
          <w:szCs w:val="22"/>
        </w:rPr>
        <w:t xml:space="preserve">hospitals and community organisations including Medicare Locals. </w:t>
      </w:r>
      <w:r w:rsidR="002A3B47">
        <w:rPr>
          <w:rFonts w:ascii="Arial" w:hAnsi="Arial" w:cs="Arial"/>
          <w:szCs w:val="22"/>
        </w:rPr>
        <w:t>Hubs</w:t>
      </w:r>
      <w:r w:rsidRPr="00C15E37">
        <w:rPr>
          <w:rFonts w:ascii="Arial" w:hAnsi="Arial" w:cs="Arial"/>
          <w:szCs w:val="22"/>
        </w:rPr>
        <w:t xml:space="preserve"> have a strong </w:t>
      </w:r>
      <w:r w:rsidRPr="00C15E37">
        <w:rPr>
          <w:rFonts w:ascii="Arial" w:hAnsi="Arial" w:cs="Arial"/>
          <w:szCs w:val="22"/>
        </w:rPr>
        <w:lastRenderedPageBreak/>
        <w:t>translational</w:t>
      </w:r>
      <w:r>
        <w:rPr>
          <w:rFonts w:ascii="Arial" w:hAnsi="Arial" w:cs="Arial"/>
          <w:szCs w:val="22"/>
        </w:rPr>
        <w:t xml:space="preserve"> </w:t>
      </w:r>
      <w:r w:rsidRPr="00C15E37">
        <w:rPr>
          <w:rFonts w:ascii="Arial" w:hAnsi="Arial" w:cs="Arial"/>
          <w:szCs w:val="22"/>
        </w:rPr>
        <w:t>purpose</w:t>
      </w:r>
      <w:r>
        <w:rPr>
          <w:rFonts w:ascii="Arial" w:hAnsi="Arial" w:cs="Arial"/>
          <w:szCs w:val="22"/>
        </w:rPr>
        <w:t xml:space="preserve">, with </w:t>
      </w:r>
      <w:r w:rsidRPr="00C15E37">
        <w:rPr>
          <w:rFonts w:ascii="Arial" w:hAnsi="Arial" w:cs="Arial"/>
          <w:szCs w:val="22"/>
        </w:rPr>
        <w:t>nodes of excellence in state-wide fra</w:t>
      </w:r>
      <w:r>
        <w:rPr>
          <w:rFonts w:ascii="Arial" w:hAnsi="Arial" w:cs="Arial"/>
          <w:szCs w:val="22"/>
        </w:rPr>
        <w:t xml:space="preserve">meworks for the development and </w:t>
      </w:r>
      <w:r w:rsidRPr="00C15E37">
        <w:rPr>
          <w:rFonts w:ascii="Arial" w:hAnsi="Arial" w:cs="Arial"/>
          <w:szCs w:val="22"/>
        </w:rPr>
        <w:t>implementation of health and medical advances.</w:t>
      </w:r>
      <w:r>
        <w:rPr>
          <w:rFonts w:ascii="Arial" w:hAnsi="Arial" w:cs="Arial"/>
          <w:szCs w:val="22"/>
        </w:rPr>
        <w:t xml:space="preserve"> </w:t>
      </w:r>
      <w:r w:rsidR="00886665">
        <w:rPr>
          <w:rFonts w:ascii="Arial" w:hAnsi="Arial" w:cs="Arial"/>
          <w:szCs w:val="22"/>
        </w:rPr>
        <w:t>The Hubs coordinate research efforts and make best use of a highly skilled workforce to drive innovation.</w:t>
      </w:r>
    </w:p>
    <w:p w14:paraId="416F7E5F" w14:textId="77777777" w:rsidR="00886665" w:rsidRDefault="00886665" w:rsidP="00AD69C6">
      <w:pPr>
        <w:pStyle w:val="PlainText"/>
        <w:jc w:val="both"/>
        <w:rPr>
          <w:rFonts w:ascii="Arial" w:hAnsi="Arial" w:cs="Arial"/>
          <w:szCs w:val="22"/>
        </w:rPr>
      </w:pPr>
    </w:p>
    <w:p w14:paraId="416F7E60" w14:textId="77777777" w:rsidR="00886665" w:rsidRDefault="00886665" w:rsidP="00AD69C6">
      <w:pPr>
        <w:pStyle w:val="PlainText"/>
        <w:jc w:val="both"/>
        <w:rPr>
          <w:rFonts w:ascii="Arial" w:hAnsi="Arial" w:cs="Arial"/>
          <w:szCs w:val="22"/>
        </w:rPr>
      </w:pPr>
      <w:r>
        <w:rPr>
          <w:rFonts w:ascii="Arial" w:hAnsi="Arial" w:cs="Arial"/>
          <w:szCs w:val="22"/>
        </w:rPr>
        <w:t>The OHMR approach to boosting returns from research and building commercialisation capability is to link universities, research institutes, teaching hospitals and commercial companies</w:t>
      </w:r>
      <w:r w:rsidR="002A3B47">
        <w:rPr>
          <w:rFonts w:ascii="Arial" w:hAnsi="Arial" w:cs="Arial"/>
          <w:szCs w:val="22"/>
        </w:rPr>
        <w:t xml:space="preserve"> through the Hubs</w:t>
      </w:r>
      <w:r>
        <w:rPr>
          <w:rFonts w:ascii="Arial" w:hAnsi="Arial" w:cs="Arial"/>
          <w:szCs w:val="22"/>
        </w:rPr>
        <w:t xml:space="preserve">. </w:t>
      </w:r>
    </w:p>
    <w:p w14:paraId="416F7E61" w14:textId="77777777" w:rsidR="00E460D3" w:rsidRDefault="00E460D3" w:rsidP="00AD69C6">
      <w:pPr>
        <w:pStyle w:val="PlainText"/>
        <w:jc w:val="both"/>
        <w:rPr>
          <w:rFonts w:ascii="Arial" w:hAnsi="Arial" w:cs="Arial"/>
          <w:szCs w:val="22"/>
        </w:rPr>
      </w:pPr>
    </w:p>
    <w:p w14:paraId="416F7E62" w14:textId="77777777" w:rsidR="00E460D3" w:rsidRPr="00401698" w:rsidRDefault="00E460D3" w:rsidP="00AD69C6">
      <w:pPr>
        <w:pStyle w:val="PlainText"/>
        <w:jc w:val="both"/>
        <w:rPr>
          <w:rFonts w:ascii="Arial" w:hAnsi="Arial" w:cs="Arial"/>
        </w:rPr>
      </w:pPr>
      <w:r w:rsidRPr="00401698">
        <w:rPr>
          <w:rFonts w:ascii="Arial" w:hAnsi="Arial" w:cs="Arial"/>
          <w:szCs w:val="22"/>
        </w:rPr>
        <w:t xml:space="preserve">The hubs serve a number of functions </w:t>
      </w:r>
      <w:r w:rsidR="00401698" w:rsidRPr="00401698">
        <w:rPr>
          <w:rFonts w:ascii="Arial" w:hAnsi="Arial" w:cs="Arial"/>
          <w:szCs w:val="22"/>
        </w:rPr>
        <w:t>in pushing innovations</w:t>
      </w:r>
      <w:r w:rsidRPr="00401698">
        <w:rPr>
          <w:rFonts w:ascii="Arial" w:hAnsi="Arial" w:cs="Arial"/>
        </w:rPr>
        <w:t xml:space="preserve"> </w:t>
      </w:r>
      <w:r w:rsidR="00886665" w:rsidRPr="00401698">
        <w:rPr>
          <w:rFonts w:ascii="Arial" w:hAnsi="Arial" w:cs="Arial"/>
          <w:bCs/>
        </w:rPr>
        <w:t>through</w:t>
      </w:r>
      <w:r w:rsidRPr="00401698">
        <w:rPr>
          <w:rFonts w:ascii="Arial" w:hAnsi="Arial" w:cs="Arial"/>
          <w:bCs/>
        </w:rPr>
        <w:t xml:space="preserve"> the research </w:t>
      </w:r>
      <w:r w:rsidR="00886665" w:rsidRPr="00401698">
        <w:rPr>
          <w:rFonts w:ascii="Arial" w:hAnsi="Arial" w:cs="Arial"/>
          <w:bCs/>
        </w:rPr>
        <w:t>and translation continuum. They:</w:t>
      </w:r>
    </w:p>
    <w:p w14:paraId="416F7E63" w14:textId="77777777" w:rsidR="00E460D3" w:rsidRPr="00401698" w:rsidRDefault="00886665" w:rsidP="00AD69C6">
      <w:pPr>
        <w:pStyle w:val="PlainText"/>
        <w:numPr>
          <w:ilvl w:val="0"/>
          <w:numId w:val="6"/>
        </w:numPr>
        <w:jc w:val="both"/>
        <w:rPr>
          <w:rFonts w:ascii="Arial" w:hAnsi="Arial" w:cs="Arial"/>
        </w:rPr>
      </w:pPr>
      <w:r w:rsidRPr="00401698">
        <w:rPr>
          <w:rFonts w:ascii="Arial" w:hAnsi="Arial" w:cs="Arial"/>
        </w:rPr>
        <w:t>promote</w:t>
      </w:r>
      <w:r w:rsidR="00E460D3" w:rsidRPr="00401698">
        <w:rPr>
          <w:rFonts w:ascii="Arial" w:hAnsi="Arial" w:cs="Arial"/>
        </w:rPr>
        <w:t xml:space="preserve"> the relevance and uptake of research in clinical practice</w:t>
      </w:r>
    </w:p>
    <w:p w14:paraId="416F7E64" w14:textId="77777777" w:rsidR="00401698" w:rsidRPr="00401698" w:rsidRDefault="00401698" w:rsidP="00AD69C6">
      <w:pPr>
        <w:pStyle w:val="PlainText"/>
        <w:numPr>
          <w:ilvl w:val="0"/>
          <w:numId w:val="6"/>
        </w:numPr>
        <w:jc w:val="both"/>
        <w:rPr>
          <w:rFonts w:ascii="Arial" w:hAnsi="Arial" w:cs="Arial"/>
        </w:rPr>
      </w:pPr>
      <w:r w:rsidRPr="00401698">
        <w:rPr>
          <w:rFonts w:ascii="Arial" w:hAnsi="Arial" w:cs="Arial"/>
        </w:rPr>
        <w:t>encourage links with academic teaching and commercial development</w:t>
      </w:r>
    </w:p>
    <w:p w14:paraId="416F7E65" w14:textId="77777777" w:rsidR="00401698" w:rsidRPr="00401698" w:rsidRDefault="002A3B47" w:rsidP="00AD69C6">
      <w:pPr>
        <w:pStyle w:val="PlainText"/>
        <w:numPr>
          <w:ilvl w:val="0"/>
          <w:numId w:val="6"/>
        </w:numPr>
        <w:jc w:val="both"/>
        <w:rPr>
          <w:rFonts w:ascii="Arial" w:hAnsi="Arial" w:cs="Arial"/>
        </w:rPr>
      </w:pPr>
      <w:r>
        <w:rPr>
          <w:rFonts w:ascii="Arial" w:hAnsi="Arial" w:cs="Arial"/>
        </w:rPr>
        <w:t>make</w:t>
      </w:r>
      <w:r w:rsidR="00401698" w:rsidRPr="00401698">
        <w:rPr>
          <w:rFonts w:ascii="Arial" w:hAnsi="Arial" w:cs="Arial"/>
        </w:rPr>
        <w:t xml:space="preserve"> the best use of a highly skilled workforce </w:t>
      </w:r>
    </w:p>
    <w:p w14:paraId="416F7E66" w14:textId="77777777" w:rsidR="00886665" w:rsidRPr="00401698" w:rsidRDefault="00886665" w:rsidP="00AD69C6">
      <w:pPr>
        <w:pStyle w:val="PlainText"/>
        <w:numPr>
          <w:ilvl w:val="0"/>
          <w:numId w:val="6"/>
        </w:numPr>
        <w:jc w:val="both"/>
        <w:rPr>
          <w:rFonts w:ascii="Arial" w:hAnsi="Arial" w:cs="Arial"/>
        </w:rPr>
      </w:pPr>
      <w:r w:rsidRPr="00401698">
        <w:rPr>
          <w:rFonts w:ascii="Arial" w:hAnsi="Arial" w:cs="Arial"/>
        </w:rPr>
        <w:t>facilitate large scale and/or complex studies that are outside the capacity of any single institution to undertake</w:t>
      </w:r>
    </w:p>
    <w:p w14:paraId="416F7E67" w14:textId="77777777" w:rsidR="00886665" w:rsidRPr="00401698" w:rsidRDefault="00886665" w:rsidP="00AD69C6">
      <w:pPr>
        <w:pStyle w:val="PlainText"/>
        <w:ind w:left="720"/>
        <w:jc w:val="both"/>
        <w:rPr>
          <w:rFonts w:ascii="Arial" w:hAnsi="Arial" w:cs="Arial"/>
        </w:rPr>
      </w:pPr>
    </w:p>
    <w:p w14:paraId="416F7E68" w14:textId="77777777" w:rsidR="007E4C0C" w:rsidRDefault="00401698" w:rsidP="00AD69C6">
      <w:pPr>
        <w:spacing w:line="240" w:lineRule="auto"/>
        <w:jc w:val="both"/>
        <w:rPr>
          <w:rFonts w:ascii="Arial" w:hAnsi="Arial" w:cs="Arial"/>
        </w:rPr>
      </w:pPr>
      <w:r w:rsidRPr="00401698">
        <w:rPr>
          <w:rFonts w:ascii="Arial" w:hAnsi="Arial" w:cs="Arial"/>
        </w:rPr>
        <w:t xml:space="preserve">The </w:t>
      </w:r>
      <w:r w:rsidR="002A3B47">
        <w:rPr>
          <w:rFonts w:ascii="Arial" w:hAnsi="Arial" w:cs="Arial"/>
        </w:rPr>
        <w:t xml:space="preserve">Hub </w:t>
      </w:r>
      <w:r w:rsidRPr="00401698">
        <w:rPr>
          <w:rFonts w:ascii="Arial" w:hAnsi="Arial" w:cs="Arial"/>
        </w:rPr>
        <w:t>strategy established the Hub Council</w:t>
      </w:r>
      <w:r w:rsidR="002A3B47">
        <w:rPr>
          <w:rFonts w:ascii="Arial" w:hAnsi="Arial" w:cs="Arial"/>
        </w:rPr>
        <w:t xml:space="preserve">. </w:t>
      </w:r>
      <w:r w:rsidR="002A3B47" w:rsidRPr="00742E25">
        <w:rPr>
          <w:rFonts w:ascii="Arial" w:eastAsia="Times New Roman" w:hAnsi="Arial" w:cs="Arial"/>
          <w:lang w:eastAsia="en-AU"/>
        </w:rPr>
        <w:t xml:space="preserve">The Hub Council is currently </w:t>
      </w:r>
      <w:r w:rsidR="002A3B47">
        <w:rPr>
          <w:rFonts w:ascii="Arial" w:eastAsia="Times New Roman" w:hAnsi="Arial" w:cs="Arial"/>
          <w:lang w:eastAsia="en-AU"/>
        </w:rPr>
        <w:t>c</w:t>
      </w:r>
      <w:r w:rsidR="002A3B47" w:rsidRPr="00742E25">
        <w:rPr>
          <w:rFonts w:ascii="Arial" w:eastAsia="Times New Roman" w:hAnsi="Arial" w:cs="Arial"/>
          <w:lang w:eastAsia="en-AU"/>
        </w:rPr>
        <w:t xml:space="preserve">haired by the Director, OHMR with representatives from each of the Hubs </w:t>
      </w:r>
      <w:r w:rsidR="002A3B47">
        <w:rPr>
          <w:rFonts w:ascii="Arial" w:eastAsia="Times New Roman" w:hAnsi="Arial" w:cs="Arial"/>
          <w:lang w:eastAsia="en-AU"/>
        </w:rPr>
        <w:t>and the rural and remote hub (</w:t>
      </w:r>
      <w:r w:rsidR="007E4C0C">
        <w:rPr>
          <w:rFonts w:ascii="Arial" w:hAnsi="Arial" w:cs="Arial"/>
        </w:rPr>
        <w:t xml:space="preserve">listed below). </w:t>
      </w:r>
      <w:r w:rsidR="007E4C0C" w:rsidRPr="00742E25">
        <w:rPr>
          <w:rFonts w:ascii="Arial" w:eastAsia="Times New Roman" w:hAnsi="Arial" w:cs="Arial"/>
          <w:lang w:eastAsia="en-AU"/>
        </w:rPr>
        <w:t xml:space="preserve">Initiatives under the ten year health and medical research plan will be developed and implemented with the sector through the Hub Council. </w:t>
      </w:r>
    </w:p>
    <w:p w14:paraId="416F7E69" w14:textId="77777777" w:rsidR="004302E7" w:rsidRPr="00401698" w:rsidRDefault="00886665" w:rsidP="00AD69C6">
      <w:pPr>
        <w:pStyle w:val="PlainText"/>
        <w:jc w:val="both"/>
        <w:rPr>
          <w:rFonts w:ascii="Arial" w:hAnsi="Arial" w:cs="Arial"/>
          <w:szCs w:val="22"/>
        </w:rPr>
      </w:pPr>
      <w:r w:rsidRPr="00401698">
        <w:rPr>
          <w:rFonts w:ascii="Arial" w:hAnsi="Arial" w:cs="Arial"/>
        </w:rPr>
        <w:t>The Council, together with the hub members</w:t>
      </w:r>
      <w:r w:rsidR="004302E7" w:rsidRPr="00401698">
        <w:rPr>
          <w:rFonts w:ascii="Arial" w:hAnsi="Arial" w:cs="Arial"/>
        </w:rPr>
        <w:t xml:space="preserve"> create an ethos that </w:t>
      </w:r>
      <w:r w:rsidR="004302E7" w:rsidRPr="00401698">
        <w:rPr>
          <w:rFonts w:ascii="Arial" w:hAnsi="Arial" w:cs="Arial"/>
          <w:bCs/>
        </w:rPr>
        <w:t xml:space="preserve">embeds research into health </w:t>
      </w:r>
      <w:r w:rsidR="004302E7" w:rsidRPr="00401698">
        <w:rPr>
          <w:rFonts w:ascii="Arial" w:hAnsi="Arial" w:cs="Arial"/>
        </w:rPr>
        <w:t>care delivery that:</w:t>
      </w:r>
    </w:p>
    <w:p w14:paraId="416F7E6A" w14:textId="77777777" w:rsidR="00C77930" w:rsidRPr="00401698" w:rsidRDefault="00C13C21" w:rsidP="00AD69C6">
      <w:pPr>
        <w:pStyle w:val="PlainText"/>
        <w:numPr>
          <w:ilvl w:val="0"/>
          <w:numId w:val="6"/>
        </w:numPr>
        <w:jc w:val="both"/>
        <w:rPr>
          <w:rFonts w:ascii="Arial" w:hAnsi="Arial" w:cs="Arial"/>
        </w:rPr>
      </w:pPr>
      <w:r w:rsidRPr="00401698">
        <w:rPr>
          <w:rFonts w:ascii="Arial" w:hAnsi="Arial" w:cs="Arial"/>
        </w:rPr>
        <w:t xml:space="preserve">Helps develop a </w:t>
      </w:r>
      <w:r w:rsidRPr="00401698">
        <w:rPr>
          <w:rFonts w:ascii="Arial" w:hAnsi="Arial" w:cs="Arial"/>
          <w:bCs/>
        </w:rPr>
        <w:t>culture of enquiry</w:t>
      </w:r>
      <w:r w:rsidRPr="00401698">
        <w:rPr>
          <w:rFonts w:ascii="Arial" w:hAnsi="Arial" w:cs="Arial"/>
        </w:rPr>
        <w:t>, innovation and evidenced based practice</w:t>
      </w:r>
    </w:p>
    <w:p w14:paraId="416F7E6B" w14:textId="77777777" w:rsidR="00F31027" w:rsidRPr="00401698" w:rsidRDefault="00F31027" w:rsidP="00AD69C6">
      <w:pPr>
        <w:pStyle w:val="PlainText"/>
        <w:numPr>
          <w:ilvl w:val="0"/>
          <w:numId w:val="6"/>
        </w:numPr>
        <w:jc w:val="both"/>
        <w:rPr>
          <w:rFonts w:ascii="Arial" w:hAnsi="Arial" w:cs="Arial"/>
        </w:rPr>
      </w:pPr>
      <w:r w:rsidRPr="00401698">
        <w:rPr>
          <w:rFonts w:ascii="Arial" w:hAnsi="Arial" w:cs="Arial"/>
        </w:rPr>
        <w:t xml:space="preserve">Encourages engagement, </w:t>
      </w:r>
      <w:r w:rsidRPr="00401698">
        <w:rPr>
          <w:rFonts w:ascii="Arial" w:hAnsi="Arial" w:cs="Arial"/>
          <w:bCs/>
        </w:rPr>
        <w:t xml:space="preserve">knowledge transfer and collaboration </w:t>
      </w:r>
      <w:r w:rsidRPr="00401698">
        <w:rPr>
          <w:rFonts w:ascii="Arial" w:hAnsi="Arial" w:cs="Arial"/>
        </w:rPr>
        <w:t>among clinicians, researchers, commercial companies, health services and other key s</w:t>
      </w:r>
      <w:r w:rsidR="00886665" w:rsidRPr="00401698">
        <w:rPr>
          <w:rFonts w:ascii="Arial" w:hAnsi="Arial" w:cs="Arial"/>
        </w:rPr>
        <w:t>takeholders including consumers</w:t>
      </w:r>
    </w:p>
    <w:p w14:paraId="416F7E6C" w14:textId="77777777" w:rsidR="00C77930" w:rsidRPr="00401698" w:rsidRDefault="00C13C21" w:rsidP="00AD69C6">
      <w:pPr>
        <w:pStyle w:val="PlainText"/>
        <w:numPr>
          <w:ilvl w:val="0"/>
          <w:numId w:val="6"/>
        </w:numPr>
        <w:jc w:val="both"/>
        <w:rPr>
          <w:rFonts w:ascii="Arial" w:hAnsi="Arial" w:cs="Arial"/>
        </w:rPr>
      </w:pPr>
      <w:r w:rsidRPr="00401698">
        <w:rPr>
          <w:rFonts w:ascii="Arial" w:hAnsi="Arial" w:cs="Arial"/>
        </w:rPr>
        <w:t xml:space="preserve">Assists the hub and its members </w:t>
      </w:r>
      <w:r w:rsidRPr="00401698">
        <w:rPr>
          <w:rFonts w:ascii="Arial" w:hAnsi="Arial" w:cs="Arial"/>
          <w:bCs/>
        </w:rPr>
        <w:t>to attract and retain leading scientists and clinicians</w:t>
      </w:r>
    </w:p>
    <w:p w14:paraId="416F7E6D" w14:textId="77777777" w:rsidR="00C77930" w:rsidRPr="00401698" w:rsidRDefault="00C13C21" w:rsidP="00AD69C6">
      <w:pPr>
        <w:pStyle w:val="PlainText"/>
        <w:numPr>
          <w:ilvl w:val="0"/>
          <w:numId w:val="6"/>
        </w:numPr>
        <w:jc w:val="both"/>
        <w:rPr>
          <w:rFonts w:ascii="Arial" w:hAnsi="Arial" w:cs="Arial"/>
        </w:rPr>
      </w:pPr>
      <w:r w:rsidRPr="00401698">
        <w:rPr>
          <w:rFonts w:ascii="Arial" w:hAnsi="Arial" w:cs="Arial"/>
        </w:rPr>
        <w:t xml:space="preserve">Underpins the </w:t>
      </w:r>
      <w:r w:rsidRPr="00401698">
        <w:rPr>
          <w:rFonts w:ascii="Arial" w:hAnsi="Arial" w:cs="Arial"/>
          <w:bCs/>
        </w:rPr>
        <w:t xml:space="preserve">dissemination and implementation of research findings </w:t>
      </w:r>
      <w:r w:rsidRPr="00401698">
        <w:rPr>
          <w:rFonts w:ascii="Arial" w:hAnsi="Arial" w:cs="Arial"/>
        </w:rPr>
        <w:t>and evidence into clinical practice and health service policy and decision making</w:t>
      </w:r>
    </w:p>
    <w:p w14:paraId="416F7E6E" w14:textId="77777777" w:rsidR="004302E7" w:rsidRPr="00401698" w:rsidRDefault="004302E7" w:rsidP="00AD69C6">
      <w:pPr>
        <w:pStyle w:val="PlainText"/>
        <w:jc w:val="both"/>
        <w:rPr>
          <w:rFonts w:ascii="Arial" w:hAnsi="Arial" w:cs="Arial"/>
        </w:rPr>
      </w:pPr>
    </w:p>
    <w:p w14:paraId="416F7E6F" w14:textId="77777777" w:rsidR="00F31027" w:rsidRDefault="00F31027" w:rsidP="00AD69C6">
      <w:pPr>
        <w:pStyle w:val="PlainText"/>
        <w:jc w:val="both"/>
        <w:rPr>
          <w:rFonts w:ascii="Arial" w:hAnsi="Arial" w:cs="Arial"/>
        </w:rPr>
      </w:pPr>
      <w:r>
        <w:rPr>
          <w:rFonts w:ascii="Arial" w:hAnsi="Arial" w:cs="Arial"/>
        </w:rPr>
        <w:t>This ethos supports</w:t>
      </w:r>
      <w:r w:rsidRPr="00F31027">
        <w:rPr>
          <w:rFonts w:ascii="Arial" w:hAnsi="Arial" w:cs="Arial"/>
        </w:rPr>
        <w:t xml:space="preserve"> </w:t>
      </w:r>
      <w:r>
        <w:rPr>
          <w:rFonts w:ascii="Arial" w:hAnsi="Arial" w:cs="Arial"/>
        </w:rPr>
        <w:t>innovation driven by need and informed by practice, to boost returns from research.</w:t>
      </w:r>
    </w:p>
    <w:p w14:paraId="416F7E71" w14:textId="77777777" w:rsidR="00886665" w:rsidRPr="007E4C0C" w:rsidRDefault="00886665" w:rsidP="00AD69C6">
      <w:pPr>
        <w:pStyle w:val="Heading2"/>
        <w:spacing w:line="240" w:lineRule="auto"/>
        <w:jc w:val="both"/>
        <w:rPr>
          <w:rFonts w:asciiTheme="minorHAnsi" w:hAnsiTheme="minorHAnsi" w:cstheme="minorHAnsi"/>
          <w:sz w:val="28"/>
          <w:szCs w:val="28"/>
          <w:lang w:eastAsia="en-AU"/>
        </w:rPr>
      </w:pPr>
      <w:r w:rsidRPr="007E4C0C">
        <w:rPr>
          <w:rFonts w:asciiTheme="minorHAnsi" w:hAnsiTheme="minorHAnsi" w:cstheme="minorHAnsi"/>
          <w:sz w:val="28"/>
          <w:szCs w:val="28"/>
          <w:lang w:eastAsia="en-AU"/>
        </w:rPr>
        <w:t xml:space="preserve">Current initiatives </w:t>
      </w:r>
    </w:p>
    <w:p w14:paraId="416F7E72" w14:textId="77777777" w:rsidR="00704498" w:rsidRDefault="002A3B47" w:rsidP="00AD69C6">
      <w:pPr>
        <w:pStyle w:val="PlainText"/>
        <w:jc w:val="both"/>
        <w:rPr>
          <w:rFonts w:ascii="Arial" w:hAnsi="Arial" w:cs="Arial"/>
          <w:szCs w:val="22"/>
        </w:rPr>
      </w:pPr>
      <w:r>
        <w:rPr>
          <w:rFonts w:ascii="Arial" w:hAnsi="Arial" w:cs="Arial"/>
          <w:szCs w:val="22"/>
        </w:rPr>
        <w:t xml:space="preserve">The ten year health and medical research strategy includes </w:t>
      </w:r>
      <w:r w:rsidR="00704498" w:rsidRPr="00923C60">
        <w:rPr>
          <w:rFonts w:ascii="Arial" w:eastAsiaTheme="minorEastAsia" w:hAnsi="Arial" w:cs="Arial"/>
        </w:rPr>
        <w:t>initiatives to support early stage venture capital, particularly medical device d</w:t>
      </w:r>
      <w:r w:rsidR="00704498">
        <w:rPr>
          <w:rFonts w:ascii="Arial" w:eastAsiaTheme="minorEastAsia" w:hAnsi="Arial" w:cs="Arial"/>
        </w:rPr>
        <w:t>evelopment and commercialisation</w:t>
      </w:r>
      <w:r w:rsidR="00C10AAA">
        <w:rPr>
          <w:rFonts w:ascii="Arial" w:eastAsiaTheme="minorEastAsia" w:hAnsi="Arial" w:cs="Arial"/>
        </w:rPr>
        <w:t xml:space="preserve">. Together with </w:t>
      </w:r>
      <w:r w:rsidR="00704498">
        <w:rPr>
          <w:rFonts w:ascii="Arial" w:eastAsiaTheme="minorEastAsia" w:hAnsi="Arial" w:cs="Arial"/>
        </w:rPr>
        <w:t xml:space="preserve">knowledge brokering through </w:t>
      </w:r>
      <w:r w:rsidR="00C10AAA">
        <w:rPr>
          <w:rFonts w:ascii="Arial" w:eastAsiaTheme="minorEastAsia" w:hAnsi="Arial" w:cs="Arial"/>
        </w:rPr>
        <w:t>the Hubs</w:t>
      </w:r>
      <w:r w:rsidR="00704498">
        <w:rPr>
          <w:rFonts w:ascii="Arial" w:eastAsiaTheme="minorEastAsia" w:hAnsi="Arial" w:cs="Arial"/>
        </w:rPr>
        <w:t xml:space="preserve"> and </w:t>
      </w:r>
      <w:r w:rsidR="00C10AAA">
        <w:rPr>
          <w:rFonts w:ascii="Arial" w:eastAsiaTheme="minorEastAsia" w:hAnsi="Arial" w:cs="Arial"/>
        </w:rPr>
        <w:t xml:space="preserve">infrastructure support, NSW is well placed to </w:t>
      </w:r>
      <w:r w:rsidR="00704498">
        <w:rPr>
          <w:rFonts w:ascii="Arial" w:hAnsi="Arial" w:cs="Arial"/>
          <w:szCs w:val="22"/>
        </w:rPr>
        <w:t>boost commercial returns from publicly funded research.</w:t>
      </w:r>
    </w:p>
    <w:p w14:paraId="416F7E74" w14:textId="77777777" w:rsidR="00401698" w:rsidRPr="00EF4980" w:rsidRDefault="00401698" w:rsidP="00AD69C6">
      <w:pPr>
        <w:pStyle w:val="Heading3"/>
        <w:jc w:val="both"/>
        <w:rPr>
          <w:rFonts w:asciiTheme="minorHAnsi" w:hAnsiTheme="minorHAnsi" w:cstheme="minorHAnsi"/>
          <w:sz w:val="26"/>
          <w:szCs w:val="26"/>
          <w:lang w:eastAsia="en-AU"/>
        </w:rPr>
      </w:pPr>
      <w:r w:rsidRPr="00EF4980">
        <w:rPr>
          <w:rFonts w:asciiTheme="minorHAnsi" w:hAnsiTheme="minorHAnsi" w:cstheme="minorHAnsi"/>
          <w:sz w:val="26"/>
          <w:szCs w:val="26"/>
          <w:lang w:eastAsia="en-AU"/>
        </w:rPr>
        <w:t>Health and Medical Research Hubs</w:t>
      </w:r>
    </w:p>
    <w:p w14:paraId="416F7E75" w14:textId="77777777" w:rsidR="00EF4980" w:rsidRDefault="00401698" w:rsidP="00AD69C6">
      <w:pPr>
        <w:spacing w:line="240" w:lineRule="auto"/>
        <w:jc w:val="both"/>
        <w:rPr>
          <w:rFonts w:ascii="Arial" w:eastAsia="Times New Roman" w:hAnsi="Arial" w:cs="Arial"/>
          <w:lang w:eastAsia="en-AU"/>
        </w:rPr>
      </w:pPr>
      <w:r w:rsidRPr="00742E25">
        <w:rPr>
          <w:rFonts w:ascii="Arial" w:eastAsia="Times New Roman" w:hAnsi="Arial" w:cs="Arial"/>
          <w:lang w:eastAsia="en-AU"/>
        </w:rPr>
        <w:t xml:space="preserve">The Office for Health and Medical Research (OHMR) launched the </w:t>
      </w:r>
      <w:r w:rsidRPr="00882785">
        <w:rPr>
          <w:rFonts w:ascii="Arial" w:eastAsia="Times New Roman" w:hAnsi="Arial" w:cs="Arial"/>
          <w:lang w:eastAsia="en-AU"/>
        </w:rPr>
        <w:t xml:space="preserve">NSW Health and Medical Research Hub Strategy </w:t>
      </w:r>
      <w:r w:rsidRPr="00742E25">
        <w:rPr>
          <w:rFonts w:ascii="Arial" w:eastAsia="Times New Roman" w:hAnsi="Arial" w:cs="Arial"/>
          <w:lang w:eastAsia="en-AU"/>
        </w:rPr>
        <w:t>in July 2014</w:t>
      </w:r>
      <w:r w:rsidR="00EF4980">
        <w:rPr>
          <w:rFonts w:ascii="Arial" w:eastAsia="Times New Roman" w:hAnsi="Arial" w:cs="Arial"/>
          <w:lang w:eastAsia="en-AU"/>
        </w:rPr>
        <w:t>.</w:t>
      </w:r>
      <w:r w:rsidR="00C10AAA">
        <w:rPr>
          <w:rFonts w:ascii="Arial" w:eastAsia="Times New Roman" w:hAnsi="Arial" w:cs="Arial"/>
          <w:lang w:eastAsia="en-AU"/>
        </w:rPr>
        <w:t xml:space="preserve"> </w:t>
      </w:r>
      <w:r w:rsidR="00C10AAA" w:rsidRPr="00742E25">
        <w:rPr>
          <w:rFonts w:ascii="Arial" w:eastAsia="Times New Roman" w:hAnsi="Arial" w:cs="Arial"/>
          <w:lang w:eastAsia="en-AU"/>
        </w:rPr>
        <w:t>It aims to promote research collaboration and translation in NSW.</w:t>
      </w:r>
    </w:p>
    <w:p w14:paraId="416F7E76" w14:textId="77777777" w:rsidR="00EF4980" w:rsidRDefault="00EF4980" w:rsidP="00AD69C6">
      <w:pPr>
        <w:spacing w:line="240" w:lineRule="auto"/>
        <w:jc w:val="both"/>
        <w:rPr>
          <w:rFonts w:ascii="Arial" w:eastAsia="Times New Roman" w:hAnsi="Arial" w:cs="Arial"/>
          <w:lang w:eastAsia="en-AU"/>
        </w:rPr>
      </w:pPr>
      <w:r>
        <w:rPr>
          <w:rFonts w:ascii="Arial" w:eastAsia="Times New Roman" w:hAnsi="Arial" w:cs="Arial"/>
          <w:lang w:eastAsia="en-AU"/>
        </w:rPr>
        <w:t>(</w:t>
      </w:r>
      <w:hyperlink r:id="rId13" w:history="1">
        <w:r w:rsidRPr="00E7578F">
          <w:rPr>
            <w:rStyle w:val="Hyperlink"/>
            <w:rFonts w:ascii="Arial" w:eastAsia="Times New Roman" w:hAnsi="Arial" w:cs="Arial"/>
            <w:lang w:eastAsia="en-AU"/>
          </w:rPr>
          <w:t>http://www.health.nsw.gov.au/ohmr/Documents/OHMR-Hubs-Strategy-web.pdf</w:t>
        </w:r>
      </w:hyperlink>
      <w:r>
        <w:rPr>
          <w:rFonts w:ascii="Arial" w:eastAsia="Times New Roman" w:hAnsi="Arial" w:cs="Arial"/>
          <w:lang w:eastAsia="en-AU"/>
        </w:rPr>
        <w:t>)</w:t>
      </w:r>
      <w:r w:rsidR="00401698" w:rsidRPr="00742E25">
        <w:rPr>
          <w:rFonts w:ascii="Arial" w:eastAsia="Times New Roman" w:hAnsi="Arial" w:cs="Arial"/>
          <w:lang w:eastAsia="en-AU"/>
        </w:rPr>
        <w:t>.</w:t>
      </w:r>
    </w:p>
    <w:p w14:paraId="416F7E78" w14:textId="77777777" w:rsidR="005F074C" w:rsidRDefault="00401698" w:rsidP="00AD69C6">
      <w:pPr>
        <w:spacing w:after="0" w:line="240" w:lineRule="auto"/>
        <w:jc w:val="both"/>
        <w:rPr>
          <w:rFonts w:ascii="Arial" w:hAnsi="Arial" w:cs="Arial"/>
        </w:rPr>
      </w:pPr>
      <w:r>
        <w:rPr>
          <w:rFonts w:ascii="Arial" w:hAnsi="Arial" w:cs="Arial"/>
        </w:rPr>
        <w:t>R</w:t>
      </w:r>
      <w:r w:rsidRPr="00742E25">
        <w:rPr>
          <w:rFonts w:ascii="Arial" w:hAnsi="Arial" w:cs="Arial"/>
        </w:rPr>
        <w:t>esearch Hubs are defined as geographically proximate medical research institutes, local health districts, universities, Medicare Locals and other health and medical research organisations.</w:t>
      </w:r>
      <w:r>
        <w:rPr>
          <w:rFonts w:ascii="Arial" w:hAnsi="Arial" w:cs="Arial"/>
        </w:rPr>
        <w:t xml:space="preserve">  </w:t>
      </w:r>
    </w:p>
    <w:p w14:paraId="416F7E79" w14:textId="77777777" w:rsidR="005F074C" w:rsidRDefault="005F074C" w:rsidP="00AD69C6">
      <w:pPr>
        <w:spacing w:after="0" w:line="240" w:lineRule="auto"/>
        <w:jc w:val="both"/>
        <w:rPr>
          <w:rFonts w:ascii="Arial" w:hAnsi="Arial" w:cs="Arial"/>
        </w:rPr>
      </w:pPr>
    </w:p>
    <w:p w14:paraId="416F7E7A" w14:textId="77777777" w:rsidR="005F074C" w:rsidRPr="005F074C" w:rsidRDefault="005F074C" w:rsidP="00AD69C6">
      <w:pPr>
        <w:spacing w:after="0" w:line="240" w:lineRule="auto"/>
        <w:jc w:val="both"/>
        <w:rPr>
          <w:rFonts w:ascii="Arial" w:hAnsi="Arial" w:cs="Arial"/>
        </w:rPr>
      </w:pPr>
      <w:r w:rsidRPr="005F074C">
        <w:rPr>
          <w:rFonts w:ascii="Arial" w:hAnsi="Arial" w:cs="Arial"/>
        </w:rPr>
        <w:lastRenderedPageBreak/>
        <w:t xml:space="preserve">The Hubs encourage dynamic interactions between </w:t>
      </w:r>
      <w:r>
        <w:rPr>
          <w:rFonts w:ascii="Arial" w:hAnsi="Arial" w:cs="Arial"/>
        </w:rPr>
        <w:t xml:space="preserve">these groups </w:t>
      </w:r>
      <w:r w:rsidRPr="005F074C">
        <w:rPr>
          <w:rFonts w:ascii="Arial" w:hAnsi="Arial" w:cs="Arial"/>
        </w:rPr>
        <w:t>to enhance clinical practice, new treatments, improved clinical and population health outcomes as well</w:t>
      </w:r>
    </w:p>
    <w:p w14:paraId="416F7E7B" w14:textId="77777777" w:rsidR="005F074C" w:rsidRPr="00742E25" w:rsidRDefault="005F074C" w:rsidP="00AD69C6">
      <w:pPr>
        <w:spacing w:after="0" w:line="240" w:lineRule="auto"/>
        <w:jc w:val="both"/>
        <w:rPr>
          <w:rFonts w:ascii="Arial" w:eastAsia="Times New Roman" w:hAnsi="Arial" w:cs="Arial"/>
          <w:lang w:eastAsia="en-AU"/>
        </w:rPr>
      </w:pPr>
      <w:r w:rsidRPr="005F074C">
        <w:rPr>
          <w:rFonts w:ascii="Arial" w:hAnsi="Arial" w:cs="Arial"/>
        </w:rPr>
        <w:t>as improvi</w:t>
      </w:r>
      <w:r>
        <w:rPr>
          <w:rFonts w:ascii="Arial" w:hAnsi="Arial" w:cs="Arial"/>
        </w:rPr>
        <w:t>ng health system decision-making. These interactions and programs of OHMR</w:t>
      </w:r>
      <w:r w:rsidR="00C10AAA">
        <w:rPr>
          <w:rFonts w:ascii="Arial" w:hAnsi="Arial" w:cs="Arial"/>
        </w:rPr>
        <w:t>,</w:t>
      </w:r>
      <w:r>
        <w:rPr>
          <w:rFonts w:ascii="Arial" w:hAnsi="Arial" w:cs="Arial"/>
        </w:rPr>
        <w:t xml:space="preserve"> promote collaborations that inform the development of medical technology and </w:t>
      </w:r>
      <w:r w:rsidR="00C10AAA">
        <w:rPr>
          <w:rFonts w:ascii="Arial" w:hAnsi="Arial" w:cs="Arial"/>
        </w:rPr>
        <w:t>encourage</w:t>
      </w:r>
      <w:r>
        <w:rPr>
          <w:rFonts w:ascii="Arial" w:hAnsi="Arial" w:cs="Arial"/>
        </w:rPr>
        <w:t xml:space="preserve"> translation; including commercialisation.</w:t>
      </w:r>
    </w:p>
    <w:p w14:paraId="416F7E7C" w14:textId="77777777" w:rsidR="005F074C" w:rsidRDefault="005F074C" w:rsidP="00AD69C6">
      <w:pPr>
        <w:spacing w:after="0" w:line="240" w:lineRule="auto"/>
        <w:jc w:val="both"/>
        <w:rPr>
          <w:rFonts w:ascii="Arial" w:hAnsi="Arial" w:cs="Arial"/>
        </w:rPr>
      </w:pPr>
    </w:p>
    <w:p w14:paraId="416F7E7D" w14:textId="77777777" w:rsidR="00401698" w:rsidRDefault="00401698" w:rsidP="00AD69C6">
      <w:pPr>
        <w:spacing w:after="0" w:line="240" w:lineRule="auto"/>
        <w:jc w:val="both"/>
        <w:rPr>
          <w:rFonts w:ascii="Arial" w:hAnsi="Arial" w:cs="Arial"/>
        </w:rPr>
      </w:pPr>
      <w:r w:rsidRPr="00742E25">
        <w:rPr>
          <w:rFonts w:ascii="Arial" w:eastAsia="Times New Roman" w:hAnsi="Arial" w:cs="Arial"/>
          <w:lang w:eastAsia="en-AU"/>
        </w:rPr>
        <w:t xml:space="preserve">There are eight health and medical research Hubs and one rural and remote network in NSW. </w:t>
      </w:r>
      <w:r>
        <w:rPr>
          <w:rFonts w:ascii="Arial" w:hAnsi="Arial" w:cs="Arial"/>
        </w:rPr>
        <w:t>The Hubs are located as follows:</w:t>
      </w:r>
    </w:p>
    <w:p w14:paraId="416F7E7E"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Sydney</w:t>
      </w:r>
    </w:p>
    <w:p w14:paraId="416F7E7F"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Darlinghurst</w:t>
      </w:r>
    </w:p>
    <w:p w14:paraId="416F7E80"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Hunter</w:t>
      </w:r>
    </w:p>
    <w:p w14:paraId="416F7E81"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Illawarra - Shoalhaven</w:t>
      </w:r>
    </w:p>
    <w:p w14:paraId="416F7E82"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Northern Sydney</w:t>
      </w:r>
    </w:p>
    <w:p w14:paraId="416F7E83"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South Western Sydney</w:t>
      </w:r>
    </w:p>
    <w:p w14:paraId="416F7E84"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South Eastern Sydney</w:t>
      </w:r>
    </w:p>
    <w:p w14:paraId="416F7E85" w14:textId="77777777" w:rsidR="00401698" w:rsidRDefault="00401698" w:rsidP="00AD69C6">
      <w:pPr>
        <w:pStyle w:val="ListParagraph"/>
        <w:numPr>
          <w:ilvl w:val="0"/>
          <w:numId w:val="4"/>
        </w:numPr>
        <w:spacing w:after="0" w:line="240" w:lineRule="auto"/>
        <w:jc w:val="both"/>
        <w:rPr>
          <w:rFonts w:ascii="Arial" w:hAnsi="Arial" w:cs="Arial"/>
        </w:rPr>
      </w:pPr>
      <w:r>
        <w:rPr>
          <w:rFonts w:ascii="Arial" w:hAnsi="Arial" w:cs="Arial"/>
        </w:rPr>
        <w:t>Western Sydney</w:t>
      </w:r>
    </w:p>
    <w:p w14:paraId="416F7E87" w14:textId="77777777" w:rsidR="007E4C0C" w:rsidRPr="007E4C0C" w:rsidRDefault="007E4C0C" w:rsidP="00AD69C6">
      <w:pPr>
        <w:pStyle w:val="Heading3"/>
        <w:jc w:val="both"/>
        <w:rPr>
          <w:rFonts w:asciiTheme="minorHAnsi" w:hAnsiTheme="minorHAnsi" w:cstheme="minorHAnsi"/>
          <w:sz w:val="26"/>
          <w:szCs w:val="26"/>
          <w:lang w:eastAsia="en-AU"/>
        </w:rPr>
      </w:pPr>
      <w:bookmarkStart w:id="4" w:name="_Toc404849216"/>
      <w:r w:rsidRPr="007E4C0C">
        <w:rPr>
          <w:rFonts w:asciiTheme="minorHAnsi" w:hAnsiTheme="minorHAnsi" w:cstheme="minorHAnsi"/>
          <w:sz w:val="26"/>
          <w:szCs w:val="26"/>
          <w:lang w:eastAsia="en-AU"/>
        </w:rPr>
        <w:t>Knowledge Brokering</w:t>
      </w:r>
      <w:bookmarkEnd w:id="4"/>
    </w:p>
    <w:p w14:paraId="416F7E89" w14:textId="77777777" w:rsidR="007E4C0C" w:rsidRPr="00742E25" w:rsidRDefault="007E4C0C" w:rsidP="00AD69C6">
      <w:pPr>
        <w:spacing w:line="240" w:lineRule="auto"/>
        <w:jc w:val="both"/>
        <w:rPr>
          <w:rFonts w:ascii="Arial" w:eastAsia="Times New Roman" w:hAnsi="Arial" w:cs="Arial"/>
          <w:lang w:eastAsia="en-AU"/>
        </w:rPr>
      </w:pPr>
      <w:r w:rsidRPr="00742E25">
        <w:rPr>
          <w:rFonts w:ascii="Arial" w:eastAsia="Times New Roman" w:hAnsi="Arial" w:cs="Arial"/>
          <w:lang w:eastAsia="en-AU"/>
        </w:rPr>
        <w:t xml:space="preserve">A Hub Council has been established to drive strategic initiatives to enable health and medical research in NSW. </w:t>
      </w:r>
      <w:r>
        <w:rPr>
          <w:rFonts w:ascii="Arial" w:eastAsia="Times New Roman" w:hAnsi="Arial" w:cs="Arial"/>
          <w:lang w:eastAsia="en-AU"/>
        </w:rPr>
        <w:t xml:space="preserve">OHMR and the Hub Council effectively broker knowledge exchange in the hubs to ensure links between clinicians, universities, commercial organisations and researchers are </w:t>
      </w:r>
      <w:r w:rsidR="00C10AAA">
        <w:rPr>
          <w:rFonts w:ascii="Arial" w:eastAsia="Times New Roman" w:hAnsi="Arial" w:cs="Arial"/>
          <w:lang w:eastAsia="en-AU"/>
        </w:rPr>
        <w:t>enriched</w:t>
      </w:r>
      <w:r>
        <w:rPr>
          <w:rFonts w:ascii="Arial" w:eastAsia="Times New Roman" w:hAnsi="Arial" w:cs="Arial"/>
          <w:lang w:eastAsia="en-AU"/>
        </w:rPr>
        <w:t xml:space="preserve">. </w:t>
      </w:r>
    </w:p>
    <w:p w14:paraId="416F7E8A" w14:textId="77777777" w:rsidR="007E4C0C" w:rsidRDefault="007E4C0C" w:rsidP="00AD69C6">
      <w:pPr>
        <w:pStyle w:val="PlainText"/>
        <w:jc w:val="both"/>
        <w:rPr>
          <w:rFonts w:ascii="Arial" w:hAnsi="Arial" w:cs="Arial"/>
        </w:rPr>
      </w:pPr>
      <w:r>
        <w:rPr>
          <w:rFonts w:ascii="Arial" w:hAnsi="Arial" w:cs="Arial"/>
        </w:rPr>
        <w:t>The following strategic state-wide projects are currently being progressed through the Hub Council</w:t>
      </w:r>
      <w:r w:rsidR="00EF4980">
        <w:rPr>
          <w:rFonts w:ascii="Arial" w:hAnsi="Arial" w:cs="Arial"/>
        </w:rPr>
        <w:t xml:space="preserve"> and are relevant </w:t>
      </w:r>
      <w:r w:rsidR="00C10AAA">
        <w:rPr>
          <w:rFonts w:ascii="Arial" w:hAnsi="Arial" w:cs="Arial"/>
        </w:rPr>
        <w:t>to commercial</w:t>
      </w:r>
      <w:r w:rsidR="00EF4980">
        <w:rPr>
          <w:rFonts w:ascii="Arial" w:hAnsi="Arial" w:cs="Arial"/>
        </w:rPr>
        <w:t xml:space="preserve"> return</w:t>
      </w:r>
      <w:r w:rsidR="00C10AAA">
        <w:rPr>
          <w:rFonts w:ascii="Arial" w:hAnsi="Arial" w:cs="Arial"/>
        </w:rPr>
        <w:t xml:space="preserve"> on research</w:t>
      </w:r>
      <w:r>
        <w:rPr>
          <w:rFonts w:ascii="Arial" w:hAnsi="Arial" w:cs="Arial"/>
        </w:rPr>
        <w:t>:</w:t>
      </w:r>
    </w:p>
    <w:p w14:paraId="416F7E8B" w14:textId="77777777" w:rsidR="007E4C0C" w:rsidRDefault="007E4C0C" w:rsidP="00AD69C6">
      <w:pPr>
        <w:pStyle w:val="PlainText"/>
        <w:numPr>
          <w:ilvl w:val="3"/>
          <w:numId w:val="4"/>
        </w:numPr>
        <w:ind w:left="709"/>
        <w:jc w:val="both"/>
        <w:rPr>
          <w:rFonts w:ascii="Arial" w:hAnsi="Arial" w:cs="Arial"/>
        </w:rPr>
      </w:pPr>
      <w:r>
        <w:rPr>
          <w:rFonts w:ascii="Arial" w:hAnsi="Arial" w:cs="Arial"/>
        </w:rPr>
        <w:t xml:space="preserve">Embedding quality research into local health districts </w:t>
      </w:r>
    </w:p>
    <w:p w14:paraId="416F7E8C" w14:textId="77777777" w:rsidR="007E4C0C" w:rsidRDefault="00C10AAA" w:rsidP="00AD69C6">
      <w:pPr>
        <w:pStyle w:val="PlainText"/>
        <w:numPr>
          <w:ilvl w:val="3"/>
          <w:numId w:val="4"/>
        </w:numPr>
        <w:ind w:left="709"/>
        <w:jc w:val="both"/>
        <w:rPr>
          <w:rFonts w:ascii="Arial" w:hAnsi="Arial" w:cs="Arial"/>
        </w:rPr>
      </w:pPr>
      <w:r>
        <w:rPr>
          <w:rFonts w:ascii="Arial" w:hAnsi="Arial" w:cs="Arial"/>
        </w:rPr>
        <w:t>Development of a c</w:t>
      </w:r>
      <w:r w:rsidR="007E4C0C">
        <w:rPr>
          <w:rFonts w:ascii="Arial" w:hAnsi="Arial" w:cs="Arial"/>
        </w:rPr>
        <w:t>ommercialisation framework and guidance on the management of intellectual property</w:t>
      </w:r>
    </w:p>
    <w:p w14:paraId="416F7E8D" w14:textId="77777777" w:rsidR="00EF4980" w:rsidRPr="007E4C0C" w:rsidRDefault="00EF4980" w:rsidP="00AD69C6">
      <w:pPr>
        <w:pStyle w:val="PlainText"/>
        <w:numPr>
          <w:ilvl w:val="3"/>
          <w:numId w:val="4"/>
        </w:numPr>
        <w:ind w:left="709"/>
        <w:jc w:val="both"/>
        <w:rPr>
          <w:rFonts w:ascii="Arial" w:hAnsi="Arial" w:cs="Arial"/>
        </w:rPr>
      </w:pPr>
      <w:r>
        <w:rPr>
          <w:rFonts w:ascii="Arial" w:hAnsi="Arial" w:cs="Arial"/>
        </w:rPr>
        <w:t>Establishment of a state-wide frame work for the evaluation of returns on research investment</w:t>
      </w:r>
    </w:p>
    <w:p w14:paraId="416F7E8F" w14:textId="77777777" w:rsidR="00704498" w:rsidRPr="007E4C0C" w:rsidRDefault="00704498" w:rsidP="00AD69C6">
      <w:pPr>
        <w:pStyle w:val="Heading3"/>
        <w:jc w:val="both"/>
        <w:rPr>
          <w:rFonts w:asciiTheme="minorHAnsi" w:hAnsiTheme="minorHAnsi" w:cstheme="minorHAnsi"/>
          <w:sz w:val="26"/>
          <w:szCs w:val="26"/>
          <w:lang w:eastAsia="en-AU"/>
        </w:rPr>
      </w:pPr>
      <w:bookmarkStart w:id="5" w:name="_Toc404849217"/>
      <w:r w:rsidRPr="007E4C0C">
        <w:rPr>
          <w:rFonts w:asciiTheme="minorHAnsi" w:hAnsiTheme="minorHAnsi" w:cstheme="minorHAnsi"/>
          <w:sz w:val="26"/>
          <w:szCs w:val="26"/>
          <w:lang w:eastAsia="en-AU"/>
        </w:rPr>
        <w:t xml:space="preserve">Commercialisation </w:t>
      </w:r>
      <w:bookmarkEnd w:id="5"/>
      <w:r w:rsidR="0000129E" w:rsidRPr="007E4C0C">
        <w:rPr>
          <w:rFonts w:asciiTheme="minorHAnsi" w:hAnsiTheme="minorHAnsi" w:cstheme="minorHAnsi"/>
          <w:sz w:val="26"/>
          <w:szCs w:val="26"/>
          <w:lang w:eastAsia="en-AU"/>
        </w:rPr>
        <w:t>Capability</w:t>
      </w:r>
    </w:p>
    <w:p w14:paraId="416F7E91" w14:textId="77777777" w:rsidR="005F074C" w:rsidRPr="00A43E86" w:rsidRDefault="005F074C" w:rsidP="00AD69C6">
      <w:pPr>
        <w:jc w:val="both"/>
        <w:rPr>
          <w:rFonts w:ascii="Arial" w:hAnsi="Arial" w:cs="Arial"/>
          <w:b/>
          <w:u w:val="single"/>
        </w:rPr>
      </w:pPr>
      <w:proofErr w:type="spellStart"/>
      <w:r w:rsidRPr="005F074C">
        <w:rPr>
          <w:rFonts w:ascii="Arial" w:hAnsi="Arial" w:cs="Arial"/>
        </w:rPr>
        <w:t>OHMR</w:t>
      </w:r>
      <w:proofErr w:type="spellEnd"/>
      <w:r w:rsidRPr="005F074C">
        <w:rPr>
          <w:rFonts w:ascii="Arial" w:hAnsi="Arial" w:cs="Arial"/>
        </w:rPr>
        <w:t xml:space="preserve"> </w:t>
      </w:r>
      <w:r w:rsidR="0071535B">
        <w:rPr>
          <w:rFonts w:ascii="Arial" w:hAnsi="Arial" w:cs="Arial"/>
        </w:rPr>
        <w:t xml:space="preserve">is leading initiatives </w:t>
      </w:r>
      <w:r>
        <w:rPr>
          <w:rFonts w:ascii="Arial" w:hAnsi="Arial" w:cs="Arial"/>
        </w:rPr>
        <w:t>to build commercialisation capability in NSW are listed below</w:t>
      </w:r>
      <w:r w:rsidR="0071535B">
        <w:rPr>
          <w:rFonts w:ascii="Arial" w:hAnsi="Arial" w:cs="Arial"/>
        </w:rPr>
        <w:t>.</w:t>
      </w:r>
    </w:p>
    <w:p w14:paraId="416F7E92" w14:textId="77777777" w:rsidR="00704498" w:rsidRPr="007E4C0C" w:rsidRDefault="00704498" w:rsidP="007E4164">
      <w:pPr>
        <w:pStyle w:val="Heading4"/>
      </w:pPr>
      <w:r w:rsidRPr="007E4C0C">
        <w:t>Medical Devices Fund</w:t>
      </w:r>
    </w:p>
    <w:p w14:paraId="416F7E94" w14:textId="77777777" w:rsidR="00704498" w:rsidRDefault="00704498" w:rsidP="00AD69C6">
      <w:pPr>
        <w:spacing w:line="240" w:lineRule="auto"/>
        <w:jc w:val="both"/>
        <w:rPr>
          <w:rFonts w:ascii="Arial" w:eastAsia="Times New Roman" w:hAnsi="Arial" w:cs="Arial"/>
          <w:lang w:eastAsia="en-AU"/>
        </w:rPr>
      </w:pPr>
      <w:r w:rsidRPr="00FB024D">
        <w:rPr>
          <w:rFonts w:ascii="Arial" w:eastAsia="Times New Roman" w:hAnsi="Arial" w:cs="Arial"/>
          <w:lang w:eastAsia="en-AU"/>
        </w:rPr>
        <w:t>The Medical Devices Fund (MDF) is a $5 million per annum, competitive technology development and commercialisation program run by the Office for Health and Medical Research.</w:t>
      </w:r>
      <w:r>
        <w:rPr>
          <w:rFonts w:ascii="Arial" w:eastAsia="Times New Roman" w:hAnsi="Arial" w:cs="Arial"/>
          <w:lang w:eastAsia="en-AU"/>
        </w:rPr>
        <w:t xml:space="preserve"> </w:t>
      </w:r>
      <w:r w:rsidRPr="0022053D">
        <w:rPr>
          <w:rFonts w:ascii="Arial" w:hAnsi="Arial" w:cs="Arial"/>
        </w:rPr>
        <w:t>The Fund was established in 2012 to support individuals, companies, public and private hospitals, medical research institutes and universities, to take local innovation to market and increase the uptake of NSW medical devices by the health system. Since establishment the fund two rounds of funding have been und</w:t>
      </w:r>
      <w:r w:rsidR="00D35E96">
        <w:rPr>
          <w:rFonts w:ascii="Arial" w:hAnsi="Arial" w:cs="Arial"/>
        </w:rPr>
        <w:t>ertaken with a total of $16.4 mi</w:t>
      </w:r>
      <w:r w:rsidRPr="0022053D">
        <w:rPr>
          <w:rFonts w:ascii="Arial" w:hAnsi="Arial" w:cs="Arial"/>
        </w:rPr>
        <w:t>llion allocated to medical devices companies.</w:t>
      </w:r>
      <w:r>
        <w:rPr>
          <w:rFonts w:ascii="Arial" w:hAnsi="Arial" w:cs="Arial"/>
        </w:rPr>
        <w:t xml:space="preserve"> </w:t>
      </w:r>
    </w:p>
    <w:p w14:paraId="416F7E95" w14:textId="77777777" w:rsidR="00862B0D" w:rsidRDefault="00704498" w:rsidP="00AD69C6">
      <w:pPr>
        <w:spacing w:line="240" w:lineRule="auto"/>
        <w:jc w:val="both"/>
        <w:rPr>
          <w:rFonts w:ascii="Arial" w:hAnsi="Arial" w:cs="Arial"/>
        </w:rPr>
      </w:pPr>
      <w:r>
        <w:rPr>
          <w:rFonts w:ascii="Arial" w:hAnsi="Arial" w:cs="Arial"/>
        </w:rPr>
        <w:t>Improvements in Round 2 of the MDF, ensured that a clinician was engaged to sit on the Expert Panel. Engagement of a clinician early in the commercialisation process was beneficial for grant applicants in order to progress their device successfully.</w:t>
      </w:r>
    </w:p>
    <w:p w14:paraId="416F7E97" w14:textId="77777777" w:rsidR="00704498" w:rsidRPr="00EF4980" w:rsidRDefault="00704498" w:rsidP="007E4164">
      <w:pPr>
        <w:pStyle w:val="Heading4"/>
      </w:pPr>
      <w:r w:rsidRPr="00EF4980">
        <w:t>Medical Devices Commercialisation Training Program</w:t>
      </w:r>
    </w:p>
    <w:p w14:paraId="416F7E99" w14:textId="77777777" w:rsidR="00C10AAA" w:rsidRPr="0022053D" w:rsidRDefault="00C10AAA" w:rsidP="00AD69C6">
      <w:pPr>
        <w:spacing w:line="240" w:lineRule="auto"/>
        <w:jc w:val="both"/>
        <w:rPr>
          <w:rFonts w:ascii="Arial" w:hAnsi="Arial" w:cs="Arial"/>
        </w:rPr>
      </w:pPr>
      <w:bookmarkStart w:id="6" w:name="_Toc404782152"/>
      <w:r w:rsidRPr="0022053D">
        <w:rPr>
          <w:rFonts w:ascii="Arial" w:hAnsi="Arial" w:cs="Arial"/>
        </w:rPr>
        <w:t xml:space="preserve">NSW in partnership with the </w:t>
      </w:r>
      <w:proofErr w:type="spellStart"/>
      <w:r w:rsidRPr="0022053D">
        <w:rPr>
          <w:rFonts w:ascii="Arial" w:hAnsi="Arial" w:cs="Arial"/>
        </w:rPr>
        <w:t>Rosenman</w:t>
      </w:r>
      <w:proofErr w:type="spellEnd"/>
      <w:r w:rsidRPr="0022053D">
        <w:rPr>
          <w:rFonts w:ascii="Arial" w:hAnsi="Arial" w:cs="Arial"/>
        </w:rPr>
        <w:t xml:space="preserve"> Institute in San Francisco has established a Postdoctoral fellowship program in medical device commercialisation</w:t>
      </w:r>
      <w:r>
        <w:rPr>
          <w:rFonts w:ascii="Arial" w:hAnsi="Arial" w:cs="Arial"/>
        </w:rPr>
        <w:t>.</w:t>
      </w:r>
    </w:p>
    <w:p w14:paraId="416F7E9A" w14:textId="77777777" w:rsidR="00704498" w:rsidRPr="0022053D" w:rsidRDefault="00C10AAA" w:rsidP="00AD69C6">
      <w:pPr>
        <w:spacing w:line="240" w:lineRule="auto"/>
        <w:jc w:val="both"/>
        <w:rPr>
          <w:rFonts w:ascii="Arial" w:hAnsi="Arial" w:cs="Arial"/>
        </w:rPr>
      </w:pPr>
      <w:r>
        <w:rPr>
          <w:rFonts w:ascii="Arial" w:hAnsi="Arial" w:cs="Arial"/>
        </w:rPr>
        <w:lastRenderedPageBreak/>
        <w:t>NSW-</w:t>
      </w:r>
      <w:proofErr w:type="spellStart"/>
      <w:r w:rsidR="00704498" w:rsidRPr="0022053D">
        <w:rPr>
          <w:rFonts w:ascii="Arial" w:hAnsi="Arial" w:cs="Arial"/>
        </w:rPr>
        <w:t>QB3</w:t>
      </w:r>
      <w:proofErr w:type="spellEnd"/>
      <w:r w:rsidR="00704498" w:rsidRPr="0022053D">
        <w:rPr>
          <w:rFonts w:ascii="Arial" w:hAnsi="Arial" w:cs="Arial"/>
        </w:rPr>
        <w:t xml:space="preserve"> </w:t>
      </w:r>
      <w:proofErr w:type="spellStart"/>
      <w:r>
        <w:rPr>
          <w:rFonts w:ascii="Arial" w:hAnsi="Arial" w:cs="Arial"/>
        </w:rPr>
        <w:t>Rosenman</w:t>
      </w:r>
      <w:proofErr w:type="spellEnd"/>
      <w:r>
        <w:rPr>
          <w:rFonts w:ascii="Arial" w:hAnsi="Arial" w:cs="Arial"/>
        </w:rPr>
        <w:t xml:space="preserve"> Institute Scholar </w:t>
      </w:r>
      <w:r w:rsidR="00704498" w:rsidRPr="0022053D">
        <w:rPr>
          <w:rFonts w:ascii="Arial" w:hAnsi="Arial" w:cs="Arial"/>
        </w:rPr>
        <w:t xml:space="preserve">Program is a postdoctoral fellowships program for medical device researchers. The aim of the program is build medical device commercialisation expertise and capacity in NSW. </w:t>
      </w:r>
      <w:r w:rsidR="0071535B">
        <w:rPr>
          <w:rFonts w:ascii="Arial" w:hAnsi="Arial" w:cs="Arial"/>
        </w:rPr>
        <w:t>The training program</w:t>
      </w:r>
      <w:r w:rsidR="005F074C" w:rsidRPr="005F074C">
        <w:rPr>
          <w:rFonts w:ascii="Arial" w:hAnsi="Arial" w:cs="Arial"/>
        </w:rPr>
        <w:t xml:space="preserve"> bridge</w:t>
      </w:r>
      <w:r w:rsidR="005F074C">
        <w:rPr>
          <w:rFonts w:ascii="Arial" w:hAnsi="Arial" w:cs="Arial"/>
        </w:rPr>
        <w:t>s</w:t>
      </w:r>
      <w:r w:rsidR="005F074C" w:rsidRPr="005F074C">
        <w:rPr>
          <w:rFonts w:ascii="Arial" w:hAnsi="Arial" w:cs="Arial"/>
        </w:rPr>
        <w:t xml:space="preserve"> the </w:t>
      </w:r>
      <w:r w:rsidR="005F074C">
        <w:rPr>
          <w:rFonts w:ascii="Arial" w:hAnsi="Arial" w:cs="Arial"/>
        </w:rPr>
        <w:t xml:space="preserve">skill </w:t>
      </w:r>
      <w:r w:rsidR="005F074C" w:rsidRPr="005F074C">
        <w:rPr>
          <w:rFonts w:ascii="Arial" w:hAnsi="Arial" w:cs="Arial"/>
        </w:rPr>
        <w:t xml:space="preserve">gap between medical device research and the commercialisation of </w:t>
      </w:r>
      <w:r w:rsidR="005F074C">
        <w:rPr>
          <w:rFonts w:ascii="Arial" w:hAnsi="Arial" w:cs="Arial"/>
        </w:rPr>
        <w:t>innovative technologies in NSW.</w:t>
      </w:r>
    </w:p>
    <w:p w14:paraId="416F7E9B" w14:textId="77777777" w:rsidR="00704498" w:rsidRPr="0022053D" w:rsidRDefault="00704498" w:rsidP="00AD69C6">
      <w:pPr>
        <w:spacing w:line="240" w:lineRule="auto"/>
        <w:jc w:val="both"/>
        <w:rPr>
          <w:rFonts w:ascii="Arial" w:hAnsi="Arial" w:cs="Arial"/>
        </w:rPr>
      </w:pPr>
      <w:r w:rsidRPr="0022053D">
        <w:rPr>
          <w:rFonts w:ascii="Arial" w:hAnsi="Arial" w:cs="Arial"/>
        </w:rPr>
        <w:t>This program will be conducted in two stages:</w:t>
      </w:r>
    </w:p>
    <w:p w14:paraId="416F7E9C" w14:textId="77777777" w:rsidR="00704498" w:rsidRPr="0022053D" w:rsidRDefault="0071535B" w:rsidP="00AD69C6">
      <w:pPr>
        <w:numPr>
          <w:ilvl w:val="0"/>
          <w:numId w:val="1"/>
        </w:numPr>
        <w:spacing w:line="240" w:lineRule="auto"/>
        <w:contextualSpacing/>
        <w:jc w:val="both"/>
        <w:rPr>
          <w:rFonts w:ascii="Arial" w:eastAsiaTheme="minorEastAsia" w:hAnsi="Arial" w:cs="Arial"/>
          <w:b/>
        </w:rPr>
      </w:pPr>
      <w:r>
        <w:rPr>
          <w:rFonts w:ascii="Arial" w:eastAsiaTheme="minorEastAsia" w:hAnsi="Arial" w:cs="Arial"/>
          <w:b/>
        </w:rPr>
        <w:t xml:space="preserve">NSW </w:t>
      </w:r>
      <w:r w:rsidR="00704498" w:rsidRPr="0022053D">
        <w:rPr>
          <w:rFonts w:ascii="Arial" w:eastAsiaTheme="minorEastAsia" w:hAnsi="Arial" w:cs="Arial"/>
          <w:b/>
        </w:rPr>
        <w:t>Training</w:t>
      </w:r>
    </w:p>
    <w:p w14:paraId="416F7E9D" w14:textId="77777777" w:rsidR="00704498" w:rsidRPr="0071535B" w:rsidRDefault="00704498" w:rsidP="00AD69C6">
      <w:pPr>
        <w:spacing w:line="240" w:lineRule="auto"/>
        <w:jc w:val="both"/>
        <w:rPr>
          <w:rFonts w:ascii="Arial" w:hAnsi="Arial" w:cs="Arial"/>
        </w:rPr>
      </w:pPr>
      <w:r w:rsidRPr="00FB024D">
        <w:rPr>
          <w:rFonts w:ascii="Arial" w:hAnsi="Arial" w:cs="Arial"/>
        </w:rPr>
        <w:t>A 3</w:t>
      </w:r>
      <w:r w:rsidRPr="0022053D">
        <w:rPr>
          <w:rFonts w:ascii="Arial" w:hAnsi="Arial" w:cs="Arial"/>
        </w:rPr>
        <w:t xml:space="preserve"> month intensive pre-selection program will be run in NSW</w:t>
      </w:r>
      <w:r w:rsidR="0071535B">
        <w:rPr>
          <w:rFonts w:ascii="Arial" w:hAnsi="Arial" w:cs="Arial"/>
        </w:rPr>
        <w:t>.</w:t>
      </w:r>
      <w:r w:rsidRPr="0022053D">
        <w:rPr>
          <w:rFonts w:ascii="Arial" w:hAnsi="Arial" w:cs="Arial"/>
        </w:rPr>
        <w:t xml:space="preserve"> </w:t>
      </w:r>
      <w:r w:rsidR="0071535B">
        <w:rPr>
          <w:rFonts w:ascii="Arial" w:hAnsi="Arial" w:cs="Arial"/>
        </w:rPr>
        <w:t>P</w:t>
      </w:r>
      <w:r w:rsidRPr="0022053D">
        <w:rPr>
          <w:rFonts w:ascii="Arial" w:hAnsi="Arial" w:cs="Arial"/>
        </w:rPr>
        <w:t>articipants</w:t>
      </w:r>
      <w:r w:rsidRPr="00FB024D">
        <w:rPr>
          <w:rFonts w:ascii="Arial" w:hAnsi="Arial" w:cs="Arial"/>
        </w:rPr>
        <w:t xml:space="preserve"> </w:t>
      </w:r>
      <w:r w:rsidRPr="0022053D">
        <w:rPr>
          <w:rFonts w:ascii="Arial" w:hAnsi="Arial" w:cs="Arial"/>
        </w:rPr>
        <w:t xml:space="preserve">gain skills in entrepreneurship, medical device design, development, and commercialisation. training program </w:t>
      </w:r>
      <w:r w:rsidR="0071535B">
        <w:rPr>
          <w:rFonts w:ascii="Arial" w:hAnsi="Arial" w:cs="Arial"/>
        </w:rPr>
        <w:t xml:space="preserve">is </w:t>
      </w:r>
      <w:r w:rsidRPr="0022053D">
        <w:rPr>
          <w:rFonts w:ascii="Arial" w:hAnsi="Arial" w:cs="Arial"/>
        </w:rPr>
        <w:t xml:space="preserve">also </w:t>
      </w:r>
      <w:r w:rsidR="0071535B">
        <w:rPr>
          <w:rFonts w:ascii="Arial" w:hAnsi="Arial" w:cs="Arial"/>
        </w:rPr>
        <w:t>the selection process for</w:t>
      </w:r>
      <w:r w:rsidRPr="0022053D">
        <w:rPr>
          <w:rFonts w:ascii="Arial" w:hAnsi="Arial" w:cs="Arial"/>
        </w:rPr>
        <w:t xml:space="preserve"> two candidates </w:t>
      </w:r>
      <w:r w:rsidR="0071535B">
        <w:rPr>
          <w:rFonts w:ascii="Arial" w:hAnsi="Arial" w:cs="Arial"/>
        </w:rPr>
        <w:t xml:space="preserve">to </w:t>
      </w:r>
      <w:r w:rsidRPr="0022053D">
        <w:rPr>
          <w:rFonts w:ascii="Arial" w:hAnsi="Arial" w:cs="Arial"/>
        </w:rPr>
        <w:t>attending the NSW-</w:t>
      </w:r>
      <w:proofErr w:type="spellStart"/>
      <w:r w:rsidRPr="0022053D">
        <w:rPr>
          <w:rFonts w:ascii="Arial" w:hAnsi="Arial" w:cs="Arial"/>
        </w:rPr>
        <w:t>QB3</w:t>
      </w:r>
      <w:proofErr w:type="spellEnd"/>
      <w:r w:rsidRPr="0022053D">
        <w:rPr>
          <w:rFonts w:ascii="Arial" w:hAnsi="Arial" w:cs="Arial"/>
        </w:rPr>
        <w:t xml:space="preserve"> </w:t>
      </w:r>
      <w:proofErr w:type="spellStart"/>
      <w:r w:rsidRPr="0022053D">
        <w:rPr>
          <w:rFonts w:ascii="Arial" w:hAnsi="Arial" w:cs="Arial"/>
        </w:rPr>
        <w:t>Rosenman</w:t>
      </w:r>
      <w:proofErr w:type="spellEnd"/>
      <w:r w:rsidRPr="0022053D">
        <w:rPr>
          <w:rFonts w:ascii="Arial" w:hAnsi="Arial" w:cs="Arial"/>
        </w:rPr>
        <w:t xml:space="preserve"> Institute Scholar Program in the United States</w:t>
      </w:r>
      <w:r w:rsidR="0071535B">
        <w:rPr>
          <w:rFonts w:ascii="Arial" w:hAnsi="Arial" w:cs="Arial"/>
        </w:rPr>
        <w:t>.</w:t>
      </w:r>
    </w:p>
    <w:p w14:paraId="416F7E9E" w14:textId="77777777" w:rsidR="00704498" w:rsidRDefault="0071535B" w:rsidP="00AD69C6">
      <w:pPr>
        <w:numPr>
          <w:ilvl w:val="0"/>
          <w:numId w:val="1"/>
        </w:numPr>
        <w:spacing w:line="240" w:lineRule="auto"/>
        <w:contextualSpacing/>
        <w:jc w:val="both"/>
        <w:rPr>
          <w:rFonts w:ascii="Arial" w:eastAsiaTheme="minorEastAsia" w:hAnsi="Arial" w:cs="Arial"/>
          <w:b/>
        </w:rPr>
      </w:pPr>
      <w:r>
        <w:rPr>
          <w:rFonts w:ascii="Arial" w:eastAsiaTheme="minorEastAsia" w:hAnsi="Arial" w:cs="Arial"/>
          <w:b/>
        </w:rPr>
        <w:t xml:space="preserve">US </w:t>
      </w:r>
      <w:r w:rsidR="00704498" w:rsidRPr="0022053D">
        <w:rPr>
          <w:rFonts w:ascii="Arial" w:eastAsiaTheme="minorEastAsia" w:hAnsi="Arial" w:cs="Arial"/>
          <w:b/>
        </w:rPr>
        <w:t>Fellowship</w:t>
      </w:r>
    </w:p>
    <w:p w14:paraId="416F7E9F" w14:textId="77777777" w:rsidR="00704498" w:rsidRDefault="00704498" w:rsidP="00AD69C6">
      <w:pPr>
        <w:spacing w:line="240" w:lineRule="auto"/>
        <w:jc w:val="both"/>
        <w:rPr>
          <w:rFonts w:ascii="Arial" w:eastAsiaTheme="minorEastAsia" w:hAnsi="Arial" w:cs="Arial"/>
        </w:rPr>
      </w:pPr>
      <w:r>
        <w:rPr>
          <w:rFonts w:ascii="Arial" w:eastAsiaTheme="minorEastAsia" w:hAnsi="Arial" w:cs="Arial"/>
        </w:rPr>
        <w:t xml:space="preserve">The </w:t>
      </w:r>
      <w:r w:rsidR="00845EF7">
        <w:rPr>
          <w:rFonts w:ascii="Arial" w:eastAsiaTheme="minorEastAsia" w:hAnsi="Arial" w:cs="Arial"/>
        </w:rPr>
        <w:t>top two candidates from the pre-</w:t>
      </w:r>
      <w:r>
        <w:rPr>
          <w:rFonts w:ascii="Arial" w:eastAsiaTheme="minorEastAsia" w:hAnsi="Arial" w:cs="Arial"/>
        </w:rPr>
        <w:t>selection program will be offered the opportunity to travel to California</w:t>
      </w:r>
      <w:r w:rsidR="00845EF7">
        <w:rPr>
          <w:rFonts w:ascii="Arial" w:eastAsiaTheme="minorEastAsia" w:hAnsi="Arial" w:cs="Arial"/>
        </w:rPr>
        <w:t>. T</w:t>
      </w:r>
      <w:r>
        <w:rPr>
          <w:rFonts w:ascii="Arial" w:eastAsiaTheme="minorEastAsia" w:hAnsi="Arial" w:cs="Arial"/>
        </w:rPr>
        <w:t>he</w:t>
      </w:r>
      <w:r w:rsidR="00845EF7">
        <w:rPr>
          <w:rFonts w:ascii="Arial" w:eastAsiaTheme="minorEastAsia" w:hAnsi="Arial" w:cs="Arial"/>
        </w:rPr>
        <w:t xml:space="preserve"> program brings together cli</w:t>
      </w:r>
      <w:r w:rsidRPr="004B257E">
        <w:rPr>
          <w:rFonts w:ascii="Arial" w:eastAsiaTheme="minorEastAsia" w:hAnsi="Arial" w:cs="Arial"/>
        </w:rPr>
        <w:t>nicians and local organisations recognised for their expertise in medical device innovation and translation.</w:t>
      </w:r>
      <w:r w:rsidR="0071535B">
        <w:rPr>
          <w:rFonts w:ascii="Arial" w:eastAsiaTheme="minorEastAsia" w:hAnsi="Arial" w:cs="Arial"/>
        </w:rPr>
        <w:t xml:space="preserve"> </w:t>
      </w:r>
      <w:r w:rsidRPr="004B257E">
        <w:rPr>
          <w:rFonts w:ascii="Arial" w:eastAsiaTheme="minorEastAsia" w:hAnsi="Arial" w:cs="Arial"/>
        </w:rPr>
        <w:t>Successful candidates will be supported with a salary and stipend during their two year stay in California.</w:t>
      </w:r>
    </w:p>
    <w:p w14:paraId="416F7EA1" w14:textId="77777777" w:rsidR="00704498" w:rsidRPr="00D35E96" w:rsidRDefault="00704498" w:rsidP="00AD69C6">
      <w:pPr>
        <w:pStyle w:val="Heading2"/>
        <w:spacing w:line="240" w:lineRule="auto"/>
        <w:jc w:val="both"/>
        <w:rPr>
          <w:rFonts w:asciiTheme="minorHAnsi" w:hAnsiTheme="minorHAnsi" w:cstheme="minorHAnsi"/>
          <w:sz w:val="32"/>
          <w:szCs w:val="32"/>
        </w:rPr>
      </w:pPr>
      <w:bookmarkStart w:id="7" w:name="_Toc404849218"/>
      <w:bookmarkEnd w:id="6"/>
      <w:r w:rsidRPr="00D35E96">
        <w:rPr>
          <w:rFonts w:asciiTheme="minorHAnsi" w:hAnsiTheme="minorHAnsi" w:cstheme="minorHAnsi"/>
          <w:sz w:val="32"/>
          <w:szCs w:val="32"/>
        </w:rPr>
        <w:t>Conclusion</w:t>
      </w:r>
      <w:bookmarkEnd w:id="7"/>
    </w:p>
    <w:p w14:paraId="416F7EA2" w14:textId="77777777" w:rsidR="00704498" w:rsidRDefault="00464DE4" w:rsidP="00AD69C6">
      <w:pPr>
        <w:spacing w:line="240" w:lineRule="auto"/>
        <w:jc w:val="both"/>
        <w:rPr>
          <w:rFonts w:ascii="Arial" w:eastAsiaTheme="minorEastAsia" w:hAnsi="Arial" w:cs="Arial"/>
        </w:rPr>
      </w:pPr>
      <w:r>
        <w:rPr>
          <w:rFonts w:ascii="Arial" w:eastAsiaTheme="minorEastAsia" w:hAnsi="Arial" w:cs="Arial"/>
        </w:rPr>
        <w:t>OHMR ag</w:t>
      </w:r>
      <w:r w:rsidR="00704498">
        <w:rPr>
          <w:rFonts w:ascii="Arial" w:eastAsiaTheme="minorEastAsia" w:hAnsi="Arial" w:cs="Arial"/>
        </w:rPr>
        <w:t>re</w:t>
      </w:r>
      <w:r>
        <w:rPr>
          <w:rFonts w:ascii="Arial" w:eastAsiaTheme="minorEastAsia" w:hAnsi="Arial" w:cs="Arial"/>
        </w:rPr>
        <w:t>e</w:t>
      </w:r>
      <w:r w:rsidR="00704498">
        <w:rPr>
          <w:rFonts w:ascii="Arial" w:eastAsiaTheme="minorEastAsia" w:hAnsi="Arial" w:cs="Arial"/>
        </w:rPr>
        <w:t xml:space="preserve">s that it </w:t>
      </w:r>
      <w:r w:rsidR="00704498" w:rsidRPr="00D57A60">
        <w:rPr>
          <w:rFonts w:ascii="Arial" w:eastAsiaTheme="minorEastAsia" w:hAnsi="Arial" w:cs="Arial"/>
        </w:rPr>
        <w:t xml:space="preserve">is important to </w:t>
      </w:r>
      <w:r w:rsidR="00704498">
        <w:rPr>
          <w:rFonts w:ascii="Arial" w:eastAsiaTheme="minorEastAsia" w:hAnsi="Arial" w:cs="Arial"/>
        </w:rPr>
        <w:t>leverage</w:t>
      </w:r>
      <w:r w:rsidR="00704498" w:rsidRPr="00D57A60">
        <w:rPr>
          <w:rFonts w:ascii="Arial" w:eastAsiaTheme="minorEastAsia" w:hAnsi="Arial" w:cs="Arial"/>
        </w:rPr>
        <w:t xml:space="preserve"> </w:t>
      </w:r>
      <w:r w:rsidR="00AD69C6">
        <w:rPr>
          <w:rFonts w:ascii="Arial" w:eastAsiaTheme="minorEastAsia" w:hAnsi="Arial" w:cs="Arial"/>
        </w:rPr>
        <w:t xml:space="preserve">state and federal </w:t>
      </w:r>
      <w:r w:rsidR="00704498" w:rsidRPr="00D57A60">
        <w:rPr>
          <w:rFonts w:ascii="Arial" w:eastAsiaTheme="minorEastAsia" w:hAnsi="Arial" w:cs="Arial"/>
        </w:rPr>
        <w:t>opportunities to translate r</w:t>
      </w:r>
      <w:r w:rsidR="00704498">
        <w:rPr>
          <w:rFonts w:ascii="Arial" w:eastAsiaTheme="minorEastAsia" w:hAnsi="Arial" w:cs="Arial"/>
        </w:rPr>
        <w:t xml:space="preserve">esearch and boost </w:t>
      </w:r>
      <w:r w:rsidR="00AD69C6">
        <w:rPr>
          <w:rFonts w:ascii="Arial" w:eastAsiaTheme="minorEastAsia" w:hAnsi="Arial" w:cs="Arial"/>
        </w:rPr>
        <w:t>commercial, healthcare and health system outcomes from research. Leveraging initiatives will enhance</w:t>
      </w:r>
      <w:r w:rsidR="00704498">
        <w:rPr>
          <w:rFonts w:ascii="Arial" w:eastAsiaTheme="minorEastAsia" w:hAnsi="Arial" w:cs="Arial"/>
        </w:rPr>
        <w:t xml:space="preserve"> productivity and competitiveness</w:t>
      </w:r>
      <w:r w:rsidR="00AD69C6">
        <w:rPr>
          <w:rFonts w:ascii="Arial" w:eastAsiaTheme="minorEastAsia" w:hAnsi="Arial" w:cs="Arial"/>
        </w:rPr>
        <w:t xml:space="preserve"> of Australia’s research sector and augment efforts to build research capability and </w:t>
      </w:r>
      <w:r w:rsidR="00704498">
        <w:rPr>
          <w:rFonts w:ascii="Arial" w:eastAsiaTheme="minorEastAsia" w:hAnsi="Arial" w:cs="Arial"/>
        </w:rPr>
        <w:t>workforce skills</w:t>
      </w:r>
      <w:r w:rsidR="00704498" w:rsidRPr="00D57A60">
        <w:rPr>
          <w:rFonts w:ascii="Arial" w:eastAsiaTheme="minorEastAsia" w:hAnsi="Arial" w:cs="Arial"/>
        </w:rPr>
        <w:t>.</w:t>
      </w:r>
    </w:p>
    <w:p w14:paraId="416F7EA3" w14:textId="77777777" w:rsidR="00704498" w:rsidRDefault="00704498" w:rsidP="00AD69C6">
      <w:pPr>
        <w:spacing w:line="240" w:lineRule="auto"/>
        <w:jc w:val="both"/>
        <w:rPr>
          <w:rFonts w:ascii="Arial" w:eastAsiaTheme="minorEastAsia" w:hAnsi="Arial" w:cs="Arial"/>
        </w:rPr>
      </w:pPr>
      <w:r>
        <w:rPr>
          <w:rFonts w:ascii="Arial" w:eastAsiaTheme="minorEastAsia" w:hAnsi="Arial" w:cs="Arial"/>
        </w:rPr>
        <w:t>OHMR’s current program of work aligns particularly with the principles of supporting research infrastructure, providing better access to research and increasing industry relevant research training.</w:t>
      </w:r>
    </w:p>
    <w:p w14:paraId="416F7EA4" w14:textId="77777777" w:rsidR="00C87251" w:rsidRDefault="00704498" w:rsidP="00AD69C6">
      <w:pPr>
        <w:pStyle w:val="PlainText"/>
        <w:jc w:val="both"/>
      </w:pPr>
      <w:r w:rsidRPr="004175C2">
        <w:rPr>
          <w:rFonts w:ascii="Arial" w:hAnsi="Arial" w:cs="Arial"/>
          <w:szCs w:val="22"/>
        </w:rPr>
        <w:t xml:space="preserve">OHMR is keen to work with the Commonwealth Government to ensure that the Strategy going forward sets out mechanisms to facilitate collaboration and </w:t>
      </w:r>
      <w:r w:rsidR="00AD69C6">
        <w:rPr>
          <w:rFonts w:ascii="Arial" w:hAnsi="Arial" w:cs="Arial"/>
          <w:szCs w:val="22"/>
        </w:rPr>
        <w:t>a</w:t>
      </w:r>
      <w:r w:rsidRPr="004175C2">
        <w:rPr>
          <w:rFonts w:ascii="Arial" w:hAnsi="Arial" w:cs="Arial"/>
          <w:szCs w:val="22"/>
        </w:rPr>
        <w:t xml:space="preserve"> framework to put results into practice. OHMR </w:t>
      </w:r>
      <w:r w:rsidR="00AD69C6">
        <w:rPr>
          <w:rFonts w:ascii="Arial" w:hAnsi="Arial" w:cs="Arial"/>
          <w:szCs w:val="22"/>
        </w:rPr>
        <w:t>looks forward to having</w:t>
      </w:r>
      <w:r w:rsidRPr="004175C2">
        <w:rPr>
          <w:rFonts w:ascii="Arial" w:hAnsi="Arial" w:cs="Arial"/>
          <w:szCs w:val="22"/>
        </w:rPr>
        <w:t xml:space="preserve"> a role in </w:t>
      </w:r>
      <w:r w:rsidRPr="004A7B15">
        <w:rPr>
          <w:rFonts w:ascii="Arial" w:hAnsi="Arial" w:cs="Arial"/>
          <w:szCs w:val="22"/>
        </w:rPr>
        <w:t>engaging with f</w:t>
      </w:r>
      <w:r>
        <w:rPr>
          <w:rFonts w:ascii="Arial" w:hAnsi="Arial" w:cs="Arial"/>
          <w:szCs w:val="22"/>
        </w:rPr>
        <w:t>ederal bodies and linking with C</w:t>
      </w:r>
      <w:r w:rsidRPr="004A7B15">
        <w:rPr>
          <w:rFonts w:ascii="Arial" w:hAnsi="Arial" w:cs="Arial"/>
          <w:szCs w:val="22"/>
        </w:rPr>
        <w:t>ommonwealth government agencies on behalf of the NSW health and medical research community</w:t>
      </w:r>
      <w:r w:rsidR="00AD69C6">
        <w:rPr>
          <w:rFonts w:ascii="Arial" w:hAnsi="Arial" w:cs="Arial"/>
          <w:szCs w:val="22"/>
        </w:rPr>
        <w:t>. OHMR, through the Hub strategy, is well placed</w:t>
      </w:r>
      <w:r>
        <w:rPr>
          <w:rFonts w:ascii="Arial" w:hAnsi="Arial" w:cs="Arial"/>
          <w:szCs w:val="22"/>
        </w:rPr>
        <w:t xml:space="preserve"> to </w:t>
      </w:r>
      <w:r w:rsidR="00AD69C6">
        <w:rPr>
          <w:rFonts w:ascii="Arial" w:hAnsi="Arial" w:cs="Arial"/>
          <w:szCs w:val="22"/>
        </w:rPr>
        <w:t>assist with</w:t>
      </w:r>
      <w:r>
        <w:rPr>
          <w:rFonts w:ascii="Arial" w:hAnsi="Arial" w:cs="Arial"/>
          <w:szCs w:val="22"/>
        </w:rPr>
        <w:t xml:space="preserve"> the translation of research into commercial outcomes that that will benefit Australia in the long term.</w:t>
      </w:r>
    </w:p>
    <w:sectPr w:rsidR="00C8725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F7EAB" w14:textId="77777777" w:rsidR="00A4364B" w:rsidRDefault="00A4364B" w:rsidP="00704498">
      <w:pPr>
        <w:spacing w:after="0" w:line="240" w:lineRule="auto"/>
      </w:pPr>
      <w:r>
        <w:separator/>
      </w:r>
    </w:p>
  </w:endnote>
  <w:endnote w:type="continuationSeparator" w:id="0">
    <w:p w14:paraId="416F7EAC" w14:textId="77777777" w:rsidR="00A4364B" w:rsidRDefault="00A4364B" w:rsidP="0070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087746"/>
      <w:docPartObj>
        <w:docPartGallery w:val="Page Numbers (Bottom of Page)"/>
        <w:docPartUnique/>
      </w:docPartObj>
    </w:sdtPr>
    <w:sdtEndPr>
      <w:rPr>
        <w:noProof/>
      </w:rPr>
    </w:sdtEndPr>
    <w:sdtContent>
      <w:p w14:paraId="416F7EAD" w14:textId="77777777" w:rsidR="00401698" w:rsidRDefault="00401698">
        <w:pPr>
          <w:pStyle w:val="Footer"/>
          <w:jc w:val="center"/>
        </w:pPr>
        <w:r>
          <w:rPr>
            <w:noProof/>
          </w:rPr>
          <mc:AlternateContent>
            <mc:Choice Requires="wps">
              <w:drawing>
                <wp:anchor distT="0" distB="0" distL="114300" distR="114300" simplePos="0" relativeHeight="251662336" behindDoc="0" locked="0" layoutInCell="1" allowOverlap="1" wp14:anchorId="416F7EB5" wp14:editId="416F7EB6">
                  <wp:simplePos x="0" y="0"/>
                  <wp:positionH relativeFrom="column">
                    <wp:posOffset>-858741</wp:posOffset>
                  </wp:positionH>
                  <wp:positionV relativeFrom="paragraph">
                    <wp:posOffset>-50331</wp:posOffset>
                  </wp:positionV>
                  <wp:extent cx="7362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62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6pt,-3.95pt" to="512.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" strokecolor="#4579b8 [3044]"/>
              </w:pict>
            </mc:Fallback>
          </mc:AlternateContent>
        </w:r>
        <w:r>
          <w:fldChar w:fldCharType="begin"/>
        </w:r>
        <w:r>
          <w:instrText xml:space="preserve"> PAGE   \* MERGEFORMAT </w:instrText>
        </w:r>
        <w:r>
          <w:fldChar w:fldCharType="separate"/>
        </w:r>
        <w:r w:rsidR="00583028">
          <w:rPr>
            <w:noProof/>
          </w:rPr>
          <w:t>5</w:t>
        </w:r>
        <w:r>
          <w:rPr>
            <w:noProof/>
          </w:rPr>
          <w:fldChar w:fldCharType="end"/>
        </w:r>
      </w:p>
    </w:sdtContent>
  </w:sdt>
  <w:p w14:paraId="416F7EAE" w14:textId="77777777" w:rsidR="00401698" w:rsidRDefault="00401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F7EA9" w14:textId="77777777" w:rsidR="00A4364B" w:rsidRDefault="00A4364B" w:rsidP="00704498">
      <w:pPr>
        <w:spacing w:after="0" w:line="240" w:lineRule="auto"/>
      </w:pPr>
      <w:r>
        <w:separator/>
      </w:r>
    </w:p>
  </w:footnote>
  <w:footnote w:type="continuationSeparator" w:id="0">
    <w:p w14:paraId="416F7EAA" w14:textId="77777777" w:rsidR="00A4364B" w:rsidRDefault="00A4364B" w:rsidP="00704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7EAF" w14:textId="77777777" w:rsidR="004302E7" w:rsidRDefault="004302E7" w:rsidP="00C91182">
    <w:pPr>
      <w:pStyle w:val="Header"/>
    </w:pPr>
    <w:r w:rsidRPr="00237A2E">
      <w:rPr>
        <w:noProof/>
      </w:rPr>
      <w:drawing>
        <wp:anchor distT="0" distB="0" distL="114300" distR="114300" simplePos="0" relativeHeight="251661312" behindDoc="1" locked="0" layoutInCell="1" allowOverlap="1" wp14:anchorId="416F7EB7" wp14:editId="416F7EB8">
          <wp:simplePos x="0" y="0"/>
          <wp:positionH relativeFrom="column">
            <wp:posOffset>-449470</wp:posOffset>
          </wp:positionH>
          <wp:positionV relativeFrom="paragraph">
            <wp:posOffset>-102870</wp:posOffset>
          </wp:positionV>
          <wp:extent cx="1931035" cy="857250"/>
          <wp:effectExtent l="0" t="0" r="0" b="0"/>
          <wp:wrapNone/>
          <wp:docPr id="1" name="Picture 1" descr="Health - NSW Gov - RGB col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NSW Gov - RGB col 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16F7EB0" w14:textId="77777777" w:rsidR="004302E7" w:rsidRDefault="004302E7" w:rsidP="00C91182">
    <w:pPr>
      <w:pStyle w:val="Header"/>
    </w:pPr>
  </w:p>
  <w:p w14:paraId="416F7EB1" w14:textId="77777777" w:rsidR="004302E7" w:rsidRDefault="004302E7" w:rsidP="00C91182">
    <w:pPr>
      <w:pStyle w:val="Header"/>
    </w:pPr>
  </w:p>
  <w:p w14:paraId="416F7EB2" w14:textId="77777777" w:rsidR="004302E7" w:rsidRDefault="004302E7" w:rsidP="00C91182">
    <w:pPr>
      <w:pStyle w:val="Header"/>
    </w:pPr>
  </w:p>
  <w:p w14:paraId="416F7EB3" w14:textId="77777777" w:rsidR="00E22AFA" w:rsidRDefault="00E22AFA" w:rsidP="00C91182">
    <w:pPr>
      <w:pStyle w:val="Header"/>
    </w:pPr>
  </w:p>
  <w:p w14:paraId="416F7EB4" w14:textId="77777777" w:rsidR="004302E7" w:rsidRPr="00C91182" w:rsidRDefault="00401698" w:rsidP="00C91182">
    <w:pPr>
      <w:pStyle w:val="Header"/>
    </w:pPr>
    <w:r>
      <w:rPr>
        <w:noProof/>
      </w:rPr>
      <mc:AlternateContent>
        <mc:Choice Requires="wps">
          <w:drawing>
            <wp:anchor distT="0" distB="0" distL="114300" distR="114300" simplePos="0" relativeHeight="251663360" behindDoc="0" locked="0" layoutInCell="1" allowOverlap="1" wp14:anchorId="416F7EB9" wp14:editId="416F7EBA">
              <wp:simplePos x="0" y="0"/>
              <wp:positionH relativeFrom="column">
                <wp:posOffset>-858741</wp:posOffset>
              </wp:positionH>
              <wp:positionV relativeFrom="paragraph">
                <wp:posOffset>49337</wp:posOffset>
              </wp:positionV>
              <wp:extent cx="7362825" cy="7620"/>
              <wp:effectExtent l="0" t="0" r="9525" b="30480"/>
              <wp:wrapNone/>
              <wp:docPr id="3" name="Straight Connector 3"/>
              <wp:cNvGraphicFramePr/>
              <a:graphic xmlns:a="http://schemas.openxmlformats.org/drawingml/2006/main">
                <a:graphicData uri="http://schemas.microsoft.com/office/word/2010/wordprocessingShape">
                  <wps:wsp>
                    <wps:cNvCnPr/>
                    <wps:spPr>
                      <a:xfrm flipV="1">
                        <a:off x="0" y="0"/>
                        <a:ext cx="736282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7.6pt,3.9pt" to="51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74"/>
    <w:multiLevelType w:val="hybridMultilevel"/>
    <w:tmpl w:val="C8FE3F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21C36EA7"/>
    <w:multiLevelType w:val="hybridMultilevel"/>
    <w:tmpl w:val="5B5A08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9A4B56"/>
    <w:multiLevelType w:val="hybridMultilevel"/>
    <w:tmpl w:val="C964A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2C2CC0"/>
    <w:multiLevelType w:val="hybridMultilevel"/>
    <w:tmpl w:val="1DD00898"/>
    <w:lvl w:ilvl="0" w:tplc="1CC28DB6">
      <w:start w:val="1"/>
      <w:numFmt w:val="bullet"/>
      <w:lvlText w:val=""/>
      <w:lvlJc w:val="left"/>
      <w:pPr>
        <w:tabs>
          <w:tab w:val="num" w:pos="720"/>
        </w:tabs>
        <w:ind w:left="720" w:hanging="360"/>
      </w:pPr>
      <w:rPr>
        <w:rFonts w:ascii="Wingdings" w:hAnsi="Wingdings" w:hint="default"/>
      </w:rPr>
    </w:lvl>
    <w:lvl w:ilvl="1" w:tplc="15DAC844" w:tentative="1">
      <w:start w:val="1"/>
      <w:numFmt w:val="bullet"/>
      <w:lvlText w:val=""/>
      <w:lvlJc w:val="left"/>
      <w:pPr>
        <w:tabs>
          <w:tab w:val="num" w:pos="1440"/>
        </w:tabs>
        <w:ind w:left="1440" w:hanging="360"/>
      </w:pPr>
      <w:rPr>
        <w:rFonts w:ascii="Wingdings" w:hAnsi="Wingdings" w:hint="default"/>
      </w:rPr>
    </w:lvl>
    <w:lvl w:ilvl="2" w:tplc="4E4E8308" w:tentative="1">
      <w:start w:val="1"/>
      <w:numFmt w:val="bullet"/>
      <w:lvlText w:val=""/>
      <w:lvlJc w:val="left"/>
      <w:pPr>
        <w:tabs>
          <w:tab w:val="num" w:pos="2160"/>
        </w:tabs>
        <w:ind w:left="2160" w:hanging="360"/>
      </w:pPr>
      <w:rPr>
        <w:rFonts w:ascii="Wingdings" w:hAnsi="Wingdings" w:hint="default"/>
      </w:rPr>
    </w:lvl>
    <w:lvl w:ilvl="3" w:tplc="73D42E92" w:tentative="1">
      <w:start w:val="1"/>
      <w:numFmt w:val="bullet"/>
      <w:lvlText w:val=""/>
      <w:lvlJc w:val="left"/>
      <w:pPr>
        <w:tabs>
          <w:tab w:val="num" w:pos="2880"/>
        </w:tabs>
        <w:ind w:left="2880" w:hanging="360"/>
      </w:pPr>
      <w:rPr>
        <w:rFonts w:ascii="Wingdings" w:hAnsi="Wingdings" w:hint="default"/>
      </w:rPr>
    </w:lvl>
    <w:lvl w:ilvl="4" w:tplc="ED2A2A3C" w:tentative="1">
      <w:start w:val="1"/>
      <w:numFmt w:val="bullet"/>
      <w:lvlText w:val=""/>
      <w:lvlJc w:val="left"/>
      <w:pPr>
        <w:tabs>
          <w:tab w:val="num" w:pos="3600"/>
        </w:tabs>
        <w:ind w:left="3600" w:hanging="360"/>
      </w:pPr>
      <w:rPr>
        <w:rFonts w:ascii="Wingdings" w:hAnsi="Wingdings" w:hint="default"/>
      </w:rPr>
    </w:lvl>
    <w:lvl w:ilvl="5" w:tplc="945043D0" w:tentative="1">
      <w:start w:val="1"/>
      <w:numFmt w:val="bullet"/>
      <w:lvlText w:val=""/>
      <w:lvlJc w:val="left"/>
      <w:pPr>
        <w:tabs>
          <w:tab w:val="num" w:pos="4320"/>
        </w:tabs>
        <w:ind w:left="4320" w:hanging="360"/>
      </w:pPr>
      <w:rPr>
        <w:rFonts w:ascii="Wingdings" w:hAnsi="Wingdings" w:hint="default"/>
      </w:rPr>
    </w:lvl>
    <w:lvl w:ilvl="6" w:tplc="0C321960" w:tentative="1">
      <w:start w:val="1"/>
      <w:numFmt w:val="bullet"/>
      <w:lvlText w:val=""/>
      <w:lvlJc w:val="left"/>
      <w:pPr>
        <w:tabs>
          <w:tab w:val="num" w:pos="5040"/>
        </w:tabs>
        <w:ind w:left="5040" w:hanging="360"/>
      </w:pPr>
      <w:rPr>
        <w:rFonts w:ascii="Wingdings" w:hAnsi="Wingdings" w:hint="default"/>
      </w:rPr>
    </w:lvl>
    <w:lvl w:ilvl="7" w:tplc="C636A994" w:tentative="1">
      <w:start w:val="1"/>
      <w:numFmt w:val="bullet"/>
      <w:lvlText w:val=""/>
      <w:lvlJc w:val="left"/>
      <w:pPr>
        <w:tabs>
          <w:tab w:val="num" w:pos="5760"/>
        </w:tabs>
        <w:ind w:left="5760" w:hanging="360"/>
      </w:pPr>
      <w:rPr>
        <w:rFonts w:ascii="Wingdings" w:hAnsi="Wingdings" w:hint="default"/>
      </w:rPr>
    </w:lvl>
    <w:lvl w:ilvl="8" w:tplc="1D90710E" w:tentative="1">
      <w:start w:val="1"/>
      <w:numFmt w:val="bullet"/>
      <w:lvlText w:val=""/>
      <w:lvlJc w:val="left"/>
      <w:pPr>
        <w:tabs>
          <w:tab w:val="num" w:pos="6480"/>
        </w:tabs>
        <w:ind w:left="6480" w:hanging="360"/>
      </w:pPr>
      <w:rPr>
        <w:rFonts w:ascii="Wingdings" w:hAnsi="Wingdings" w:hint="default"/>
      </w:rPr>
    </w:lvl>
  </w:abstractNum>
  <w:abstractNum w:abstractNumId="4">
    <w:nsid w:val="328964D5"/>
    <w:multiLevelType w:val="hybridMultilevel"/>
    <w:tmpl w:val="25C69680"/>
    <w:lvl w:ilvl="0" w:tplc="4EC08A30">
      <w:start w:val="1"/>
      <w:numFmt w:val="bullet"/>
      <w:lvlText w:val="•"/>
      <w:lvlJc w:val="left"/>
      <w:pPr>
        <w:tabs>
          <w:tab w:val="num" w:pos="720"/>
        </w:tabs>
        <w:ind w:left="720" w:hanging="360"/>
      </w:pPr>
      <w:rPr>
        <w:rFonts w:ascii="Arial" w:hAnsi="Arial" w:hint="default"/>
      </w:rPr>
    </w:lvl>
    <w:lvl w:ilvl="1" w:tplc="EAC2AC48" w:tentative="1">
      <w:start w:val="1"/>
      <w:numFmt w:val="bullet"/>
      <w:lvlText w:val="•"/>
      <w:lvlJc w:val="left"/>
      <w:pPr>
        <w:tabs>
          <w:tab w:val="num" w:pos="1440"/>
        </w:tabs>
        <w:ind w:left="1440" w:hanging="360"/>
      </w:pPr>
      <w:rPr>
        <w:rFonts w:ascii="Arial" w:hAnsi="Arial" w:hint="default"/>
      </w:rPr>
    </w:lvl>
    <w:lvl w:ilvl="2" w:tplc="B61E0D9E" w:tentative="1">
      <w:start w:val="1"/>
      <w:numFmt w:val="bullet"/>
      <w:lvlText w:val="•"/>
      <w:lvlJc w:val="left"/>
      <w:pPr>
        <w:tabs>
          <w:tab w:val="num" w:pos="2160"/>
        </w:tabs>
        <w:ind w:left="2160" w:hanging="360"/>
      </w:pPr>
      <w:rPr>
        <w:rFonts w:ascii="Arial" w:hAnsi="Arial" w:hint="default"/>
      </w:rPr>
    </w:lvl>
    <w:lvl w:ilvl="3" w:tplc="DBA0062E" w:tentative="1">
      <w:start w:val="1"/>
      <w:numFmt w:val="bullet"/>
      <w:lvlText w:val="•"/>
      <w:lvlJc w:val="left"/>
      <w:pPr>
        <w:tabs>
          <w:tab w:val="num" w:pos="2880"/>
        </w:tabs>
        <w:ind w:left="2880" w:hanging="360"/>
      </w:pPr>
      <w:rPr>
        <w:rFonts w:ascii="Arial" w:hAnsi="Arial" w:hint="default"/>
      </w:rPr>
    </w:lvl>
    <w:lvl w:ilvl="4" w:tplc="9392CFF6" w:tentative="1">
      <w:start w:val="1"/>
      <w:numFmt w:val="bullet"/>
      <w:lvlText w:val="•"/>
      <w:lvlJc w:val="left"/>
      <w:pPr>
        <w:tabs>
          <w:tab w:val="num" w:pos="3600"/>
        </w:tabs>
        <w:ind w:left="3600" w:hanging="360"/>
      </w:pPr>
      <w:rPr>
        <w:rFonts w:ascii="Arial" w:hAnsi="Arial" w:hint="default"/>
      </w:rPr>
    </w:lvl>
    <w:lvl w:ilvl="5" w:tplc="B77807BC" w:tentative="1">
      <w:start w:val="1"/>
      <w:numFmt w:val="bullet"/>
      <w:lvlText w:val="•"/>
      <w:lvlJc w:val="left"/>
      <w:pPr>
        <w:tabs>
          <w:tab w:val="num" w:pos="4320"/>
        </w:tabs>
        <w:ind w:left="4320" w:hanging="360"/>
      </w:pPr>
      <w:rPr>
        <w:rFonts w:ascii="Arial" w:hAnsi="Arial" w:hint="default"/>
      </w:rPr>
    </w:lvl>
    <w:lvl w:ilvl="6" w:tplc="31F4AA8A" w:tentative="1">
      <w:start w:val="1"/>
      <w:numFmt w:val="bullet"/>
      <w:lvlText w:val="•"/>
      <w:lvlJc w:val="left"/>
      <w:pPr>
        <w:tabs>
          <w:tab w:val="num" w:pos="5040"/>
        </w:tabs>
        <w:ind w:left="5040" w:hanging="360"/>
      </w:pPr>
      <w:rPr>
        <w:rFonts w:ascii="Arial" w:hAnsi="Arial" w:hint="default"/>
      </w:rPr>
    </w:lvl>
    <w:lvl w:ilvl="7" w:tplc="0F081976" w:tentative="1">
      <w:start w:val="1"/>
      <w:numFmt w:val="bullet"/>
      <w:lvlText w:val="•"/>
      <w:lvlJc w:val="left"/>
      <w:pPr>
        <w:tabs>
          <w:tab w:val="num" w:pos="5760"/>
        </w:tabs>
        <w:ind w:left="5760" w:hanging="360"/>
      </w:pPr>
      <w:rPr>
        <w:rFonts w:ascii="Arial" w:hAnsi="Arial" w:hint="default"/>
      </w:rPr>
    </w:lvl>
    <w:lvl w:ilvl="8" w:tplc="15248E72" w:tentative="1">
      <w:start w:val="1"/>
      <w:numFmt w:val="bullet"/>
      <w:lvlText w:val="•"/>
      <w:lvlJc w:val="left"/>
      <w:pPr>
        <w:tabs>
          <w:tab w:val="num" w:pos="6480"/>
        </w:tabs>
        <w:ind w:left="6480" w:hanging="360"/>
      </w:pPr>
      <w:rPr>
        <w:rFonts w:ascii="Arial" w:hAnsi="Arial" w:hint="default"/>
      </w:rPr>
    </w:lvl>
  </w:abstractNum>
  <w:abstractNum w:abstractNumId="5">
    <w:nsid w:val="42351EAF"/>
    <w:multiLevelType w:val="hybridMultilevel"/>
    <w:tmpl w:val="B5B0C84E"/>
    <w:lvl w:ilvl="0" w:tplc="D5D037D0">
      <w:start w:val="1"/>
      <w:numFmt w:val="bullet"/>
      <w:lvlText w:val="•"/>
      <w:lvlJc w:val="left"/>
      <w:pPr>
        <w:tabs>
          <w:tab w:val="num" w:pos="720"/>
        </w:tabs>
        <w:ind w:left="720" w:hanging="360"/>
      </w:pPr>
      <w:rPr>
        <w:rFonts w:ascii="Arial" w:hAnsi="Arial" w:hint="default"/>
      </w:rPr>
    </w:lvl>
    <w:lvl w:ilvl="1" w:tplc="A26A653E" w:tentative="1">
      <w:start w:val="1"/>
      <w:numFmt w:val="bullet"/>
      <w:lvlText w:val="•"/>
      <w:lvlJc w:val="left"/>
      <w:pPr>
        <w:tabs>
          <w:tab w:val="num" w:pos="1440"/>
        </w:tabs>
        <w:ind w:left="1440" w:hanging="360"/>
      </w:pPr>
      <w:rPr>
        <w:rFonts w:ascii="Arial" w:hAnsi="Arial" w:hint="default"/>
      </w:rPr>
    </w:lvl>
    <w:lvl w:ilvl="2" w:tplc="5F7EE1F6" w:tentative="1">
      <w:start w:val="1"/>
      <w:numFmt w:val="bullet"/>
      <w:lvlText w:val="•"/>
      <w:lvlJc w:val="left"/>
      <w:pPr>
        <w:tabs>
          <w:tab w:val="num" w:pos="2160"/>
        </w:tabs>
        <w:ind w:left="2160" w:hanging="360"/>
      </w:pPr>
      <w:rPr>
        <w:rFonts w:ascii="Arial" w:hAnsi="Arial" w:hint="default"/>
      </w:rPr>
    </w:lvl>
    <w:lvl w:ilvl="3" w:tplc="5284ECF2" w:tentative="1">
      <w:start w:val="1"/>
      <w:numFmt w:val="bullet"/>
      <w:lvlText w:val="•"/>
      <w:lvlJc w:val="left"/>
      <w:pPr>
        <w:tabs>
          <w:tab w:val="num" w:pos="2880"/>
        </w:tabs>
        <w:ind w:left="2880" w:hanging="360"/>
      </w:pPr>
      <w:rPr>
        <w:rFonts w:ascii="Arial" w:hAnsi="Arial" w:hint="default"/>
      </w:rPr>
    </w:lvl>
    <w:lvl w:ilvl="4" w:tplc="B1EC27D8" w:tentative="1">
      <w:start w:val="1"/>
      <w:numFmt w:val="bullet"/>
      <w:lvlText w:val="•"/>
      <w:lvlJc w:val="left"/>
      <w:pPr>
        <w:tabs>
          <w:tab w:val="num" w:pos="3600"/>
        </w:tabs>
        <w:ind w:left="3600" w:hanging="360"/>
      </w:pPr>
      <w:rPr>
        <w:rFonts w:ascii="Arial" w:hAnsi="Arial" w:hint="default"/>
      </w:rPr>
    </w:lvl>
    <w:lvl w:ilvl="5" w:tplc="EDF67904" w:tentative="1">
      <w:start w:val="1"/>
      <w:numFmt w:val="bullet"/>
      <w:lvlText w:val="•"/>
      <w:lvlJc w:val="left"/>
      <w:pPr>
        <w:tabs>
          <w:tab w:val="num" w:pos="4320"/>
        </w:tabs>
        <w:ind w:left="4320" w:hanging="360"/>
      </w:pPr>
      <w:rPr>
        <w:rFonts w:ascii="Arial" w:hAnsi="Arial" w:hint="default"/>
      </w:rPr>
    </w:lvl>
    <w:lvl w:ilvl="6" w:tplc="EF2E425C" w:tentative="1">
      <w:start w:val="1"/>
      <w:numFmt w:val="bullet"/>
      <w:lvlText w:val="•"/>
      <w:lvlJc w:val="left"/>
      <w:pPr>
        <w:tabs>
          <w:tab w:val="num" w:pos="5040"/>
        </w:tabs>
        <w:ind w:left="5040" w:hanging="360"/>
      </w:pPr>
      <w:rPr>
        <w:rFonts w:ascii="Arial" w:hAnsi="Arial" w:hint="default"/>
      </w:rPr>
    </w:lvl>
    <w:lvl w:ilvl="7" w:tplc="40E646B6" w:tentative="1">
      <w:start w:val="1"/>
      <w:numFmt w:val="bullet"/>
      <w:lvlText w:val="•"/>
      <w:lvlJc w:val="left"/>
      <w:pPr>
        <w:tabs>
          <w:tab w:val="num" w:pos="5760"/>
        </w:tabs>
        <w:ind w:left="5760" w:hanging="360"/>
      </w:pPr>
      <w:rPr>
        <w:rFonts w:ascii="Arial" w:hAnsi="Arial" w:hint="default"/>
      </w:rPr>
    </w:lvl>
    <w:lvl w:ilvl="8" w:tplc="308270CE" w:tentative="1">
      <w:start w:val="1"/>
      <w:numFmt w:val="bullet"/>
      <w:lvlText w:val="•"/>
      <w:lvlJc w:val="left"/>
      <w:pPr>
        <w:tabs>
          <w:tab w:val="num" w:pos="6480"/>
        </w:tabs>
        <w:ind w:left="6480" w:hanging="360"/>
      </w:pPr>
      <w:rPr>
        <w:rFonts w:ascii="Arial" w:hAnsi="Arial" w:hint="default"/>
      </w:rPr>
    </w:lvl>
  </w:abstractNum>
  <w:abstractNum w:abstractNumId="6">
    <w:nsid w:val="52C92917"/>
    <w:multiLevelType w:val="hybridMultilevel"/>
    <w:tmpl w:val="0D9204F2"/>
    <w:lvl w:ilvl="0" w:tplc="2A0A0BB2">
      <w:start w:val="1"/>
      <w:numFmt w:val="bullet"/>
      <w:lvlText w:val="•"/>
      <w:lvlJc w:val="left"/>
      <w:pPr>
        <w:tabs>
          <w:tab w:val="num" w:pos="720"/>
        </w:tabs>
        <w:ind w:left="720" w:hanging="360"/>
      </w:pPr>
      <w:rPr>
        <w:rFonts w:ascii="Arial" w:hAnsi="Arial" w:hint="default"/>
      </w:rPr>
    </w:lvl>
    <w:lvl w:ilvl="1" w:tplc="2BEEC204" w:tentative="1">
      <w:start w:val="1"/>
      <w:numFmt w:val="bullet"/>
      <w:lvlText w:val="•"/>
      <w:lvlJc w:val="left"/>
      <w:pPr>
        <w:tabs>
          <w:tab w:val="num" w:pos="1440"/>
        </w:tabs>
        <w:ind w:left="1440" w:hanging="360"/>
      </w:pPr>
      <w:rPr>
        <w:rFonts w:ascii="Arial" w:hAnsi="Arial" w:hint="default"/>
      </w:rPr>
    </w:lvl>
    <w:lvl w:ilvl="2" w:tplc="A9046FF2" w:tentative="1">
      <w:start w:val="1"/>
      <w:numFmt w:val="bullet"/>
      <w:lvlText w:val="•"/>
      <w:lvlJc w:val="left"/>
      <w:pPr>
        <w:tabs>
          <w:tab w:val="num" w:pos="2160"/>
        </w:tabs>
        <w:ind w:left="2160" w:hanging="360"/>
      </w:pPr>
      <w:rPr>
        <w:rFonts w:ascii="Arial" w:hAnsi="Arial" w:hint="default"/>
      </w:rPr>
    </w:lvl>
    <w:lvl w:ilvl="3" w:tplc="20A2709A" w:tentative="1">
      <w:start w:val="1"/>
      <w:numFmt w:val="bullet"/>
      <w:lvlText w:val="•"/>
      <w:lvlJc w:val="left"/>
      <w:pPr>
        <w:tabs>
          <w:tab w:val="num" w:pos="2880"/>
        </w:tabs>
        <w:ind w:left="2880" w:hanging="360"/>
      </w:pPr>
      <w:rPr>
        <w:rFonts w:ascii="Arial" w:hAnsi="Arial" w:hint="default"/>
      </w:rPr>
    </w:lvl>
    <w:lvl w:ilvl="4" w:tplc="3F564504" w:tentative="1">
      <w:start w:val="1"/>
      <w:numFmt w:val="bullet"/>
      <w:lvlText w:val="•"/>
      <w:lvlJc w:val="left"/>
      <w:pPr>
        <w:tabs>
          <w:tab w:val="num" w:pos="3600"/>
        </w:tabs>
        <w:ind w:left="3600" w:hanging="360"/>
      </w:pPr>
      <w:rPr>
        <w:rFonts w:ascii="Arial" w:hAnsi="Arial" w:hint="default"/>
      </w:rPr>
    </w:lvl>
    <w:lvl w:ilvl="5" w:tplc="FD5C65AC" w:tentative="1">
      <w:start w:val="1"/>
      <w:numFmt w:val="bullet"/>
      <w:lvlText w:val="•"/>
      <w:lvlJc w:val="left"/>
      <w:pPr>
        <w:tabs>
          <w:tab w:val="num" w:pos="4320"/>
        </w:tabs>
        <w:ind w:left="4320" w:hanging="360"/>
      </w:pPr>
      <w:rPr>
        <w:rFonts w:ascii="Arial" w:hAnsi="Arial" w:hint="default"/>
      </w:rPr>
    </w:lvl>
    <w:lvl w:ilvl="6" w:tplc="FE582EA6" w:tentative="1">
      <w:start w:val="1"/>
      <w:numFmt w:val="bullet"/>
      <w:lvlText w:val="•"/>
      <w:lvlJc w:val="left"/>
      <w:pPr>
        <w:tabs>
          <w:tab w:val="num" w:pos="5040"/>
        </w:tabs>
        <w:ind w:left="5040" w:hanging="360"/>
      </w:pPr>
      <w:rPr>
        <w:rFonts w:ascii="Arial" w:hAnsi="Arial" w:hint="default"/>
      </w:rPr>
    </w:lvl>
    <w:lvl w:ilvl="7" w:tplc="0AB04F22" w:tentative="1">
      <w:start w:val="1"/>
      <w:numFmt w:val="bullet"/>
      <w:lvlText w:val="•"/>
      <w:lvlJc w:val="left"/>
      <w:pPr>
        <w:tabs>
          <w:tab w:val="num" w:pos="5760"/>
        </w:tabs>
        <w:ind w:left="5760" w:hanging="360"/>
      </w:pPr>
      <w:rPr>
        <w:rFonts w:ascii="Arial" w:hAnsi="Arial" w:hint="default"/>
      </w:rPr>
    </w:lvl>
    <w:lvl w:ilvl="8" w:tplc="4AFE7842" w:tentative="1">
      <w:start w:val="1"/>
      <w:numFmt w:val="bullet"/>
      <w:lvlText w:val="•"/>
      <w:lvlJc w:val="left"/>
      <w:pPr>
        <w:tabs>
          <w:tab w:val="num" w:pos="6480"/>
        </w:tabs>
        <w:ind w:left="6480" w:hanging="360"/>
      </w:pPr>
      <w:rPr>
        <w:rFonts w:ascii="Arial" w:hAnsi="Arial" w:hint="default"/>
      </w:rPr>
    </w:lvl>
  </w:abstractNum>
  <w:abstractNum w:abstractNumId="7">
    <w:nsid w:val="53DE2CAE"/>
    <w:multiLevelType w:val="hybridMultilevel"/>
    <w:tmpl w:val="9CB4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CA0121"/>
    <w:multiLevelType w:val="hybridMultilevel"/>
    <w:tmpl w:val="FAD8D45E"/>
    <w:lvl w:ilvl="0" w:tplc="C3A2B79C">
      <w:start w:val="1"/>
      <w:numFmt w:val="bullet"/>
      <w:lvlText w:val="•"/>
      <w:lvlJc w:val="left"/>
      <w:pPr>
        <w:tabs>
          <w:tab w:val="num" w:pos="720"/>
        </w:tabs>
        <w:ind w:left="720" w:hanging="360"/>
      </w:pPr>
      <w:rPr>
        <w:rFonts w:ascii="Arial" w:hAnsi="Arial" w:hint="default"/>
      </w:rPr>
    </w:lvl>
    <w:lvl w:ilvl="1" w:tplc="7CE035D8" w:tentative="1">
      <w:start w:val="1"/>
      <w:numFmt w:val="bullet"/>
      <w:lvlText w:val="•"/>
      <w:lvlJc w:val="left"/>
      <w:pPr>
        <w:tabs>
          <w:tab w:val="num" w:pos="1440"/>
        </w:tabs>
        <w:ind w:left="1440" w:hanging="360"/>
      </w:pPr>
      <w:rPr>
        <w:rFonts w:ascii="Arial" w:hAnsi="Arial" w:hint="default"/>
      </w:rPr>
    </w:lvl>
    <w:lvl w:ilvl="2" w:tplc="0D96B40E" w:tentative="1">
      <w:start w:val="1"/>
      <w:numFmt w:val="bullet"/>
      <w:lvlText w:val="•"/>
      <w:lvlJc w:val="left"/>
      <w:pPr>
        <w:tabs>
          <w:tab w:val="num" w:pos="2160"/>
        </w:tabs>
        <w:ind w:left="2160" w:hanging="360"/>
      </w:pPr>
      <w:rPr>
        <w:rFonts w:ascii="Arial" w:hAnsi="Arial" w:hint="default"/>
      </w:rPr>
    </w:lvl>
    <w:lvl w:ilvl="3" w:tplc="17068CCE" w:tentative="1">
      <w:start w:val="1"/>
      <w:numFmt w:val="bullet"/>
      <w:lvlText w:val="•"/>
      <w:lvlJc w:val="left"/>
      <w:pPr>
        <w:tabs>
          <w:tab w:val="num" w:pos="2880"/>
        </w:tabs>
        <w:ind w:left="2880" w:hanging="360"/>
      </w:pPr>
      <w:rPr>
        <w:rFonts w:ascii="Arial" w:hAnsi="Arial" w:hint="default"/>
      </w:rPr>
    </w:lvl>
    <w:lvl w:ilvl="4" w:tplc="47F85E0C" w:tentative="1">
      <w:start w:val="1"/>
      <w:numFmt w:val="bullet"/>
      <w:lvlText w:val="•"/>
      <w:lvlJc w:val="left"/>
      <w:pPr>
        <w:tabs>
          <w:tab w:val="num" w:pos="3600"/>
        </w:tabs>
        <w:ind w:left="3600" w:hanging="360"/>
      </w:pPr>
      <w:rPr>
        <w:rFonts w:ascii="Arial" w:hAnsi="Arial" w:hint="default"/>
      </w:rPr>
    </w:lvl>
    <w:lvl w:ilvl="5" w:tplc="7F3A5960" w:tentative="1">
      <w:start w:val="1"/>
      <w:numFmt w:val="bullet"/>
      <w:lvlText w:val="•"/>
      <w:lvlJc w:val="left"/>
      <w:pPr>
        <w:tabs>
          <w:tab w:val="num" w:pos="4320"/>
        </w:tabs>
        <w:ind w:left="4320" w:hanging="360"/>
      </w:pPr>
      <w:rPr>
        <w:rFonts w:ascii="Arial" w:hAnsi="Arial" w:hint="default"/>
      </w:rPr>
    </w:lvl>
    <w:lvl w:ilvl="6" w:tplc="351A82B2" w:tentative="1">
      <w:start w:val="1"/>
      <w:numFmt w:val="bullet"/>
      <w:lvlText w:val="•"/>
      <w:lvlJc w:val="left"/>
      <w:pPr>
        <w:tabs>
          <w:tab w:val="num" w:pos="5040"/>
        </w:tabs>
        <w:ind w:left="5040" w:hanging="360"/>
      </w:pPr>
      <w:rPr>
        <w:rFonts w:ascii="Arial" w:hAnsi="Arial" w:hint="default"/>
      </w:rPr>
    </w:lvl>
    <w:lvl w:ilvl="7" w:tplc="6CCC5C9C" w:tentative="1">
      <w:start w:val="1"/>
      <w:numFmt w:val="bullet"/>
      <w:lvlText w:val="•"/>
      <w:lvlJc w:val="left"/>
      <w:pPr>
        <w:tabs>
          <w:tab w:val="num" w:pos="5760"/>
        </w:tabs>
        <w:ind w:left="5760" w:hanging="360"/>
      </w:pPr>
      <w:rPr>
        <w:rFonts w:ascii="Arial" w:hAnsi="Arial" w:hint="default"/>
      </w:rPr>
    </w:lvl>
    <w:lvl w:ilvl="8" w:tplc="51A8E92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2"/>
  </w:num>
  <w:num w:numId="4">
    <w:abstractNumId w:val="0"/>
  </w:num>
  <w:num w:numId="5">
    <w:abstractNumId w:val="5"/>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AF"/>
    <w:rsid w:val="0000129E"/>
    <w:rsid w:val="00206EF3"/>
    <w:rsid w:val="002A3B47"/>
    <w:rsid w:val="00354BCE"/>
    <w:rsid w:val="003725BF"/>
    <w:rsid w:val="00401698"/>
    <w:rsid w:val="004302E7"/>
    <w:rsid w:val="00464DE4"/>
    <w:rsid w:val="004E64AF"/>
    <w:rsid w:val="005049AF"/>
    <w:rsid w:val="00583028"/>
    <w:rsid w:val="005B346A"/>
    <w:rsid w:val="005F074C"/>
    <w:rsid w:val="00704498"/>
    <w:rsid w:val="0071535B"/>
    <w:rsid w:val="007E4164"/>
    <w:rsid w:val="007E4C0C"/>
    <w:rsid w:val="00845EF7"/>
    <w:rsid w:val="00862B0D"/>
    <w:rsid w:val="00886665"/>
    <w:rsid w:val="00A4364B"/>
    <w:rsid w:val="00AA725C"/>
    <w:rsid w:val="00AD69C6"/>
    <w:rsid w:val="00BC7FD1"/>
    <w:rsid w:val="00C02B9A"/>
    <w:rsid w:val="00C10AAA"/>
    <w:rsid w:val="00C13C21"/>
    <w:rsid w:val="00C15E37"/>
    <w:rsid w:val="00C77930"/>
    <w:rsid w:val="00C87251"/>
    <w:rsid w:val="00CF6E89"/>
    <w:rsid w:val="00D35E96"/>
    <w:rsid w:val="00E22AFA"/>
    <w:rsid w:val="00E460D3"/>
    <w:rsid w:val="00E75993"/>
    <w:rsid w:val="00EF4980"/>
    <w:rsid w:val="00EF4CA4"/>
    <w:rsid w:val="00F31027"/>
    <w:rsid w:val="00F32AD8"/>
    <w:rsid w:val="00FA3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F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98"/>
  </w:style>
  <w:style w:type="paragraph" w:styleId="Heading1">
    <w:name w:val="heading 1"/>
    <w:basedOn w:val="Normal"/>
    <w:next w:val="Normal"/>
    <w:link w:val="Heading1Char"/>
    <w:uiPriority w:val="9"/>
    <w:qFormat/>
    <w:rsid w:val="00704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44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4C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41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449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04498"/>
    <w:pPr>
      <w:tabs>
        <w:tab w:val="center" w:pos="4513"/>
        <w:tab w:val="right" w:pos="9026"/>
      </w:tabs>
      <w:spacing w:after="0" w:line="240" w:lineRule="auto"/>
    </w:pPr>
    <w:rPr>
      <w:rFonts w:eastAsiaTheme="minorEastAsia"/>
      <w:lang w:eastAsia="en-AU"/>
    </w:rPr>
  </w:style>
  <w:style w:type="character" w:customStyle="1" w:styleId="HeaderChar">
    <w:name w:val="Header Char"/>
    <w:basedOn w:val="DefaultParagraphFont"/>
    <w:link w:val="Header"/>
    <w:uiPriority w:val="99"/>
    <w:rsid w:val="00704498"/>
    <w:rPr>
      <w:rFonts w:eastAsiaTheme="minorEastAsia"/>
      <w:lang w:eastAsia="en-AU"/>
    </w:rPr>
  </w:style>
  <w:style w:type="paragraph" w:styleId="Footer">
    <w:name w:val="footer"/>
    <w:basedOn w:val="Normal"/>
    <w:link w:val="FooterChar"/>
    <w:uiPriority w:val="99"/>
    <w:unhideWhenUsed/>
    <w:rsid w:val="00704498"/>
    <w:pPr>
      <w:tabs>
        <w:tab w:val="center" w:pos="4513"/>
        <w:tab w:val="right" w:pos="9026"/>
      </w:tabs>
      <w:spacing w:after="0" w:line="240" w:lineRule="auto"/>
    </w:pPr>
    <w:rPr>
      <w:rFonts w:eastAsiaTheme="minorEastAsia"/>
      <w:lang w:eastAsia="en-AU"/>
    </w:rPr>
  </w:style>
  <w:style w:type="character" w:customStyle="1" w:styleId="FooterChar">
    <w:name w:val="Footer Char"/>
    <w:basedOn w:val="DefaultParagraphFont"/>
    <w:link w:val="Footer"/>
    <w:uiPriority w:val="99"/>
    <w:rsid w:val="00704498"/>
    <w:rPr>
      <w:rFonts w:eastAsiaTheme="minorEastAsia"/>
      <w:lang w:eastAsia="en-AU"/>
    </w:rPr>
  </w:style>
  <w:style w:type="paragraph" w:styleId="ListParagraph">
    <w:name w:val="List Paragraph"/>
    <w:aliases w:val="List Paragraph1,Recommendation,List Paragraph11,L,bullet point list,standard lewis"/>
    <w:basedOn w:val="Normal"/>
    <w:link w:val="ListParagraphChar"/>
    <w:uiPriority w:val="34"/>
    <w:qFormat/>
    <w:rsid w:val="00704498"/>
    <w:pPr>
      <w:ind w:left="720"/>
      <w:contextualSpacing/>
    </w:pPr>
  </w:style>
  <w:style w:type="paragraph" w:styleId="PlainText">
    <w:name w:val="Plain Text"/>
    <w:basedOn w:val="Normal"/>
    <w:link w:val="PlainTextChar"/>
    <w:uiPriority w:val="99"/>
    <w:unhideWhenUsed/>
    <w:rsid w:val="007044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4498"/>
    <w:rPr>
      <w:rFonts w:ascii="Calibri" w:hAnsi="Calibri"/>
      <w:szCs w:val="21"/>
    </w:rPr>
  </w:style>
  <w:style w:type="paragraph" w:styleId="TOCHeading">
    <w:name w:val="TOC Heading"/>
    <w:basedOn w:val="Heading1"/>
    <w:next w:val="Normal"/>
    <w:uiPriority w:val="39"/>
    <w:unhideWhenUsed/>
    <w:qFormat/>
    <w:rsid w:val="00704498"/>
    <w:pPr>
      <w:outlineLvl w:val="9"/>
    </w:pPr>
    <w:rPr>
      <w:lang w:val="en-US" w:eastAsia="ja-JP"/>
    </w:rPr>
  </w:style>
  <w:style w:type="paragraph" w:styleId="TOC2">
    <w:name w:val="toc 2"/>
    <w:basedOn w:val="Normal"/>
    <w:next w:val="Normal"/>
    <w:autoRedefine/>
    <w:uiPriority w:val="39"/>
    <w:unhideWhenUsed/>
    <w:rsid w:val="00704498"/>
    <w:pPr>
      <w:tabs>
        <w:tab w:val="right" w:leader="dot" w:pos="9016"/>
      </w:tabs>
      <w:spacing w:after="100"/>
    </w:pPr>
  </w:style>
  <w:style w:type="paragraph" w:styleId="TOC1">
    <w:name w:val="toc 1"/>
    <w:basedOn w:val="Normal"/>
    <w:next w:val="Normal"/>
    <w:autoRedefine/>
    <w:uiPriority w:val="39"/>
    <w:unhideWhenUsed/>
    <w:rsid w:val="00704498"/>
    <w:pPr>
      <w:tabs>
        <w:tab w:val="right" w:leader="dot" w:pos="9016"/>
      </w:tabs>
      <w:spacing w:after="100"/>
    </w:pPr>
    <w:rPr>
      <w:noProof/>
    </w:rPr>
  </w:style>
  <w:style w:type="character" w:styleId="Hyperlink">
    <w:name w:val="Hyperlink"/>
    <w:basedOn w:val="DefaultParagraphFont"/>
    <w:uiPriority w:val="99"/>
    <w:unhideWhenUsed/>
    <w:rsid w:val="00704498"/>
    <w:rPr>
      <w:color w:val="0000FF" w:themeColor="hyperlink"/>
      <w:u w:val="single"/>
    </w:rPr>
  </w:style>
  <w:style w:type="paragraph" w:customStyle="1" w:styleId="Letters-smallitalic">
    <w:name w:val="Letters - small italic"/>
    <w:basedOn w:val="ListParagraph"/>
    <w:qFormat/>
    <w:rsid w:val="00704498"/>
    <w:pPr>
      <w:spacing w:before="240" w:after="120"/>
      <w:ind w:left="357" w:hanging="357"/>
    </w:pPr>
    <w:rPr>
      <w:rFonts w:ascii="Arial" w:eastAsia="Times New Roman" w:hAnsi="Arial" w:cs="Times New Roman"/>
      <w:i/>
      <w:color w:val="4F81BD" w:themeColor="accent1"/>
      <w:sz w:val="24"/>
      <w:lang w:eastAsia="en-AU"/>
    </w:rPr>
  </w:style>
  <w:style w:type="character" w:customStyle="1" w:styleId="ListParagraphChar">
    <w:name w:val="List Paragraph Char"/>
    <w:aliases w:val="List Paragraph1 Char,Recommendation Char,List Paragraph11 Char,L Char,bullet point list Char,standard lewis Char"/>
    <w:basedOn w:val="DefaultParagraphFont"/>
    <w:link w:val="ListParagraph"/>
    <w:uiPriority w:val="34"/>
    <w:locked/>
    <w:rsid w:val="00704498"/>
  </w:style>
  <w:style w:type="paragraph" w:styleId="BalloonText">
    <w:name w:val="Balloon Text"/>
    <w:basedOn w:val="Normal"/>
    <w:link w:val="BalloonTextChar"/>
    <w:uiPriority w:val="99"/>
    <w:semiHidden/>
    <w:unhideWhenUsed/>
    <w:rsid w:val="00704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98"/>
    <w:rPr>
      <w:rFonts w:ascii="Tahoma" w:hAnsi="Tahoma" w:cs="Tahoma"/>
      <w:sz w:val="16"/>
      <w:szCs w:val="16"/>
    </w:rPr>
  </w:style>
  <w:style w:type="paragraph" w:styleId="NormalWeb">
    <w:name w:val="Normal (Web)"/>
    <w:basedOn w:val="Normal"/>
    <w:uiPriority w:val="99"/>
    <w:semiHidden/>
    <w:unhideWhenUsed/>
    <w:rsid w:val="004302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7E4C0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E41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164"/>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7E416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98"/>
  </w:style>
  <w:style w:type="paragraph" w:styleId="Heading1">
    <w:name w:val="heading 1"/>
    <w:basedOn w:val="Normal"/>
    <w:next w:val="Normal"/>
    <w:link w:val="Heading1Char"/>
    <w:uiPriority w:val="9"/>
    <w:qFormat/>
    <w:rsid w:val="00704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44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4C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41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449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04498"/>
    <w:pPr>
      <w:tabs>
        <w:tab w:val="center" w:pos="4513"/>
        <w:tab w:val="right" w:pos="9026"/>
      </w:tabs>
      <w:spacing w:after="0" w:line="240" w:lineRule="auto"/>
    </w:pPr>
    <w:rPr>
      <w:rFonts w:eastAsiaTheme="minorEastAsia"/>
      <w:lang w:eastAsia="en-AU"/>
    </w:rPr>
  </w:style>
  <w:style w:type="character" w:customStyle="1" w:styleId="HeaderChar">
    <w:name w:val="Header Char"/>
    <w:basedOn w:val="DefaultParagraphFont"/>
    <w:link w:val="Header"/>
    <w:uiPriority w:val="99"/>
    <w:rsid w:val="00704498"/>
    <w:rPr>
      <w:rFonts w:eastAsiaTheme="minorEastAsia"/>
      <w:lang w:eastAsia="en-AU"/>
    </w:rPr>
  </w:style>
  <w:style w:type="paragraph" w:styleId="Footer">
    <w:name w:val="footer"/>
    <w:basedOn w:val="Normal"/>
    <w:link w:val="FooterChar"/>
    <w:uiPriority w:val="99"/>
    <w:unhideWhenUsed/>
    <w:rsid w:val="00704498"/>
    <w:pPr>
      <w:tabs>
        <w:tab w:val="center" w:pos="4513"/>
        <w:tab w:val="right" w:pos="9026"/>
      </w:tabs>
      <w:spacing w:after="0" w:line="240" w:lineRule="auto"/>
    </w:pPr>
    <w:rPr>
      <w:rFonts w:eastAsiaTheme="minorEastAsia"/>
      <w:lang w:eastAsia="en-AU"/>
    </w:rPr>
  </w:style>
  <w:style w:type="character" w:customStyle="1" w:styleId="FooterChar">
    <w:name w:val="Footer Char"/>
    <w:basedOn w:val="DefaultParagraphFont"/>
    <w:link w:val="Footer"/>
    <w:uiPriority w:val="99"/>
    <w:rsid w:val="00704498"/>
    <w:rPr>
      <w:rFonts w:eastAsiaTheme="minorEastAsia"/>
      <w:lang w:eastAsia="en-AU"/>
    </w:rPr>
  </w:style>
  <w:style w:type="paragraph" w:styleId="ListParagraph">
    <w:name w:val="List Paragraph"/>
    <w:aliases w:val="List Paragraph1,Recommendation,List Paragraph11,L,bullet point list,standard lewis"/>
    <w:basedOn w:val="Normal"/>
    <w:link w:val="ListParagraphChar"/>
    <w:uiPriority w:val="34"/>
    <w:qFormat/>
    <w:rsid w:val="00704498"/>
    <w:pPr>
      <w:ind w:left="720"/>
      <w:contextualSpacing/>
    </w:pPr>
  </w:style>
  <w:style w:type="paragraph" w:styleId="PlainText">
    <w:name w:val="Plain Text"/>
    <w:basedOn w:val="Normal"/>
    <w:link w:val="PlainTextChar"/>
    <w:uiPriority w:val="99"/>
    <w:unhideWhenUsed/>
    <w:rsid w:val="007044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4498"/>
    <w:rPr>
      <w:rFonts w:ascii="Calibri" w:hAnsi="Calibri"/>
      <w:szCs w:val="21"/>
    </w:rPr>
  </w:style>
  <w:style w:type="paragraph" w:styleId="TOCHeading">
    <w:name w:val="TOC Heading"/>
    <w:basedOn w:val="Heading1"/>
    <w:next w:val="Normal"/>
    <w:uiPriority w:val="39"/>
    <w:unhideWhenUsed/>
    <w:qFormat/>
    <w:rsid w:val="00704498"/>
    <w:pPr>
      <w:outlineLvl w:val="9"/>
    </w:pPr>
    <w:rPr>
      <w:lang w:val="en-US" w:eastAsia="ja-JP"/>
    </w:rPr>
  </w:style>
  <w:style w:type="paragraph" w:styleId="TOC2">
    <w:name w:val="toc 2"/>
    <w:basedOn w:val="Normal"/>
    <w:next w:val="Normal"/>
    <w:autoRedefine/>
    <w:uiPriority w:val="39"/>
    <w:unhideWhenUsed/>
    <w:rsid w:val="00704498"/>
    <w:pPr>
      <w:tabs>
        <w:tab w:val="right" w:leader="dot" w:pos="9016"/>
      </w:tabs>
      <w:spacing w:after="100"/>
    </w:pPr>
  </w:style>
  <w:style w:type="paragraph" w:styleId="TOC1">
    <w:name w:val="toc 1"/>
    <w:basedOn w:val="Normal"/>
    <w:next w:val="Normal"/>
    <w:autoRedefine/>
    <w:uiPriority w:val="39"/>
    <w:unhideWhenUsed/>
    <w:rsid w:val="00704498"/>
    <w:pPr>
      <w:tabs>
        <w:tab w:val="right" w:leader="dot" w:pos="9016"/>
      </w:tabs>
      <w:spacing w:after="100"/>
    </w:pPr>
    <w:rPr>
      <w:noProof/>
    </w:rPr>
  </w:style>
  <w:style w:type="character" w:styleId="Hyperlink">
    <w:name w:val="Hyperlink"/>
    <w:basedOn w:val="DefaultParagraphFont"/>
    <w:uiPriority w:val="99"/>
    <w:unhideWhenUsed/>
    <w:rsid w:val="00704498"/>
    <w:rPr>
      <w:color w:val="0000FF" w:themeColor="hyperlink"/>
      <w:u w:val="single"/>
    </w:rPr>
  </w:style>
  <w:style w:type="paragraph" w:customStyle="1" w:styleId="Letters-smallitalic">
    <w:name w:val="Letters - small italic"/>
    <w:basedOn w:val="ListParagraph"/>
    <w:qFormat/>
    <w:rsid w:val="00704498"/>
    <w:pPr>
      <w:spacing w:before="240" w:after="120"/>
      <w:ind w:left="357" w:hanging="357"/>
    </w:pPr>
    <w:rPr>
      <w:rFonts w:ascii="Arial" w:eastAsia="Times New Roman" w:hAnsi="Arial" w:cs="Times New Roman"/>
      <w:i/>
      <w:color w:val="4F81BD" w:themeColor="accent1"/>
      <w:sz w:val="24"/>
      <w:lang w:eastAsia="en-AU"/>
    </w:rPr>
  </w:style>
  <w:style w:type="character" w:customStyle="1" w:styleId="ListParagraphChar">
    <w:name w:val="List Paragraph Char"/>
    <w:aliases w:val="List Paragraph1 Char,Recommendation Char,List Paragraph11 Char,L Char,bullet point list Char,standard lewis Char"/>
    <w:basedOn w:val="DefaultParagraphFont"/>
    <w:link w:val="ListParagraph"/>
    <w:uiPriority w:val="34"/>
    <w:locked/>
    <w:rsid w:val="00704498"/>
  </w:style>
  <w:style w:type="paragraph" w:styleId="BalloonText">
    <w:name w:val="Balloon Text"/>
    <w:basedOn w:val="Normal"/>
    <w:link w:val="BalloonTextChar"/>
    <w:uiPriority w:val="99"/>
    <w:semiHidden/>
    <w:unhideWhenUsed/>
    <w:rsid w:val="00704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98"/>
    <w:rPr>
      <w:rFonts w:ascii="Tahoma" w:hAnsi="Tahoma" w:cs="Tahoma"/>
      <w:sz w:val="16"/>
      <w:szCs w:val="16"/>
    </w:rPr>
  </w:style>
  <w:style w:type="paragraph" w:styleId="NormalWeb">
    <w:name w:val="Normal (Web)"/>
    <w:basedOn w:val="Normal"/>
    <w:uiPriority w:val="99"/>
    <w:semiHidden/>
    <w:unhideWhenUsed/>
    <w:rsid w:val="004302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7E4C0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E41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164"/>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7E416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9515">
      <w:bodyDiv w:val="1"/>
      <w:marLeft w:val="0"/>
      <w:marRight w:val="0"/>
      <w:marTop w:val="0"/>
      <w:marBottom w:val="0"/>
      <w:divBdr>
        <w:top w:val="none" w:sz="0" w:space="0" w:color="auto"/>
        <w:left w:val="none" w:sz="0" w:space="0" w:color="auto"/>
        <w:bottom w:val="none" w:sz="0" w:space="0" w:color="auto"/>
        <w:right w:val="none" w:sz="0" w:space="0" w:color="auto"/>
      </w:divBdr>
      <w:divsChild>
        <w:div w:id="702629387">
          <w:marLeft w:val="562"/>
          <w:marRight w:val="0"/>
          <w:marTop w:val="240"/>
          <w:marBottom w:val="120"/>
          <w:divBdr>
            <w:top w:val="none" w:sz="0" w:space="0" w:color="auto"/>
            <w:left w:val="none" w:sz="0" w:space="0" w:color="auto"/>
            <w:bottom w:val="none" w:sz="0" w:space="0" w:color="auto"/>
            <w:right w:val="none" w:sz="0" w:space="0" w:color="auto"/>
          </w:divBdr>
        </w:div>
        <w:div w:id="939945912">
          <w:marLeft w:val="562"/>
          <w:marRight w:val="0"/>
          <w:marTop w:val="240"/>
          <w:marBottom w:val="120"/>
          <w:divBdr>
            <w:top w:val="none" w:sz="0" w:space="0" w:color="auto"/>
            <w:left w:val="none" w:sz="0" w:space="0" w:color="auto"/>
            <w:bottom w:val="none" w:sz="0" w:space="0" w:color="auto"/>
            <w:right w:val="none" w:sz="0" w:space="0" w:color="auto"/>
          </w:divBdr>
        </w:div>
      </w:divsChild>
    </w:div>
    <w:div w:id="904336040">
      <w:bodyDiv w:val="1"/>
      <w:marLeft w:val="0"/>
      <w:marRight w:val="0"/>
      <w:marTop w:val="0"/>
      <w:marBottom w:val="0"/>
      <w:divBdr>
        <w:top w:val="none" w:sz="0" w:space="0" w:color="auto"/>
        <w:left w:val="none" w:sz="0" w:space="0" w:color="auto"/>
        <w:bottom w:val="none" w:sz="0" w:space="0" w:color="auto"/>
        <w:right w:val="none" w:sz="0" w:space="0" w:color="auto"/>
      </w:divBdr>
    </w:div>
    <w:div w:id="1378042179">
      <w:bodyDiv w:val="1"/>
      <w:marLeft w:val="0"/>
      <w:marRight w:val="0"/>
      <w:marTop w:val="0"/>
      <w:marBottom w:val="0"/>
      <w:divBdr>
        <w:top w:val="none" w:sz="0" w:space="0" w:color="auto"/>
        <w:left w:val="none" w:sz="0" w:space="0" w:color="auto"/>
        <w:bottom w:val="none" w:sz="0" w:space="0" w:color="auto"/>
        <w:right w:val="none" w:sz="0" w:space="0" w:color="auto"/>
      </w:divBdr>
      <w:divsChild>
        <w:div w:id="202132481">
          <w:marLeft w:val="850"/>
          <w:marRight w:val="0"/>
          <w:marTop w:val="240"/>
          <w:marBottom w:val="120"/>
          <w:divBdr>
            <w:top w:val="none" w:sz="0" w:space="0" w:color="auto"/>
            <w:left w:val="none" w:sz="0" w:space="0" w:color="auto"/>
            <w:bottom w:val="none" w:sz="0" w:space="0" w:color="auto"/>
            <w:right w:val="none" w:sz="0" w:space="0" w:color="auto"/>
          </w:divBdr>
        </w:div>
        <w:div w:id="1739278185">
          <w:marLeft w:val="850"/>
          <w:marRight w:val="0"/>
          <w:marTop w:val="240"/>
          <w:marBottom w:val="120"/>
          <w:divBdr>
            <w:top w:val="none" w:sz="0" w:space="0" w:color="auto"/>
            <w:left w:val="none" w:sz="0" w:space="0" w:color="auto"/>
            <w:bottom w:val="none" w:sz="0" w:space="0" w:color="auto"/>
            <w:right w:val="none" w:sz="0" w:space="0" w:color="auto"/>
          </w:divBdr>
        </w:div>
        <w:div w:id="694968526">
          <w:marLeft w:val="850"/>
          <w:marRight w:val="0"/>
          <w:marTop w:val="240"/>
          <w:marBottom w:val="120"/>
          <w:divBdr>
            <w:top w:val="none" w:sz="0" w:space="0" w:color="auto"/>
            <w:left w:val="none" w:sz="0" w:space="0" w:color="auto"/>
            <w:bottom w:val="none" w:sz="0" w:space="0" w:color="auto"/>
            <w:right w:val="none" w:sz="0" w:space="0" w:color="auto"/>
          </w:divBdr>
        </w:div>
      </w:divsChild>
    </w:div>
    <w:div w:id="1743212588">
      <w:bodyDiv w:val="1"/>
      <w:marLeft w:val="0"/>
      <w:marRight w:val="0"/>
      <w:marTop w:val="0"/>
      <w:marBottom w:val="0"/>
      <w:divBdr>
        <w:top w:val="none" w:sz="0" w:space="0" w:color="auto"/>
        <w:left w:val="none" w:sz="0" w:space="0" w:color="auto"/>
        <w:bottom w:val="none" w:sz="0" w:space="0" w:color="auto"/>
        <w:right w:val="none" w:sz="0" w:space="0" w:color="auto"/>
      </w:divBdr>
      <w:divsChild>
        <w:div w:id="189609737">
          <w:marLeft w:val="562"/>
          <w:marRight w:val="0"/>
          <w:marTop w:val="240"/>
          <w:marBottom w:val="120"/>
          <w:divBdr>
            <w:top w:val="none" w:sz="0" w:space="0" w:color="auto"/>
            <w:left w:val="none" w:sz="0" w:space="0" w:color="auto"/>
            <w:bottom w:val="none" w:sz="0" w:space="0" w:color="auto"/>
            <w:right w:val="none" w:sz="0" w:space="0" w:color="auto"/>
          </w:divBdr>
        </w:div>
      </w:divsChild>
    </w:div>
    <w:div w:id="1955091546">
      <w:bodyDiv w:val="1"/>
      <w:marLeft w:val="0"/>
      <w:marRight w:val="0"/>
      <w:marTop w:val="0"/>
      <w:marBottom w:val="0"/>
      <w:divBdr>
        <w:top w:val="none" w:sz="0" w:space="0" w:color="auto"/>
        <w:left w:val="none" w:sz="0" w:space="0" w:color="auto"/>
        <w:bottom w:val="none" w:sz="0" w:space="0" w:color="auto"/>
        <w:right w:val="none" w:sz="0" w:space="0" w:color="auto"/>
      </w:divBdr>
      <w:divsChild>
        <w:div w:id="103428998">
          <w:marLeft w:val="562"/>
          <w:marRight w:val="0"/>
          <w:marTop w:val="0"/>
          <w:marBottom w:val="0"/>
          <w:divBdr>
            <w:top w:val="none" w:sz="0" w:space="0" w:color="auto"/>
            <w:left w:val="none" w:sz="0" w:space="0" w:color="auto"/>
            <w:bottom w:val="none" w:sz="0" w:space="0" w:color="auto"/>
            <w:right w:val="none" w:sz="0" w:space="0" w:color="auto"/>
          </w:divBdr>
        </w:div>
        <w:div w:id="99685070">
          <w:marLeft w:val="562"/>
          <w:marRight w:val="0"/>
          <w:marTop w:val="60"/>
          <w:marBottom w:val="0"/>
          <w:divBdr>
            <w:top w:val="none" w:sz="0" w:space="0" w:color="auto"/>
            <w:left w:val="none" w:sz="0" w:space="0" w:color="auto"/>
            <w:bottom w:val="none" w:sz="0" w:space="0" w:color="auto"/>
            <w:right w:val="none" w:sz="0" w:space="0" w:color="auto"/>
          </w:divBdr>
        </w:div>
        <w:div w:id="1399593185">
          <w:marLeft w:val="562"/>
          <w:marRight w:val="0"/>
          <w:marTop w:val="60"/>
          <w:marBottom w:val="0"/>
          <w:divBdr>
            <w:top w:val="none" w:sz="0" w:space="0" w:color="auto"/>
            <w:left w:val="none" w:sz="0" w:space="0" w:color="auto"/>
            <w:bottom w:val="none" w:sz="0" w:space="0" w:color="auto"/>
            <w:right w:val="none" w:sz="0" w:space="0" w:color="auto"/>
          </w:divBdr>
        </w:div>
        <w:div w:id="1155099384">
          <w:marLeft w:val="562"/>
          <w:marRight w:val="0"/>
          <w:marTop w:val="60"/>
          <w:marBottom w:val="0"/>
          <w:divBdr>
            <w:top w:val="none" w:sz="0" w:space="0" w:color="auto"/>
            <w:left w:val="none" w:sz="0" w:space="0" w:color="auto"/>
            <w:bottom w:val="none" w:sz="0" w:space="0" w:color="auto"/>
            <w:right w:val="none" w:sz="0" w:space="0" w:color="auto"/>
          </w:divBdr>
        </w:div>
        <w:div w:id="1103650836">
          <w:marLeft w:val="562"/>
          <w:marRight w:val="0"/>
          <w:marTop w:val="60"/>
          <w:marBottom w:val="0"/>
          <w:divBdr>
            <w:top w:val="none" w:sz="0" w:space="0" w:color="auto"/>
            <w:left w:val="none" w:sz="0" w:space="0" w:color="auto"/>
            <w:bottom w:val="none" w:sz="0" w:space="0" w:color="auto"/>
            <w:right w:val="none" w:sz="0" w:space="0" w:color="auto"/>
          </w:divBdr>
        </w:div>
      </w:divsChild>
    </w:div>
    <w:div w:id="2102602976">
      <w:bodyDiv w:val="1"/>
      <w:marLeft w:val="0"/>
      <w:marRight w:val="0"/>
      <w:marTop w:val="0"/>
      <w:marBottom w:val="0"/>
      <w:divBdr>
        <w:top w:val="none" w:sz="0" w:space="0" w:color="auto"/>
        <w:left w:val="none" w:sz="0" w:space="0" w:color="auto"/>
        <w:bottom w:val="none" w:sz="0" w:space="0" w:color="auto"/>
        <w:right w:val="none" w:sz="0" w:space="0" w:color="auto"/>
      </w:divBdr>
      <w:divsChild>
        <w:div w:id="586814228">
          <w:marLeft w:val="562"/>
          <w:marRight w:val="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nsw.gov.au/ohmr/Documents/OHMR-Hubs-Strategy-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BCR1400096</SubmissionID>
    <OriginalFileName xmlns="ed110c73-9675-4a40-bedd-85eaf2417466">Boosting the commercial returns from research – OHMR response.DOCX</OriginalFileName>
  </documentManagement>
</p:properties>
</file>

<file path=customXml/itemProps1.xml><?xml version="1.0" encoding="utf-8"?>
<ds:datastoreItem xmlns:ds="http://schemas.openxmlformats.org/officeDocument/2006/customXml" ds:itemID="{E4DAA886-30BD-4F3C-882E-86B87D4E207A}"/>
</file>

<file path=customXml/itemProps2.xml><?xml version="1.0" encoding="utf-8"?>
<ds:datastoreItem xmlns:ds="http://schemas.openxmlformats.org/officeDocument/2006/customXml" ds:itemID="{A0340BDC-5308-4B0D-9341-02F90FBD628D}"/>
</file>

<file path=customXml/itemProps3.xml><?xml version="1.0" encoding="utf-8"?>
<ds:datastoreItem xmlns:ds="http://schemas.openxmlformats.org/officeDocument/2006/customXml" ds:itemID="{933CFA7F-CB2A-4D93-B278-02E98F0929FA}"/>
</file>

<file path=docProps/app.xml><?xml version="1.0" encoding="utf-8"?>
<Properties xmlns="http://schemas.openxmlformats.org/officeDocument/2006/extended-properties" xmlns:vt="http://schemas.openxmlformats.org/officeDocument/2006/docPropsVTypes">
  <Template>BC5A8941.dotm</Template>
  <TotalTime>188</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1_Boosting_the_commercial_return_OfficeforHealthandMedicalResearch_05122014_BCR1400096.DOCX</vt:lpstr>
    </vt:vector>
  </TitlesOfParts>
  <Company>NSW Ministry of Health</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1_Boosting_the_commercial_return_OfficeforHealthandMedicalResearch_05122014_BCR1400096.DOCX</dc:title>
  <dc:creator>rseng</dc:creator>
  <cp:lastModifiedBy>Drew Menzies-McVey</cp:lastModifiedBy>
  <cp:revision>12</cp:revision>
  <cp:lastPrinted>2015-02-23T01:15:00Z</cp:lastPrinted>
  <dcterms:created xsi:type="dcterms:W3CDTF">2014-11-27T04:10:00Z</dcterms:created>
  <dcterms:modified xsi:type="dcterms:W3CDTF">2015-02-23T01:15:00Z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