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5634D" w14:textId="77777777" w:rsidR="00AE7D42" w:rsidRDefault="00381E3A" w:rsidP="00AE7D42">
      <w:pPr>
        <w:spacing w:after="0" w:line="240" w:lineRule="auto"/>
      </w:pPr>
      <w:bookmarkStart w:id="0" w:name="_GoBack"/>
      <w:bookmarkEnd w:id="0"/>
      <w:r>
        <w:t xml:space="preserve">28 November </w:t>
      </w:r>
      <w:r w:rsidR="006455EA">
        <w:t>2014</w:t>
      </w:r>
    </w:p>
    <w:p w14:paraId="54E5634E" w14:textId="77777777" w:rsidR="00AE7D42" w:rsidRDefault="00AE7D42" w:rsidP="00AE7D42">
      <w:pPr>
        <w:spacing w:after="0" w:line="240" w:lineRule="auto"/>
      </w:pPr>
    </w:p>
    <w:p w14:paraId="54E5634F" w14:textId="77777777" w:rsidR="005D65C9" w:rsidRDefault="00990D44" w:rsidP="00AE7D42">
      <w:pPr>
        <w:spacing w:after="0" w:line="240" w:lineRule="auto"/>
      </w:pPr>
      <w:r>
        <w:t>Department of Education</w:t>
      </w:r>
      <w:r>
        <w:br/>
        <w:t>GPO Box 9880</w:t>
      </w:r>
      <w:r>
        <w:br/>
        <w:t>Canberra ACT 2601</w:t>
      </w:r>
    </w:p>
    <w:p w14:paraId="54E56350" w14:textId="77777777" w:rsidR="002156B7" w:rsidRDefault="002156B7" w:rsidP="00AE7D42">
      <w:pPr>
        <w:spacing w:after="0" w:line="240" w:lineRule="auto"/>
      </w:pPr>
    </w:p>
    <w:p w14:paraId="54E56351" w14:textId="77777777" w:rsidR="00990D44" w:rsidRDefault="002156B7" w:rsidP="00AE7D42">
      <w:pPr>
        <w:spacing w:after="0" w:line="240" w:lineRule="auto"/>
      </w:pPr>
      <w:r>
        <w:t xml:space="preserve">Email: </w:t>
      </w:r>
      <w:hyperlink r:id="rId12" w:history="1">
        <w:r w:rsidRPr="00A075AD">
          <w:rPr>
            <w:rStyle w:val="Hyperlink"/>
          </w:rPr>
          <w:t>reviewconsultations@education.gov.au</w:t>
        </w:r>
      </w:hyperlink>
      <w:r>
        <w:t xml:space="preserve"> </w:t>
      </w:r>
    </w:p>
    <w:p w14:paraId="54E56352" w14:textId="77777777" w:rsidR="00114DE8" w:rsidRDefault="00114DE8" w:rsidP="00BB0F85">
      <w:pPr>
        <w:spacing w:after="0" w:line="240" w:lineRule="auto"/>
      </w:pPr>
    </w:p>
    <w:p w14:paraId="54E56353" w14:textId="77777777" w:rsidR="002156B7" w:rsidRDefault="002156B7" w:rsidP="00BB0F85">
      <w:pPr>
        <w:spacing w:after="0" w:line="240" w:lineRule="auto"/>
      </w:pPr>
    </w:p>
    <w:p w14:paraId="54E56354" w14:textId="77777777" w:rsidR="00CA4F1E" w:rsidRDefault="00CA4F1E" w:rsidP="00CA4F1E">
      <w:r>
        <w:t xml:space="preserve">Dear </w:t>
      </w:r>
      <w:r w:rsidR="006455EA" w:rsidRPr="00392288">
        <w:t>Sir/Madam</w:t>
      </w:r>
      <w:r w:rsidR="00AE7D42">
        <w:t>,</w:t>
      </w:r>
    </w:p>
    <w:p w14:paraId="54E56355" w14:textId="77777777" w:rsidR="00AE7D42" w:rsidRPr="00AE7D42" w:rsidRDefault="00381E3A" w:rsidP="00CA4F1E">
      <w:pPr>
        <w:rPr>
          <w:b/>
        </w:rPr>
      </w:pPr>
      <w:r>
        <w:rPr>
          <w:b/>
        </w:rPr>
        <w:t>Boosting the Commercial Returns from Research</w:t>
      </w:r>
    </w:p>
    <w:p w14:paraId="54E56356" w14:textId="77777777" w:rsidR="006455EA" w:rsidRDefault="00561ADF" w:rsidP="00B31062">
      <w:r>
        <w:t xml:space="preserve">The Australian Private Equity and Venture Capital Association (AVCAL) welcomes the opportunity to make a submission to </w:t>
      </w:r>
      <w:r w:rsidR="005D65C9">
        <w:t xml:space="preserve">the </w:t>
      </w:r>
      <w:r w:rsidR="00381E3A">
        <w:t xml:space="preserve">Government's consultation on </w:t>
      </w:r>
      <w:r w:rsidR="005D65C9">
        <w:t xml:space="preserve">reforms to boost </w:t>
      </w:r>
      <w:r w:rsidR="00381E3A">
        <w:t>the commercial returns from research</w:t>
      </w:r>
      <w:r>
        <w:t xml:space="preserve">. </w:t>
      </w:r>
      <w:r w:rsidR="00831607">
        <w:t xml:space="preserve"> </w:t>
      </w:r>
    </w:p>
    <w:p w14:paraId="54E56357" w14:textId="77777777" w:rsidR="00C802BC" w:rsidRDefault="00C802BC" w:rsidP="00C802BC">
      <w:r w:rsidRPr="006455EA">
        <w:t xml:space="preserve">AVCAL represents the venture capital (VC) and private equity (PE) industry in Australia, which </w:t>
      </w:r>
      <w:r w:rsidR="006A3E02">
        <w:t>has a combined total of over $25</w:t>
      </w:r>
      <w:r w:rsidRPr="006455EA">
        <w:t xml:space="preserve"> billion in funds under management for domestic and offshore investors. VC and PE firms invest in </w:t>
      </w:r>
      <w:r w:rsidR="00610A77">
        <w:t xml:space="preserve">innovative, high-growth businesses across all stages of development, and </w:t>
      </w:r>
      <w:r w:rsidRPr="006455EA">
        <w:t>across almost every corner of our national economy. These investments help to support around half a million jobs, and contribute over four per cent every year to our national economic output</w:t>
      </w:r>
      <w:r w:rsidR="00140EA2">
        <w:t xml:space="preserve"> every year</w:t>
      </w:r>
      <w:r>
        <w:t xml:space="preserve">. </w:t>
      </w:r>
    </w:p>
    <w:p w14:paraId="54E56358" w14:textId="77777777" w:rsidR="002457A7" w:rsidRDefault="005D65C9" w:rsidP="00B31062">
      <w:r>
        <w:t xml:space="preserve">For some time, </w:t>
      </w:r>
      <w:r w:rsidR="00EA5016">
        <w:t xml:space="preserve">AVCAL has </w:t>
      </w:r>
      <w:r w:rsidR="00140EA2">
        <w:t xml:space="preserve">consistently maintained </w:t>
      </w:r>
      <w:r w:rsidR="00EA5016">
        <w:t xml:space="preserve">that </w:t>
      </w:r>
      <w:r w:rsidR="002457A7">
        <w:t xml:space="preserve">policy </w:t>
      </w:r>
      <w:r>
        <w:t xml:space="preserve">changes </w:t>
      </w:r>
      <w:r w:rsidR="002457A7">
        <w:t>need</w:t>
      </w:r>
      <w:r>
        <w:t xml:space="preserve"> to be made</w:t>
      </w:r>
      <w:r w:rsidR="002457A7">
        <w:t xml:space="preserve"> to strengthen the nexus between publicly-funded research and real economic outcomes for Australians. </w:t>
      </w:r>
    </w:p>
    <w:p w14:paraId="54E56359" w14:textId="77777777" w:rsidR="00C802BC" w:rsidRDefault="005D65C9" w:rsidP="00B31062">
      <w:r>
        <w:t>At a macroeconomic level for Australia, t</w:t>
      </w:r>
      <w:r w:rsidR="00BC20C1">
        <w:t xml:space="preserve">he </w:t>
      </w:r>
      <w:r>
        <w:t xml:space="preserve">slow-down </w:t>
      </w:r>
      <w:r w:rsidR="00BC20C1">
        <w:t xml:space="preserve">of the mining boom brings with it the urgent need to build on new areas of competitive advantage to ensure </w:t>
      </w:r>
      <w:r>
        <w:t xml:space="preserve">our </w:t>
      </w:r>
      <w:r w:rsidR="00BC20C1">
        <w:t>future prosperity.</w:t>
      </w:r>
      <w:r w:rsidR="00EA5016">
        <w:t xml:space="preserve"> </w:t>
      </w:r>
      <w:r w:rsidR="00BC20C1">
        <w:t xml:space="preserve">As a result, we need to take </w:t>
      </w:r>
      <w:r w:rsidR="00EA5016">
        <w:t xml:space="preserve">every opportunity possible to position </w:t>
      </w:r>
      <w:r w:rsidR="00BC20C1">
        <w:t xml:space="preserve">the nation </w:t>
      </w:r>
      <w:r w:rsidR="00EA5016">
        <w:t xml:space="preserve">to </w:t>
      </w:r>
      <w:r w:rsidR="00BC20C1">
        <w:t xml:space="preserve">effectively </w:t>
      </w:r>
      <w:r w:rsidR="00EA5016">
        <w:t xml:space="preserve">compete with other jurisdictions that </w:t>
      </w:r>
      <w:r>
        <w:t xml:space="preserve">have implemented </w:t>
      </w:r>
      <w:r w:rsidR="00C802BC">
        <w:t xml:space="preserve">targeted policies </w:t>
      </w:r>
      <w:r>
        <w:t xml:space="preserve">aimed at </w:t>
      </w:r>
      <w:r w:rsidR="00B00377">
        <w:t>improving</w:t>
      </w:r>
      <w:r w:rsidR="00C802BC">
        <w:t xml:space="preserve"> their capacity to </w:t>
      </w:r>
      <w:r w:rsidR="00BC20C1">
        <w:t xml:space="preserve">translate </w:t>
      </w:r>
      <w:r w:rsidR="000C7453">
        <w:t>home-grown</w:t>
      </w:r>
      <w:r w:rsidR="00BC20C1">
        <w:t xml:space="preserve"> research into commercial successes</w:t>
      </w:r>
      <w:r w:rsidR="00C802BC">
        <w:t xml:space="preserve">. </w:t>
      </w:r>
    </w:p>
    <w:p w14:paraId="54E5635A" w14:textId="77777777" w:rsidR="00DA451D" w:rsidRDefault="007170B4" w:rsidP="00CA4F1E">
      <w:r>
        <w:t xml:space="preserve">While the Government's discussion paper "Boosting the Commercial Returns from Research" </w:t>
      </w:r>
      <w:r w:rsidR="00162E7D">
        <w:t xml:space="preserve">(the Discussion Paper) </w:t>
      </w:r>
      <w:r w:rsidR="005D65C9">
        <w:t xml:space="preserve">canvasses </w:t>
      </w:r>
      <w:r>
        <w:t xml:space="preserve">a range of </w:t>
      </w:r>
      <w:r w:rsidR="005D65C9">
        <w:t xml:space="preserve">important </w:t>
      </w:r>
      <w:r>
        <w:t xml:space="preserve">issues, </w:t>
      </w:r>
      <w:r w:rsidR="005D65C9">
        <w:t xml:space="preserve">in our view </w:t>
      </w:r>
      <w:r w:rsidR="00DA451D">
        <w:t>t</w:t>
      </w:r>
      <w:r w:rsidRPr="007170B4">
        <w:t xml:space="preserve">he </w:t>
      </w:r>
      <w:r w:rsidR="00DA451D">
        <w:t xml:space="preserve">single </w:t>
      </w:r>
      <w:r w:rsidRPr="007170B4">
        <w:t xml:space="preserve">most </w:t>
      </w:r>
      <w:r w:rsidR="00DA451D">
        <w:t xml:space="preserve">significant </w:t>
      </w:r>
      <w:r w:rsidRPr="007170B4">
        <w:t xml:space="preserve">impediment to </w:t>
      </w:r>
      <w:r w:rsidR="005D65C9">
        <w:t xml:space="preserve">improving the economic returns from publicly-funded </w:t>
      </w:r>
      <w:r>
        <w:t>r</w:t>
      </w:r>
      <w:r w:rsidRPr="007170B4">
        <w:t xml:space="preserve">esearch in Australia </w:t>
      </w:r>
      <w:r w:rsidR="00DA451D">
        <w:t xml:space="preserve">today </w:t>
      </w:r>
      <w:r w:rsidRPr="007170B4">
        <w:t xml:space="preserve">is </w:t>
      </w:r>
      <w:r>
        <w:t xml:space="preserve">the </w:t>
      </w:r>
      <w:r w:rsidRPr="007170B4">
        <w:t xml:space="preserve">lack of </w:t>
      </w:r>
      <w:r w:rsidR="00DA451D">
        <w:t xml:space="preserve">patient risk </w:t>
      </w:r>
      <w:r w:rsidRPr="007170B4">
        <w:t>capital</w:t>
      </w:r>
      <w:r w:rsidR="00DA451D">
        <w:t xml:space="preserve"> to fund commercialisation efforts</w:t>
      </w:r>
      <w:r>
        <w:t xml:space="preserve">. </w:t>
      </w:r>
      <w:r w:rsidRPr="007170B4">
        <w:t xml:space="preserve"> </w:t>
      </w:r>
    </w:p>
    <w:p w14:paraId="54E5635B" w14:textId="77777777" w:rsidR="007170B4" w:rsidRDefault="005D65C9" w:rsidP="00CA4F1E">
      <w:r>
        <w:t>It is apparent to us that t</w:t>
      </w:r>
      <w:r w:rsidR="007170B4">
        <w:t xml:space="preserve">here </w:t>
      </w:r>
      <w:r>
        <w:t xml:space="preserve">currently exists </w:t>
      </w:r>
      <w:r w:rsidR="007170B4">
        <w:t xml:space="preserve">a </w:t>
      </w:r>
      <w:r>
        <w:t xml:space="preserve">very </w:t>
      </w:r>
      <w:r w:rsidR="007170B4">
        <w:t xml:space="preserve">real risk that </w:t>
      </w:r>
      <w:r>
        <w:t xml:space="preserve">if we don’t take decisive action in this area in the short-term, we will continue to see a deterioration in our capacity to drive private capital </w:t>
      </w:r>
      <w:r w:rsidR="00E55E56">
        <w:t xml:space="preserve">funding </w:t>
      </w:r>
      <w:r>
        <w:t xml:space="preserve">into the </w:t>
      </w:r>
      <w:r w:rsidR="00E55E56">
        <w:t xml:space="preserve">translation and commercialisation of </w:t>
      </w:r>
      <w:r>
        <w:t xml:space="preserve">research outcomes. </w:t>
      </w:r>
      <w:r w:rsidR="00DA451D">
        <w:t xml:space="preserve">AVCAL's submission </w:t>
      </w:r>
      <w:r>
        <w:t xml:space="preserve">in response to this consultation process </w:t>
      </w:r>
      <w:r w:rsidR="00DA451D">
        <w:t xml:space="preserve">explains </w:t>
      </w:r>
      <w:r w:rsidR="00610A77">
        <w:t xml:space="preserve">in greater detail </w:t>
      </w:r>
      <w:r w:rsidR="00DA451D">
        <w:t>the context</w:t>
      </w:r>
      <w:r w:rsidR="00E55E56">
        <w:t xml:space="preserve"> of the underlying issues,</w:t>
      </w:r>
      <w:r w:rsidR="00DA451D">
        <w:t xml:space="preserve"> and </w:t>
      </w:r>
      <w:r w:rsidR="00E55E56">
        <w:t xml:space="preserve">the case for </w:t>
      </w:r>
      <w:r w:rsidR="00DA451D">
        <w:t xml:space="preserve">urgent </w:t>
      </w:r>
      <w:r w:rsidR="00E55E56">
        <w:t>action in this area of policy</w:t>
      </w:r>
      <w:r w:rsidR="00DA451D">
        <w:t xml:space="preserve">. </w:t>
      </w:r>
      <w:r w:rsidR="007170B4">
        <w:t xml:space="preserve"> </w:t>
      </w:r>
    </w:p>
    <w:p w14:paraId="54E56362" w14:textId="77777777" w:rsidR="00982AB5" w:rsidRPr="007374B0" w:rsidRDefault="00370EE5" w:rsidP="004813AC">
      <w:pPr>
        <w:pStyle w:val="Title"/>
      </w:pPr>
      <w:r>
        <w:br w:type="page"/>
      </w:r>
      <w:r w:rsidR="007374B0" w:rsidRPr="007374B0">
        <w:lastRenderedPageBreak/>
        <w:t>AVCAL SUBMISSION: BOOSTING THE COMMERCIAL RETURNS FROM RESEARCH</w:t>
      </w:r>
    </w:p>
    <w:p w14:paraId="54E56365" w14:textId="77777777" w:rsidR="00006847" w:rsidRDefault="007374B0" w:rsidP="00990D44">
      <w:pPr>
        <w:spacing w:line="240" w:lineRule="auto"/>
      </w:pPr>
      <w:r>
        <w:t>The Government's discussion paper</w:t>
      </w:r>
      <w:r w:rsidR="00E55E56">
        <w:t>,</w:t>
      </w:r>
      <w:r>
        <w:t xml:space="preserve"> "Boosting the Commercial Returns from Research"</w:t>
      </w:r>
      <w:r w:rsidR="00E55E56">
        <w:t>,</w:t>
      </w:r>
      <w:r>
        <w:t xml:space="preserve"> </w:t>
      </w:r>
      <w:r w:rsidR="00E55E56">
        <w:t xml:space="preserve">canvasses </w:t>
      </w:r>
      <w:r>
        <w:t xml:space="preserve">a range of relevant and important issues, including the need for stable, predictable funding for a high-performing national research sector, better targeting of research, better cooperation between researchers and industry, and an enabling environment for entrepreneurship in both the research community and industry. </w:t>
      </w:r>
      <w:r w:rsidR="002D60B9">
        <w:t xml:space="preserve">AVCAL's submission </w:t>
      </w:r>
      <w:r w:rsidR="004435D0">
        <w:t>outlines a set of recommendations focused</w:t>
      </w:r>
      <w:r w:rsidR="002D60B9">
        <w:t xml:space="preserve"> on</w:t>
      </w:r>
      <w:r w:rsidR="00006847">
        <w:t>:</w:t>
      </w:r>
    </w:p>
    <w:p w14:paraId="54E56366" w14:textId="77777777" w:rsidR="00006847" w:rsidRDefault="00006847" w:rsidP="00006847">
      <w:pPr>
        <w:pStyle w:val="ListParagraph"/>
        <w:numPr>
          <w:ilvl w:val="0"/>
          <w:numId w:val="23"/>
        </w:numPr>
        <w:spacing w:after="0" w:line="240" w:lineRule="auto"/>
      </w:pPr>
      <w:r>
        <w:t>I</w:t>
      </w:r>
      <w:r w:rsidR="008C0AF7">
        <w:t>mproving</w:t>
      </w:r>
      <w:r w:rsidR="00101665">
        <w:t xml:space="preserve"> access to venture capital </w:t>
      </w:r>
      <w:r>
        <w:t xml:space="preserve">to drive </w:t>
      </w:r>
      <w:r w:rsidR="002D60B9">
        <w:t>the translation of research into commercial outcomes</w:t>
      </w:r>
      <w:r>
        <w:t>; and</w:t>
      </w:r>
    </w:p>
    <w:p w14:paraId="54E56367" w14:textId="77777777" w:rsidR="002D60B9" w:rsidRDefault="00006847" w:rsidP="00006847">
      <w:pPr>
        <w:pStyle w:val="ListParagraph"/>
        <w:numPr>
          <w:ilvl w:val="0"/>
          <w:numId w:val="23"/>
        </w:numPr>
        <w:spacing w:after="0" w:line="240" w:lineRule="auto"/>
      </w:pPr>
      <w:r>
        <w:t xml:space="preserve">Strengthening the links between </w:t>
      </w:r>
      <w:r w:rsidR="002D60B9">
        <w:t>publicly</w:t>
      </w:r>
      <w:r w:rsidR="00B21CB4">
        <w:t>-</w:t>
      </w:r>
      <w:r w:rsidR="002D60B9">
        <w:t xml:space="preserve">funded research </w:t>
      </w:r>
      <w:r>
        <w:t>and economic outcomes</w:t>
      </w:r>
      <w:r w:rsidR="002D60B9">
        <w:t>.</w:t>
      </w:r>
      <w:r w:rsidRPr="00006847">
        <w:t xml:space="preserve"> </w:t>
      </w:r>
    </w:p>
    <w:p w14:paraId="54E5636A" w14:textId="77777777" w:rsidR="00AA69DF" w:rsidRPr="00AA69DF" w:rsidRDefault="00AA69DF" w:rsidP="004813AC">
      <w:pPr>
        <w:pStyle w:val="Heading1"/>
      </w:pPr>
      <w:r w:rsidRPr="00AA69DF">
        <w:t>Improving access to venture capital</w:t>
      </w:r>
    </w:p>
    <w:p w14:paraId="54E5636C" w14:textId="77777777" w:rsidR="00E55E56" w:rsidRDefault="00F02530" w:rsidP="004813AC">
      <w:pPr>
        <w:pStyle w:val="Heading2"/>
      </w:pPr>
      <w:r w:rsidRPr="00F02530">
        <w:t xml:space="preserve">Why venture capital </w:t>
      </w:r>
      <w:r w:rsidR="00E55E56">
        <w:t xml:space="preserve">plays a critically important role </w:t>
      </w:r>
    </w:p>
    <w:p w14:paraId="54E5636D" w14:textId="77777777" w:rsidR="00AA69DF" w:rsidRDefault="00AA69DF" w:rsidP="00990D44">
      <w:pPr>
        <w:pStyle w:val="ListParagraph"/>
        <w:spacing w:after="0"/>
        <w:ind w:left="360"/>
        <w:rPr>
          <w:b/>
          <w:i/>
        </w:rPr>
      </w:pPr>
    </w:p>
    <w:p w14:paraId="54E5636E" w14:textId="77777777" w:rsidR="00502410" w:rsidRDefault="00502410" w:rsidP="00502410">
      <w:pPr>
        <w:spacing w:after="0" w:line="240" w:lineRule="auto"/>
      </w:pPr>
      <w:r>
        <w:t>Research breakthroughs alone are not enough to create new cures for cancer or diseases such as Alzheimer’s. To bring a product from the science lab to the end-user requires both translation activity (creating practical applications from basic research)</w:t>
      </w:r>
      <w:r w:rsidR="00E55E56">
        <w:t>,</w:t>
      </w:r>
      <w:r>
        <w:t xml:space="preserve"> and commercialisation (bringing the product to market). </w:t>
      </w:r>
    </w:p>
    <w:p w14:paraId="54E5636F" w14:textId="77777777" w:rsidR="00502410" w:rsidRDefault="00502410" w:rsidP="00502410">
      <w:pPr>
        <w:spacing w:after="0" w:line="240" w:lineRule="auto"/>
      </w:pPr>
    </w:p>
    <w:p w14:paraId="54E56370" w14:textId="77777777" w:rsidR="00636FBE" w:rsidRDefault="00636FBE" w:rsidP="00636FBE">
      <w:pPr>
        <w:spacing w:after="0" w:line="240" w:lineRule="auto"/>
      </w:pPr>
      <w:r w:rsidRPr="005943F2">
        <w:t xml:space="preserve">Australian VC </w:t>
      </w:r>
      <w:r>
        <w:t xml:space="preserve">investors </w:t>
      </w:r>
      <w:r w:rsidRPr="005943F2">
        <w:t xml:space="preserve">have historically been </w:t>
      </w:r>
      <w:r>
        <w:t xml:space="preserve">a key </w:t>
      </w:r>
      <w:r w:rsidRPr="005943F2">
        <w:t xml:space="preserve">source of external equity capital for </w:t>
      </w:r>
      <w:r>
        <w:t xml:space="preserve">research-driven </w:t>
      </w:r>
      <w:r w:rsidRPr="005943F2">
        <w:t xml:space="preserve">ventures. </w:t>
      </w:r>
      <w:r>
        <w:t>VC investment brings with it the technical knowledge, access to networks, commercial acumen and an alignment of interests that other sources of capital often lack.</w:t>
      </w:r>
    </w:p>
    <w:p w14:paraId="54E56371" w14:textId="77777777" w:rsidR="00636FBE" w:rsidRDefault="00636FBE" w:rsidP="00636FBE">
      <w:pPr>
        <w:spacing w:after="0" w:line="240" w:lineRule="auto"/>
      </w:pPr>
    </w:p>
    <w:p w14:paraId="54E56372" w14:textId="77777777" w:rsidR="00636FBE" w:rsidRDefault="00636FBE" w:rsidP="00636FBE">
      <w:pPr>
        <w:spacing w:after="0" w:line="240" w:lineRule="auto"/>
      </w:pPr>
      <w:r>
        <w:t>A</w:t>
      </w:r>
      <w:r w:rsidRPr="005943F2">
        <w:t>s patient</w:t>
      </w:r>
      <w:r>
        <w:t xml:space="preserve"> </w:t>
      </w:r>
      <w:r w:rsidRPr="005943F2">
        <w:t xml:space="preserve">investors </w:t>
      </w:r>
      <w:r>
        <w:t xml:space="preserve">and expert mentors backing </w:t>
      </w:r>
      <w:r w:rsidRPr="005943F2">
        <w:t xml:space="preserve">businesses </w:t>
      </w:r>
      <w:r>
        <w:t xml:space="preserve">aimed at bringing promising research </w:t>
      </w:r>
      <w:r w:rsidRPr="005943F2">
        <w:t xml:space="preserve">to </w:t>
      </w:r>
      <w:r>
        <w:t xml:space="preserve">market, venture capitalists play an important role that is not replicable by other sources of capital such as banks, the public markets, or friends and family. </w:t>
      </w:r>
    </w:p>
    <w:p w14:paraId="54E56373" w14:textId="77777777" w:rsidR="00636FBE" w:rsidRDefault="00636FBE" w:rsidP="00636FBE">
      <w:pPr>
        <w:spacing w:after="0" w:line="240" w:lineRule="auto"/>
      </w:pPr>
    </w:p>
    <w:p w14:paraId="54E56374" w14:textId="77777777" w:rsidR="00502410" w:rsidRDefault="00636FBE" w:rsidP="00502410">
      <w:pPr>
        <w:spacing w:after="0" w:line="240" w:lineRule="auto"/>
      </w:pPr>
      <w:r>
        <w:t xml:space="preserve">At present, new funding for the translation and commercialisation activities needed to link upstream research with downstream users is extremely scarce in Australia. Funding medical research commercialisation, for example, is </w:t>
      </w:r>
      <w:r w:rsidR="00502410">
        <w:t xml:space="preserve">currently undertaken only to a very limited extent under the auspices of agencies such as the National Health and Medical Research Council (NHMRC), which focuses primarily on research grant funding. </w:t>
      </w:r>
    </w:p>
    <w:p w14:paraId="54E56375" w14:textId="77777777" w:rsidR="00636FBE" w:rsidRDefault="00636FBE" w:rsidP="00502410">
      <w:pPr>
        <w:spacing w:after="0" w:line="240" w:lineRule="auto"/>
      </w:pPr>
    </w:p>
    <w:p w14:paraId="54E56376" w14:textId="77777777" w:rsidR="00686389" w:rsidRDefault="008E310D" w:rsidP="00162E7D">
      <w:pPr>
        <w:spacing w:after="0" w:line="240" w:lineRule="auto"/>
      </w:pPr>
      <w:r>
        <w:t xml:space="preserve">A healthy VC sector is important for </w:t>
      </w:r>
      <w:r w:rsidR="00570A59">
        <w:t>jobs,</w:t>
      </w:r>
      <w:r>
        <w:t xml:space="preserve"> economic growth</w:t>
      </w:r>
      <w:r w:rsidR="00570A59">
        <w:t xml:space="preserve">, and innovation. </w:t>
      </w:r>
      <w:r w:rsidR="00686389">
        <w:t xml:space="preserve">The global evidence </w:t>
      </w:r>
      <w:r w:rsidR="00E55E56">
        <w:t>supports</w:t>
      </w:r>
      <w:r w:rsidR="00686389">
        <w:t xml:space="preserve"> the vital role </w:t>
      </w:r>
      <w:r w:rsidR="00E55E56">
        <w:t xml:space="preserve">played by </w:t>
      </w:r>
      <w:r w:rsidR="00686389">
        <w:t xml:space="preserve">VC in boosting the commercial viability of a country's research output, as well boosting the quantum of research produced in a sustainable and cost-effective way. </w:t>
      </w:r>
      <w:r w:rsidR="00E55E56">
        <w:t>The f</w:t>
      </w:r>
      <w:r w:rsidR="00557E5A">
        <w:t xml:space="preserve">indings </w:t>
      </w:r>
      <w:r w:rsidR="00E55E56">
        <w:t xml:space="preserve">of analysis carried out </w:t>
      </w:r>
      <w:r w:rsidR="00557E5A">
        <w:t>overseas</w:t>
      </w:r>
      <w:r w:rsidR="00E55E56">
        <w:t xml:space="preserve"> confirms </w:t>
      </w:r>
      <w:r w:rsidR="00557E5A">
        <w:t xml:space="preserve">that </w:t>
      </w:r>
      <w:r w:rsidR="00E55E56">
        <w:t xml:space="preserve">each </w:t>
      </w:r>
      <w:r w:rsidR="00686389">
        <w:t xml:space="preserve">dollar of </w:t>
      </w:r>
      <w:r w:rsidR="00557E5A">
        <w:t xml:space="preserve">VC investment </w:t>
      </w:r>
      <w:r w:rsidR="00686389">
        <w:t xml:space="preserve">is, on average, </w:t>
      </w:r>
      <w:r w:rsidR="00557E5A">
        <w:t xml:space="preserve">three to four times more effective </w:t>
      </w:r>
      <w:r w:rsidR="00E55E56">
        <w:t xml:space="preserve">at </w:t>
      </w:r>
      <w:r w:rsidR="00686389">
        <w:t xml:space="preserve">increasing patenting activity </w:t>
      </w:r>
      <w:r w:rsidR="00557E5A">
        <w:t xml:space="preserve">than </w:t>
      </w:r>
      <w:r w:rsidR="00686389">
        <w:t xml:space="preserve">a dollar of traditional </w:t>
      </w:r>
      <w:r w:rsidR="00557E5A">
        <w:t xml:space="preserve">corporate </w:t>
      </w:r>
      <w:r w:rsidR="00686389">
        <w:t xml:space="preserve">research. </w:t>
      </w:r>
      <w:r w:rsidR="003B2E3A">
        <w:t xml:space="preserve"> </w:t>
      </w:r>
      <w:r w:rsidR="00E55E56">
        <w:t xml:space="preserve">Those findings also </w:t>
      </w:r>
      <w:r w:rsidR="003B2E3A">
        <w:t xml:space="preserve">suggest that VC </w:t>
      </w:r>
      <w:r w:rsidR="00E55E56">
        <w:t xml:space="preserve">investment </w:t>
      </w:r>
      <w:r w:rsidR="003B2E3A">
        <w:t xml:space="preserve">may account for up to 8% of the industrial innovations in the </w:t>
      </w:r>
      <w:r w:rsidR="00E55E56">
        <w:t>United States</w:t>
      </w:r>
      <w:r w:rsidR="00557E5A">
        <w:t>.</w:t>
      </w:r>
      <w:r w:rsidR="00557E5A">
        <w:rPr>
          <w:rStyle w:val="FootnoteReference"/>
        </w:rPr>
        <w:footnoteReference w:id="1"/>
      </w:r>
      <w:r w:rsidR="00557E5A">
        <w:t xml:space="preserve"> </w:t>
      </w:r>
    </w:p>
    <w:p w14:paraId="54E56377" w14:textId="77777777" w:rsidR="00557E5A" w:rsidRDefault="00557E5A" w:rsidP="00162E7D">
      <w:pPr>
        <w:spacing w:after="0" w:line="240" w:lineRule="auto"/>
      </w:pPr>
    </w:p>
    <w:p w14:paraId="54E56378" w14:textId="77777777" w:rsidR="005943F2" w:rsidRDefault="00570A59" w:rsidP="00162E7D">
      <w:pPr>
        <w:spacing w:after="0" w:line="240" w:lineRule="auto"/>
      </w:pPr>
      <w:r>
        <w:t>VC</w:t>
      </w:r>
      <w:r w:rsidR="00E55E56">
        <w:t xml:space="preserve"> firm</w:t>
      </w:r>
      <w:r w:rsidR="00557E5A">
        <w:t>s</w:t>
      </w:r>
      <w:r>
        <w:t xml:space="preserve"> </w:t>
      </w:r>
      <w:r w:rsidR="00557E5A">
        <w:t xml:space="preserve">take on the risks inherent in investing </w:t>
      </w:r>
      <w:r w:rsidR="00E55E56">
        <w:t xml:space="preserve">into </w:t>
      </w:r>
      <w:r w:rsidR="00557E5A">
        <w:t>startups that have the potential to later become</w:t>
      </w:r>
      <w:r w:rsidR="008E310D">
        <w:t xml:space="preserve"> the drivers of economic and employment growth in Australia. </w:t>
      </w:r>
      <w:r w:rsidR="00557E5A">
        <w:t xml:space="preserve">This bridges a funding gap that most other private capital </w:t>
      </w:r>
      <w:r w:rsidR="00557E5A">
        <w:lastRenderedPageBreak/>
        <w:t xml:space="preserve">providers are unable to fill. </w:t>
      </w:r>
      <w:r w:rsidR="005943F2" w:rsidRPr="005943F2">
        <w:t xml:space="preserve">Many of Australia's </w:t>
      </w:r>
      <w:r w:rsidR="00E55E56">
        <w:t xml:space="preserve">most </w:t>
      </w:r>
      <w:r w:rsidR="005943F2" w:rsidRPr="005943F2">
        <w:t>successful commercialisation stories, such as Cochlear, ResMed, SIRTeX, Finisar Australia, Pharmaxis and CogState</w:t>
      </w:r>
      <w:r w:rsidR="00E55E56">
        <w:t>,</w:t>
      </w:r>
      <w:r w:rsidR="005943F2" w:rsidRPr="005943F2">
        <w:t xml:space="preserve"> </w:t>
      </w:r>
      <w:r w:rsidR="00E55E56">
        <w:t xml:space="preserve">had their genesis in </w:t>
      </w:r>
      <w:r w:rsidR="005943F2" w:rsidRPr="005943F2">
        <w:t xml:space="preserve">early stage </w:t>
      </w:r>
      <w:r w:rsidR="00E55E56">
        <w:t>investment</w:t>
      </w:r>
      <w:r w:rsidR="00E55E56" w:rsidRPr="005943F2">
        <w:t xml:space="preserve"> </w:t>
      </w:r>
      <w:r w:rsidR="005943F2" w:rsidRPr="005943F2">
        <w:t>from domestic VC funds. Some of th</w:t>
      </w:r>
      <w:r w:rsidR="00E55E56">
        <w:t>ose</w:t>
      </w:r>
      <w:r w:rsidR="005943F2" w:rsidRPr="005943F2">
        <w:t xml:space="preserve"> </w:t>
      </w:r>
      <w:r w:rsidR="00E55E56">
        <w:t xml:space="preserve">success </w:t>
      </w:r>
      <w:r w:rsidR="005943F2" w:rsidRPr="005943F2">
        <w:t xml:space="preserve">stories </w:t>
      </w:r>
      <w:r w:rsidR="00E55E56">
        <w:t xml:space="preserve">are explained in more detail </w:t>
      </w:r>
      <w:r w:rsidR="005943F2" w:rsidRPr="005943F2">
        <w:t>in our 2013 report on "The Economic Impact of VC in Australia" (</w:t>
      </w:r>
      <w:r w:rsidR="005943F2" w:rsidRPr="005943F2">
        <w:rPr>
          <w:b/>
        </w:rPr>
        <w:t>Attachment 1</w:t>
      </w:r>
      <w:r w:rsidR="005943F2" w:rsidRPr="005943F2">
        <w:t>).</w:t>
      </w:r>
    </w:p>
    <w:p w14:paraId="54E56379" w14:textId="77777777" w:rsidR="005053CB" w:rsidRDefault="005053CB" w:rsidP="00162E7D">
      <w:pPr>
        <w:spacing w:after="0" w:line="240" w:lineRule="auto"/>
      </w:pPr>
    </w:p>
    <w:p w14:paraId="54E5637A" w14:textId="77777777" w:rsidR="00502410" w:rsidRPr="00685660" w:rsidRDefault="00636FBE" w:rsidP="00502410">
      <w:pPr>
        <w:spacing w:line="240" w:lineRule="auto"/>
        <w:rPr>
          <w:b/>
        </w:rPr>
      </w:pPr>
      <w:r>
        <w:rPr>
          <w:b/>
        </w:rPr>
        <w:t xml:space="preserve">In AVCAL's view, </w:t>
      </w:r>
      <w:r w:rsidR="00502410" w:rsidRPr="00685660">
        <w:rPr>
          <w:b/>
        </w:rPr>
        <w:t xml:space="preserve">the single most significant impediment to commercialising research in Australia today is the lack of patient risk capital to fund commercialisation efforts.  </w:t>
      </w:r>
      <w:r w:rsidR="00502410">
        <w:rPr>
          <w:b/>
        </w:rPr>
        <w:t xml:space="preserve">Unless this gap is addressed, efforts to boost non-financial forms of collaboration between research and industry will continue to </w:t>
      </w:r>
      <w:r w:rsidR="00E55E56">
        <w:rPr>
          <w:b/>
        </w:rPr>
        <w:t>fall well below the standards we should expect for an economy like ours.</w:t>
      </w:r>
      <w:r w:rsidR="00502410">
        <w:rPr>
          <w:b/>
        </w:rPr>
        <w:t xml:space="preserve"> </w:t>
      </w:r>
    </w:p>
    <w:p w14:paraId="54E5637B" w14:textId="77777777" w:rsidR="001D034F" w:rsidRDefault="001D034F" w:rsidP="00162E7D">
      <w:pPr>
        <w:spacing w:after="0" w:line="240" w:lineRule="auto"/>
      </w:pPr>
      <w:r>
        <w:t>Without the involvement of the VC sector in the difficult task of translating and commercialising ideas into useful products</w:t>
      </w:r>
      <w:r w:rsidR="008A4B34">
        <w:t xml:space="preserve"> and successful businesses, too much of our research output w</w:t>
      </w:r>
      <w:r w:rsidR="00A808B5">
        <w:t xml:space="preserve">ill likely </w:t>
      </w:r>
      <w:r w:rsidR="008A4B34">
        <w:t xml:space="preserve">remain dormant, </w:t>
      </w:r>
      <w:r w:rsidR="00A808B5">
        <w:t xml:space="preserve">which would be </w:t>
      </w:r>
      <w:r w:rsidR="008A4B34">
        <w:t>to the detriment of our communities and our economy.</w:t>
      </w:r>
    </w:p>
    <w:p w14:paraId="54E5637D" w14:textId="77777777" w:rsidR="005053CB" w:rsidRDefault="00BA7551" w:rsidP="004813AC">
      <w:pPr>
        <w:pStyle w:val="Heading2"/>
      </w:pPr>
      <w:r>
        <w:t>Current funding sources and gaps</w:t>
      </w:r>
    </w:p>
    <w:p w14:paraId="54E5637F" w14:textId="77777777" w:rsidR="009C3D82" w:rsidRDefault="00A808B5" w:rsidP="008D6FCA">
      <w:pPr>
        <w:spacing w:after="0" w:line="240" w:lineRule="auto"/>
      </w:pPr>
      <w:r>
        <w:t>There are sizeable structural challenges confronting the current f</w:t>
      </w:r>
      <w:r w:rsidR="00D73372">
        <w:t>und</w:t>
      </w:r>
      <w:r>
        <w:t xml:space="preserve">raising environment </w:t>
      </w:r>
      <w:r w:rsidR="00D73372">
        <w:t xml:space="preserve">for Australia’s VC sector. </w:t>
      </w:r>
      <w:r w:rsidR="009C3D82">
        <w:t>A</w:t>
      </w:r>
      <w:r w:rsidR="003A0737">
        <w:t>s shown in Figure 1, VC funding fell substantially in FY20</w:t>
      </w:r>
      <w:r w:rsidR="00656895">
        <w:t>10</w:t>
      </w:r>
      <w:r w:rsidR="003A0737">
        <w:t>-FY201</w:t>
      </w:r>
      <w:r w:rsidR="00656895">
        <w:t>4</w:t>
      </w:r>
      <w:r w:rsidR="003A0737">
        <w:t xml:space="preserve"> compared to the previous five years</w:t>
      </w:r>
      <w:r w:rsidR="00D73372">
        <w:t xml:space="preserve">, almost halving in the </w:t>
      </w:r>
      <w:r w:rsidR="004B62CE">
        <w:t xml:space="preserve">total </w:t>
      </w:r>
      <w:r w:rsidR="00D73372">
        <w:t>amount</w:t>
      </w:r>
      <w:r w:rsidR="004B62CE">
        <w:t>s</w:t>
      </w:r>
      <w:r w:rsidR="00D73372">
        <w:t xml:space="preserve"> raised</w:t>
      </w:r>
      <w:r w:rsidR="003A0737">
        <w:t xml:space="preserve">. </w:t>
      </w:r>
    </w:p>
    <w:p w14:paraId="54E56380" w14:textId="77777777" w:rsidR="00422149" w:rsidRDefault="00422149" w:rsidP="008D6FCA">
      <w:pPr>
        <w:spacing w:after="0" w:line="240" w:lineRule="auto"/>
      </w:pPr>
    </w:p>
    <w:tbl>
      <w:tblPr>
        <w:tblStyle w:val="TableGrid"/>
        <w:tblW w:w="0" w:type="auto"/>
        <w:tblLayout w:type="fixed"/>
        <w:tblLook w:val="04A0" w:firstRow="1" w:lastRow="0" w:firstColumn="1" w:lastColumn="0" w:noHBand="0" w:noVBand="1"/>
      </w:tblPr>
      <w:tblGrid>
        <w:gridCol w:w="5210"/>
        <w:gridCol w:w="5210"/>
      </w:tblGrid>
      <w:tr w:rsidR="00557E5A" w:rsidRPr="00383DCB" w14:paraId="54E56383" w14:textId="77777777" w:rsidTr="00557E5A">
        <w:tc>
          <w:tcPr>
            <w:tcW w:w="5210" w:type="dxa"/>
            <w:tcBorders>
              <w:top w:val="nil"/>
              <w:left w:val="nil"/>
              <w:bottom w:val="nil"/>
              <w:right w:val="nil"/>
            </w:tcBorders>
          </w:tcPr>
          <w:p w14:paraId="54E56381" w14:textId="77777777" w:rsidR="00557E5A" w:rsidRPr="00383DCB" w:rsidRDefault="00557E5A" w:rsidP="00383DCB">
            <w:pPr>
              <w:keepNext/>
              <w:rPr>
                <w:b/>
              </w:rPr>
            </w:pPr>
            <w:r w:rsidRPr="00383DCB">
              <w:rPr>
                <w:b/>
              </w:rPr>
              <w:t xml:space="preserve">Figure </w:t>
            </w:r>
            <w:r w:rsidRPr="00383DCB">
              <w:rPr>
                <w:b/>
              </w:rPr>
              <w:fldChar w:fldCharType="begin"/>
            </w:r>
            <w:r w:rsidRPr="00383DCB">
              <w:rPr>
                <w:b/>
              </w:rPr>
              <w:instrText xml:space="preserve"> SEQ Figure \* ARABIC </w:instrText>
            </w:r>
            <w:r w:rsidRPr="00383DCB">
              <w:rPr>
                <w:b/>
              </w:rPr>
              <w:fldChar w:fldCharType="separate"/>
            </w:r>
            <w:r w:rsidR="00185C06">
              <w:rPr>
                <w:b/>
                <w:noProof/>
              </w:rPr>
              <w:t>1</w:t>
            </w:r>
            <w:r w:rsidRPr="00383DCB">
              <w:rPr>
                <w:b/>
              </w:rPr>
              <w:fldChar w:fldCharType="end"/>
            </w:r>
            <w:r w:rsidRPr="00383DCB">
              <w:rPr>
                <w:b/>
              </w:rPr>
              <w:t>: VC funds raised FY05-09 vs FY10-14</w:t>
            </w:r>
          </w:p>
        </w:tc>
        <w:tc>
          <w:tcPr>
            <w:tcW w:w="5210" w:type="dxa"/>
            <w:tcBorders>
              <w:top w:val="nil"/>
              <w:left w:val="nil"/>
              <w:bottom w:val="nil"/>
              <w:right w:val="nil"/>
            </w:tcBorders>
          </w:tcPr>
          <w:p w14:paraId="54E56382" w14:textId="77777777" w:rsidR="00557E5A" w:rsidRPr="00383DCB" w:rsidRDefault="00557E5A" w:rsidP="00383DCB">
            <w:pPr>
              <w:keepNext/>
              <w:rPr>
                <w:b/>
              </w:rPr>
            </w:pPr>
          </w:p>
        </w:tc>
      </w:tr>
      <w:tr w:rsidR="00557E5A" w14:paraId="54E56386" w14:textId="77777777" w:rsidTr="00557E5A">
        <w:tc>
          <w:tcPr>
            <w:tcW w:w="5210" w:type="dxa"/>
            <w:tcBorders>
              <w:top w:val="nil"/>
              <w:left w:val="nil"/>
              <w:bottom w:val="nil"/>
              <w:right w:val="nil"/>
            </w:tcBorders>
          </w:tcPr>
          <w:p w14:paraId="54E56384" w14:textId="77777777" w:rsidR="00557E5A" w:rsidRDefault="00557E5A" w:rsidP="00557E5A">
            <w:r>
              <w:rPr>
                <w:noProof/>
                <w:lang w:val="en-AU" w:eastAsia="en-AU"/>
              </w:rPr>
              <w:drawing>
                <wp:inline distT="0" distB="0" distL="0" distR="0" wp14:anchorId="54E56439" wp14:editId="38766E6C">
                  <wp:extent cx="3186820" cy="2435382"/>
                  <wp:effectExtent l="0" t="0" r="0" b="0"/>
                  <wp:docPr id="3" name="Chart 3" descr="Bar chart compares the amount of venture capital funds raised between financial years 2005-2009 and financial years 2010-2014. " title="Comparison of venture capital funds rais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210" w:type="dxa"/>
            <w:tcBorders>
              <w:top w:val="nil"/>
              <w:left w:val="nil"/>
              <w:bottom w:val="nil"/>
              <w:right w:val="nil"/>
            </w:tcBorders>
          </w:tcPr>
          <w:p w14:paraId="54E56385" w14:textId="77777777" w:rsidR="00557E5A" w:rsidRDefault="00557E5A" w:rsidP="00557E5A"/>
        </w:tc>
      </w:tr>
      <w:tr w:rsidR="00557E5A" w14:paraId="54E5638A" w14:textId="77777777" w:rsidTr="00557E5A">
        <w:tc>
          <w:tcPr>
            <w:tcW w:w="5210" w:type="dxa"/>
            <w:tcBorders>
              <w:top w:val="nil"/>
              <w:left w:val="nil"/>
              <w:bottom w:val="nil"/>
              <w:right w:val="nil"/>
            </w:tcBorders>
          </w:tcPr>
          <w:p w14:paraId="54E56387" w14:textId="77777777" w:rsidR="00EC0734" w:rsidRDefault="00EC0734" w:rsidP="00EC0734">
            <w:pPr>
              <w:spacing w:after="0" w:line="240" w:lineRule="auto"/>
              <w:rPr>
                <w:sz w:val="16"/>
              </w:rPr>
            </w:pPr>
            <w:r w:rsidRPr="004617C5">
              <w:rPr>
                <w:sz w:val="16"/>
              </w:rPr>
              <w:t>Source: AVCAL</w:t>
            </w:r>
          </w:p>
          <w:p w14:paraId="54E56388" w14:textId="77777777" w:rsidR="00557E5A" w:rsidRDefault="00557E5A" w:rsidP="00557E5A"/>
        </w:tc>
        <w:tc>
          <w:tcPr>
            <w:tcW w:w="5210" w:type="dxa"/>
            <w:tcBorders>
              <w:top w:val="nil"/>
              <w:left w:val="nil"/>
              <w:bottom w:val="nil"/>
              <w:right w:val="nil"/>
            </w:tcBorders>
          </w:tcPr>
          <w:p w14:paraId="54E56389" w14:textId="77777777" w:rsidR="00557E5A" w:rsidRDefault="00557E5A" w:rsidP="00557E5A"/>
        </w:tc>
      </w:tr>
      <w:tr w:rsidR="00EC0734" w:rsidRPr="00383DCB" w14:paraId="54E5638D" w14:textId="77777777" w:rsidTr="00665910">
        <w:tc>
          <w:tcPr>
            <w:tcW w:w="5210" w:type="dxa"/>
            <w:tcBorders>
              <w:top w:val="nil"/>
              <w:left w:val="nil"/>
              <w:bottom w:val="nil"/>
              <w:right w:val="nil"/>
            </w:tcBorders>
          </w:tcPr>
          <w:p w14:paraId="54E5638B" w14:textId="77777777" w:rsidR="00EC0734" w:rsidRPr="00383DCB" w:rsidRDefault="00EC0734" w:rsidP="00665910">
            <w:pPr>
              <w:keepNext/>
              <w:rPr>
                <w:b/>
              </w:rPr>
            </w:pPr>
            <w:r w:rsidRPr="00383DCB">
              <w:rPr>
                <w:b/>
              </w:rPr>
              <w:lastRenderedPageBreak/>
              <w:t xml:space="preserve">Figure </w:t>
            </w:r>
            <w:r w:rsidRPr="00383DCB">
              <w:rPr>
                <w:b/>
              </w:rPr>
              <w:fldChar w:fldCharType="begin"/>
            </w:r>
            <w:r w:rsidRPr="00383DCB">
              <w:rPr>
                <w:b/>
              </w:rPr>
              <w:instrText xml:space="preserve"> SEQ Figure \* ARABIC </w:instrText>
            </w:r>
            <w:r w:rsidRPr="00383DCB">
              <w:rPr>
                <w:b/>
              </w:rPr>
              <w:fldChar w:fldCharType="separate"/>
            </w:r>
            <w:r w:rsidR="00185C06">
              <w:rPr>
                <w:b/>
                <w:noProof/>
              </w:rPr>
              <w:t>2</w:t>
            </w:r>
            <w:r w:rsidRPr="00383DCB">
              <w:rPr>
                <w:b/>
              </w:rPr>
              <w:fldChar w:fldCharType="end"/>
            </w:r>
            <w:r w:rsidRPr="00383DCB">
              <w:rPr>
                <w:b/>
              </w:rPr>
              <w:t xml:space="preserve">: </w:t>
            </w:r>
            <w:r w:rsidR="005E4AAA">
              <w:rPr>
                <w:b/>
              </w:rPr>
              <w:t>Number</w:t>
            </w:r>
            <w:r w:rsidR="005E4AAA" w:rsidRPr="005E4AAA">
              <w:rPr>
                <w:b/>
              </w:rPr>
              <w:t xml:space="preserve"> of companies funded by VC, by deal value</w:t>
            </w:r>
            <w:r w:rsidR="005E4AAA">
              <w:rPr>
                <w:b/>
              </w:rPr>
              <w:t>,</w:t>
            </w:r>
            <w:r w:rsidR="005E4AAA" w:rsidRPr="005E4AAA">
              <w:rPr>
                <w:b/>
              </w:rPr>
              <w:t xml:space="preserve"> FY05-09</w:t>
            </w:r>
          </w:p>
        </w:tc>
        <w:tc>
          <w:tcPr>
            <w:tcW w:w="5210" w:type="dxa"/>
            <w:tcBorders>
              <w:top w:val="nil"/>
              <w:left w:val="nil"/>
              <w:bottom w:val="nil"/>
              <w:right w:val="nil"/>
            </w:tcBorders>
          </w:tcPr>
          <w:p w14:paraId="54E5638C" w14:textId="77777777" w:rsidR="00EC0734" w:rsidRPr="00383DCB" w:rsidRDefault="005E4AAA" w:rsidP="005E4AAA">
            <w:pPr>
              <w:keepNext/>
              <w:rPr>
                <w:b/>
              </w:rPr>
            </w:pPr>
            <w:r w:rsidRPr="00383DCB">
              <w:rPr>
                <w:b/>
              </w:rPr>
              <w:t xml:space="preserve">Figure </w:t>
            </w:r>
            <w:r w:rsidRPr="00383DCB">
              <w:rPr>
                <w:b/>
              </w:rPr>
              <w:fldChar w:fldCharType="begin"/>
            </w:r>
            <w:r w:rsidRPr="00383DCB">
              <w:rPr>
                <w:b/>
              </w:rPr>
              <w:instrText xml:space="preserve"> SEQ Figure \* ARABIC </w:instrText>
            </w:r>
            <w:r w:rsidRPr="00383DCB">
              <w:rPr>
                <w:b/>
              </w:rPr>
              <w:fldChar w:fldCharType="separate"/>
            </w:r>
            <w:r w:rsidR="00185C06">
              <w:rPr>
                <w:b/>
                <w:noProof/>
              </w:rPr>
              <w:t>3</w:t>
            </w:r>
            <w:r w:rsidRPr="00383DCB">
              <w:rPr>
                <w:b/>
              </w:rPr>
              <w:fldChar w:fldCharType="end"/>
            </w:r>
            <w:r w:rsidRPr="00383DCB">
              <w:rPr>
                <w:b/>
              </w:rPr>
              <w:t xml:space="preserve">: </w:t>
            </w:r>
            <w:r>
              <w:rPr>
                <w:b/>
              </w:rPr>
              <w:t>Number</w:t>
            </w:r>
            <w:r w:rsidRPr="005E4AAA">
              <w:rPr>
                <w:b/>
              </w:rPr>
              <w:t xml:space="preserve"> of companies funded by VC, by deal value</w:t>
            </w:r>
            <w:r>
              <w:rPr>
                <w:b/>
              </w:rPr>
              <w:t>,</w:t>
            </w:r>
            <w:r w:rsidRPr="005E4AAA">
              <w:rPr>
                <w:b/>
              </w:rPr>
              <w:t xml:space="preserve"> FY</w:t>
            </w:r>
            <w:r>
              <w:rPr>
                <w:b/>
              </w:rPr>
              <w:t>10-14</w:t>
            </w:r>
          </w:p>
        </w:tc>
      </w:tr>
      <w:tr w:rsidR="00EC0734" w14:paraId="54E56390" w14:textId="77777777" w:rsidTr="005E4AAA">
        <w:tc>
          <w:tcPr>
            <w:tcW w:w="5210" w:type="dxa"/>
            <w:tcBorders>
              <w:top w:val="nil"/>
              <w:left w:val="nil"/>
              <w:bottom w:val="nil"/>
              <w:right w:val="nil"/>
            </w:tcBorders>
          </w:tcPr>
          <w:p w14:paraId="54E5638E" w14:textId="77777777" w:rsidR="00EC0734" w:rsidRDefault="005E4AAA" w:rsidP="00665910">
            <w:r>
              <w:rPr>
                <w:noProof/>
                <w:lang w:val="en-AU" w:eastAsia="en-AU"/>
              </w:rPr>
              <w:drawing>
                <wp:inline distT="0" distB="0" distL="0" distR="0" wp14:anchorId="54E5643B" wp14:editId="5E9DFF7F">
                  <wp:extent cx="3186820" cy="2489703"/>
                  <wp:effectExtent l="0" t="0" r="0" b="0"/>
                  <wp:docPr id="5" name="Chart 5" descr="Chart shows that 47% of all companies received under $2 million in financial year 2005-09, 24% received under $5 million, 18% received under $10 million, 8% received under $20 million and 2% received over $20 million." title="Bar chart of number of companies funded by venture capital in financial years 2005-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210" w:type="dxa"/>
            <w:tcBorders>
              <w:top w:val="nil"/>
              <w:left w:val="nil"/>
              <w:bottom w:val="nil"/>
              <w:right w:val="nil"/>
            </w:tcBorders>
          </w:tcPr>
          <w:p w14:paraId="54E5638F" w14:textId="77777777" w:rsidR="00EC0734" w:rsidRDefault="00777AA7" w:rsidP="00665910">
            <w:r w:rsidRPr="00777AA7">
              <w:rPr>
                <w:b/>
                <w:i/>
                <w:noProof/>
                <w:lang w:val="en-AU" w:eastAsia="en-AU"/>
              </w:rPr>
              <mc:AlternateContent>
                <mc:Choice Requires="wps">
                  <w:drawing>
                    <wp:anchor distT="0" distB="0" distL="114300" distR="114300" simplePos="0" relativeHeight="251663360" behindDoc="0" locked="0" layoutInCell="1" allowOverlap="1" wp14:anchorId="54E5643D" wp14:editId="54E5643E">
                      <wp:simplePos x="0" y="0"/>
                      <wp:positionH relativeFrom="column">
                        <wp:posOffset>1569720</wp:posOffset>
                      </wp:positionH>
                      <wp:positionV relativeFrom="paragraph">
                        <wp:posOffset>1206972</wp:posOffset>
                      </wp:positionV>
                      <wp:extent cx="515620" cy="262255"/>
                      <wp:effectExtent l="57150" t="19050" r="17780" b="99695"/>
                      <wp:wrapNone/>
                      <wp:docPr id="35" name="Oval 34"/>
                      <wp:cNvGraphicFramePr/>
                      <a:graphic xmlns:a="http://schemas.openxmlformats.org/drawingml/2006/main">
                        <a:graphicData uri="http://schemas.microsoft.com/office/word/2010/wordprocessingShape">
                          <wps:wsp>
                            <wps:cNvSpPr/>
                            <wps:spPr>
                              <a:xfrm>
                                <a:off x="0" y="0"/>
                                <a:ext cx="515620" cy="26225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54E5645F" w14:textId="77777777" w:rsidR="00777AA7" w:rsidRPr="00777AA7" w:rsidRDefault="00777AA7" w:rsidP="00777AA7">
                                  <w:pPr>
                                    <w:pStyle w:val="NormalWeb"/>
                                    <w:spacing w:before="0" w:beforeAutospacing="0" w:after="0" w:afterAutospacing="0"/>
                                    <w:jc w:val="center"/>
                                    <w:rPr>
                                      <w:sz w:val="14"/>
                                      <w:szCs w:val="14"/>
                                    </w:rPr>
                                  </w:pPr>
                                  <w:r w:rsidRPr="00777AA7">
                                    <w:rPr>
                                      <w:rFonts w:hAnsi="Calibri"/>
                                      <w:bCs/>
                                      <w:color w:val="000000" w:themeColor="text1"/>
                                      <w:kern w:val="24"/>
                                      <w:sz w:val="14"/>
                                      <w:szCs w:val="14"/>
                                    </w:rPr>
                                    <w:t>-8%</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Oval 34" o:spid="_x0000_s1026" style="position:absolute;margin-left:123.6pt;margin-top:95.05pt;width:40.6pt;height:2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" filled="f" strokecolor="#4579b8 [3044]">
                      <v:shadow on="t" color="black" opacity="22937f" origin=",.5" offset="0,.63889mm"/>
                      <v:textbox>
                        <w:txbxContent>
                          <w:p w14:paraId="54E5645F" w14:textId="77777777" w:rsidR="00777AA7" w:rsidRPr="00777AA7" w:rsidRDefault="00777AA7" w:rsidP="00777AA7">
                            <w:pPr>
                              <w:pStyle w:val="NormalWeb"/>
                              <w:spacing w:before="0" w:beforeAutospacing="0" w:after="0" w:afterAutospacing="0"/>
                              <w:jc w:val="center"/>
                              <w:rPr>
                                <w:sz w:val="14"/>
                                <w:szCs w:val="14"/>
                              </w:rPr>
                            </w:pPr>
                            <w:r w:rsidRPr="00777AA7">
                              <w:rPr>
                                <w:rFonts w:hAnsi="Calibri"/>
                                <w:bCs/>
                                <w:color w:val="000000" w:themeColor="text1"/>
                                <w:kern w:val="24"/>
                                <w:sz w:val="14"/>
                                <w:szCs w:val="14"/>
                              </w:rPr>
                              <w:t>-8%</w:t>
                            </w:r>
                          </w:p>
                        </w:txbxContent>
                      </v:textbox>
                    </v:oval>
                  </w:pict>
                </mc:Fallback>
              </mc:AlternateContent>
            </w:r>
            <w:r w:rsidRPr="00777AA7">
              <w:rPr>
                <w:b/>
                <w:i/>
                <w:noProof/>
                <w:lang w:val="en-AU" w:eastAsia="en-AU"/>
              </w:rPr>
              <mc:AlternateContent>
                <mc:Choice Requires="wps">
                  <w:drawing>
                    <wp:anchor distT="0" distB="0" distL="114300" distR="114300" simplePos="0" relativeHeight="251662336" behindDoc="0" locked="0" layoutInCell="1" allowOverlap="1" wp14:anchorId="54E5643F" wp14:editId="54E56440">
                      <wp:simplePos x="0" y="0"/>
                      <wp:positionH relativeFrom="column">
                        <wp:posOffset>2602865</wp:posOffset>
                      </wp:positionH>
                      <wp:positionV relativeFrom="paragraph">
                        <wp:posOffset>1514638</wp:posOffset>
                      </wp:positionV>
                      <wp:extent cx="515620" cy="262255"/>
                      <wp:effectExtent l="57150" t="19050" r="17780" b="99695"/>
                      <wp:wrapNone/>
                      <wp:docPr id="34" name="Oval 33"/>
                      <wp:cNvGraphicFramePr/>
                      <a:graphic xmlns:a="http://schemas.openxmlformats.org/drawingml/2006/main">
                        <a:graphicData uri="http://schemas.microsoft.com/office/word/2010/wordprocessingShape">
                          <wps:wsp>
                            <wps:cNvSpPr/>
                            <wps:spPr>
                              <a:xfrm>
                                <a:off x="0" y="0"/>
                                <a:ext cx="515620" cy="26225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54E56460" w14:textId="77777777" w:rsidR="00777AA7" w:rsidRPr="00777AA7" w:rsidRDefault="00777AA7" w:rsidP="00777AA7">
                                  <w:pPr>
                                    <w:pStyle w:val="NormalWeb"/>
                                    <w:spacing w:before="0" w:beforeAutospacing="0" w:after="0" w:afterAutospacing="0"/>
                                    <w:jc w:val="center"/>
                                    <w:rPr>
                                      <w:sz w:val="14"/>
                                      <w:szCs w:val="14"/>
                                    </w:rPr>
                                  </w:pPr>
                                  <w:r w:rsidRPr="00777AA7">
                                    <w:rPr>
                                      <w:rFonts w:hAnsi="Calibri"/>
                                      <w:bCs/>
                                      <w:color w:val="000000" w:themeColor="text1"/>
                                      <w:kern w:val="24"/>
                                      <w:sz w:val="14"/>
                                      <w:szCs w:val="14"/>
                                    </w:rPr>
                                    <w:t>60%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Oval 33" o:spid="_x0000_s1027" style="position:absolute;margin-left:204.95pt;margin-top:119.25pt;width:40.6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" filled="f" strokecolor="#4579b8 [3044]">
                      <v:shadow on="t" color="black" opacity="22937f" origin=",.5" offset="0,.63889mm"/>
                      <v:textbox>
                        <w:txbxContent>
                          <w:p w14:paraId="54E56460" w14:textId="77777777" w:rsidR="00777AA7" w:rsidRPr="00777AA7" w:rsidRDefault="00777AA7" w:rsidP="00777AA7">
                            <w:pPr>
                              <w:pStyle w:val="NormalWeb"/>
                              <w:spacing w:before="0" w:beforeAutospacing="0" w:after="0" w:afterAutospacing="0"/>
                              <w:jc w:val="center"/>
                              <w:rPr>
                                <w:sz w:val="14"/>
                                <w:szCs w:val="14"/>
                              </w:rPr>
                            </w:pPr>
                            <w:r w:rsidRPr="00777AA7">
                              <w:rPr>
                                <w:rFonts w:hAnsi="Calibri"/>
                                <w:bCs/>
                                <w:color w:val="000000" w:themeColor="text1"/>
                                <w:kern w:val="24"/>
                                <w:sz w:val="14"/>
                                <w:szCs w:val="14"/>
                              </w:rPr>
                              <w:t>60%</w:t>
                            </w:r>
                          </w:p>
                        </w:txbxContent>
                      </v:textbox>
                    </v:oval>
                  </w:pict>
                </mc:Fallback>
              </mc:AlternateContent>
            </w:r>
            <w:r w:rsidRPr="00777AA7">
              <w:rPr>
                <w:b/>
                <w:i/>
                <w:noProof/>
                <w:lang w:val="en-AU" w:eastAsia="en-AU"/>
              </w:rPr>
              <mc:AlternateContent>
                <mc:Choice Requires="wps">
                  <w:drawing>
                    <wp:anchor distT="0" distB="0" distL="114300" distR="114300" simplePos="0" relativeHeight="251661312" behindDoc="0" locked="0" layoutInCell="1" allowOverlap="1" wp14:anchorId="54E56441" wp14:editId="54E56442">
                      <wp:simplePos x="0" y="0"/>
                      <wp:positionH relativeFrom="column">
                        <wp:posOffset>2017911</wp:posOffset>
                      </wp:positionH>
                      <wp:positionV relativeFrom="paragraph">
                        <wp:posOffset>1482228</wp:posOffset>
                      </wp:positionV>
                      <wp:extent cx="560887" cy="262255"/>
                      <wp:effectExtent l="57150" t="19050" r="10795" b="99695"/>
                      <wp:wrapNone/>
                      <wp:docPr id="33" name="Oval 32"/>
                      <wp:cNvGraphicFramePr/>
                      <a:graphic xmlns:a="http://schemas.openxmlformats.org/drawingml/2006/main">
                        <a:graphicData uri="http://schemas.microsoft.com/office/word/2010/wordprocessingShape">
                          <wps:wsp>
                            <wps:cNvSpPr/>
                            <wps:spPr>
                              <a:xfrm>
                                <a:off x="0" y="0"/>
                                <a:ext cx="560887" cy="26225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54E56461" w14:textId="77777777" w:rsidR="00777AA7" w:rsidRPr="00777AA7" w:rsidRDefault="00777AA7" w:rsidP="00777AA7">
                                  <w:pPr>
                                    <w:pStyle w:val="NormalWeb"/>
                                    <w:spacing w:before="0" w:beforeAutospacing="0" w:after="0" w:afterAutospacing="0"/>
                                    <w:jc w:val="center"/>
                                    <w:rPr>
                                      <w:sz w:val="14"/>
                                      <w:szCs w:val="14"/>
                                    </w:rPr>
                                  </w:pPr>
                                  <w:r w:rsidRPr="00777AA7">
                                    <w:rPr>
                                      <w:rFonts w:hAnsi="Calibri"/>
                                      <w:bCs/>
                                      <w:color w:val="000000" w:themeColor="text1"/>
                                      <w:kern w:val="24"/>
                                      <w:sz w:val="14"/>
                                      <w:szCs w:val="14"/>
                                    </w:rPr>
                                    <w:t>-13%</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Oval 32" o:spid="_x0000_s1028" style="position:absolute;margin-left:158.9pt;margin-top:116.7pt;width:44.1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" filled="f" strokecolor="#4579b8 [3044]">
                      <v:shadow on="t" color="black" opacity="22937f" origin=",.5" offset="0,.63889mm"/>
                      <v:textbox>
                        <w:txbxContent>
                          <w:p w14:paraId="54E56461" w14:textId="77777777" w:rsidR="00777AA7" w:rsidRPr="00777AA7" w:rsidRDefault="00777AA7" w:rsidP="00777AA7">
                            <w:pPr>
                              <w:pStyle w:val="NormalWeb"/>
                              <w:spacing w:before="0" w:beforeAutospacing="0" w:after="0" w:afterAutospacing="0"/>
                              <w:jc w:val="center"/>
                              <w:rPr>
                                <w:sz w:val="14"/>
                                <w:szCs w:val="14"/>
                              </w:rPr>
                            </w:pPr>
                            <w:r w:rsidRPr="00777AA7">
                              <w:rPr>
                                <w:rFonts w:hAnsi="Calibri"/>
                                <w:bCs/>
                                <w:color w:val="000000" w:themeColor="text1"/>
                                <w:kern w:val="24"/>
                                <w:sz w:val="14"/>
                                <w:szCs w:val="14"/>
                              </w:rPr>
                              <w:t>-13%</w:t>
                            </w:r>
                          </w:p>
                        </w:txbxContent>
                      </v:textbox>
                    </v:oval>
                  </w:pict>
                </mc:Fallback>
              </mc:AlternateContent>
            </w:r>
            <w:r w:rsidRPr="00777AA7">
              <w:rPr>
                <w:b/>
                <w:i/>
                <w:noProof/>
                <w:lang w:val="en-AU" w:eastAsia="en-AU"/>
              </w:rPr>
              <mc:AlternateContent>
                <mc:Choice Requires="wps">
                  <w:drawing>
                    <wp:anchor distT="0" distB="0" distL="114300" distR="114300" simplePos="0" relativeHeight="251660288" behindDoc="0" locked="0" layoutInCell="1" allowOverlap="1" wp14:anchorId="54E56443" wp14:editId="54E56444">
                      <wp:simplePos x="0" y="0"/>
                      <wp:positionH relativeFrom="column">
                        <wp:posOffset>1091565</wp:posOffset>
                      </wp:positionH>
                      <wp:positionV relativeFrom="paragraph">
                        <wp:posOffset>991235</wp:posOffset>
                      </wp:positionV>
                      <wp:extent cx="515620" cy="262255"/>
                      <wp:effectExtent l="57150" t="19050" r="17780" b="99695"/>
                      <wp:wrapNone/>
                      <wp:docPr id="32" name="Oval 31"/>
                      <wp:cNvGraphicFramePr/>
                      <a:graphic xmlns:a="http://schemas.openxmlformats.org/drawingml/2006/main">
                        <a:graphicData uri="http://schemas.microsoft.com/office/word/2010/wordprocessingShape">
                          <wps:wsp>
                            <wps:cNvSpPr/>
                            <wps:spPr>
                              <a:xfrm>
                                <a:off x="0" y="0"/>
                                <a:ext cx="515620" cy="26225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54E56462" w14:textId="77777777" w:rsidR="00777AA7" w:rsidRPr="00777AA7" w:rsidRDefault="00777AA7" w:rsidP="00777AA7">
                                  <w:pPr>
                                    <w:pStyle w:val="NormalWeb"/>
                                    <w:spacing w:before="0" w:beforeAutospacing="0" w:after="0" w:afterAutospacing="0"/>
                                    <w:jc w:val="center"/>
                                    <w:rPr>
                                      <w:sz w:val="14"/>
                                      <w:szCs w:val="14"/>
                                    </w:rPr>
                                  </w:pPr>
                                  <w:r w:rsidRPr="00777AA7">
                                    <w:rPr>
                                      <w:rFonts w:hAnsi="Calibri"/>
                                      <w:bCs/>
                                      <w:color w:val="000000" w:themeColor="text1"/>
                                      <w:kern w:val="24"/>
                                      <w:sz w:val="14"/>
                                      <w:szCs w:val="14"/>
                                    </w:rPr>
                                    <w:t>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Oval 31" o:spid="_x0000_s1029" style="position:absolute;margin-left:85.95pt;margin-top:78.05pt;width:40.6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" filled="f" strokecolor="#4579b8 [3044]">
                      <v:shadow on="t" color="black" opacity="22937f" origin=",.5" offset="0,.63889mm"/>
                      <v:textbox>
                        <w:txbxContent>
                          <w:p w14:paraId="54E56462" w14:textId="77777777" w:rsidR="00777AA7" w:rsidRPr="00777AA7" w:rsidRDefault="00777AA7" w:rsidP="00777AA7">
                            <w:pPr>
                              <w:pStyle w:val="NormalWeb"/>
                              <w:spacing w:before="0" w:beforeAutospacing="0" w:after="0" w:afterAutospacing="0"/>
                              <w:jc w:val="center"/>
                              <w:rPr>
                                <w:sz w:val="14"/>
                                <w:szCs w:val="14"/>
                              </w:rPr>
                            </w:pPr>
                            <w:r w:rsidRPr="00777AA7">
                              <w:rPr>
                                <w:rFonts w:hAnsi="Calibri"/>
                                <w:bCs/>
                                <w:color w:val="000000" w:themeColor="text1"/>
                                <w:kern w:val="24"/>
                                <w:sz w:val="14"/>
                                <w:szCs w:val="14"/>
                              </w:rPr>
                              <w:t>4%</w:t>
                            </w:r>
                          </w:p>
                        </w:txbxContent>
                      </v:textbox>
                    </v:oval>
                  </w:pict>
                </mc:Fallback>
              </mc:AlternateContent>
            </w:r>
            <w:r w:rsidRPr="00777AA7">
              <w:rPr>
                <w:b/>
                <w:i/>
                <w:noProof/>
                <w:lang w:val="en-AU" w:eastAsia="en-AU"/>
              </w:rPr>
              <mc:AlternateContent>
                <mc:Choice Requires="wps">
                  <w:drawing>
                    <wp:anchor distT="0" distB="0" distL="114300" distR="114300" simplePos="0" relativeHeight="251659264" behindDoc="0" locked="0" layoutInCell="1" allowOverlap="1" wp14:anchorId="54E56445" wp14:editId="54E56446">
                      <wp:simplePos x="0" y="0"/>
                      <wp:positionH relativeFrom="column">
                        <wp:posOffset>567690</wp:posOffset>
                      </wp:positionH>
                      <wp:positionV relativeFrom="paragraph">
                        <wp:posOffset>31750</wp:posOffset>
                      </wp:positionV>
                      <wp:extent cx="515620" cy="262255"/>
                      <wp:effectExtent l="57150" t="19050" r="17780" b="99695"/>
                      <wp:wrapNone/>
                      <wp:docPr id="31" name="Oval 30"/>
                      <wp:cNvGraphicFramePr/>
                      <a:graphic xmlns:a="http://schemas.openxmlformats.org/drawingml/2006/main">
                        <a:graphicData uri="http://schemas.microsoft.com/office/word/2010/wordprocessingShape">
                          <wps:wsp>
                            <wps:cNvSpPr/>
                            <wps:spPr>
                              <a:xfrm>
                                <a:off x="0" y="0"/>
                                <a:ext cx="515620" cy="26225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54E56463" w14:textId="77777777" w:rsidR="00777AA7" w:rsidRPr="00777AA7" w:rsidRDefault="00777AA7" w:rsidP="00777AA7">
                                  <w:pPr>
                                    <w:pStyle w:val="NormalWeb"/>
                                    <w:spacing w:before="0" w:beforeAutospacing="0" w:after="0" w:afterAutospacing="0"/>
                                    <w:jc w:val="center"/>
                                    <w:rPr>
                                      <w:sz w:val="14"/>
                                      <w:szCs w:val="14"/>
                                    </w:rPr>
                                  </w:pPr>
                                  <w:r w:rsidRPr="00777AA7">
                                    <w:rPr>
                                      <w:rFonts w:hAnsi="Calibri"/>
                                      <w:bCs/>
                                      <w:color w:val="000000" w:themeColor="text1"/>
                                      <w:kern w:val="24"/>
                                      <w:sz w:val="14"/>
                                      <w:szCs w:val="14"/>
                                    </w:rPr>
                                    <w:t>22%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Oval 30" o:spid="_x0000_s1030" style="position:absolute;margin-left:44.7pt;margin-top:2.5pt;width:40.6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" filled="f" strokecolor="#4579b8 [3044]">
                      <v:shadow on="t" color="black" opacity="22937f" origin=",.5" offset="0,.63889mm"/>
                      <v:textbox>
                        <w:txbxContent>
                          <w:p w14:paraId="54E56463" w14:textId="77777777" w:rsidR="00777AA7" w:rsidRPr="00777AA7" w:rsidRDefault="00777AA7" w:rsidP="00777AA7">
                            <w:pPr>
                              <w:pStyle w:val="NormalWeb"/>
                              <w:spacing w:before="0" w:beforeAutospacing="0" w:after="0" w:afterAutospacing="0"/>
                              <w:jc w:val="center"/>
                              <w:rPr>
                                <w:sz w:val="14"/>
                                <w:szCs w:val="14"/>
                              </w:rPr>
                            </w:pPr>
                            <w:r w:rsidRPr="00777AA7">
                              <w:rPr>
                                <w:rFonts w:hAnsi="Calibri"/>
                                <w:bCs/>
                                <w:color w:val="000000" w:themeColor="text1"/>
                                <w:kern w:val="24"/>
                                <w:sz w:val="14"/>
                                <w:szCs w:val="14"/>
                              </w:rPr>
                              <w:t>22%</w:t>
                            </w:r>
                          </w:p>
                        </w:txbxContent>
                      </v:textbox>
                    </v:oval>
                  </w:pict>
                </mc:Fallback>
              </mc:AlternateContent>
            </w:r>
            <w:r w:rsidR="005E4AAA">
              <w:rPr>
                <w:noProof/>
                <w:lang w:val="en-AU" w:eastAsia="en-AU"/>
              </w:rPr>
              <w:drawing>
                <wp:inline distT="0" distB="0" distL="0" distR="0" wp14:anchorId="54E56447" wp14:editId="33375868">
                  <wp:extent cx="3186820" cy="2408222"/>
                  <wp:effectExtent l="0" t="0" r="0" b="0"/>
                  <wp:docPr id="8" name="Chart 8" descr="Chart shows that 52% of all companies received under $2 million in financial year 2005-09, 23% received under $5 million, 15% received under $10 million, 6% received under $20 million and 3% received over $20 million." title="Bar char of number of companies funded by venture capital between financial years 2010-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EC0734" w14:paraId="54E56393" w14:textId="77777777" w:rsidTr="00665910">
        <w:tc>
          <w:tcPr>
            <w:tcW w:w="5210" w:type="dxa"/>
            <w:tcBorders>
              <w:top w:val="nil"/>
              <w:left w:val="nil"/>
              <w:bottom w:val="nil"/>
              <w:right w:val="nil"/>
            </w:tcBorders>
          </w:tcPr>
          <w:p w14:paraId="54E56391" w14:textId="77777777" w:rsidR="00EC0734" w:rsidRPr="00EC0734" w:rsidRDefault="00EC0734" w:rsidP="00EC0734">
            <w:pPr>
              <w:spacing w:after="0" w:line="240" w:lineRule="auto"/>
              <w:rPr>
                <w:sz w:val="16"/>
              </w:rPr>
            </w:pPr>
            <w:r w:rsidRPr="004617C5">
              <w:rPr>
                <w:sz w:val="16"/>
              </w:rPr>
              <w:t>Source: AVCAL</w:t>
            </w:r>
          </w:p>
        </w:tc>
        <w:tc>
          <w:tcPr>
            <w:tcW w:w="5210" w:type="dxa"/>
            <w:tcBorders>
              <w:top w:val="nil"/>
              <w:left w:val="nil"/>
              <w:bottom w:val="nil"/>
              <w:right w:val="nil"/>
            </w:tcBorders>
          </w:tcPr>
          <w:p w14:paraId="54E56392" w14:textId="77777777" w:rsidR="00EC0734" w:rsidRDefault="00EC0734" w:rsidP="00665910"/>
        </w:tc>
      </w:tr>
    </w:tbl>
    <w:p w14:paraId="54E56394" w14:textId="77777777" w:rsidR="00C75EA1" w:rsidRPr="004617C5" w:rsidRDefault="00C75EA1" w:rsidP="00C75EA1"/>
    <w:p w14:paraId="54E56395" w14:textId="77777777" w:rsidR="005F2908" w:rsidRPr="008B712D" w:rsidRDefault="005F2908" w:rsidP="005F2908">
      <w:pPr>
        <w:spacing w:after="0" w:line="240" w:lineRule="auto"/>
      </w:pPr>
      <w:r>
        <w:t>The decline in VC funding has led to a structural shift in the pattern of VC investment available for many innovative startups in Australia. Funding for new ventures based around research-drive</w:t>
      </w:r>
      <w:r w:rsidR="00A808B5">
        <w:t>n</w:t>
      </w:r>
      <w:r>
        <w:t xml:space="preserve"> ideas at the seed and early stage is generally </w:t>
      </w:r>
      <w:r w:rsidR="008C640F">
        <w:t xml:space="preserve">more </w:t>
      </w:r>
      <w:r w:rsidR="00A808B5">
        <w:t xml:space="preserve">readily </w:t>
      </w:r>
      <w:r>
        <w:t>available</w:t>
      </w:r>
      <w:r w:rsidR="008C640F">
        <w:t xml:space="preserve"> than at the later stages. This funding is</w:t>
      </w:r>
      <w:r>
        <w:t xml:space="preserve"> </w:t>
      </w:r>
      <w:r w:rsidR="00A808B5">
        <w:t xml:space="preserve">typically coming through </w:t>
      </w:r>
      <w:r w:rsidR="002156B7">
        <w:t xml:space="preserve">micro-VCs, </w:t>
      </w:r>
      <w:r>
        <w:t xml:space="preserve">angel </w:t>
      </w:r>
      <w:r w:rsidR="00A808B5">
        <w:t xml:space="preserve">investor </w:t>
      </w:r>
      <w:r>
        <w:t xml:space="preserve">groups, incubators/accelerators and research-linked grants. </w:t>
      </w:r>
    </w:p>
    <w:p w14:paraId="54E56396" w14:textId="77777777" w:rsidR="005F2908" w:rsidRDefault="005F2908" w:rsidP="005F2908">
      <w:pPr>
        <w:spacing w:after="0" w:line="240" w:lineRule="auto"/>
      </w:pPr>
    </w:p>
    <w:p w14:paraId="54E56397" w14:textId="77777777" w:rsidR="005F2908" w:rsidRDefault="005F2908" w:rsidP="005F2908">
      <w:pPr>
        <w:spacing w:after="0" w:line="240" w:lineRule="auto"/>
      </w:pPr>
      <w:r w:rsidRPr="00656895">
        <w:rPr>
          <w:b/>
        </w:rPr>
        <w:t>However, it is at the later stages that many startups with commercialisable concepts and products enter the so-called</w:t>
      </w:r>
      <w:r w:rsidR="00FC09F9" w:rsidRPr="00FC09F9">
        <w:rPr>
          <w:b/>
        </w:rPr>
        <w:t xml:space="preserve"> </w:t>
      </w:r>
      <w:r w:rsidR="00FC09F9">
        <w:rPr>
          <w:b/>
        </w:rPr>
        <w:t>“</w:t>
      </w:r>
      <w:r w:rsidRPr="00656895">
        <w:rPr>
          <w:b/>
        </w:rPr>
        <w:t>Valley of Death</w:t>
      </w:r>
      <w:r w:rsidR="00FC09F9">
        <w:rPr>
          <w:b/>
        </w:rPr>
        <w:t>”</w:t>
      </w:r>
      <w:r>
        <w:t xml:space="preserve">. </w:t>
      </w:r>
      <w:r w:rsidR="00686943">
        <w:t>This term describes a point where “a business, often a technology based business, has a working prototype for a product or service that has not yet been developed enough to earn money through commercial sales.”</w:t>
      </w:r>
      <w:r w:rsidR="00686943">
        <w:rPr>
          <w:rStyle w:val="FootnoteReference"/>
        </w:rPr>
        <w:footnoteReference w:id="2"/>
      </w:r>
      <w:r w:rsidR="00686943">
        <w:t xml:space="preserve"> </w:t>
      </w:r>
    </w:p>
    <w:p w14:paraId="54E56398" w14:textId="77777777" w:rsidR="003B211F" w:rsidRDefault="003B211F" w:rsidP="003B211F">
      <w:pPr>
        <w:spacing w:after="0" w:line="240" w:lineRule="auto"/>
      </w:pPr>
    </w:p>
    <w:p w14:paraId="54E56399" w14:textId="77777777" w:rsidR="002156B7" w:rsidRDefault="003B211F" w:rsidP="003B211F">
      <w:pPr>
        <w:spacing w:after="0" w:line="240" w:lineRule="auto"/>
      </w:pPr>
      <w:r>
        <w:t>Figures 2 and 3 illustrate the decline in early stage funding at the "Valley of Death" between the seed and startup stages (</w:t>
      </w:r>
      <w:r w:rsidR="002156B7">
        <w:t xml:space="preserve">generally those </w:t>
      </w:r>
      <w:r>
        <w:t>attracting und</w:t>
      </w:r>
      <w:r w:rsidR="002156B7">
        <w:t>er $5m in funding) and more mature businesses at the final</w:t>
      </w:r>
      <w:r>
        <w:t xml:space="preserve"> stages of commercialisation (attracting over $20m). </w:t>
      </w:r>
    </w:p>
    <w:p w14:paraId="54E5639A" w14:textId="77777777" w:rsidR="002156B7" w:rsidRDefault="002156B7" w:rsidP="003B211F">
      <w:pPr>
        <w:spacing w:after="0" w:line="240" w:lineRule="auto"/>
      </w:pPr>
    </w:p>
    <w:p w14:paraId="54E5639B" w14:textId="77777777" w:rsidR="003B211F" w:rsidRDefault="003B211F" w:rsidP="003B211F">
      <w:pPr>
        <w:spacing w:after="0" w:line="240" w:lineRule="auto"/>
      </w:pPr>
      <w:r>
        <w:t>Despite a 22% increase in the number of seed and startup ventures attracting funding rounds of under $2m in the five years to June 2014 compared to the five years before that, there has been a decline in the number of companies getting funded in the subsequent stages</w:t>
      </w:r>
      <w:r w:rsidR="002156B7">
        <w:t xml:space="preserve"> of the commercialisation pathway</w:t>
      </w:r>
      <w:r>
        <w:t xml:space="preserve">. This signals an impending market failure to provide adequate follow-on support – at least domestically – to the larger number of startups now being funded as they grow and mature.    </w:t>
      </w:r>
    </w:p>
    <w:p w14:paraId="54E5639C" w14:textId="77777777" w:rsidR="005F2908" w:rsidRDefault="005F2908" w:rsidP="005F2908">
      <w:pPr>
        <w:spacing w:after="0" w:line="240" w:lineRule="auto"/>
      </w:pPr>
    </w:p>
    <w:p w14:paraId="54E5639D" w14:textId="77777777" w:rsidR="00623120" w:rsidRDefault="002156B7" w:rsidP="00D57425">
      <w:pPr>
        <w:spacing w:after="0" w:line="240" w:lineRule="auto"/>
      </w:pPr>
      <w:r>
        <w:t>In addition, while t</w:t>
      </w:r>
      <w:r w:rsidR="005F2908">
        <w:t xml:space="preserve">he </w:t>
      </w:r>
      <w:r>
        <w:t xml:space="preserve">total </w:t>
      </w:r>
      <w:r w:rsidR="005F2908">
        <w:t xml:space="preserve">dollar amount invested by later-stage VC </w:t>
      </w:r>
      <w:r>
        <w:t xml:space="preserve">funds (in investment rounds of $20m or higher) </w:t>
      </w:r>
      <w:r w:rsidR="008B712D">
        <w:t xml:space="preserve">has </w:t>
      </w:r>
      <w:r w:rsidR="005F2908">
        <w:t xml:space="preserve">increased in </w:t>
      </w:r>
      <w:r w:rsidR="008B712D">
        <w:t xml:space="preserve">recent years, </w:t>
      </w:r>
      <w:r>
        <w:t xml:space="preserve">the </w:t>
      </w:r>
      <w:r w:rsidR="00F23420">
        <w:t xml:space="preserve">majority of that funding </w:t>
      </w:r>
      <w:r>
        <w:t>now comes</w:t>
      </w:r>
      <w:r w:rsidR="00A808B5">
        <w:t xml:space="preserve"> </w:t>
      </w:r>
      <w:r w:rsidR="00F23420">
        <w:t>from overseas</w:t>
      </w:r>
      <w:r w:rsidR="00616FA8">
        <w:t xml:space="preserve"> VC funds</w:t>
      </w:r>
      <w:r w:rsidR="008B712D">
        <w:t xml:space="preserve">. These </w:t>
      </w:r>
      <w:r w:rsidR="00A808B5">
        <w:t xml:space="preserve">recent </w:t>
      </w:r>
      <w:r w:rsidR="00F23420">
        <w:t xml:space="preserve">investments </w:t>
      </w:r>
      <w:r w:rsidR="00A808B5">
        <w:t xml:space="preserve">have been </w:t>
      </w:r>
      <w:r w:rsidR="008B712D">
        <w:t xml:space="preserve">predominantly </w:t>
      </w:r>
      <w:r w:rsidR="00F23420">
        <w:t>focused on the ICT sector</w:t>
      </w:r>
      <w:r w:rsidR="003B211F">
        <w:t>, and concentrated in a small number of target companies</w:t>
      </w:r>
      <w:r w:rsidR="00F23420">
        <w:t>.</w:t>
      </w:r>
      <w:r w:rsidR="00616FA8">
        <w:t xml:space="preserve"> </w:t>
      </w:r>
    </w:p>
    <w:p w14:paraId="54E5639F" w14:textId="77777777" w:rsidR="00DA48FA" w:rsidRDefault="00DA48FA" w:rsidP="005F2908">
      <w:pPr>
        <w:spacing w:after="0" w:line="240" w:lineRule="auto"/>
      </w:pPr>
      <w:r>
        <w:lastRenderedPageBreak/>
        <w:t xml:space="preserve">The </w:t>
      </w:r>
      <w:r w:rsidR="003B211F">
        <w:t xml:space="preserve">relatively significant </w:t>
      </w:r>
      <w:r>
        <w:t xml:space="preserve">amount of foreign VC money invested </w:t>
      </w:r>
      <w:r w:rsidR="008B712D">
        <w:t xml:space="preserve">in Australian ventures </w:t>
      </w:r>
      <w:r>
        <w:t xml:space="preserve">in </w:t>
      </w:r>
      <w:r w:rsidR="008B712D">
        <w:t xml:space="preserve">recent years </w:t>
      </w:r>
      <w:r>
        <w:t>emphasises</w:t>
      </w:r>
      <w:r w:rsidR="00D57425">
        <w:t xml:space="preserve"> the fact</w:t>
      </w:r>
      <w:r>
        <w:t xml:space="preserve"> that Australia is able to produce world-class innovations and build companies</w:t>
      </w:r>
      <w:r w:rsidR="00D57425">
        <w:t xml:space="preserve"> with </w:t>
      </w:r>
      <w:r w:rsidR="008B712D">
        <w:t xml:space="preserve">global </w:t>
      </w:r>
      <w:r w:rsidR="00D57425">
        <w:t>potential</w:t>
      </w:r>
      <w:r>
        <w:t xml:space="preserve">. But we </w:t>
      </w:r>
      <w:r w:rsidR="008B712D">
        <w:t xml:space="preserve">need to </w:t>
      </w:r>
      <w:r w:rsidR="00656895">
        <w:t xml:space="preserve">create an environment that offers every opportunity for </w:t>
      </w:r>
      <w:r>
        <w:t xml:space="preserve">the benefits from these innovations </w:t>
      </w:r>
      <w:r w:rsidR="00656895">
        <w:t xml:space="preserve">to </w:t>
      </w:r>
      <w:r>
        <w:t>remain in Australia</w:t>
      </w:r>
      <w:r w:rsidR="00FA238E">
        <w:t xml:space="preserve"> by boosting our ability to fund research at all stages of the commercialisation process</w:t>
      </w:r>
      <w:r>
        <w:t>.</w:t>
      </w:r>
      <w:r w:rsidR="008B712D">
        <w:t xml:space="preserve"> </w:t>
      </w:r>
      <w:r w:rsidR="00A808B5">
        <w:t xml:space="preserve">A </w:t>
      </w:r>
      <w:r w:rsidR="008B712D">
        <w:t xml:space="preserve">key </w:t>
      </w:r>
      <w:r w:rsidR="00A808B5">
        <w:t xml:space="preserve">element of realising this </w:t>
      </w:r>
      <w:r w:rsidR="008B712D">
        <w:t xml:space="preserve">outcome </w:t>
      </w:r>
      <w:r w:rsidR="00A808B5">
        <w:t xml:space="preserve">will be to identify ways to </w:t>
      </w:r>
      <w:r w:rsidR="008B712D">
        <w:t>bridge the "Valley of Death"</w:t>
      </w:r>
      <w:r w:rsidR="00A808B5">
        <w:t>,</w:t>
      </w:r>
      <w:r w:rsidR="008B712D">
        <w:t xml:space="preserve"> such that companies transitioning from the startup phase </w:t>
      </w:r>
      <w:r w:rsidR="00A808B5">
        <w:t xml:space="preserve">into more mature and viable businesses </w:t>
      </w:r>
      <w:r w:rsidR="008B712D">
        <w:t xml:space="preserve">have the opportunity to continue building their businesses within Australia rather than having no option but to look </w:t>
      </w:r>
      <w:r w:rsidR="00A808B5">
        <w:t xml:space="preserve">to relocate to </w:t>
      </w:r>
      <w:r w:rsidR="008B712D">
        <w:t xml:space="preserve">overseas </w:t>
      </w:r>
      <w:r w:rsidR="00A808B5">
        <w:t>markets.</w:t>
      </w:r>
      <w:r w:rsidR="008B712D">
        <w:t xml:space="preserve"> </w:t>
      </w:r>
    </w:p>
    <w:p w14:paraId="54E563A1" w14:textId="77777777" w:rsidR="00162E7D" w:rsidRDefault="005D3670" w:rsidP="004813AC">
      <w:pPr>
        <w:pStyle w:val="Heading2"/>
      </w:pPr>
      <w:r>
        <w:t>Recommendations for action</w:t>
      </w:r>
      <w:r w:rsidR="00162E7D" w:rsidRPr="00162E7D">
        <w:t xml:space="preserve"> </w:t>
      </w:r>
    </w:p>
    <w:p w14:paraId="54E563A3" w14:textId="77777777" w:rsidR="00162E7D" w:rsidRDefault="00162E7D" w:rsidP="00162E7D">
      <w:pPr>
        <w:spacing w:after="0" w:line="240" w:lineRule="auto"/>
      </w:pPr>
      <w:r>
        <w:t>Around the world, traditional institutional investors have been gradually but inexorably pulling back from supplying the high-risk capital needed to back new ventures.</w:t>
      </w:r>
      <w:r w:rsidR="00FA238E">
        <w:t xml:space="preserve"> </w:t>
      </w:r>
      <w:r>
        <w:t>Although corporate venture funds, high net worth individuals and successful entrepreneurs have stepped in to take their place to some extent, this has largely not been sufficient to address the overall funding gap.</w:t>
      </w:r>
    </w:p>
    <w:p w14:paraId="54E563A4" w14:textId="77777777" w:rsidR="00162E7D" w:rsidRDefault="00162E7D" w:rsidP="00162E7D">
      <w:pPr>
        <w:spacing w:after="0" w:line="240" w:lineRule="auto"/>
      </w:pPr>
    </w:p>
    <w:p w14:paraId="54E563A5" w14:textId="77777777" w:rsidR="00162E7D" w:rsidRDefault="008B712D" w:rsidP="00162E7D">
      <w:pPr>
        <w:spacing w:after="0" w:line="240" w:lineRule="auto"/>
      </w:pPr>
      <w:r>
        <w:t>F</w:t>
      </w:r>
      <w:r w:rsidR="00162E7D">
        <w:t>ew Australian startups have made the transition to medium or large companies domestically</w:t>
      </w:r>
      <w:r>
        <w:t xml:space="preserve">. It has been observed </w:t>
      </w:r>
      <w:r w:rsidR="00162E7D">
        <w:t>that Australia is a good place for startups, but not so much for growth.</w:t>
      </w:r>
      <w:r>
        <w:rPr>
          <w:rStyle w:val="FootnoteReference"/>
        </w:rPr>
        <w:footnoteReference w:id="3"/>
      </w:r>
      <w:r w:rsidR="00B00377">
        <w:t xml:space="preserve"> </w:t>
      </w:r>
      <w:r w:rsidR="00162E7D">
        <w:t xml:space="preserve">For every success story that is reported in the media, there are many more promising companies that are not </w:t>
      </w:r>
      <w:r w:rsidR="00A808B5">
        <w:t xml:space="preserve">realising </w:t>
      </w:r>
      <w:r w:rsidR="00162E7D">
        <w:t xml:space="preserve">their full potential due to lack of access to risk capital.  </w:t>
      </w:r>
    </w:p>
    <w:p w14:paraId="54E563A6" w14:textId="77777777" w:rsidR="00162E7D" w:rsidRDefault="00162E7D" w:rsidP="00162E7D">
      <w:pPr>
        <w:spacing w:after="0" w:line="240" w:lineRule="auto"/>
      </w:pPr>
    </w:p>
    <w:p w14:paraId="54E563A7" w14:textId="77777777" w:rsidR="0032750C" w:rsidRDefault="00162E7D" w:rsidP="00267664">
      <w:pPr>
        <w:spacing w:after="0" w:line="240" w:lineRule="auto"/>
      </w:pPr>
      <w:r>
        <w:t xml:space="preserve">Such risk capital is the lifeblood of a successful commercialisation pipeline. And the gold standard so far in addressing this issue </w:t>
      </w:r>
      <w:r w:rsidR="00A808B5">
        <w:t>–</w:t>
      </w:r>
      <w:r>
        <w:t xml:space="preserve"> with the wider benefits seen to be greatly outweighing their shortcomings </w:t>
      </w:r>
      <w:r w:rsidR="00A808B5">
        <w:t>–</w:t>
      </w:r>
      <w:r>
        <w:t xml:space="preserve"> has been the formation of Government co-investment programmes to back local new ventures.</w:t>
      </w:r>
      <w:r w:rsidR="0032750C">
        <w:t xml:space="preserve"> </w:t>
      </w:r>
    </w:p>
    <w:p w14:paraId="54E563A8" w14:textId="77777777" w:rsidR="0032750C" w:rsidRDefault="0032750C" w:rsidP="0032750C">
      <w:pPr>
        <w:spacing w:after="0" w:line="240" w:lineRule="auto"/>
      </w:pPr>
    </w:p>
    <w:p w14:paraId="54E563A9" w14:textId="77777777" w:rsidR="003C678F" w:rsidRDefault="003C678F" w:rsidP="003C678F">
      <w:pPr>
        <w:spacing w:after="0" w:line="240" w:lineRule="auto"/>
      </w:pPr>
      <w:r>
        <w:t xml:space="preserve">The Discussion Paper </w:t>
      </w:r>
      <w:r w:rsidR="00A808B5">
        <w:t xml:space="preserve">has analysed </w:t>
      </w:r>
      <w:r>
        <w:t>various policies introduced by other jurisdictions to strengthen the translation of research into commercial outcomes:</w:t>
      </w:r>
      <w:r w:rsidR="00A808B5">
        <w:t xml:space="preserve"> for example, </w:t>
      </w:r>
      <w:r>
        <w:t>the US, UK, Germany, New Zealand, Netherlands, Sweden, Canada and Denmark</w:t>
      </w:r>
      <w:r w:rsidR="00A808B5">
        <w:t xml:space="preserve"> have been looked at closely</w:t>
      </w:r>
      <w:r>
        <w:t xml:space="preserve">. </w:t>
      </w:r>
    </w:p>
    <w:p w14:paraId="54E563AA" w14:textId="77777777" w:rsidR="003C678F" w:rsidRDefault="003C678F" w:rsidP="003C678F">
      <w:pPr>
        <w:spacing w:after="0" w:line="240" w:lineRule="auto"/>
      </w:pPr>
    </w:p>
    <w:p w14:paraId="54E563AB" w14:textId="77777777" w:rsidR="003C678F" w:rsidRPr="00FA238E" w:rsidRDefault="003C678F" w:rsidP="003C678F">
      <w:pPr>
        <w:spacing w:after="0" w:line="240" w:lineRule="auto"/>
      </w:pPr>
      <w:r w:rsidRPr="00FA238E">
        <w:t xml:space="preserve">It should be noted that all of these countries have, as an integral part of their </w:t>
      </w:r>
      <w:r w:rsidR="00A808B5">
        <w:t xml:space="preserve">ongoing innovation </w:t>
      </w:r>
      <w:r w:rsidRPr="00FA238E">
        <w:t xml:space="preserve">policy </w:t>
      </w:r>
      <w:r w:rsidR="00A808B5">
        <w:t>system</w:t>
      </w:r>
      <w:r w:rsidRPr="00FA238E">
        <w:t>, something that is currently largely absent in Australia: a publicly-funded venture co-investment programme.</w:t>
      </w:r>
    </w:p>
    <w:p w14:paraId="54E563AC" w14:textId="77777777" w:rsidR="003C678F" w:rsidRDefault="003C678F" w:rsidP="003C678F">
      <w:pPr>
        <w:spacing w:after="0" w:line="240" w:lineRule="auto"/>
      </w:pPr>
      <w:r>
        <w:t xml:space="preserve">Despite our relatively high levels </w:t>
      </w:r>
      <w:r w:rsidR="00A808B5">
        <w:t>(</w:t>
      </w:r>
      <w:r>
        <w:t>by international standards</w:t>
      </w:r>
      <w:r w:rsidR="00A808B5">
        <w:t>)</w:t>
      </w:r>
      <w:r>
        <w:t xml:space="preserve"> </w:t>
      </w:r>
      <w:r w:rsidR="00A808B5">
        <w:t xml:space="preserve">of public-funded research investment, </w:t>
      </w:r>
      <w:r>
        <w:t>Australia ranks behind most of these jurisdictions on commercialisation measures.</w:t>
      </w:r>
    </w:p>
    <w:p w14:paraId="54E563AD" w14:textId="77777777" w:rsidR="003C678F" w:rsidRDefault="003C678F" w:rsidP="0032750C">
      <w:pPr>
        <w:spacing w:after="0" w:line="240" w:lineRule="auto"/>
      </w:pPr>
    </w:p>
    <w:p w14:paraId="54E563AE" w14:textId="77777777" w:rsidR="0032750C" w:rsidRDefault="0032750C" w:rsidP="0032750C">
      <w:pPr>
        <w:spacing w:after="0" w:line="240" w:lineRule="auto"/>
      </w:pPr>
      <w:r>
        <w:t xml:space="preserve">Programmes such as the Innovation Investment Fund (IIF) were originally introduced to address this need to bridge the gap between the science lab and the market. Third party evidence shows that the public benefits from support through the IIF are clear. </w:t>
      </w:r>
      <w:r w:rsidRPr="00971DB7">
        <w:t>The programme has played a key role in providing early stage capital to market leading companies such as</w:t>
      </w:r>
      <w:r>
        <w:t xml:space="preserve"> SEEK</w:t>
      </w:r>
      <w:r w:rsidRPr="00971DB7">
        <w:t xml:space="preserve">, which is today the largest online jobs-listings business in the world. </w:t>
      </w:r>
    </w:p>
    <w:p w14:paraId="54E563AF" w14:textId="77777777" w:rsidR="0032750C" w:rsidRDefault="0032750C" w:rsidP="0032750C">
      <w:pPr>
        <w:spacing w:after="0" w:line="240" w:lineRule="auto"/>
      </w:pPr>
    </w:p>
    <w:p w14:paraId="54E563B0" w14:textId="77777777" w:rsidR="0032750C" w:rsidRDefault="0032750C" w:rsidP="0032750C">
      <w:pPr>
        <w:spacing w:after="0" w:line="240" w:lineRule="auto"/>
      </w:pPr>
      <w:r>
        <w:t>Government co-investment is typically very important at this stage of financing, as a lever and incentive for private investors to share the risk of investing in early, untested high-risk ventures. In addition, as the Financial System Inquiry's interim report noted, "Australia’s venture capital and private equity markets are small, and there are barriers to generating significant investor interest".</w:t>
      </w:r>
    </w:p>
    <w:p w14:paraId="54E563B1" w14:textId="77777777" w:rsidR="0032750C" w:rsidRDefault="0032750C" w:rsidP="0032750C">
      <w:pPr>
        <w:spacing w:after="0" w:line="240" w:lineRule="auto"/>
      </w:pPr>
    </w:p>
    <w:p w14:paraId="54E563B2" w14:textId="77777777" w:rsidR="0032750C" w:rsidRPr="00971DB7" w:rsidRDefault="0032750C" w:rsidP="0032750C">
      <w:pPr>
        <w:spacing w:after="0" w:line="240" w:lineRule="auto"/>
      </w:pPr>
      <w:r w:rsidRPr="00971DB7">
        <w:t xml:space="preserve">This market failure can be ascribed to a combination of factors including the onset of the global financial crisis, the withdrawal of superannuation funds from investing in VC, and the intermittent and insufficient distribution of the funds in subsequent rounds of the IIF programme over recent years. These factors have led to a "stop-start" </w:t>
      </w:r>
      <w:r w:rsidRPr="00971DB7">
        <w:lastRenderedPageBreak/>
        <w:t xml:space="preserve">approach </w:t>
      </w:r>
      <w:r w:rsidR="005403EF">
        <w:t>to financing Australian start</w:t>
      </w:r>
      <w:r w:rsidRPr="00971DB7">
        <w:t xml:space="preserve">ups over the years, and the inability of local VCs to scale up to meaningfully participate in later-stage investment rounds in tandem with their investees' rapid growth. </w:t>
      </w:r>
    </w:p>
    <w:p w14:paraId="54E563B3" w14:textId="77777777" w:rsidR="0032750C" w:rsidRDefault="0032750C" w:rsidP="0032750C">
      <w:pPr>
        <w:spacing w:after="0" w:line="240" w:lineRule="auto"/>
      </w:pPr>
    </w:p>
    <w:p w14:paraId="54E563B4" w14:textId="77777777" w:rsidR="0032750C" w:rsidRPr="00DB4DE9" w:rsidRDefault="0032750C" w:rsidP="0032750C">
      <w:pPr>
        <w:spacing w:after="0" w:line="240" w:lineRule="auto"/>
      </w:pPr>
      <w:r>
        <w:t xml:space="preserve">With the abolishment of the IIF and Commercialisation Australia programmes announced in the 2014-15 Federal Budget (replaced with a smaller, more generalist Entrepreneur Infrastructure Programme), this already-small proportion of Government support for commercialisation has gone steadily backwards since 2007, at a time when other countries are boosting public funding for innovation support. </w:t>
      </w:r>
      <w:r w:rsidR="00441ECF">
        <w:t>Given this small scale of support, the capacity to build a competitive innovation economy in Australia now seems more difficult.</w:t>
      </w:r>
    </w:p>
    <w:p w14:paraId="54E563B5" w14:textId="77777777" w:rsidR="0032750C" w:rsidRDefault="0032750C" w:rsidP="0032750C">
      <w:pPr>
        <w:spacing w:after="0" w:line="240" w:lineRule="auto"/>
      </w:pPr>
    </w:p>
    <w:p w14:paraId="54E563B6" w14:textId="77777777" w:rsidR="009C3755" w:rsidRDefault="009C3755" w:rsidP="009C3755">
      <w:pPr>
        <w:spacing w:after="0" w:line="240" w:lineRule="auto"/>
      </w:pPr>
      <w:r>
        <w:t>Fundamentally, Australia needs a stable and consistent approach in building up its commercialisation ecosystem to capitalise on the wealth of research it generates in areas such as medical science, information technology, clean technology and other advanced technologies.</w:t>
      </w:r>
    </w:p>
    <w:p w14:paraId="54E563B7" w14:textId="77777777" w:rsidR="009C3755" w:rsidRDefault="009C3755" w:rsidP="009C3755">
      <w:pPr>
        <w:spacing w:after="0" w:line="240" w:lineRule="auto"/>
      </w:pPr>
    </w:p>
    <w:p w14:paraId="54E563B8" w14:textId="77777777" w:rsidR="00B2512F" w:rsidRDefault="00B2512F" w:rsidP="00B2512F">
      <w:pPr>
        <w:pBdr>
          <w:top w:val="single" w:sz="4" w:space="1" w:color="auto"/>
          <w:left w:val="single" w:sz="4" w:space="4" w:color="auto"/>
          <w:bottom w:val="single" w:sz="4" w:space="1" w:color="auto"/>
          <w:right w:val="single" w:sz="4" w:space="4" w:color="auto"/>
        </w:pBdr>
        <w:spacing w:after="0" w:line="240" w:lineRule="auto"/>
      </w:pPr>
    </w:p>
    <w:p w14:paraId="54E563B9" w14:textId="77777777" w:rsidR="00B2512F" w:rsidRPr="00B2512F" w:rsidRDefault="00B2512F" w:rsidP="00B2512F">
      <w:pPr>
        <w:pBdr>
          <w:top w:val="single" w:sz="4" w:space="1" w:color="auto"/>
          <w:left w:val="single" w:sz="4" w:space="4" w:color="auto"/>
          <w:bottom w:val="single" w:sz="4" w:space="1" w:color="auto"/>
          <w:right w:val="single" w:sz="4" w:space="4" w:color="auto"/>
        </w:pBdr>
        <w:spacing w:after="0" w:line="240" w:lineRule="auto"/>
        <w:rPr>
          <w:rFonts w:cs="Arial"/>
          <w:szCs w:val="20"/>
        </w:rPr>
      </w:pPr>
      <w:r w:rsidRPr="00B2512F">
        <w:rPr>
          <w:rFonts w:cs="Arial"/>
          <w:szCs w:val="20"/>
        </w:rPr>
        <w:t xml:space="preserve">AVCAL therefore recommends the introduction of a dedicated translational innovation funding programme as a key </w:t>
      </w:r>
      <w:r>
        <w:rPr>
          <w:rFonts w:cs="Arial"/>
          <w:szCs w:val="20"/>
        </w:rPr>
        <w:t xml:space="preserve">measure </w:t>
      </w:r>
      <w:r w:rsidRPr="00B2512F">
        <w:rPr>
          <w:rFonts w:cs="Arial"/>
          <w:szCs w:val="20"/>
        </w:rPr>
        <w:t>that would be most likely to deliver the most meaningful long-term impact</w:t>
      </w:r>
      <w:r>
        <w:rPr>
          <w:rFonts w:cs="Arial"/>
          <w:szCs w:val="20"/>
        </w:rPr>
        <w:t xml:space="preserve"> </w:t>
      </w:r>
      <w:r w:rsidR="00455FCB">
        <w:rPr>
          <w:rFonts w:cs="Arial"/>
          <w:szCs w:val="20"/>
        </w:rPr>
        <w:t>o</w:t>
      </w:r>
      <w:r>
        <w:rPr>
          <w:rFonts w:cs="Arial"/>
          <w:szCs w:val="20"/>
        </w:rPr>
        <w:t>n improving the commercial returns from research</w:t>
      </w:r>
      <w:r w:rsidRPr="00B2512F">
        <w:rPr>
          <w:rFonts w:cs="Arial"/>
          <w:szCs w:val="20"/>
        </w:rPr>
        <w:t xml:space="preserve">. </w:t>
      </w:r>
    </w:p>
    <w:p w14:paraId="54E563BA" w14:textId="77777777" w:rsidR="00B2512F" w:rsidRPr="00B2512F" w:rsidRDefault="00B2512F" w:rsidP="00B2512F">
      <w:pPr>
        <w:pBdr>
          <w:top w:val="single" w:sz="4" w:space="1" w:color="auto"/>
          <w:left w:val="single" w:sz="4" w:space="4" w:color="auto"/>
          <w:bottom w:val="single" w:sz="4" w:space="1" w:color="auto"/>
          <w:right w:val="single" w:sz="4" w:space="4" w:color="auto"/>
        </w:pBdr>
        <w:spacing w:after="0" w:line="240" w:lineRule="auto"/>
        <w:rPr>
          <w:rFonts w:cs="Arial"/>
          <w:szCs w:val="20"/>
        </w:rPr>
      </w:pPr>
    </w:p>
    <w:p w14:paraId="54E563BB" w14:textId="77777777" w:rsidR="00B2512F" w:rsidRPr="00B2512F" w:rsidRDefault="00B2512F" w:rsidP="00B2512F">
      <w:pPr>
        <w:pBdr>
          <w:top w:val="single" w:sz="4" w:space="1" w:color="auto"/>
          <w:left w:val="single" w:sz="4" w:space="4" w:color="auto"/>
          <w:bottom w:val="single" w:sz="4" w:space="1" w:color="auto"/>
          <w:right w:val="single" w:sz="4" w:space="4" w:color="auto"/>
        </w:pBdr>
        <w:spacing w:after="0" w:line="240" w:lineRule="auto"/>
        <w:rPr>
          <w:rFonts w:cs="Arial"/>
          <w:szCs w:val="20"/>
        </w:rPr>
      </w:pPr>
      <w:r w:rsidRPr="00B2512F">
        <w:rPr>
          <w:rFonts w:cs="Arial"/>
          <w:szCs w:val="20"/>
        </w:rPr>
        <w:t xml:space="preserve">More specifically, we recommend that the </w:t>
      </w:r>
      <w:r>
        <w:rPr>
          <w:rFonts w:cs="Arial"/>
          <w:szCs w:val="20"/>
        </w:rPr>
        <w:t xml:space="preserve">Government </w:t>
      </w:r>
      <w:r w:rsidRPr="00B2512F">
        <w:rPr>
          <w:rFonts w:cs="Arial"/>
          <w:szCs w:val="20"/>
        </w:rPr>
        <w:t>considers:</w:t>
      </w:r>
    </w:p>
    <w:p w14:paraId="54E563BC" w14:textId="77777777" w:rsidR="00B2512F" w:rsidRPr="00B2512F" w:rsidRDefault="00B2512F" w:rsidP="00B2512F">
      <w:pPr>
        <w:pStyle w:val="ListParagraph"/>
        <w:keepLines/>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outlineLvl w:val="0"/>
        <w:rPr>
          <w:rFonts w:cs="Arial"/>
          <w:szCs w:val="20"/>
        </w:rPr>
      </w:pPr>
      <w:r w:rsidRPr="00B2512F">
        <w:rPr>
          <w:rFonts w:cs="Arial"/>
          <w:szCs w:val="20"/>
        </w:rPr>
        <w:t xml:space="preserve">Ensuring that the </w:t>
      </w:r>
      <w:r>
        <w:rPr>
          <w:rFonts w:cs="Arial"/>
          <w:szCs w:val="20"/>
        </w:rPr>
        <w:t>proposed Medical Research Future Fund's (MRFF)</w:t>
      </w:r>
      <w:r w:rsidRPr="00B2512F">
        <w:rPr>
          <w:rFonts w:cs="Arial"/>
          <w:szCs w:val="20"/>
        </w:rPr>
        <w:t xml:space="preserve"> mandate includes a specific and meaningful amount to be invested through a translational medical innovation fund</w:t>
      </w:r>
      <w:r w:rsidR="00AF252F">
        <w:rPr>
          <w:rFonts w:cs="Arial"/>
          <w:szCs w:val="20"/>
        </w:rPr>
        <w:t>;</w:t>
      </w:r>
    </w:p>
    <w:p w14:paraId="54E563BD" w14:textId="77777777" w:rsidR="00B2512F" w:rsidRDefault="00B2512F" w:rsidP="00B2512F">
      <w:pPr>
        <w:pStyle w:val="ListParagraph"/>
        <w:keepLines/>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outlineLvl w:val="0"/>
        <w:rPr>
          <w:rFonts w:cs="Arial"/>
          <w:szCs w:val="20"/>
        </w:rPr>
      </w:pPr>
      <w:r w:rsidRPr="00B2512F">
        <w:rPr>
          <w:rFonts w:cs="Arial"/>
          <w:szCs w:val="20"/>
        </w:rPr>
        <w:t>Creating a new translational innovation fund to co-invest in inno</w:t>
      </w:r>
      <w:r w:rsidR="00AF252F">
        <w:rPr>
          <w:rFonts w:cs="Arial"/>
          <w:szCs w:val="20"/>
        </w:rPr>
        <w:t>vative sectors and technologies; and</w:t>
      </w:r>
      <w:r w:rsidRPr="00B2512F">
        <w:rPr>
          <w:rFonts w:cs="Arial"/>
          <w:szCs w:val="20"/>
        </w:rPr>
        <w:t xml:space="preserve"> </w:t>
      </w:r>
    </w:p>
    <w:p w14:paraId="54E563BE" w14:textId="77777777" w:rsidR="00AF252F" w:rsidRPr="00B2512F" w:rsidRDefault="00AF252F" w:rsidP="00B2512F">
      <w:pPr>
        <w:pStyle w:val="ListParagraph"/>
        <w:keepLines/>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outlineLvl w:val="0"/>
        <w:rPr>
          <w:rFonts w:cs="Arial"/>
          <w:szCs w:val="20"/>
        </w:rPr>
      </w:pPr>
      <w:r>
        <w:rPr>
          <w:rFonts w:cs="Arial"/>
          <w:szCs w:val="20"/>
        </w:rPr>
        <w:t xml:space="preserve">Include VC as a complying investment under the Significant Investor Visa programme. </w:t>
      </w:r>
    </w:p>
    <w:p w14:paraId="54E563BF" w14:textId="77777777" w:rsidR="00B2512F" w:rsidRDefault="00B2512F" w:rsidP="00B2512F">
      <w:pPr>
        <w:pBdr>
          <w:top w:val="single" w:sz="4" w:space="1" w:color="auto"/>
          <w:left w:val="single" w:sz="4" w:space="4" w:color="auto"/>
          <w:bottom w:val="single" w:sz="4" w:space="1" w:color="auto"/>
          <w:right w:val="single" w:sz="4" w:space="4" w:color="auto"/>
        </w:pBdr>
        <w:rPr>
          <w:rFonts w:cstheme="minorHAnsi"/>
        </w:rPr>
      </w:pPr>
    </w:p>
    <w:p w14:paraId="54E563C0" w14:textId="77777777" w:rsidR="00B2512F" w:rsidRDefault="00B2512F" w:rsidP="00B2512F">
      <w:pPr>
        <w:spacing w:after="0" w:line="240" w:lineRule="auto"/>
        <w:rPr>
          <w:rFonts w:cs="Arial"/>
          <w:szCs w:val="20"/>
        </w:rPr>
      </w:pPr>
    </w:p>
    <w:p w14:paraId="54E563C1" w14:textId="77777777" w:rsidR="00B2512F" w:rsidRDefault="00B2512F" w:rsidP="00B2512F">
      <w:pPr>
        <w:spacing w:after="0" w:line="240" w:lineRule="auto"/>
        <w:rPr>
          <w:rFonts w:cs="Arial"/>
          <w:szCs w:val="20"/>
        </w:rPr>
      </w:pPr>
      <w:r>
        <w:rPr>
          <w:rFonts w:cs="Arial"/>
          <w:szCs w:val="20"/>
        </w:rPr>
        <w:t xml:space="preserve">In terms of budget impact, the administered capital provided through the translational innovation funds should have little to no impact on the Government's fiscal balance. The Government receives an equity share in these investments and has the opportunity to participate in any returns from the funds invested. </w:t>
      </w:r>
    </w:p>
    <w:p w14:paraId="54E563C2" w14:textId="77777777" w:rsidR="00B2512F" w:rsidRDefault="00B2512F" w:rsidP="00B2512F">
      <w:pPr>
        <w:spacing w:after="0" w:line="240" w:lineRule="auto"/>
        <w:rPr>
          <w:rFonts w:cs="Arial"/>
          <w:szCs w:val="20"/>
        </w:rPr>
      </w:pPr>
    </w:p>
    <w:p w14:paraId="54E563C3" w14:textId="77777777" w:rsidR="00B2512F" w:rsidRDefault="00B2512F" w:rsidP="00B2512F">
      <w:pPr>
        <w:spacing w:after="0" w:line="240" w:lineRule="auto"/>
        <w:rPr>
          <w:rFonts w:cs="Arial"/>
          <w:szCs w:val="20"/>
        </w:rPr>
      </w:pPr>
      <w:r>
        <w:rPr>
          <w:rFonts w:cs="Arial"/>
          <w:szCs w:val="20"/>
        </w:rPr>
        <w:t xml:space="preserve">This investment, from a Federal perspective, is small when juxtaposed against the vital role it would play in stimulating private investment in </w:t>
      </w:r>
      <w:r w:rsidR="005D3670">
        <w:rPr>
          <w:rFonts w:cs="Arial"/>
          <w:szCs w:val="20"/>
        </w:rPr>
        <w:t xml:space="preserve">commercialising </w:t>
      </w:r>
      <w:r>
        <w:rPr>
          <w:rFonts w:cs="Arial"/>
          <w:szCs w:val="20"/>
        </w:rPr>
        <w:t>Australian</w:t>
      </w:r>
      <w:r w:rsidR="005D3670">
        <w:rPr>
          <w:rFonts w:cs="Arial"/>
          <w:szCs w:val="20"/>
        </w:rPr>
        <w:t xml:space="preserve"> research</w:t>
      </w:r>
      <w:r>
        <w:rPr>
          <w:rFonts w:cs="Arial"/>
          <w:szCs w:val="20"/>
        </w:rPr>
        <w:t xml:space="preserve">, and the long-term benefits of jumpstarting the creation of a vibrant local innovation system. </w:t>
      </w:r>
    </w:p>
    <w:p w14:paraId="54E563C4" w14:textId="77777777" w:rsidR="00B2512F" w:rsidRDefault="00B2512F" w:rsidP="009C3755">
      <w:pPr>
        <w:spacing w:after="0" w:line="240" w:lineRule="auto"/>
      </w:pPr>
    </w:p>
    <w:p w14:paraId="54E563C5" w14:textId="77777777" w:rsidR="002156B7" w:rsidRDefault="002156B7" w:rsidP="00B2512F">
      <w:pPr>
        <w:keepNext/>
        <w:keepLines/>
        <w:spacing w:after="0" w:line="240" w:lineRule="auto"/>
        <w:rPr>
          <w:b/>
          <w:i/>
        </w:rPr>
      </w:pPr>
      <w:r>
        <w:rPr>
          <w:b/>
          <w:i/>
        </w:rPr>
        <w:br w:type="page"/>
      </w:r>
    </w:p>
    <w:p w14:paraId="54E563C6" w14:textId="5FFFE237" w:rsidR="00B2512F" w:rsidRDefault="00B2512F" w:rsidP="00010FD8">
      <w:pPr>
        <w:pStyle w:val="Heading4"/>
      </w:pPr>
      <w:r>
        <w:lastRenderedPageBreak/>
        <w:t>Ensure the MRFF's mandate includes a translational medical innovation fund</w:t>
      </w:r>
    </w:p>
    <w:p w14:paraId="54E563C7" w14:textId="77777777" w:rsidR="00B2512F" w:rsidRDefault="00B2512F" w:rsidP="00B2512F">
      <w:pPr>
        <w:keepNext/>
        <w:keepLines/>
        <w:spacing w:after="0" w:line="240" w:lineRule="auto"/>
        <w:outlineLvl w:val="0"/>
        <w:rPr>
          <w:rFonts w:cs="Arial"/>
          <w:b/>
        </w:rPr>
      </w:pPr>
    </w:p>
    <w:p w14:paraId="54E563C8" w14:textId="77777777" w:rsidR="00B2512F" w:rsidRPr="00B2512F" w:rsidRDefault="00B2512F" w:rsidP="00B2512F">
      <w:pPr>
        <w:spacing w:after="0" w:line="240" w:lineRule="auto"/>
        <w:rPr>
          <w:rFonts w:cs="Arial"/>
          <w:szCs w:val="20"/>
        </w:rPr>
      </w:pPr>
      <w:r w:rsidRPr="00B2512F">
        <w:rPr>
          <w:rFonts w:cs="Arial"/>
          <w:szCs w:val="20"/>
        </w:rPr>
        <w:t>AVCAL recommends that the MRFF's mandate should include a specific and meaningful amount to be invested through a translational medical innovation fund that should:</w:t>
      </w:r>
    </w:p>
    <w:p w14:paraId="54E563C9" w14:textId="77777777" w:rsidR="00B2512F" w:rsidRPr="00B2512F" w:rsidRDefault="00B2512F" w:rsidP="00B2512F">
      <w:pPr>
        <w:pStyle w:val="ListParagraph"/>
        <w:keepLines/>
        <w:numPr>
          <w:ilvl w:val="0"/>
          <w:numId w:val="24"/>
        </w:numPr>
        <w:spacing w:after="0" w:line="240" w:lineRule="auto"/>
        <w:contextualSpacing w:val="0"/>
        <w:outlineLvl w:val="0"/>
        <w:rPr>
          <w:rFonts w:cs="Arial"/>
          <w:szCs w:val="20"/>
        </w:rPr>
      </w:pPr>
      <w:r w:rsidRPr="00B2512F">
        <w:rPr>
          <w:rFonts w:cs="Arial"/>
          <w:szCs w:val="20"/>
        </w:rPr>
        <w:t>Start immediately</w:t>
      </w:r>
      <w:r w:rsidR="00F4633E">
        <w:rPr>
          <w:rFonts w:cs="Arial"/>
          <w:szCs w:val="20"/>
        </w:rPr>
        <w:t>;</w:t>
      </w:r>
    </w:p>
    <w:p w14:paraId="54E563CA" w14:textId="77777777" w:rsidR="00B2512F" w:rsidRPr="00B2512F" w:rsidRDefault="00B2512F" w:rsidP="00B2512F">
      <w:pPr>
        <w:pStyle w:val="ListParagraph"/>
        <w:keepLines/>
        <w:numPr>
          <w:ilvl w:val="0"/>
          <w:numId w:val="24"/>
        </w:numPr>
        <w:spacing w:after="0" w:line="240" w:lineRule="auto"/>
        <w:contextualSpacing w:val="0"/>
        <w:outlineLvl w:val="0"/>
        <w:rPr>
          <w:rFonts w:cs="Arial"/>
          <w:szCs w:val="20"/>
        </w:rPr>
      </w:pPr>
      <w:r w:rsidRPr="00B2512F">
        <w:rPr>
          <w:rFonts w:cs="Arial"/>
          <w:szCs w:val="20"/>
        </w:rPr>
        <w:t>Be funded from the initial $1b endowment of the MRFF, rather than the dividend stream</w:t>
      </w:r>
      <w:r w:rsidR="00F4633E">
        <w:rPr>
          <w:rFonts w:cs="Arial"/>
          <w:szCs w:val="20"/>
        </w:rPr>
        <w:t>;</w:t>
      </w:r>
    </w:p>
    <w:p w14:paraId="54E563CB" w14:textId="77777777" w:rsidR="00B2512F" w:rsidRPr="00B2512F" w:rsidRDefault="00B2512F" w:rsidP="00B2512F">
      <w:pPr>
        <w:pStyle w:val="ListParagraph"/>
        <w:keepLines/>
        <w:numPr>
          <w:ilvl w:val="0"/>
          <w:numId w:val="24"/>
        </w:numPr>
        <w:spacing w:after="0" w:line="240" w:lineRule="auto"/>
        <w:contextualSpacing w:val="0"/>
        <w:outlineLvl w:val="0"/>
        <w:rPr>
          <w:rFonts w:cs="Arial"/>
          <w:szCs w:val="20"/>
        </w:rPr>
      </w:pPr>
      <w:r w:rsidRPr="00B2512F">
        <w:rPr>
          <w:rFonts w:cs="Arial"/>
          <w:szCs w:val="20"/>
        </w:rPr>
        <w:t>Comprise 10% of the total endowment proposed in the Budget</w:t>
      </w:r>
      <w:r w:rsidR="00F4633E">
        <w:rPr>
          <w:rFonts w:cs="Arial"/>
          <w:szCs w:val="20"/>
        </w:rPr>
        <w:t>;</w:t>
      </w:r>
    </w:p>
    <w:p w14:paraId="54E563CC" w14:textId="77777777" w:rsidR="00B2512F" w:rsidRPr="00B2512F" w:rsidRDefault="00B2512F" w:rsidP="00B2512F">
      <w:pPr>
        <w:pStyle w:val="ListParagraph"/>
        <w:keepLines/>
        <w:numPr>
          <w:ilvl w:val="0"/>
          <w:numId w:val="24"/>
        </w:numPr>
        <w:spacing w:after="0" w:line="240" w:lineRule="auto"/>
        <w:contextualSpacing w:val="0"/>
        <w:outlineLvl w:val="0"/>
        <w:rPr>
          <w:rFonts w:cs="Arial"/>
          <w:szCs w:val="20"/>
        </w:rPr>
      </w:pPr>
      <w:r w:rsidRPr="00B2512F">
        <w:rPr>
          <w:rFonts w:cs="Arial"/>
          <w:szCs w:val="20"/>
        </w:rPr>
        <w:t>Incorporate a ‘matching’ of government funds by the private sector</w:t>
      </w:r>
      <w:r w:rsidR="00F4633E">
        <w:rPr>
          <w:rFonts w:cs="Arial"/>
          <w:szCs w:val="20"/>
        </w:rPr>
        <w:t>;</w:t>
      </w:r>
    </w:p>
    <w:p w14:paraId="54E563CD" w14:textId="77777777" w:rsidR="00B2512F" w:rsidRPr="00B2512F" w:rsidRDefault="00B2512F" w:rsidP="00B2512F">
      <w:pPr>
        <w:pStyle w:val="ListParagraph"/>
        <w:keepLines/>
        <w:numPr>
          <w:ilvl w:val="0"/>
          <w:numId w:val="24"/>
        </w:numPr>
        <w:spacing w:after="0" w:line="240" w:lineRule="auto"/>
        <w:contextualSpacing w:val="0"/>
        <w:outlineLvl w:val="0"/>
        <w:rPr>
          <w:rFonts w:cs="Arial"/>
          <w:szCs w:val="20"/>
        </w:rPr>
      </w:pPr>
      <w:r w:rsidRPr="00B2512F">
        <w:rPr>
          <w:rFonts w:cs="Arial"/>
          <w:szCs w:val="20"/>
        </w:rPr>
        <w:t>Only involve the calling of government funds after private funds have been fully drawn down</w:t>
      </w:r>
      <w:r w:rsidR="00F4633E">
        <w:rPr>
          <w:rFonts w:cs="Arial"/>
          <w:szCs w:val="20"/>
        </w:rPr>
        <w:t>;</w:t>
      </w:r>
    </w:p>
    <w:p w14:paraId="54E563CE" w14:textId="77777777" w:rsidR="00B2512F" w:rsidRPr="00B2512F" w:rsidRDefault="00B2512F" w:rsidP="00B2512F">
      <w:pPr>
        <w:pStyle w:val="ListParagraph"/>
        <w:keepLines/>
        <w:numPr>
          <w:ilvl w:val="0"/>
          <w:numId w:val="24"/>
        </w:numPr>
        <w:spacing w:after="0" w:line="240" w:lineRule="auto"/>
        <w:contextualSpacing w:val="0"/>
        <w:outlineLvl w:val="0"/>
        <w:rPr>
          <w:rFonts w:cs="Arial"/>
          <w:szCs w:val="20"/>
        </w:rPr>
      </w:pPr>
      <w:r w:rsidRPr="00B2512F">
        <w:rPr>
          <w:rFonts w:cs="Arial"/>
          <w:szCs w:val="20"/>
        </w:rPr>
        <w:t>Focus on all stages of translation and commercialisation of medical research</w:t>
      </w:r>
      <w:r w:rsidR="00F4633E">
        <w:rPr>
          <w:rFonts w:cs="Arial"/>
          <w:szCs w:val="20"/>
        </w:rPr>
        <w:t>;</w:t>
      </w:r>
      <w:r w:rsidR="00F4633E" w:rsidRPr="00B2512F">
        <w:rPr>
          <w:rFonts w:cs="Arial"/>
          <w:szCs w:val="20"/>
        </w:rPr>
        <w:t xml:space="preserve"> </w:t>
      </w:r>
      <w:r w:rsidRPr="00B2512F">
        <w:rPr>
          <w:rFonts w:cs="Arial"/>
          <w:szCs w:val="20"/>
        </w:rPr>
        <w:t>and</w:t>
      </w:r>
    </w:p>
    <w:p w14:paraId="54E563CF" w14:textId="77777777" w:rsidR="00B2512F" w:rsidRPr="00B2512F" w:rsidRDefault="00B2512F" w:rsidP="00B2512F">
      <w:pPr>
        <w:pStyle w:val="ListParagraph"/>
        <w:keepLines/>
        <w:numPr>
          <w:ilvl w:val="0"/>
          <w:numId w:val="24"/>
        </w:numPr>
        <w:spacing w:after="0" w:line="240" w:lineRule="auto"/>
        <w:contextualSpacing w:val="0"/>
        <w:outlineLvl w:val="0"/>
        <w:rPr>
          <w:rFonts w:cs="Arial"/>
          <w:szCs w:val="20"/>
        </w:rPr>
      </w:pPr>
      <w:r w:rsidRPr="00B2512F">
        <w:rPr>
          <w:rFonts w:cs="Arial"/>
          <w:szCs w:val="20"/>
        </w:rPr>
        <w:t>Be invested and managed by professional venture managers, with manager selection based on merit.</w:t>
      </w:r>
    </w:p>
    <w:p w14:paraId="54E563D0" w14:textId="77777777" w:rsidR="00B2512F" w:rsidRPr="00B2512F" w:rsidRDefault="00B2512F" w:rsidP="00B2512F">
      <w:pPr>
        <w:spacing w:after="0" w:line="240" w:lineRule="auto"/>
        <w:rPr>
          <w:rFonts w:cs="Arial"/>
          <w:szCs w:val="20"/>
        </w:rPr>
      </w:pPr>
    </w:p>
    <w:p w14:paraId="54E563D1" w14:textId="77777777" w:rsidR="00B2512F" w:rsidRPr="00B2512F" w:rsidRDefault="00B2512F" w:rsidP="00B2512F">
      <w:pPr>
        <w:spacing w:after="0" w:line="240" w:lineRule="auto"/>
        <w:rPr>
          <w:rFonts w:cs="Arial"/>
          <w:szCs w:val="20"/>
        </w:rPr>
      </w:pPr>
      <w:r w:rsidRPr="00B2512F">
        <w:rPr>
          <w:rFonts w:cs="Arial"/>
          <w:szCs w:val="20"/>
        </w:rPr>
        <w:t xml:space="preserve">In making the announcements relating to the proposed MRFF, the Government has reinforced the central role that the fund could play in helping to identify cures and treatments for ailments and conditions that have a significant social and economic impact across our community. </w:t>
      </w:r>
    </w:p>
    <w:p w14:paraId="54E563D2" w14:textId="77777777" w:rsidR="00B2512F" w:rsidRPr="00B2512F" w:rsidRDefault="00B2512F" w:rsidP="00B2512F">
      <w:pPr>
        <w:spacing w:after="0" w:line="240" w:lineRule="auto"/>
        <w:rPr>
          <w:rFonts w:cs="Arial"/>
          <w:szCs w:val="20"/>
        </w:rPr>
      </w:pPr>
    </w:p>
    <w:p w14:paraId="54E563D3" w14:textId="77777777" w:rsidR="00B2512F" w:rsidRPr="00B2512F" w:rsidRDefault="00B2512F" w:rsidP="00B2512F">
      <w:pPr>
        <w:spacing w:after="0" w:line="240" w:lineRule="auto"/>
        <w:rPr>
          <w:rFonts w:cs="Arial"/>
          <w:szCs w:val="20"/>
        </w:rPr>
      </w:pPr>
      <w:r w:rsidRPr="00B2512F">
        <w:rPr>
          <w:rFonts w:cs="Arial"/>
          <w:szCs w:val="20"/>
        </w:rPr>
        <w:t xml:space="preserve">It should be noted that research breakthroughs alone are not enough to create new cures for cancer or diseases such as Alzheimer’s. To bring a product from the science lab to the end-user requires both translation activity (creating practical applications from basic research) and commercialisation (bringing the product to market). </w:t>
      </w:r>
    </w:p>
    <w:p w14:paraId="54E563D4" w14:textId="77777777" w:rsidR="00B2512F" w:rsidRPr="00B2512F" w:rsidRDefault="00B2512F" w:rsidP="00B2512F">
      <w:pPr>
        <w:spacing w:after="0" w:line="240" w:lineRule="auto"/>
        <w:rPr>
          <w:rFonts w:cs="Arial"/>
          <w:szCs w:val="20"/>
        </w:rPr>
      </w:pPr>
    </w:p>
    <w:p w14:paraId="54E563D5" w14:textId="77777777" w:rsidR="00B2512F" w:rsidRPr="00B2512F" w:rsidRDefault="00B2512F" w:rsidP="00B2512F">
      <w:pPr>
        <w:spacing w:after="0" w:line="240" w:lineRule="auto"/>
        <w:rPr>
          <w:rFonts w:cs="Arial"/>
          <w:szCs w:val="20"/>
        </w:rPr>
      </w:pPr>
      <w:r w:rsidRPr="00B2512F">
        <w:rPr>
          <w:rFonts w:cs="Arial"/>
          <w:szCs w:val="20"/>
        </w:rPr>
        <w:t xml:space="preserve">These valuable activities are currently undertaken only to a very limited extent under the auspices of agencies such as the National Health and Medical Research Council (NHMRC), which focuses primarily on research grant funding. And at present, new funding for the translation and commercialisation activities needed to link </w:t>
      </w:r>
      <w:r w:rsidRPr="00B2512F">
        <w:rPr>
          <w:rFonts w:cs="Arial"/>
          <w:i/>
          <w:szCs w:val="20"/>
        </w:rPr>
        <w:t>upstream</w:t>
      </w:r>
      <w:r w:rsidRPr="00B2512F">
        <w:rPr>
          <w:rFonts w:cs="Arial"/>
          <w:szCs w:val="20"/>
        </w:rPr>
        <w:t xml:space="preserve"> research with </w:t>
      </w:r>
      <w:r w:rsidRPr="00B2512F">
        <w:rPr>
          <w:rFonts w:cs="Arial"/>
          <w:i/>
          <w:szCs w:val="20"/>
        </w:rPr>
        <w:t>downstream</w:t>
      </w:r>
      <w:r w:rsidRPr="00B2512F">
        <w:rPr>
          <w:rFonts w:cs="Arial"/>
          <w:szCs w:val="20"/>
        </w:rPr>
        <w:t xml:space="preserve"> users is (almost) non-existent. </w:t>
      </w:r>
    </w:p>
    <w:p w14:paraId="54E563D6" w14:textId="77777777" w:rsidR="00B2512F" w:rsidRPr="00B2512F" w:rsidRDefault="00B2512F" w:rsidP="00B2512F">
      <w:pPr>
        <w:spacing w:after="0" w:line="240" w:lineRule="auto"/>
        <w:rPr>
          <w:rFonts w:cs="Arial"/>
          <w:szCs w:val="20"/>
        </w:rPr>
      </w:pPr>
    </w:p>
    <w:p w14:paraId="54E563D7" w14:textId="77777777" w:rsidR="00B2512F" w:rsidRPr="00B2512F" w:rsidRDefault="00B2512F" w:rsidP="00B2512F">
      <w:pPr>
        <w:spacing w:after="0" w:line="240" w:lineRule="auto"/>
        <w:rPr>
          <w:rFonts w:cs="Arial"/>
          <w:szCs w:val="20"/>
        </w:rPr>
      </w:pPr>
      <w:r w:rsidRPr="00B2512F">
        <w:rPr>
          <w:rFonts w:cs="Arial"/>
          <w:szCs w:val="20"/>
        </w:rPr>
        <w:t xml:space="preserve">Australia has the resources and capability to effectively convert research into high-quality products through the translation and commercialisation process. It is for this reason that we must ensure that the economic benefits which can arise from investing in the whole spectrum of medical research activity are realised in Australia, rather than in other jurisdictions. A massive opportunity exists to take advantage of the research infrastructure that was built in in the past, and realise the </w:t>
      </w:r>
      <w:r w:rsidRPr="00B2512F">
        <w:rPr>
          <w:rFonts w:cs="Arial"/>
          <w:i/>
          <w:szCs w:val="20"/>
        </w:rPr>
        <w:t>development</w:t>
      </w:r>
      <w:r w:rsidRPr="00B2512F">
        <w:rPr>
          <w:rFonts w:cs="Arial"/>
          <w:szCs w:val="20"/>
        </w:rPr>
        <w:t xml:space="preserve"> aspect of R&amp;D. </w:t>
      </w:r>
    </w:p>
    <w:p w14:paraId="54E563D8" w14:textId="77777777" w:rsidR="00B2512F" w:rsidRPr="00B2512F" w:rsidRDefault="00B2512F" w:rsidP="00B2512F">
      <w:pPr>
        <w:spacing w:after="0" w:line="240" w:lineRule="auto"/>
        <w:rPr>
          <w:rFonts w:cs="Arial"/>
          <w:szCs w:val="20"/>
        </w:rPr>
      </w:pPr>
    </w:p>
    <w:p w14:paraId="54E563D9" w14:textId="77777777" w:rsidR="00B2512F" w:rsidRPr="00B2512F" w:rsidRDefault="00B2512F" w:rsidP="00B2512F">
      <w:pPr>
        <w:spacing w:after="0" w:line="240" w:lineRule="auto"/>
        <w:rPr>
          <w:rFonts w:cs="Arial"/>
          <w:szCs w:val="20"/>
        </w:rPr>
      </w:pPr>
      <w:r w:rsidRPr="00B2512F">
        <w:rPr>
          <w:rFonts w:cs="Arial"/>
          <w:szCs w:val="20"/>
        </w:rPr>
        <w:t>Australia’s capacity to compete for the ‘best and brightest’ talent from around the world, and our future economic prosperity, will very much depend on our ability to take deliberate and decisive steps in relation to key areas of policy such as this.</w:t>
      </w:r>
    </w:p>
    <w:p w14:paraId="54E563DA" w14:textId="77777777" w:rsidR="00B2512F" w:rsidRPr="00B2512F" w:rsidRDefault="00B2512F" w:rsidP="00B2512F">
      <w:pPr>
        <w:spacing w:after="0" w:line="240" w:lineRule="auto"/>
        <w:rPr>
          <w:rFonts w:cs="Arial"/>
          <w:szCs w:val="20"/>
        </w:rPr>
      </w:pPr>
    </w:p>
    <w:p w14:paraId="54E563DB" w14:textId="77777777" w:rsidR="00B2512F" w:rsidRDefault="00B2512F" w:rsidP="00B2512F">
      <w:pPr>
        <w:spacing w:after="0" w:line="240" w:lineRule="auto"/>
        <w:rPr>
          <w:rFonts w:cs="Arial"/>
          <w:szCs w:val="20"/>
        </w:rPr>
      </w:pPr>
      <w:r w:rsidRPr="00B2512F">
        <w:rPr>
          <w:rFonts w:cs="Arial"/>
          <w:szCs w:val="20"/>
        </w:rPr>
        <w:t xml:space="preserve">There are some standout examples from around the world that are instructive in considering how Australia can best meet the commercialisation challenge. These include: </w:t>
      </w:r>
    </w:p>
    <w:p w14:paraId="54E563DC" w14:textId="77777777" w:rsidR="00A46B56" w:rsidRPr="00B2512F" w:rsidRDefault="00A46B56" w:rsidP="00B2512F">
      <w:pPr>
        <w:spacing w:after="0" w:line="240" w:lineRule="auto"/>
        <w:rPr>
          <w:rFonts w:cs="Arial"/>
          <w:szCs w:val="20"/>
        </w:rPr>
      </w:pPr>
    </w:p>
    <w:p w14:paraId="54E563DD" w14:textId="77777777" w:rsidR="00B2512F" w:rsidRPr="00B2512F" w:rsidRDefault="00B2512F" w:rsidP="005D3670">
      <w:pPr>
        <w:pStyle w:val="ListParagraph"/>
        <w:keepLines/>
        <w:numPr>
          <w:ilvl w:val="0"/>
          <w:numId w:val="25"/>
        </w:numPr>
        <w:spacing w:after="0" w:line="240" w:lineRule="auto"/>
        <w:ind w:left="360"/>
        <w:contextualSpacing w:val="0"/>
        <w:outlineLvl w:val="0"/>
        <w:rPr>
          <w:rFonts w:cs="Arial"/>
          <w:szCs w:val="20"/>
        </w:rPr>
      </w:pPr>
      <w:r w:rsidRPr="00B2512F">
        <w:rPr>
          <w:rFonts w:cs="Arial"/>
          <w:szCs w:val="20"/>
        </w:rPr>
        <w:t xml:space="preserve">The Wellcome Trust, a UK-based charitable foundation that funds biomedical research, has total assets of £17.3b (A$31.2b) and is extensively invested in the translation and commercialisation of medical research by: </w:t>
      </w:r>
    </w:p>
    <w:p w14:paraId="54E563DE" w14:textId="77777777" w:rsidR="00B2512F" w:rsidRPr="00B2512F" w:rsidRDefault="00B2512F" w:rsidP="005D3670">
      <w:pPr>
        <w:pStyle w:val="ListParagraph"/>
        <w:keepLines/>
        <w:numPr>
          <w:ilvl w:val="1"/>
          <w:numId w:val="26"/>
        </w:numPr>
        <w:spacing w:after="0" w:line="240" w:lineRule="auto"/>
        <w:ind w:left="1080"/>
        <w:contextualSpacing w:val="0"/>
        <w:outlineLvl w:val="0"/>
        <w:rPr>
          <w:rFonts w:cs="Arial"/>
          <w:szCs w:val="20"/>
        </w:rPr>
      </w:pPr>
      <w:r w:rsidRPr="00B2512F">
        <w:rPr>
          <w:rFonts w:cs="Arial"/>
          <w:szCs w:val="20"/>
        </w:rPr>
        <w:t xml:space="preserve">Investing 7.8% of total assets into VC, including £200m in its dedicated healthcare-focused fund, Syncona Partners, as well as allocations to external healthcare fund managers. </w:t>
      </w:r>
    </w:p>
    <w:p w14:paraId="54E563DF" w14:textId="77777777" w:rsidR="00B2512F" w:rsidRPr="00B2512F" w:rsidRDefault="00B2512F" w:rsidP="005D3670">
      <w:pPr>
        <w:pStyle w:val="ListParagraph"/>
        <w:ind w:left="1080"/>
        <w:rPr>
          <w:rFonts w:cs="Arial"/>
          <w:szCs w:val="20"/>
        </w:rPr>
      </w:pPr>
    </w:p>
    <w:p w14:paraId="54E563E0" w14:textId="77777777" w:rsidR="00B2512F" w:rsidRPr="00B2512F" w:rsidRDefault="00B2512F" w:rsidP="005D3670">
      <w:pPr>
        <w:pStyle w:val="ListParagraph"/>
        <w:keepLines/>
        <w:numPr>
          <w:ilvl w:val="1"/>
          <w:numId w:val="26"/>
        </w:numPr>
        <w:spacing w:after="0" w:line="240" w:lineRule="auto"/>
        <w:ind w:left="1080"/>
        <w:contextualSpacing w:val="0"/>
        <w:outlineLvl w:val="0"/>
        <w:rPr>
          <w:rFonts w:cs="Arial"/>
          <w:szCs w:val="20"/>
        </w:rPr>
      </w:pPr>
      <w:r w:rsidRPr="00B2512F">
        <w:rPr>
          <w:rFonts w:cs="Arial"/>
          <w:szCs w:val="20"/>
        </w:rPr>
        <w:t xml:space="preserve">Funding for basic research and translation/commercialisation, the latter being done through a number of schemes, including a targeted Translation Fund, and the Health Innovation Challenge Fund (parallel funding provided by the UK Department of Health). </w:t>
      </w:r>
    </w:p>
    <w:p w14:paraId="54E563E1" w14:textId="77777777" w:rsidR="00B2512F" w:rsidRPr="00B2512F" w:rsidRDefault="00B2512F" w:rsidP="005D3670">
      <w:pPr>
        <w:pStyle w:val="ListParagraph"/>
        <w:ind w:left="1080"/>
        <w:rPr>
          <w:rFonts w:cs="Arial"/>
          <w:szCs w:val="20"/>
        </w:rPr>
      </w:pPr>
    </w:p>
    <w:p w14:paraId="54E563E2" w14:textId="77777777" w:rsidR="00B2512F" w:rsidRPr="00B2512F" w:rsidRDefault="00B2512F" w:rsidP="005D3670">
      <w:pPr>
        <w:pStyle w:val="ListParagraph"/>
        <w:keepLines/>
        <w:numPr>
          <w:ilvl w:val="0"/>
          <w:numId w:val="25"/>
        </w:numPr>
        <w:spacing w:after="0" w:line="240" w:lineRule="auto"/>
        <w:ind w:left="360"/>
        <w:contextualSpacing w:val="0"/>
        <w:outlineLvl w:val="0"/>
        <w:rPr>
          <w:rFonts w:cs="Arial"/>
          <w:szCs w:val="20"/>
        </w:rPr>
      </w:pPr>
      <w:r w:rsidRPr="00B2512F">
        <w:rPr>
          <w:rFonts w:cs="Arial"/>
          <w:szCs w:val="20"/>
        </w:rPr>
        <w:lastRenderedPageBreak/>
        <w:t xml:space="preserve">The Howard Hughes Medical Institute, the largest private supporter of academic biomedical research in the US, has a US$16.9b (A$18.3b) endowment which also invests in life sciences and biotech VC funds. </w:t>
      </w:r>
    </w:p>
    <w:p w14:paraId="54E563E3" w14:textId="77777777" w:rsidR="00B2512F" w:rsidRPr="00B2512F" w:rsidRDefault="00B2512F" w:rsidP="005D3670">
      <w:pPr>
        <w:pStyle w:val="ListParagraph"/>
        <w:ind w:left="360"/>
        <w:rPr>
          <w:rFonts w:cs="Arial"/>
          <w:szCs w:val="20"/>
        </w:rPr>
      </w:pPr>
    </w:p>
    <w:p w14:paraId="54E563E4" w14:textId="77777777" w:rsidR="00B2512F" w:rsidRPr="00B2512F" w:rsidRDefault="00B2512F" w:rsidP="005D3670">
      <w:pPr>
        <w:pStyle w:val="ListParagraph"/>
        <w:keepLines/>
        <w:numPr>
          <w:ilvl w:val="0"/>
          <w:numId w:val="25"/>
        </w:numPr>
        <w:spacing w:after="0" w:line="240" w:lineRule="auto"/>
        <w:ind w:left="360"/>
        <w:contextualSpacing w:val="0"/>
        <w:outlineLvl w:val="0"/>
        <w:rPr>
          <w:rFonts w:cs="Arial"/>
          <w:szCs w:val="20"/>
        </w:rPr>
      </w:pPr>
      <w:r w:rsidRPr="00B2512F">
        <w:rPr>
          <w:rFonts w:cs="Arial"/>
          <w:szCs w:val="20"/>
        </w:rPr>
        <w:t>The US-based Mayo Clinic, a medical research and practice group with investments valued at over US$5b, has a dedicated VC fund that seeks to bridge the gap between research discoveries and the marketplace.</w:t>
      </w:r>
    </w:p>
    <w:p w14:paraId="54E563E5" w14:textId="77777777" w:rsidR="00B2512F" w:rsidRPr="00B2512F" w:rsidRDefault="00B2512F" w:rsidP="00B2512F">
      <w:pPr>
        <w:spacing w:after="0" w:line="240" w:lineRule="auto"/>
        <w:rPr>
          <w:rFonts w:cs="Arial"/>
          <w:szCs w:val="20"/>
        </w:rPr>
      </w:pPr>
    </w:p>
    <w:p w14:paraId="54E563E6" w14:textId="77777777" w:rsidR="00B2512F" w:rsidRPr="00B2512F" w:rsidRDefault="00B2512F" w:rsidP="00B2512F">
      <w:pPr>
        <w:spacing w:after="0" w:line="240" w:lineRule="auto"/>
        <w:rPr>
          <w:rFonts w:cs="Arial"/>
          <w:szCs w:val="20"/>
        </w:rPr>
      </w:pPr>
      <w:r w:rsidRPr="00B2512F">
        <w:rPr>
          <w:rFonts w:cs="Arial"/>
          <w:szCs w:val="20"/>
        </w:rPr>
        <w:t xml:space="preserve">In our view, the </w:t>
      </w:r>
      <w:r w:rsidRPr="00B2512F">
        <w:rPr>
          <w:rFonts w:eastAsia="Calibri" w:cs="Arial"/>
          <w:szCs w:val="20"/>
        </w:rPr>
        <w:t xml:space="preserve">translational medical innovation </w:t>
      </w:r>
      <w:r w:rsidRPr="00B2512F">
        <w:rPr>
          <w:rFonts w:cs="Arial"/>
          <w:szCs w:val="20"/>
        </w:rPr>
        <w:t xml:space="preserve">fund should start immediately with an initial amount of at least 10% of the MRFF starting balance (estimated to be at $1b), with a view to reviewing this quantum as the fund grows and federal budgetary conditions improve. This amounts to only $100m p.a., which is likely to be offset to some extent by the annual earnings from the original $1b endowment balance. </w:t>
      </w:r>
    </w:p>
    <w:p w14:paraId="54E563E7" w14:textId="77777777" w:rsidR="00B2512F" w:rsidRPr="00B2512F" w:rsidRDefault="00B2512F" w:rsidP="00B2512F">
      <w:pPr>
        <w:spacing w:after="0" w:line="240" w:lineRule="auto"/>
        <w:rPr>
          <w:rFonts w:cs="Arial"/>
          <w:szCs w:val="20"/>
        </w:rPr>
      </w:pPr>
    </w:p>
    <w:p w14:paraId="54E563E8" w14:textId="77777777" w:rsidR="00B2512F" w:rsidRPr="00B2512F" w:rsidRDefault="00B2512F" w:rsidP="00B2512F">
      <w:pPr>
        <w:spacing w:after="0" w:line="240" w:lineRule="auto"/>
        <w:rPr>
          <w:rFonts w:cs="Arial"/>
          <w:szCs w:val="20"/>
        </w:rPr>
      </w:pPr>
      <w:r w:rsidRPr="00B2512F">
        <w:rPr>
          <w:rFonts w:cs="Arial"/>
          <w:szCs w:val="20"/>
        </w:rPr>
        <w:t xml:space="preserve">The formation of the fund without further delay would help to minimise the gap in translational funding arising from the abolishment of the Commercialisation Australia and IIF programmes. </w:t>
      </w:r>
    </w:p>
    <w:p w14:paraId="54E563E9" w14:textId="77777777" w:rsidR="00B2512F" w:rsidRPr="00B2512F" w:rsidRDefault="00B2512F" w:rsidP="00B2512F">
      <w:pPr>
        <w:spacing w:after="0" w:line="240" w:lineRule="auto"/>
        <w:rPr>
          <w:rFonts w:cs="Arial"/>
          <w:szCs w:val="20"/>
        </w:rPr>
      </w:pPr>
      <w:r w:rsidRPr="00B2512F">
        <w:rPr>
          <w:rFonts w:cs="Arial"/>
          <w:szCs w:val="20"/>
        </w:rPr>
        <w:t xml:space="preserve">Government funds would be matched by the private sector, and should be invested and managed by independent professional venture managers with expertise in translation and commercialisation, rather than by a specific Government agency. </w:t>
      </w:r>
    </w:p>
    <w:p w14:paraId="54E563EA" w14:textId="77777777" w:rsidR="00B2512F" w:rsidRPr="00B2512F" w:rsidRDefault="00B2512F" w:rsidP="00B2512F">
      <w:pPr>
        <w:spacing w:after="0" w:line="240" w:lineRule="auto"/>
        <w:rPr>
          <w:rFonts w:cs="Arial"/>
          <w:szCs w:val="20"/>
        </w:rPr>
      </w:pPr>
    </w:p>
    <w:p w14:paraId="54E563EB" w14:textId="77777777" w:rsidR="00B2512F" w:rsidRPr="00B2512F" w:rsidRDefault="00B2512F" w:rsidP="00B2512F">
      <w:pPr>
        <w:spacing w:after="0" w:line="240" w:lineRule="auto"/>
        <w:rPr>
          <w:rFonts w:cs="Arial"/>
          <w:szCs w:val="20"/>
        </w:rPr>
      </w:pPr>
      <w:r w:rsidRPr="00B2512F">
        <w:rPr>
          <w:rFonts w:cs="Arial"/>
          <w:szCs w:val="20"/>
        </w:rPr>
        <w:t xml:space="preserve">The fund should allow investment in all stages of the research and translation cycle, including subsequent (later) rounds. This would especially help mitigate the current gap seen in later stage venture funding, and reduce the likelihood of promising research failing to succeed or achieve its full potential due to lack of funding later on. Allocating funds to both basic research and translation/commercialisation would allow the MRFF to realise its full potential in alleviating the rising level of healthcare and related costs for future governments in Australia over coming decades. </w:t>
      </w:r>
    </w:p>
    <w:p w14:paraId="54E563EC" w14:textId="77777777" w:rsidR="00B2512F" w:rsidRPr="00B2512F" w:rsidRDefault="00B2512F" w:rsidP="00B2512F">
      <w:pPr>
        <w:spacing w:after="0" w:line="240" w:lineRule="auto"/>
        <w:rPr>
          <w:rFonts w:cs="Arial"/>
          <w:szCs w:val="20"/>
        </w:rPr>
      </w:pPr>
    </w:p>
    <w:p w14:paraId="54E563ED" w14:textId="77777777" w:rsidR="00B2512F" w:rsidRPr="00B2512F" w:rsidRDefault="00B2512F" w:rsidP="00B2512F">
      <w:pPr>
        <w:spacing w:after="0" w:line="240" w:lineRule="auto"/>
        <w:rPr>
          <w:rFonts w:cs="Arial"/>
          <w:szCs w:val="20"/>
        </w:rPr>
      </w:pPr>
      <w:r w:rsidRPr="00B2512F">
        <w:rPr>
          <w:rFonts w:cs="Arial"/>
          <w:szCs w:val="20"/>
        </w:rPr>
        <w:t>It is important to note that capital provided by government would only be called three to four years after the call on private investor capital, as recommended by the McKeon Review in the design of its proposed Translational Biotech Fund. It is our understanding that there would be no impact on the underlying fiscal balance of the federal budget because the capital outlay would be treated as a financial asset rather than an expense. As recommended by the McKeon Review, the fund should be governed by an investment advisory board, with board members to be appointed by the investors and to include government representatives. The investment advisory board would be able to run a tender process to select the best manager(s) for the fund.</w:t>
      </w:r>
    </w:p>
    <w:p w14:paraId="54E563EF" w14:textId="6BDE69DA" w:rsidR="00B2512F" w:rsidRPr="00B2512F" w:rsidRDefault="00B2512F" w:rsidP="00010FD8">
      <w:pPr>
        <w:pStyle w:val="Heading2"/>
      </w:pPr>
      <w:r w:rsidRPr="00B2512F">
        <w:t>Create a new translational innovation fund to co-invest in innovative sectors and technologies</w:t>
      </w:r>
    </w:p>
    <w:p w14:paraId="54E563F0" w14:textId="77777777" w:rsidR="00B2512F" w:rsidRPr="00B2512F" w:rsidRDefault="00B2512F" w:rsidP="00B2512F">
      <w:pPr>
        <w:spacing w:after="0" w:line="240" w:lineRule="auto"/>
        <w:rPr>
          <w:rFonts w:cs="Arial"/>
          <w:szCs w:val="20"/>
        </w:rPr>
      </w:pPr>
      <w:r w:rsidRPr="00B2512F">
        <w:rPr>
          <w:rFonts w:cs="Arial"/>
          <w:szCs w:val="20"/>
        </w:rPr>
        <w:t>AVCAL recommends that the Government should create a new generalist translational innovation fund with an initial Government commitment of $500 million to be drawn down over five years, commencing as soon as possible. It should operate in a similar structure to the proposed translational medical innovation fund described above, i.e.:</w:t>
      </w:r>
    </w:p>
    <w:p w14:paraId="54E563F1" w14:textId="77777777" w:rsidR="00B2512F" w:rsidRPr="00B2512F" w:rsidRDefault="00B2512F" w:rsidP="00B2512F">
      <w:pPr>
        <w:spacing w:after="0" w:line="240" w:lineRule="auto"/>
        <w:rPr>
          <w:rFonts w:cs="Arial"/>
          <w:szCs w:val="20"/>
        </w:rPr>
      </w:pPr>
    </w:p>
    <w:p w14:paraId="54E563F2" w14:textId="77777777" w:rsidR="00B2512F" w:rsidRPr="00B2512F" w:rsidRDefault="00B2512F" w:rsidP="00B2512F">
      <w:pPr>
        <w:pStyle w:val="ListParagraph"/>
        <w:keepLines/>
        <w:numPr>
          <w:ilvl w:val="0"/>
          <w:numId w:val="25"/>
        </w:numPr>
        <w:spacing w:after="0" w:line="240" w:lineRule="auto"/>
        <w:contextualSpacing w:val="0"/>
        <w:outlineLvl w:val="0"/>
        <w:rPr>
          <w:rFonts w:cs="Arial"/>
          <w:szCs w:val="20"/>
        </w:rPr>
      </w:pPr>
      <w:r w:rsidRPr="00B2512F">
        <w:rPr>
          <w:rFonts w:cs="Arial"/>
          <w:szCs w:val="20"/>
        </w:rPr>
        <w:t>Incorporate a ‘matching’ of government funds by the private sector</w:t>
      </w:r>
      <w:r w:rsidR="00F4633E">
        <w:rPr>
          <w:rFonts w:cs="Arial"/>
          <w:szCs w:val="20"/>
        </w:rPr>
        <w:t>;</w:t>
      </w:r>
    </w:p>
    <w:p w14:paraId="54E563F3" w14:textId="77777777" w:rsidR="00B2512F" w:rsidRPr="00B2512F" w:rsidRDefault="00B2512F" w:rsidP="00B2512F">
      <w:pPr>
        <w:pStyle w:val="ListParagraph"/>
        <w:keepLines/>
        <w:numPr>
          <w:ilvl w:val="0"/>
          <w:numId w:val="25"/>
        </w:numPr>
        <w:spacing w:after="0" w:line="240" w:lineRule="auto"/>
        <w:contextualSpacing w:val="0"/>
        <w:outlineLvl w:val="0"/>
        <w:rPr>
          <w:rFonts w:cs="Arial"/>
          <w:szCs w:val="20"/>
        </w:rPr>
      </w:pPr>
      <w:r w:rsidRPr="00B2512F">
        <w:rPr>
          <w:rFonts w:cs="Arial"/>
          <w:szCs w:val="20"/>
        </w:rPr>
        <w:t>Only involve the calling of government funds after private funds have been fully drawn down</w:t>
      </w:r>
      <w:r w:rsidR="00F4633E">
        <w:rPr>
          <w:rFonts w:cs="Arial"/>
          <w:szCs w:val="20"/>
        </w:rPr>
        <w:t>;</w:t>
      </w:r>
    </w:p>
    <w:p w14:paraId="54E563F4" w14:textId="77777777" w:rsidR="00B2512F" w:rsidRPr="00B2512F" w:rsidRDefault="00B2512F" w:rsidP="00B2512F">
      <w:pPr>
        <w:pStyle w:val="ListParagraph"/>
        <w:keepLines/>
        <w:numPr>
          <w:ilvl w:val="0"/>
          <w:numId w:val="25"/>
        </w:numPr>
        <w:spacing w:after="0" w:line="240" w:lineRule="auto"/>
        <w:contextualSpacing w:val="0"/>
        <w:outlineLvl w:val="0"/>
        <w:rPr>
          <w:rFonts w:cs="Arial"/>
          <w:szCs w:val="20"/>
        </w:rPr>
      </w:pPr>
      <w:r w:rsidRPr="00B2512F">
        <w:rPr>
          <w:rFonts w:cs="Arial"/>
          <w:szCs w:val="20"/>
        </w:rPr>
        <w:t>Be open to all stages of commercialisation from startups to later-stage companies</w:t>
      </w:r>
      <w:r w:rsidR="00F4633E">
        <w:rPr>
          <w:rFonts w:cs="Arial"/>
          <w:szCs w:val="20"/>
        </w:rPr>
        <w:t>;</w:t>
      </w:r>
      <w:r w:rsidR="00F4633E" w:rsidRPr="00B2512F">
        <w:rPr>
          <w:rFonts w:cs="Arial"/>
          <w:szCs w:val="20"/>
        </w:rPr>
        <w:t xml:space="preserve"> </w:t>
      </w:r>
      <w:r w:rsidRPr="00B2512F">
        <w:rPr>
          <w:rFonts w:cs="Arial"/>
          <w:szCs w:val="20"/>
        </w:rPr>
        <w:t>and</w:t>
      </w:r>
    </w:p>
    <w:p w14:paraId="54E563F5" w14:textId="77777777" w:rsidR="00B2512F" w:rsidRPr="00B2512F" w:rsidRDefault="00B2512F" w:rsidP="00B2512F">
      <w:pPr>
        <w:pStyle w:val="ListParagraph"/>
        <w:keepLines/>
        <w:numPr>
          <w:ilvl w:val="0"/>
          <w:numId w:val="25"/>
        </w:numPr>
        <w:spacing w:after="0" w:line="240" w:lineRule="auto"/>
        <w:contextualSpacing w:val="0"/>
        <w:outlineLvl w:val="0"/>
        <w:rPr>
          <w:rFonts w:cs="Arial"/>
          <w:szCs w:val="20"/>
        </w:rPr>
      </w:pPr>
      <w:r w:rsidRPr="00B2512F">
        <w:rPr>
          <w:rFonts w:cs="Arial"/>
          <w:szCs w:val="20"/>
        </w:rPr>
        <w:t xml:space="preserve">Be invested and managed by professional venture managers, with manager selection based on merit. </w:t>
      </w:r>
    </w:p>
    <w:p w14:paraId="54E563F6" w14:textId="77777777" w:rsidR="00B2512F" w:rsidRPr="00B2512F" w:rsidRDefault="00B2512F" w:rsidP="00B2512F">
      <w:pPr>
        <w:spacing w:after="0" w:line="240" w:lineRule="auto"/>
        <w:rPr>
          <w:rFonts w:cs="Arial"/>
          <w:szCs w:val="20"/>
        </w:rPr>
      </w:pPr>
    </w:p>
    <w:p w14:paraId="54E563F7" w14:textId="77777777" w:rsidR="00B2512F" w:rsidRPr="00B2512F" w:rsidRDefault="00B2512F" w:rsidP="00B2512F">
      <w:pPr>
        <w:spacing w:after="0" w:line="240" w:lineRule="auto"/>
        <w:rPr>
          <w:rFonts w:cs="Arial"/>
          <w:szCs w:val="20"/>
        </w:rPr>
      </w:pPr>
      <w:r w:rsidRPr="00B2512F">
        <w:rPr>
          <w:rFonts w:cs="Arial"/>
          <w:szCs w:val="20"/>
        </w:rPr>
        <w:t xml:space="preserve">The manager's ability to attract matching capital from private sources should be the test of whether the manager is suitably qualified to apply for a license. In addition, the fund manager selection process should be completed in a transparent manner, and within a specified limited timeframe, to minimise uncertainty for private investors </w:t>
      </w:r>
      <w:r w:rsidRPr="00B2512F">
        <w:rPr>
          <w:rFonts w:cs="Arial"/>
          <w:szCs w:val="20"/>
        </w:rPr>
        <w:lastRenderedPageBreak/>
        <w:t>while awaiting the outcome of the selection process. The longer the selection process, the higher the opportunity cost incurred by private investors when they could be opting to deploy their capital elsewhere.</w:t>
      </w:r>
    </w:p>
    <w:p w14:paraId="54E563F8" w14:textId="77777777" w:rsidR="00B2512F" w:rsidRPr="00B2512F" w:rsidRDefault="00B2512F" w:rsidP="00B2512F">
      <w:pPr>
        <w:spacing w:after="0" w:line="240" w:lineRule="auto"/>
        <w:rPr>
          <w:rFonts w:cs="Arial"/>
          <w:szCs w:val="20"/>
        </w:rPr>
      </w:pPr>
    </w:p>
    <w:p w14:paraId="54E563F9" w14:textId="77777777" w:rsidR="00B2512F" w:rsidRPr="00B2512F" w:rsidRDefault="00B2512F" w:rsidP="00B2512F">
      <w:pPr>
        <w:spacing w:after="0" w:line="240" w:lineRule="auto"/>
        <w:rPr>
          <w:rFonts w:cs="Arial"/>
          <w:szCs w:val="20"/>
        </w:rPr>
      </w:pPr>
      <w:r w:rsidRPr="00B2512F">
        <w:rPr>
          <w:rFonts w:cs="Arial"/>
          <w:szCs w:val="20"/>
        </w:rPr>
        <w:t>In addition:</w:t>
      </w:r>
    </w:p>
    <w:p w14:paraId="54E563FA" w14:textId="77777777" w:rsidR="00B2512F" w:rsidRPr="00B2512F" w:rsidRDefault="00B2512F" w:rsidP="00B2512F">
      <w:pPr>
        <w:spacing w:after="0" w:line="240" w:lineRule="auto"/>
        <w:rPr>
          <w:rFonts w:cs="Arial"/>
          <w:szCs w:val="20"/>
        </w:rPr>
      </w:pPr>
    </w:p>
    <w:p w14:paraId="54E563FB" w14:textId="77777777" w:rsidR="00B2512F" w:rsidRPr="00B2512F" w:rsidRDefault="00B2512F" w:rsidP="00B2512F">
      <w:pPr>
        <w:pStyle w:val="ListParagraph"/>
        <w:keepLines/>
        <w:numPr>
          <w:ilvl w:val="0"/>
          <w:numId w:val="25"/>
        </w:numPr>
        <w:spacing w:after="0" w:line="240" w:lineRule="auto"/>
        <w:contextualSpacing w:val="0"/>
        <w:outlineLvl w:val="0"/>
        <w:rPr>
          <w:rFonts w:cs="Arial"/>
          <w:szCs w:val="20"/>
        </w:rPr>
      </w:pPr>
      <w:r w:rsidRPr="00B2512F">
        <w:rPr>
          <w:rFonts w:cs="Arial"/>
          <w:szCs w:val="20"/>
        </w:rPr>
        <w:t xml:space="preserve">All profit, capital and interest returned to the Government from the fund's investments should be recycled into an ongoing and self-sustaining programme of targeted investment into innovative Australian businesses. </w:t>
      </w:r>
    </w:p>
    <w:p w14:paraId="54E563FC" w14:textId="77777777" w:rsidR="00B2512F" w:rsidRPr="00B2512F" w:rsidRDefault="00B2512F" w:rsidP="00B2512F">
      <w:pPr>
        <w:pStyle w:val="ListParagraph"/>
        <w:keepLines/>
        <w:numPr>
          <w:ilvl w:val="0"/>
          <w:numId w:val="25"/>
        </w:numPr>
        <w:spacing w:after="0" w:line="240" w:lineRule="auto"/>
        <w:contextualSpacing w:val="0"/>
        <w:outlineLvl w:val="0"/>
        <w:rPr>
          <w:rFonts w:cs="Arial"/>
          <w:szCs w:val="20"/>
        </w:rPr>
      </w:pPr>
      <w:r w:rsidRPr="00B2512F">
        <w:rPr>
          <w:rFonts w:cs="Arial"/>
          <w:szCs w:val="20"/>
        </w:rPr>
        <w:t xml:space="preserve">The funding allocation to the programme should be reviewed with a view to being expanded over time to allow the programme objectives to be fulfilled. Even though proceeds are recycled through the Revolving Fund, these returns will take many years to crystallise and it is important that the cycle of supporting innovation remains unbroken so that Australia does not lose the momentum gained by building up the early stage investment sector only to have it falter at later-stage VC investment.  </w:t>
      </w:r>
    </w:p>
    <w:p w14:paraId="54E563FD" w14:textId="77777777" w:rsidR="00B2512F" w:rsidRPr="00B2512F" w:rsidRDefault="00B2512F" w:rsidP="00B2512F">
      <w:pPr>
        <w:pStyle w:val="ListParagraph"/>
        <w:rPr>
          <w:rFonts w:cs="Arial"/>
          <w:szCs w:val="20"/>
        </w:rPr>
      </w:pPr>
    </w:p>
    <w:p w14:paraId="54E563FF" w14:textId="1DDEFE55" w:rsidR="00AF252F" w:rsidRDefault="00AF252F" w:rsidP="00010FD8">
      <w:pPr>
        <w:pStyle w:val="Heading2"/>
      </w:pPr>
      <w:r>
        <w:t>Include VC as a complying investment under the Significant Investor Visa (SIV) programme</w:t>
      </w:r>
    </w:p>
    <w:p w14:paraId="54E56400" w14:textId="77777777" w:rsidR="00AF252F" w:rsidRDefault="00AF252F" w:rsidP="00AF252F">
      <w:pPr>
        <w:spacing w:after="0" w:line="240" w:lineRule="auto"/>
      </w:pPr>
    </w:p>
    <w:p w14:paraId="54E56401" w14:textId="77777777" w:rsidR="00AF252F" w:rsidRDefault="00AF252F" w:rsidP="00AF252F">
      <w:pPr>
        <w:spacing w:after="0" w:line="240" w:lineRule="auto"/>
      </w:pPr>
      <w:r>
        <w:t xml:space="preserve">We welcome and support the Government's recently announced initiatives to reform the SIV programme to facilitate more targeted capital allocations to areas of long-term gain to Australia, such as in VC investments. </w:t>
      </w:r>
    </w:p>
    <w:p w14:paraId="54E56402" w14:textId="77777777" w:rsidR="00AF252F" w:rsidRDefault="00AF252F" w:rsidP="00AF252F">
      <w:pPr>
        <w:spacing w:after="0" w:line="240" w:lineRule="auto"/>
      </w:pPr>
      <w:r>
        <w:t xml:space="preserve">This will give greater flexibility to fund managers to tailor SIV-compliant funds to meet investors' risk-reward appetites, while at the same time boosting unlisted Australian startups' access to capital. </w:t>
      </w:r>
    </w:p>
    <w:p w14:paraId="54E56403" w14:textId="77777777" w:rsidR="00AF252F" w:rsidRDefault="00AF252F" w:rsidP="00AF252F">
      <w:pPr>
        <w:spacing w:after="0" w:line="240" w:lineRule="auto"/>
      </w:pPr>
    </w:p>
    <w:p w14:paraId="54E56404" w14:textId="77777777" w:rsidR="00AF252F" w:rsidRDefault="00AF252F" w:rsidP="00AF252F">
      <w:pPr>
        <w:spacing w:after="0" w:line="240" w:lineRule="auto"/>
      </w:pPr>
      <w:r>
        <w:t>At the time of writing, there is a consultation process that is being carried out by Austrade to examine the implementation details for the proposed reforms. AVCAL will be putting forward a submission as part of that consultation process setting out the industry's views and suggestions on the implementation aspects of this policy.</w:t>
      </w:r>
      <w:r>
        <w:rPr>
          <w:rStyle w:val="FootnoteReference"/>
        </w:rPr>
        <w:footnoteReference w:id="4"/>
      </w:r>
      <w:r>
        <w:t xml:space="preserve"> </w:t>
      </w:r>
    </w:p>
    <w:p w14:paraId="54E56405" w14:textId="77777777" w:rsidR="00E1147F" w:rsidRDefault="00E1147F" w:rsidP="008932F5">
      <w:pPr>
        <w:spacing w:after="0"/>
        <w:rPr>
          <w:rFonts w:eastAsia="Calibri" w:cs="Arial"/>
          <w:szCs w:val="20"/>
        </w:rPr>
      </w:pPr>
    </w:p>
    <w:p w14:paraId="54E56407" w14:textId="77777777" w:rsidR="008932F5" w:rsidRPr="008932F5" w:rsidRDefault="008932F5" w:rsidP="00010FD8">
      <w:pPr>
        <w:pStyle w:val="Heading1"/>
        <w:rPr>
          <w:rFonts w:eastAsia="Calibri"/>
        </w:rPr>
      </w:pPr>
      <w:r>
        <w:rPr>
          <w:rFonts w:eastAsia="Calibri"/>
        </w:rPr>
        <w:t>Strengthening the links between publicly-funded research and economic outcomes</w:t>
      </w:r>
    </w:p>
    <w:p w14:paraId="54E56408" w14:textId="77777777" w:rsidR="00FF5654" w:rsidRDefault="00FF5654" w:rsidP="00CF45A7">
      <w:pPr>
        <w:spacing w:after="0"/>
      </w:pPr>
    </w:p>
    <w:p w14:paraId="54E56409" w14:textId="77777777" w:rsidR="008932F5" w:rsidRDefault="00F21610" w:rsidP="00FA238E">
      <w:pPr>
        <w:spacing w:after="0" w:line="240" w:lineRule="auto"/>
      </w:pPr>
      <w:r>
        <w:t xml:space="preserve">In order to boost commercial returns from research, it is important to establish linkages between the research community and industry as a way of </w:t>
      </w:r>
      <w:r w:rsidR="00877499">
        <w:t>ensuring that new research efforts are attuned to the commercial aspects of developing products and technologies. Three recommendations are proposed and discussed below.</w:t>
      </w:r>
    </w:p>
    <w:p w14:paraId="54E5640A" w14:textId="77777777" w:rsidR="008932F5" w:rsidRDefault="008932F5" w:rsidP="00CF45A7">
      <w:pPr>
        <w:spacing w:after="0"/>
      </w:pPr>
    </w:p>
    <w:p w14:paraId="54E5640B" w14:textId="77777777" w:rsidR="00AA69DF" w:rsidRDefault="00F21610" w:rsidP="00010FD8">
      <w:pPr>
        <w:pStyle w:val="Heading2"/>
      </w:pPr>
      <w:r>
        <w:t>Better alignment of publicly-</w:t>
      </w:r>
      <w:r w:rsidR="00AA69DF" w:rsidRPr="00FF5654">
        <w:t>funded research with Government initiatives supporting commercialisation</w:t>
      </w:r>
    </w:p>
    <w:p w14:paraId="54E5640C" w14:textId="77777777" w:rsidR="00A46B56" w:rsidRDefault="00A46B56" w:rsidP="00F4633E">
      <w:pPr>
        <w:pStyle w:val="ListParagraph"/>
        <w:spacing w:after="0"/>
        <w:ind w:left="360"/>
        <w:rPr>
          <w:b/>
          <w:i/>
        </w:rPr>
      </w:pPr>
    </w:p>
    <w:p w14:paraId="54E5640D" w14:textId="77777777" w:rsidR="00877499" w:rsidRDefault="004F3E18" w:rsidP="004F3E18">
      <w:pPr>
        <w:autoSpaceDE w:val="0"/>
        <w:autoSpaceDN w:val="0"/>
        <w:adjustRightInd w:val="0"/>
        <w:spacing w:after="0" w:line="240" w:lineRule="auto"/>
        <w:rPr>
          <w:rFonts w:eastAsia="Calibri" w:cs="Arial"/>
          <w:szCs w:val="20"/>
        </w:rPr>
      </w:pPr>
      <w:r>
        <w:rPr>
          <w:rFonts w:eastAsia="Calibri" w:cs="Arial"/>
          <w:szCs w:val="20"/>
        </w:rPr>
        <w:t xml:space="preserve">The Government currently spends around $9 billion each year in supporting science, research and innovation, of which $2.8 billion (an amount which exceeds the size of the entire domestic VC industry in Australia) is spent on </w:t>
      </w:r>
      <w:r>
        <w:rPr>
          <w:rFonts w:eastAsia="Calibri" w:cs="Arial"/>
          <w:szCs w:val="20"/>
        </w:rPr>
        <w:lastRenderedPageBreak/>
        <w:t>university research funding.</w:t>
      </w:r>
      <w:r w:rsidR="00F5012A">
        <w:rPr>
          <w:rStyle w:val="FootnoteReference"/>
          <w:rFonts w:eastAsia="Calibri" w:cs="Arial"/>
          <w:szCs w:val="20"/>
        </w:rPr>
        <w:footnoteReference w:id="5"/>
      </w:r>
      <w:r>
        <w:rPr>
          <w:rFonts w:eastAsia="Calibri" w:cs="Arial"/>
          <w:szCs w:val="20"/>
        </w:rPr>
        <w:t xml:space="preserve"> </w:t>
      </w:r>
      <w:r w:rsidR="000A6B7B">
        <w:rPr>
          <w:rFonts w:eastAsia="Calibri" w:cs="Arial"/>
          <w:szCs w:val="20"/>
        </w:rPr>
        <w:t>However, t</w:t>
      </w:r>
      <w:r>
        <w:rPr>
          <w:rFonts w:eastAsia="Calibri" w:cs="Arial"/>
          <w:szCs w:val="20"/>
        </w:rPr>
        <w:t>otal Government support for commercialisation amounted to only $0.2 billion (or 2% of the federal budget allocation for research and innovation) in 2012.</w:t>
      </w:r>
      <w:r w:rsidR="000A6B7B">
        <w:rPr>
          <w:rStyle w:val="FootnoteReference"/>
          <w:rFonts w:eastAsia="Calibri" w:cs="Arial"/>
          <w:szCs w:val="20"/>
        </w:rPr>
        <w:footnoteReference w:id="6"/>
      </w:r>
    </w:p>
    <w:p w14:paraId="54E5640E" w14:textId="77777777" w:rsidR="004F3E18" w:rsidRDefault="004F3E18" w:rsidP="004F3E18">
      <w:pPr>
        <w:autoSpaceDE w:val="0"/>
        <w:autoSpaceDN w:val="0"/>
        <w:adjustRightInd w:val="0"/>
        <w:spacing w:after="0" w:line="240" w:lineRule="auto"/>
        <w:rPr>
          <w:rFonts w:eastAsia="Calibri" w:cs="Arial"/>
          <w:szCs w:val="20"/>
        </w:rPr>
      </w:pPr>
    </w:p>
    <w:p w14:paraId="54E5640F" w14:textId="77777777" w:rsidR="004F3E18" w:rsidRDefault="004F3E18" w:rsidP="004F3E18">
      <w:pPr>
        <w:autoSpaceDE w:val="0"/>
        <w:autoSpaceDN w:val="0"/>
        <w:adjustRightInd w:val="0"/>
        <w:spacing w:after="0" w:line="240" w:lineRule="auto"/>
        <w:rPr>
          <w:rFonts w:eastAsia="Calibri" w:cs="Arial"/>
          <w:szCs w:val="20"/>
        </w:rPr>
      </w:pPr>
      <w:r>
        <w:rPr>
          <w:rFonts w:eastAsia="Calibri" w:cs="Arial"/>
          <w:szCs w:val="20"/>
        </w:rPr>
        <w:t xml:space="preserve">To this end, the Government should consider how it can better align the national research and commercialisation agendas to ensure that they provide the correct balance between the pipeline of R&amp;D and the capacity of investment to commercialise that research. In particular, the Government ought to examine the optimal size of commercialisation programmes </w:t>
      </w:r>
      <w:r w:rsidR="00681CB7">
        <w:rPr>
          <w:rFonts w:eastAsia="Calibri" w:cs="Arial"/>
          <w:szCs w:val="20"/>
        </w:rPr>
        <w:t xml:space="preserve">such as the one recommended above, </w:t>
      </w:r>
      <w:r>
        <w:rPr>
          <w:rFonts w:eastAsia="Calibri" w:cs="Arial"/>
          <w:szCs w:val="20"/>
        </w:rPr>
        <w:t xml:space="preserve">and how supporting </w:t>
      </w:r>
      <w:r w:rsidR="00681CB7">
        <w:rPr>
          <w:rFonts w:eastAsia="Calibri" w:cs="Arial"/>
          <w:szCs w:val="20"/>
        </w:rPr>
        <w:t>investment vehicle</w:t>
      </w:r>
      <w:r>
        <w:rPr>
          <w:rFonts w:eastAsia="Calibri" w:cs="Arial"/>
          <w:szCs w:val="20"/>
        </w:rPr>
        <w:t xml:space="preserve"> </w:t>
      </w:r>
      <w:r w:rsidR="00392288">
        <w:rPr>
          <w:rFonts w:eastAsia="Calibri" w:cs="Arial"/>
          <w:szCs w:val="20"/>
        </w:rPr>
        <w:t xml:space="preserve">structures </w:t>
      </w:r>
      <w:r>
        <w:rPr>
          <w:rFonts w:eastAsia="Calibri" w:cs="Arial"/>
          <w:szCs w:val="20"/>
        </w:rPr>
        <w:t>can be improved to facilitate this alignment on a more effective basis going forward.</w:t>
      </w:r>
    </w:p>
    <w:p w14:paraId="54E56410" w14:textId="77777777" w:rsidR="00BA5182" w:rsidRDefault="00BA5182" w:rsidP="004F3E18">
      <w:pPr>
        <w:autoSpaceDE w:val="0"/>
        <w:autoSpaceDN w:val="0"/>
        <w:adjustRightInd w:val="0"/>
        <w:spacing w:after="0" w:line="240" w:lineRule="auto"/>
        <w:rPr>
          <w:rFonts w:eastAsia="Calibri" w:cs="Arial"/>
          <w:szCs w:val="20"/>
        </w:rPr>
      </w:pPr>
    </w:p>
    <w:p w14:paraId="54E56411" w14:textId="77777777" w:rsidR="007D0073" w:rsidRDefault="007D0073" w:rsidP="007D0073">
      <w:pPr>
        <w:autoSpaceDE w:val="0"/>
        <w:autoSpaceDN w:val="0"/>
        <w:adjustRightInd w:val="0"/>
        <w:spacing w:after="0" w:line="240" w:lineRule="auto"/>
        <w:rPr>
          <w:rFonts w:eastAsia="Calibri" w:cs="Arial"/>
          <w:szCs w:val="20"/>
        </w:rPr>
      </w:pPr>
      <w:r>
        <w:rPr>
          <w:rFonts w:eastAsia="Calibri" w:cs="Arial"/>
          <w:szCs w:val="20"/>
        </w:rPr>
        <w:t xml:space="preserve">Looking to overseas models of government support for commercialisation may also be instructive. For example, the </w:t>
      </w:r>
      <w:r w:rsidRPr="007D0073">
        <w:rPr>
          <w:rFonts w:eastAsia="Calibri" w:cs="Arial"/>
          <w:szCs w:val="20"/>
        </w:rPr>
        <w:t>German Federation of I</w:t>
      </w:r>
      <w:r>
        <w:rPr>
          <w:rFonts w:eastAsia="Calibri" w:cs="Arial"/>
          <w:szCs w:val="20"/>
        </w:rPr>
        <w:t>ndustrial Research Associations (the AiF)</w:t>
      </w:r>
      <w:r w:rsidRPr="007D0073">
        <w:rPr>
          <w:rFonts w:eastAsia="Calibri" w:cs="Arial"/>
          <w:szCs w:val="20"/>
        </w:rPr>
        <w:t xml:space="preserve"> promote</w:t>
      </w:r>
      <w:r>
        <w:rPr>
          <w:rFonts w:eastAsia="Calibri" w:cs="Arial"/>
          <w:szCs w:val="20"/>
        </w:rPr>
        <w:t>s</w:t>
      </w:r>
      <w:r w:rsidRPr="007D0073">
        <w:rPr>
          <w:rFonts w:eastAsia="Calibri" w:cs="Arial"/>
          <w:szCs w:val="20"/>
        </w:rPr>
        <w:t xml:space="preserve"> applied R&amp;D </w:t>
      </w:r>
      <w:r>
        <w:rPr>
          <w:rFonts w:eastAsia="Calibri" w:cs="Arial"/>
          <w:szCs w:val="20"/>
        </w:rPr>
        <w:t>among</w:t>
      </w:r>
      <w:r w:rsidRPr="007D0073">
        <w:rPr>
          <w:rFonts w:eastAsia="Calibri" w:cs="Arial"/>
          <w:szCs w:val="20"/>
        </w:rPr>
        <w:t xml:space="preserve"> SMEs</w:t>
      </w:r>
      <w:r>
        <w:rPr>
          <w:rFonts w:eastAsia="Calibri" w:cs="Arial"/>
          <w:szCs w:val="20"/>
        </w:rPr>
        <w:t>,</w:t>
      </w:r>
      <w:r w:rsidRPr="007D0073">
        <w:rPr>
          <w:rFonts w:eastAsia="Calibri" w:cs="Arial"/>
          <w:szCs w:val="20"/>
        </w:rPr>
        <w:t xml:space="preserve"> </w:t>
      </w:r>
      <w:r>
        <w:rPr>
          <w:rFonts w:eastAsia="Calibri" w:cs="Arial"/>
          <w:szCs w:val="20"/>
        </w:rPr>
        <w:t xml:space="preserve">and </w:t>
      </w:r>
      <w:r w:rsidRPr="007D0073">
        <w:rPr>
          <w:rFonts w:eastAsia="Calibri" w:cs="Arial"/>
          <w:szCs w:val="20"/>
        </w:rPr>
        <w:t xml:space="preserve">has built a unique infrastructure </w:t>
      </w:r>
      <w:r>
        <w:rPr>
          <w:rFonts w:eastAsia="Calibri" w:cs="Arial"/>
          <w:szCs w:val="20"/>
        </w:rPr>
        <w:t>through</w:t>
      </w:r>
      <w:r w:rsidRPr="007D0073">
        <w:rPr>
          <w:rFonts w:eastAsia="Calibri" w:cs="Arial"/>
          <w:szCs w:val="20"/>
        </w:rPr>
        <w:t xml:space="preserve"> an industry</w:t>
      </w:r>
      <w:r>
        <w:rPr>
          <w:rFonts w:eastAsia="Calibri" w:cs="Arial"/>
          <w:szCs w:val="20"/>
        </w:rPr>
        <w:t>-</w:t>
      </w:r>
      <w:r w:rsidRPr="007D0073">
        <w:rPr>
          <w:rFonts w:eastAsia="Calibri" w:cs="Arial"/>
          <w:szCs w:val="20"/>
        </w:rPr>
        <w:t>based innovation network including over 100 industrial research associations</w:t>
      </w:r>
      <w:r>
        <w:rPr>
          <w:rFonts w:eastAsia="Calibri" w:cs="Arial"/>
          <w:szCs w:val="20"/>
        </w:rPr>
        <w:t>,</w:t>
      </w:r>
      <w:r w:rsidRPr="007D0073">
        <w:rPr>
          <w:rFonts w:eastAsia="Calibri" w:cs="Arial"/>
          <w:szCs w:val="20"/>
        </w:rPr>
        <w:t xml:space="preserve"> 50,000 enterprises </w:t>
      </w:r>
      <w:r>
        <w:rPr>
          <w:rFonts w:eastAsia="Calibri" w:cs="Arial"/>
          <w:szCs w:val="20"/>
        </w:rPr>
        <w:t xml:space="preserve">and </w:t>
      </w:r>
      <w:r w:rsidRPr="007D0073">
        <w:rPr>
          <w:rFonts w:eastAsia="Calibri" w:cs="Arial"/>
          <w:szCs w:val="20"/>
        </w:rPr>
        <w:t>some 700 research institutes.</w:t>
      </w:r>
      <w:r>
        <w:rPr>
          <w:rFonts w:eastAsia="Calibri" w:cs="Arial"/>
          <w:szCs w:val="20"/>
        </w:rPr>
        <w:t xml:space="preserve"> </w:t>
      </w:r>
      <w:r w:rsidRPr="007D0073">
        <w:rPr>
          <w:rFonts w:eastAsia="Calibri" w:cs="Arial"/>
          <w:szCs w:val="20"/>
        </w:rPr>
        <w:t xml:space="preserve">The </w:t>
      </w:r>
      <w:r w:rsidR="00C054D1">
        <w:rPr>
          <w:rFonts w:eastAsia="Calibri" w:cs="Arial"/>
          <w:szCs w:val="20"/>
        </w:rPr>
        <w:t>Ai</w:t>
      </w:r>
      <w:r w:rsidRPr="007D0073">
        <w:rPr>
          <w:rFonts w:eastAsia="Calibri" w:cs="Arial"/>
          <w:szCs w:val="20"/>
        </w:rPr>
        <w:t xml:space="preserve">F </w:t>
      </w:r>
      <w:r w:rsidR="00C054D1">
        <w:rPr>
          <w:rFonts w:eastAsia="Calibri" w:cs="Arial"/>
          <w:szCs w:val="20"/>
        </w:rPr>
        <w:t>not only provides practical advice</w:t>
      </w:r>
      <w:r w:rsidRPr="007D0073">
        <w:rPr>
          <w:rFonts w:eastAsia="Calibri" w:cs="Arial"/>
          <w:szCs w:val="20"/>
        </w:rPr>
        <w:t xml:space="preserve"> on innovation </w:t>
      </w:r>
      <w:r w:rsidR="00C054D1">
        <w:rPr>
          <w:rFonts w:eastAsia="Calibri" w:cs="Arial"/>
          <w:szCs w:val="20"/>
        </w:rPr>
        <w:t xml:space="preserve">and </w:t>
      </w:r>
      <w:r w:rsidRPr="007D0073">
        <w:rPr>
          <w:rFonts w:eastAsia="Calibri" w:cs="Arial"/>
          <w:szCs w:val="20"/>
        </w:rPr>
        <w:t xml:space="preserve">R&amp;D </w:t>
      </w:r>
      <w:r w:rsidR="00C054D1">
        <w:rPr>
          <w:rFonts w:eastAsia="Calibri" w:cs="Arial"/>
          <w:szCs w:val="20"/>
        </w:rPr>
        <w:t>to SMEs but also acts as an</w:t>
      </w:r>
      <w:r w:rsidRPr="007D0073">
        <w:rPr>
          <w:rFonts w:eastAsia="Calibri" w:cs="Arial"/>
          <w:szCs w:val="20"/>
        </w:rPr>
        <w:t xml:space="preserve"> interface between business, research and government. </w:t>
      </w:r>
      <w:r>
        <w:rPr>
          <w:rFonts w:eastAsia="Calibri" w:cs="Arial"/>
          <w:szCs w:val="20"/>
        </w:rPr>
        <w:t>In 2012</w:t>
      </w:r>
      <w:r w:rsidRPr="007D0073">
        <w:rPr>
          <w:rFonts w:eastAsia="Calibri" w:cs="Arial"/>
          <w:szCs w:val="20"/>
        </w:rPr>
        <w:t xml:space="preserve">, the AiF </w:t>
      </w:r>
      <w:r>
        <w:rPr>
          <w:rFonts w:eastAsia="Calibri" w:cs="Arial"/>
          <w:szCs w:val="20"/>
        </w:rPr>
        <w:t xml:space="preserve">administered an </w:t>
      </w:r>
      <w:r w:rsidRPr="007D0073">
        <w:rPr>
          <w:rFonts w:eastAsia="Calibri" w:cs="Arial"/>
          <w:szCs w:val="20"/>
        </w:rPr>
        <w:t xml:space="preserve">annual budget of </w:t>
      </w:r>
      <w:r>
        <w:rPr>
          <w:rFonts w:eastAsia="Calibri" w:cs="Arial"/>
          <w:szCs w:val="20"/>
        </w:rPr>
        <w:t xml:space="preserve">€485m </w:t>
      </w:r>
      <w:r w:rsidRPr="007D0073">
        <w:rPr>
          <w:rFonts w:eastAsia="Calibri" w:cs="Arial"/>
          <w:szCs w:val="20"/>
        </w:rPr>
        <w:t>of public funds</w:t>
      </w:r>
      <w:r>
        <w:rPr>
          <w:rFonts w:eastAsia="Calibri" w:cs="Arial"/>
          <w:szCs w:val="20"/>
        </w:rPr>
        <w:t xml:space="preserve"> for SME-focused research projects</w:t>
      </w:r>
      <w:r w:rsidRPr="007D0073">
        <w:rPr>
          <w:rFonts w:eastAsia="Calibri" w:cs="Arial"/>
          <w:szCs w:val="20"/>
        </w:rPr>
        <w:t>.</w:t>
      </w:r>
      <w:r>
        <w:rPr>
          <w:rFonts w:eastAsia="Calibri" w:cs="Arial"/>
          <w:szCs w:val="20"/>
        </w:rPr>
        <w:t xml:space="preserve"> </w:t>
      </w:r>
    </w:p>
    <w:p w14:paraId="54E56412" w14:textId="77777777" w:rsidR="002A21DD" w:rsidRDefault="002A21DD" w:rsidP="004F3E18">
      <w:pPr>
        <w:autoSpaceDE w:val="0"/>
        <w:autoSpaceDN w:val="0"/>
        <w:adjustRightInd w:val="0"/>
        <w:spacing w:after="0" w:line="240" w:lineRule="auto"/>
        <w:rPr>
          <w:rFonts w:eastAsia="Calibri" w:cs="Arial"/>
          <w:szCs w:val="20"/>
        </w:rPr>
      </w:pPr>
    </w:p>
    <w:p w14:paraId="54E56413" w14:textId="77777777" w:rsidR="00900C40" w:rsidRDefault="00900C40" w:rsidP="004F3E18">
      <w:pPr>
        <w:autoSpaceDE w:val="0"/>
        <w:autoSpaceDN w:val="0"/>
        <w:adjustRightInd w:val="0"/>
        <w:spacing w:after="0" w:line="240" w:lineRule="auto"/>
        <w:rPr>
          <w:rFonts w:eastAsia="Calibri" w:cs="Arial"/>
          <w:szCs w:val="20"/>
        </w:rPr>
      </w:pPr>
      <w:r>
        <w:rPr>
          <w:rFonts w:eastAsia="Calibri" w:cs="Arial"/>
          <w:szCs w:val="20"/>
        </w:rPr>
        <w:t>Similarly, the Small Business Innovation Research programme in the US aims to help small businesses engage in R&amp;D that has the potential for commercialisation through a competitive awards-based process.</w:t>
      </w:r>
      <w:r w:rsidR="00C65CBB">
        <w:rPr>
          <w:rFonts w:eastAsia="Calibri" w:cs="Arial"/>
          <w:szCs w:val="20"/>
        </w:rPr>
        <w:t xml:space="preserve"> Over US$2.2b was committed to the programme in 2011.</w:t>
      </w:r>
    </w:p>
    <w:p w14:paraId="54E56414" w14:textId="77777777" w:rsidR="00900C40" w:rsidRPr="004F3E18" w:rsidRDefault="00900C40" w:rsidP="004F3E18">
      <w:pPr>
        <w:autoSpaceDE w:val="0"/>
        <w:autoSpaceDN w:val="0"/>
        <w:adjustRightInd w:val="0"/>
        <w:spacing w:after="0" w:line="240" w:lineRule="auto"/>
        <w:rPr>
          <w:rFonts w:eastAsia="Calibri" w:cs="Arial"/>
          <w:szCs w:val="20"/>
        </w:rPr>
      </w:pPr>
    </w:p>
    <w:p w14:paraId="54E56415" w14:textId="77777777" w:rsidR="008A4606" w:rsidRDefault="00CA6848" w:rsidP="00010FD8">
      <w:pPr>
        <w:pStyle w:val="Heading2"/>
      </w:pPr>
      <w:r w:rsidRPr="00FF5654">
        <w:t>Improve incentives for r</w:t>
      </w:r>
      <w:r w:rsidR="00F21610">
        <w:t>esearcher-industry</w:t>
      </w:r>
      <w:r w:rsidR="00FE587D" w:rsidRPr="00FE587D">
        <w:t xml:space="preserve"> </w:t>
      </w:r>
      <w:r w:rsidR="00FE587D" w:rsidRPr="00FF5654">
        <w:t>collaboration</w:t>
      </w:r>
    </w:p>
    <w:p w14:paraId="54E56416" w14:textId="77777777" w:rsidR="00A46B56" w:rsidRDefault="00A46B56" w:rsidP="00392288">
      <w:pPr>
        <w:pStyle w:val="ListParagraph"/>
        <w:spacing w:after="0"/>
        <w:ind w:left="357"/>
        <w:rPr>
          <w:b/>
          <w:i/>
        </w:rPr>
      </w:pPr>
    </w:p>
    <w:p w14:paraId="54E56417" w14:textId="77777777" w:rsidR="00FE587D" w:rsidRDefault="00FE587D" w:rsidP="000A6B7B">
      <w:pPr>
        <w:spacing w:after="0" w:line="240" w:lineRule="auto"/>
      </w:pPr>
      <w:r>
        <w:t>Often, working in academia and embarking on the commercialisation journey are treated as mutually exclusive options for researchers in Australia. There are often few economic (or career) incentives for researchers to invest their time and resources in working on high-risk, early stage start-ups with long-dated payoffs.</w:t>
      </w:r>
      <w:r w:rsidR="00963862">
        <w:t xml:space="preserve"> Likewise, it is often difficult for researchers who have moved to industry to return to academia and be able to contribute the knowledge that they’ve gained working in a commercial setting.</w:t>
      </w:r>
    </w:p>
    <w:p w14:paraId="54E56418" w14:textId="77777777" w:rsidR="00FE587D" w:rsidRDefault="00FE587D" w:rsidP="000A6B7B">
      <w:pPr>
        <w:spacing w:after="0" w:line="240" w:lineRule="auto"/>
      </w:pPr>
    </w:p>
    <w:p w14:paraId="54E56419" w14:textId="77777777" w:rsidR="00FE587D" w:rsidRDefault="00FE587D" w:rsidP="000A6B7B">
      <w:pPr>
        <w:spacing w:after="0" w:line="240" w:lineRule="auto"/>
      </w:pPr>
      <w:r>
        <w:t>Commercialisation also typically occupies only a very small place on the list of priorities for many Australian universities. Widely-followed university rankings and key performance indicators typically focus on research citations, teaching quality and research grants obtained, as key drivers of what constitutes a ‘top ranking’ university.</w:t>
      </w:r>
    </w:p>
    <w:p w14:paraId="54E5641A" w14:textId="77777777" w:rsidR="00FE587D" w:rsidRDefault="00FE587D" w:rsidP="000A6B7B">
      <w:pPr>
        <w:spacing w:after="0" w:line="240" w:lineRule="auto"/>
      </w:pPr>
    </w:p>
    <w:p w14:paraId="54E5641B" w14:textId="77777777" w:rsidR="00FE587D" w:rsidRDefault="00FE587D" w:rsidP="000A6B7B">
      <w:pPr>
        <w:spacing w:after="0" w:line="240" w:lineRule="auto"/>
      </w:pPr>
      <w:r>
        <w:t>In addition, the competitive research grants programme tends to focus on publications as a key performance indicator of research outputs, with no clear distinction between the value of publications and conference presentations vis-à-vis more capital-intens</w:t>
      </w:r>
      <w:r w:rsidR="00963862">
        <w:t>ive commercialisation outcomes.</w:t>
      </w:r>
    </w:p>
    <w:p w14:paraId="54E5641C" w14:textId="77777777" w:rsidR="00FE587D" w:rsidRDefault="00FE587D" w:rsidP="000A6B7B">
      <w:pPr>
        <w:spacing w:after="0" w:line="240" w:lineRule="auto"/>
      </w:pPr>
    </w:p>
    <w:p w14:paraId="54E5641D" w14:textId="77777777" w:rsidR="00FE587D" w:rsidRDefault="00FE587D" w:rsidP="000A6B7B">
      <w:pPr>
        <w:spacing w:after="0" w:line="240" w:lineRule="auto"/>
      </w:pPr>
      <w:r>
        <w:t>To address these structural impediments to taking publicly-funded innovation to the market, it would be helpful in our view for the Government to consider incorporating into the national research agenda a stronger emphasis on a project's potential commercial impact under its selection criteria and reporting process.</w:t>
      </w:r>
    </w:p>
    <w:p w14:paraId="54E5641E" w14:textId="77777777" w:rsidR="00FE587D" w:rsidRDefault="00FE587D" w:rsidP="000A6B7B">
      <w:pPr>
        <w:spacing w:after="0" w:line="240" w:lineRule="auto"/>
      </w:pPr>
    </w:p>
    <w:p w14:paraId="246D32AB" w14:textId="77777777" w:rsidR="00010FD8" w:rsidRDefault="00FE587D" w:rsidP="00010FD8">
      <w:pPr>
        <w:spacing w:after="0" w:line="240" w:lineRule="auto"/>
      </w:pPr>
      <w:r>
        <w:t>For example, it may wish to examine fine-tuning the selection criteria, reporting t</w:t>
      </w:r>
      <w:r w:rsidR="00963862">
        <w:t xml:space="preserve">emplate and funding envelope of </w:t>
      </w:r>
      <w:r>
        <w:t>existing research grant programmes to better align funding with desired outcomes. The Government may, for</w:t>
      </w:r>
      <w:r w:rsidR="00963862">
        <w:t xml:space="preserve"> </w:t>
      </w:r>
      <w:r>
        <w:lastRenderedPageBreak/>
        <w:t xml:space="preserve">example, consider setting aside a predetermined proportion of existing </w:t>
      </w:r>
      <w:r w:rsidR="00963862">
        <w:t xml:space="preserve">competitive research funding to </w:t>
      </w:r>
      <w:r>
        <w:t>high</w:t>
      </w:r>
      <w:r w:rsidR="00963862">
        <w:t xml:space="preserve"> </w:t>
      </w:r>
      <w:r>
        <w:t>potential,</w:t>
      </w:r>
      <w:r w:rsidR="00963862">
        <w:t xml:space="preserve"> </w:t>
      </w:r>
      <w:r>
        <w:t>game-changing technologies with a clear commercialisation pathway.</w:t>
      </w:r>
    </w:p>
    <w:p w14:paraId="237CEA58" w14:textId="316F2112" w:rsidR="00010FD8" w:rsidRDefault="00010FD8" w:rsidP="00010FD8">
      <w:pPr>
        <w:spacing w:after="0" w:line="240" w:lineRule="auto"/>
      </w:pPr>
    </w:p>
    <w:p w14:paraId="54E56421" w14:textId="77777777" w:rsidR="00CA6848" w:rsidRDefault="00CA6848" w:rsidP="00010FD8">
      <w:pPr>
        <w:pStyle w:val="Heading2"/>
      </w:pPr>
      <w:r w:rsidRPr="00FF5654">
        <w:t>Greater business sector input in the strategic allocation of university research funding</w:t>
      </w:r>
    </w:p>
    <w:p w14:paraId="54E56422" w14:textId="77777777" w:rsidR="00A46B56" w:rsidRDefault="00A46B56" w:rsidP="00392288">
      <w:pPr>
        <w:pStyle w:val="ListParagraph"/>
        <w:spacing w:after="0"/>
        <w:ind w:left="357"/>
        <w:rPr>
          <w:b/>
          <w:i/>
        </w:rPr>
      </w:pPr>
    </w:p>
    <w:p w14:paraId="54E56423" w14:textId="77777777" w:rsidR="00963862" w:rsidRDefault="00963862" w:rsidP="000A6B7B">
      <w:pPr>
        <w:spacing w:after="0" w:line="240" w:lineRule="auto"/>
      </w:pPr>
      <w:r>
        <w:t>Currently there are several bodies that oversee the strategic priorities and allocation of higher education research funding in Australia, but the business sector has relatively little direct representation in this process.</w:t>
      </w:r>
    </w:p>
    <w:p w14:paraId="54E56424" w14:textId="77777777" w:rsidR="00963862" w:rsidRDefault="00963862" w:rsidP="000A6B7B">
      <w:pPr>
        <w:spacing w:after="0" w:line="240" w:lineRule="auto"/>
      </w:pPr>
    </w:p>
    <w:p w14:paraId="54E56425" w14:textId="77777777" w:rsidR="00963862" w:rsidRDefault="00963862" w:rsidP="000A6B7B">
      <w:pPr>
        <w:spacing w:after="0" w:line="240" w:lineRule="auto"/>
      </w:pPr>
      <w:r>
        <w:t>For example, the Australian Research Council (ARC) is a statutory agency that advises the Government on research matters, and its mission is to deliver policy and programmes that advance Australian research and innovation globally and benefit the community. The ARC's current Advisory Council comprises seven academic representatives and only two representatives from the non-academic community.</w:t>
      </w:r>
    </w:p>
    <w:p w14:paraId="54E56426" w14:textId="77777777" w:rsidR="00963862" w:rsidRDefault="00963862" w:rsidP="000A6B7B">
      <w:pPr>
        <w:spacing w:after="0" w:line="240" w:lineRule="auto"/>
      </w:pPr>
    </w:p>
    <w:p w14:paraId="54E56427" w14:textId="77777777" w:rsidR="00963862" w:rsidRDefault="00963862" w:rsidP="000A6B7B">
      <w:pPr>
        <w:spacing w:after="0" w:line="240" w:lineRule="auto"/>
      </w:pPr>
      <w:r>
        <w:t>That notwithstanding, there appears to be a notable lack of business representation in the composition of the ARC</w:t>
      </w:r>
    </w:p>
    <w:p w14:paraId="54E56428" w14:textId="77777777" w:rsidR="00963862" w:rsidRDefault="00963862" w:rsidP="000A6B7B">
      <w:pPr>
        <w:spacing w:after="0" w:line="240" w:lineRule="auto"/>
      </w:pPr>
      <w:r>
        <w:t>College of Experts, which assesses and ranks ARC grant applications.</w:t>
      </w:r>
    </w:p>
    <w:p w14:paraId="54E56429" w14:textId="77777777" w:rsidR="00963862" w:rsidRDefault="00963862" w:rsidP="000A6B7B">
      <w:pPr>
        <w:spacing w:after="0" w:line="240" w:lineRule="auto"/>
      </w:pPr>
    </w:p>
    <w:p w14:paraId="54E5642A" w14:textId="77777777" w:rsidR="00963862" w:rsidRDefault="00963862" w:rsidP="000A6B7B">
      <w:pPr>
        <w:spacing w:after="0" w:line="240" w:lineRule="auto"/>
      </w:pPr>
      <w:r>
        <w:t>This is anomalous given that an improved level of collaboration between business and academia is widely considered to be an important objective of publicly funded research. There are no business representatives among the 159 members of the ARC College of Experts. For example, the ARC College of Experts in Engineering, Mathematics and Informatics has 41 members, of which 40 are university academics and one from the Defence Science and Technology Organisation. By contrast, the United Kingdom’s ARC-equivalent body, the Engineering and Physical Sciences Research Council, comprises 18 members including an independent entrepreneur, and representatives from businesses such as Microsoft, Procter &amp; Gamble, IBM and Arup, to name a few.</w:t>
      </w:r>
    </w:p>
    <w:p w14:paraId="54E5642B" w14:textId="77777777" w:rsidR="00963862" w:rsidRDefault="00963862" w:rsidP="000A6B7B">
      <w:pPr>
        <w:spacing w:after="0" w:line="240" w:lineRule="auto"/>
      </w:pPr>
    </w:p>
    <w:p w14:paraId="54E5642C" w14:textId="77777777" w:rsidR="00963862" w:rsidRDefault="00963862" w:rsidP="000A6B7B">
      <w:pPr>
        <w:spacing w:after="0" w:line="240" w:lineRule="auto"/>
      </w:pPr>
      <w:r>
        <w:t>While it is recognised that there will always be a number of important areas of research that do not carry a clear commercial motivation, such as areas of work that enrich Australia and its community in a wide variety of other ways, it should be recognised that the current lack of alignment between business and academia will continue to diverge unless we take the opportunity to arrest the decline as a matter of priority.</w:t>
      </w:r>
    </w:p>
    <w:p w14:paraId="54E5642D" w14:textId="77777777" w:rsidR="00963862" w:rsidRDefault="00963862" w:rsidP="000A6B7B">
      <w:pPr>
        <w:spacing w:after="0" w:line="240" w:lineRule="auto"/>
      </w:pPr>
    </w:p>
    <w:p w14:paraId="54E5642E" w14:textId="77777777" w:rsidR="002A21DD" w:rsidRDefault="00963862" w:rsidP="002A21DD">
      <w:pPr>
        <w:spacing w:after="0" w:line="240" w:lineRule="auto"/>
      </w:pPr>
      <w:r>
        <w:t xml:space="preserve">The Government </w:t>
      </w:r>
      <w:r w:rsidR="004F3E18">
        <w:t xml:space="preserve">should look </w:t>
      </w:r>
      <w:r>
        <w:t>to consider modernising the composition of the various committees that oversee research funding in order to ensure that appropriate private sector input is taken into account to facilitate the effective and productive allocation of what is a very significant overall amount of public funding to the academic research sector.</w:t>
      </w:r>
      <w:r w:rsidR="002A21DD">
        <w:t xml:space="preserve"> </w:t>
      </w:r>
      <w:r w:rsidR="00F62EC6">
        <w:t>Industry-specific innovation councils can also be formed to guide and provide advice on funding and collaboration between industry and the public sector.</w:t>
      </w:r>
    </w:p>
    <w:sectPr w:rsidR="002A21DD" w:rsidSect="00CA4F1E">
      <w:footerReference w:type="even" r:id="rId16"/>
      <w:footerReference w:type="default" r:id="rId17"/>
      <w:headerReference w:type="first" r:id="rId18"/>
      <w:footerReference w:type="first" r:id="rId19"/>
      <w:pgSz w:w="11906" w:h="16838"/>
      <w:pgMar w:top="226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5644D" w14:textId="77777777" w:rsidR="00F82511" w:rsidRDefault="00F82511">
      <w:r>
        <w:separator/>
      </w:r>
    </w:p>
  </w:endnote>
  <w:endnote w:type="continuationSeparator" w:id="0">
    <w:p w14:paraId="54E5644E" w14:textId="77777777" w:rsidR="00F82511" w:rsidRDefault="00F8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5644F" w14:textId="77777777" w:rsidR="00CA4F1E" w:rsidRDefault="00CA4F1E" w:rsidP="00CA4F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56450" w14:textId="77777777" w:rsidR="00CA4F1E" w:rsidRDefault="00CA4F1E" w:rsidP="00CA4F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56451" w14:textId="77777777" w:rsidR="00CA4F1E" w:rsidRPr="00990D44" w:rsidRDefault="00CA4F1E">
    <w:pPr>
      <w:pStyle w:val="Footer"/>
      <w:jc w:val="right"/>
      <w:rPr>
        <w:rFonts w:ascii="Arial" w:hAnsi="Arial" w:cs="Arial"/>
        <w:sz w:val="18"/>
      </w:rPr>
    </w:pPr>
    <w:r w:rsidRPr="00990D44">
      <w:rPr>
        <w:rFonts w:ascii="Arial" w:hAnsi="Arial" w:cs="Arial"/>
        <w:sz w:val="18"/>
      </w:rPr>
      <w:fldChar w:fldCharType="begin"/>
    </w:r>
    <w:r w:rsidRPr="00990D44">
      <w:rPr>
        <w:rFonts w:ascii="Arial" w:hAnsi="Arial" w:cs="Arial"/>
        <w:sz w:val="18"/>
      </w:rPr>
      <w:instrText xml:space="preserve"> PAGE   \* MERGEFORMAT </w:instrText>
    </w:r>
    <w:r w:rsidRPr="00990D44">
      <w:rPr>
        <w:rFonts w:ascii="Arial" w:hAnsi="Arial" w:cs="Arial"/>
        <w:sz w:val="18"/>
      </w:rPr>
      <w:fldChar w:fldCharType="separate"/>
    </w:r>
    <w:r w:rsidR="009338C0">
      <w:rPr>
        <w:rFonts w:ascii="Arial" w:hAnsi="Arial" w:cs="Arial"/>
        <w:noProof/>
        <w:sz w:val="18"/>
      </w:rPr>
      <w:t>11</w:t>
    </w:r>
    <w:r w:rsidRPr="00990D44">
      <w:rPr>
        <w:rFonts w:ascii="Arial" w:hAnsi="Arial" w:cs="Arial"/>
        <w:noProof/>
        <w:sz w:val="18"/>
      </w:rPr>
      <w:fldChar w:fldCharType="end"/>
    </w:r>
  </w:p>
  <w:p w14:paraId="54E56452" w14:textId="77777777" w:rsidR="00CA4F1E" w:rsidRPr="008B7849" w:rsidRDefault="00CA4F1E" w:rsidP="00CA4F1E">
    <w:pPr>
      <w:autoSpaceDE w:val="0"/>
      <w:autoSpaceDN w:val="0"/>
      <w:adjustRightInd w:val="0"/>
      <w:spacing w:after="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56454" w14:textId="77777777" w:rsidR="00CA4F1E" w:rsidRDefault="00B77F9F">
    <w:pPr>
      <w:pStyle w:val="Footer"/>
    </w:pPr>
    <w:r>
      <w:rPr>
        <w:noProof/>
        <w:lang w:val="en-AU" w:eastAsia="en-AU"/>
      </w:rPr>
      <w:drawing>
        <wp:anchor distT="0" distB="0" distL="114300" distR="114300" simplePos="0" relativeHeight="251658240" behindDoc="0" locked="0" layoutInCell="1" allowOverlap="1" wp14:anchorId="54E56457" wp14:editId="54E56458">
          <wp:simplePos x="0" y="0"/>
          <wp:positionH relativeFrom="column">
            <wp:align>left</wp:align>
          </wp:positionH>
          <wp:positionV relativeFrom="page">
            <wp:align>bottom</wp:align>
          </wp:positionV>
          <wp:extent cx="7558405" cy="741045"/>
          <wp:effectExtent l="0" t="0" r="4445" b="1905"/>
          <wp:wrapSquare wrapText="bothSides"/>
          <wp:docPr id="6" name="Picture 6"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741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5644B" w14:textId="77777777" w:rsidR="00F82511" w:rsidRDefault="00F82511">
      <w:r>
        <w:separator/>
      </w:r>
    </w:p>
  </w:footnote>
  <w:footnote w:type="continuationSeparator" w:id="0">
    <w:p w14:paraId="54E5644C" w14:textId="77777777" w:rsidR="00F82511" w:rsidRDefault="00F82511">
      <w:r>
        <w:continuationSeparator/>
      </w:r>
    </w:p>
  </w:footnote>
  <w:footnote w:id="1">
    <w:p w14:paraId="54E56459" w14:textId="77777777" w:rsidR="00557E5A" w:rsidRPr="00990D44" w:rsidRDefault="00557E5A" w:rsidP="00557E5A">
      <w:pPr>
        <w:pStyle w:val="FootnoteText"/>
        <w:rPr>
          <w:sz w:val="12"/>
          <w:szCs w:val="12"/>
        </w:rPr>
      </w:pPr>
      <w:r w:rsidRPr="00990D44">
        <w:rPr>
          <w:rStyle w:val="FootnoteReference"/>
          <w:sz w:val="12"/>
          <w:szCs w:val="12"/>
        </w:rPr>
        <w:footnoteRef/>
      </w:r>
      <w:r w:rsidRPr="00990D44">
        <w:rPr>
          <w:sz w:val="12"/>
          <w:szCs w:val="12"/>
        </w:rPr>
        <w:t xml:space="preserve"> </w:t>
      </w:r>
      <w:r w:rsidRPr="00990D44">
        <w:rPr>
          <w:rFonts w:cs="Arial"/>
          <w:color w:val="000000"/>
          <w:sz w:val="12"/>
          <w:szCs w:val="12"/>
          <w:shd w:val="clear" w:color="auto" w:fill="FAFAFA"/>
        </w:rPr>
        <w:t>Kortum, S. and J. Lerner, 2000, “</w:t>
      </w:r>
      <w:hyperlink r:id="rId1" w:tgtFrame="_blank" w:history="1">
        <w:r w:rsidRPr="00990D44">
          <w:rPr>
            <w:rStyle w:val="Hyperlink"/>
            <w:rFonts w:cs="Arial"/>
            <w:color w:val="085A92"/>
            <w:sz w:val="12"/>
            <w:szCs w:val="12"/>
            <w:bdr w:val="none" w:sz="0" w:space="0" w:color="auto" w:frame="1"/>
            <w:shd w:val="clear" w:color="auto" w:fill="FAFAFA"/>
          </w:rPr>
          <w:t>Assessing the impact of venture capital on innovation</w:t>
        </w:r>
      </w:hyperlink>
      <w:r w:rsidRPr="00990D44">
        <w:rPr>
          <w:rFonts w:cs="Arial"/>
          <w:color w:val="000000"/>
          <w:sz w:val="12"/>
          <w:szCs w:val="12"/>
          <w:shd w:val="clear" w:color="auto" w:fill="FAFAFA"/>
        </w:rPr>
        <w:t>”</w:t>
      </w:r>
      <w:r w:rsidRPr="00990D44">
        <w:rPr>
          <w:rStyle w:val="apple-converted-space"/>
          <w:rFonts w:cs="Arial"/>
          <w:color w:val="000000"/>
          <w:sz w:val="12"/>
          <w:szCs w:val="12"/>
          <w:shd w:val="clear" w:color="auto" w:fill="FAFAFA"/>
        </w:rPr>
        <w:t> </w:t>
      </w:r>
      <w:r w:rsidRPr="00990D44">
        <w:rPr>
          <w:rStyle w:val="Emphasis"/>
          <w:rFonts w:cs="Arial"/>
          <w:color w:val="000000"/>
          <w:sz w:val="12"/>
          <w:szCs w:val="12"/>
          <w:bdr w:val="none" w:sz="0" w:space="0" w:color="auto" w:frame="1"/>
          <w:shd w:val="clear" w:color="auto" w:fill="FAFAFA"/>
        </w:rPr>
        <w:t>Rand Journal of Economics</w:t>
      </w:r>
      <w:r w:rsidRPr="00990D44">
        <w:rPr>
          <w:rStyle w:val="apple-converted-space"/>
          <w:rFonts w:cs="Arial"/>
          <w:color w:val="000000"/>
          <w:sz w:val="12"/>
          <w:szCs w:val="12"/>
          <w:shd w:val="clear" w:color="auto" w:fill="FAFAFA"/>
        </w:rPr>
        <w:t> </w:t>
      </w:r>
      <w:r w:rsidRPr="00990D44">
        <w:rPr>
          <w:rFonts w:cs="Arial"/>
          <w:color w:val="000000"/>
          <w:sz w:val="12"/>
          <w:szCs w:val="12"/>
          <w:shd w:val="clear" w:color="auto" w:fill="FAFAFA"/>
        </w:rPr>
        <w:t>31, 4, 674-692.</w:t>
      </w:r>
    </w:p>
  </w:footnote>
  <w:footnote w:id="2">
    <w:p w14:paraId="54E5645A" w14:textId="77777777" w:rsidR="00686943" w:rsidRPr="00990D44" w:rsidRDefault="00686943" w:rsidP="00686943">
      <w:pPr>
        <w:pStyle w:val="FootnoteText"/>
        <w:rPr>
          <w:sz w:val="12"/>
          <w:szCs w:val="12"/>
        </w:rPr>
      </w:pPr>
      <w:r w:rsidRPr="00990D44">
        <w:rPr>
          <w:rStyle w:val="FootnoteReference"/>
          <w:sz w:val="12"/>
          <w:szCs w:val="12"/>
        </w:rPr>
        <w:footnoteRef/>
      </w:r>
      <w:r w:rsidRPr="00990D44">
        <w:rPr>
          <w:sz w:val="12"/>
          <w:szCs w:val="12"/>
        </w:rPr>
        <w:t xml:space="preserve"> Bridging the valley of death: improving the commercialisation of research, House of Commons, March 2013</w:t>
      </w:r>
      <w:r w:rsidR="002E61C6" w:rsidRPr="00990D44">
        <w:rPr>
          <w:sz w:val="12"/>
          <w:szCs w:val="12"/>
        </w:rPr>
        <w:t>.</w:t>
      </w:r>
    </w:p>
  </w:footnote>
  <w:footnote w:id="3">
    <w:p w14:paraId="54E5645B" w14:textId="77777777" w:rsidR="008B712D" w:rsidRPr="003C678F" w:rsidRDefault="008B712D">
      <w:pPr>
        <w:pStyle w:val="FootnoteText"/>
        <w:rPr>
          <w:sz w:val="14"/>
          <w:szCs w:val="14"/>
          <w:lang w:val="en-US"/>
        </w:rPr>
      </w:pPr>
      <w:r w:rsidRPr="00990D44">
        <w:rPr>
          <w:rStyle w:val="FootnoteReference"/>
          <w:sz w:val="12"/>
          <w:szCs w:val="12"/>
        </w:rPr>
        <w:footnoteRef/>
      </w:r>
      <w:r w:rsidRPr="00990D44">
        <w:rPr>
          <w:sz w:val="12"/>
          <w:szCs w:val="12"/>
        </w:rPr>
        <w:t xml:space="preserve"> </w:t>
      </w:r>
      <w:hyperlink r:id="rId2" w:history="1">
        <w:r w:rsidRPr="00990D44">
          <w:rPr>
            <w:rStyle w:val="Hyperlink"/>
            <w:sz w:val="12"/>
            <w:szCs w:val="12"/>
            <w:lang w:val="en-US"/>
          </w:rPr>
          <w:t>When start-ups become grown-ups, where do they go for money</w:t>
        </w:r>
      </w:hyperlink>
      <w:r w:rsidRPr="00990D44">
        <w:rPr>
          <w:sz w:val="12"/>
          <w:szCs w:val="12"/>
          <w:lang w:val="en-US"/>
        </w:rPr>
        <w:t>? Sydney Morning Herald, Sam Chandler</w:t>
      </w:r>
      <w:r w:rsidR="003C678F" w:rsidRPr="00990D44">
        <w:rPr>
          <w:sz w:val="12"/>
          <w:szCs w:val="12"/>
          <w:lang w:val="en-US"/>
        </w:rPr>
        <w:t>.</w:t>
      </w:r>
      <w:r w:rsidR="003C678F" w:rsidRPr="003C678F">
        <w:rPr>
          <w:sz w:val="14"/>
          <w:szCs w:val="14"/>
          <w:lang w:val="en-US"/>
        </w:rPr>
        <w:t xml:space="preserve"> </w:t>
      </w:r>
    </w:p>
  </w:footnote>
  <w:footnote w:id="4">
    <w:p w14:paraId="54E5645C" w14:textId="77777777" w:rsidR="00AF252F" w:rsidRPr="00392288" w:rsidRDefault="00AF252F" w:rsidP="00AF252F">
      <w:pPr>
        <w:pStyle w:val="FootnoteText"/>
        <w:rPr>
          <w:rFonts w:cs="Arial"/>
          <w:sz w:val="12"/>
          <w:szCs w:val="12"/>
          <w:lang w:val="en-US"/>
        </w:rPr>
      </w:pPr>
      <w:r>
        <w:rPr>
          <w:rStyle w:val="FootnoteReference"/>
          <w:rFonts w:cstheme="minorHAnsi"/>
          <w:sz w:val="14"/>
          <w:szCs w:val="14"/>
        </w:rPr>
        <w:footnoteRef/>
      </w:r>
      <w:r>
        <w:rPr>
          <w:rFonts w:cstheme="minorHAnsi"/>
          <w:sz w:val="14"/>
          <w:szCs w:val="14"/>
        </w:rPr>
        <w:t xml:space="preserve"> </w:t>
      </w:r>
      <w:hyperlink r:id="rId3" w:history="1">
        <w:r w:rsidRPr="00392288">
          <w:rPr>
            <w:rStyle w:val="Hyperlink"/>
            <w:rFonts w:cs="Arial"/>
            <w:sz w:val="12"/>
            <w:szCs w:val="12"/>
          </w:rPr>
          <w:t>www.avcal.com.au/policyadvocacy/2014/avcal-submission-significant-investor-visa-review</w:t>
        </w:r>
      </w:hyperlink>
      <w:r w:rsidRPr="00392288">
        <w:rPr>
          <w:rFonts w:cs="Arial"/>
          <w:sz w:val="12"/>
          <w:szCs w:val="12"/>
        </w:rPr>
        <w:t xml:space="preserve"> </w:t>
      </w:r>
    </w:p>
  </w:footnote>
  <w:footnote w:id="5">
    <w:p w14:paraId="54E5645D" w14:textId="77777777" w:rsidR="00F5012A" w:rsidRPr="00392288" w:rsidRDefault="00F5012A" w:rsidP="00F5012A">
      <w:pPr>
        <w:autoSpaceDE w:val="0"/>
        <w:autoSpaceDN w:val="0"/>
        <w:adjustRightInd w:val="0"/>
        <w:spacing w:after="0" w:line="150" w:lineRule="exact"/>
        <w:ind w:right="-20"/>
        <w:rPr>
          <w:rFonts w:eastAsia="MS Gothic" w:cs="Arial"/>
          <w:color w:val="000000"/>
          <w:sz w:val="12"/>
          <w:szCs w:val="12"/>
        </w:rPr>
      </w:pPr>
      <w:r w:rsidRPr="00392288">
        <w:rPr>
          <w:rStyle w:val="FootnoteReference"/>
          <w:rFonts w:cs="Arial"/>
          <w:sz w:val="12"/>
          <w:szCs w:val="12"/>
        </w:rPr>
        <w:footnoteRef/>
      </w:r>
      <w:r w:rsidRPr="00392288">
        <w:rPr>
          <w:rFonts w:cs="Arial"/>
          <w:sz w:val="12"/>
          <w:szCs w:val="12"/>
        </w:rPr>
        <w:t xml:space="preserve"> </w:t>
      </w:r>
      <w:r w:rsidRPr="00392288">
        <w:rPr>
          <w:rFonts w:eastAsia="Calibri" w:cs="Arial"/>
          <w:color w:val="0000FF"/>
          <w:sz w:val="12"/>
          <w:szCs w:val="12"/>
          <w:u w:val="single"/>
        </w:rPr>
        <w:t>A</w:t>
      </w:r>
      <w:r w:rsidRPr="00392288">
        <w:rPr>
          <w:rFonts w:eastAsia="Calibri" w:cs="Arial"/>
          <w:color w:val="0000FF"/>
          <w:spacing w:val="-1"/>
          <w:sz w:val="12"/>
          <w:szCs w:val="12"/>
          <w:u w:val="single"/>
        </w:rPr>
        <w:t>u</w:t>
      </w:r>
      <w:r w:rsidRPr="00392288">
        <w:rPr>
          <w:rFonts w:eastAsia="Calibri" w:cs="Arial"/>
          <w:color w:val="0000FF"/>
          <w:sz w:val="12"/>
          <w:szCs w:val="12"/>
          <w:u w:val="single"/>
        </w:rPr>
        <w:t>stra</w:t>
      </w:r>
      <w:r w:rsidRPr="00392288">
        <w:rPr>
          <w:rFonts w:eastAsia="Calibri" w:cs="Arial"/>
          <w:color w:val="0000FF"/>
          <w:spacing w:val="-1"/>
          <w:sz w:val="12"/>
          <w:szCs w:val="12"/>
          <w:u w:val="single"/>
        </w:rPr>
        <w:t>l</w:t>
      </w:r>
      <w:r w:rsidRPr="00392288">
        <w:rPr>
          <w:rFonts w:eastAsia="Calibri" w:cs="Arial"/>
          <w:color w:val="0000FF"/>
          <w:sz w:val="12"/>
          <w:szCs w:val="12"/>
          <w:u w:val="single"/>
        </w:rPr>
        <w:t>ian</w:t>
      </w:r>
      <w:r w:rsidRPr="00392288">
        <w:rPr>
          <w:rFonts w:eastAsia="Calibri" w:cs="Arial"/>
          <w:color w:val="0000FF"/>
          <w:spacing w:val="-1"/>
          <w:sz w:val="12"/>
          <w:szCs w:val="12"/>
          <w:u w:val="single"/>
        </w:rPr>
        <w:t xml:space="preserve"> </w:t>
      </w:r>
      <w:r w:rsidRPr="00392288">
        <w:rPr>
          <w:rFonts w:eastAsia="Calibri" w:cs="Arial"/>
          <w:color w:val="0000FF"/>
          <w:sz w:val="12"/>
          <w:szCs w:val="12"/>
          <w:u w:val="single"/>
        </w:rPr>
        <w:t>Go</w:t>
      </w:r>
      <w:r w:rsidRPr="00392288">
        <w:rPr>
          <w:rFonts w:eastAsia="Calibri" w:cs="Arial"/>
          <w:color w:val="0000FF"/>
          <w:spacing w:val="-2"/>
          <w:sz w:val="12"/>
          <w:szCs w:val="12"/>
          <w:u w:val="single"/>
        </w:rPr>
        <w:t>v</w:t>
      </w:r>
      <w:r w:rsidRPr="00392288">
        <w:rPr>
          <w:rFonts w:eastAsia="Calibri" w:cs="Arial"/>
          <w:color w:val="0000FF"/>
          <w:sz w:val="12"/>
          <w:szCs w:val="12"/>
          <w:u w:val="single"/>
        </w:rPr>
        <w:t>ernment,</w:t>
      </w:r>
      <w:r w:rsidRPr="00392288">
        <w:rPr>
          <w:rFonts w:eastAsia="Calibri" w:cs="Arial"/>
          <w:color w:val="0000FF"/>
          <w:spacing w:val="1"/>
          <w:sz w:val="12"/>
          <w:szCs w:val="12"/>
          <w:u w:val="single"/>
        </w:rPr>
        <w:t xml:space="preserve"> </w:t>
      </w:r>
      <w:r w:rsidRPr="00392288">
        <w:rPr>
          <w:rFonts w:eastAsia="Calibri" w:cs="Arial"/>
          <w:color w:val="0000FF"/>
          <w:spacing w:val="-1"/>
          <w:sz w:val="12"/>
          <w:szCs w:val="12"/>
          <w:u w:val="single"/>
        </w:rPr>
        <w:t>S</w:t>
      </w:r>
      <w:r w:rsidRPr="00392288">
        <w:rPr>
          <w:rFonts w:eastAsia="Calibri" w:cs="Arial"/>
          <w:color w:val="0000FF"/>
          <w:spacing w:val="1"/>
          <w:sz w:val="12"/>
          <w:szCs w:val="12"/>
          <w:u w:val="single"/>
        </w:rPr>
        <w:t>c</w:t>
      </w:r>
      <w:r w:rsidRPr="00392288">
        <w:rPr>
          <w:rFonts w:eastAsia="Calibri" w:cs="Arial"/>
          <w:color w:val="0000FF"/>
          <w:sz w:val="12"/>
          <w:szCs w:val="12"/>
          <w:u w:val="single"/>
        </w:rPr>
        <w:t>ie</w:t>
      </w:r>
      <w:r w:rsidRPr="00392288">
        <w:rPr>
          <w:rFonts w:eastAsia="Calibri" w:cs="Arial"/>
          <w:color w:val="0000FF"/>
          <w:spacing w:val="-1"/>
          <w:sz w:val="12"/>
          <w:szCs w:val="12"/>
          <w:u w:val="single"/>
        </w:rPr>
        <w:t>n</w:t>
      </w:r>
      <w:r w:rsidRPr="00392288">
        <w:rPr>
          <w:rFonts w:eastAsia="Calibri" w:cs="Arial"/>
          <w:color w:val="0000FF"/>
          <w:spacing w:val="1"/>
          <w:sz w:val="12"/>
          <w:szCs w:val="12"/>
          <w:u w:val="single"/>
        </w:rPr>
        <w:t>c</w:t>
      </w:r>
      <w:r w:rsidRPr="00392288">
        <w:rPr>
          <w:rFonts w:eastAsia="Calibri" w:cs="Arial"/>
          <w:color w:val="0000FF"/>
          <w:sz w:val="12"/>
          <w:szCs w:val="12"/>
          <w:u w:val="single"/>
        </w:rPr>
        <w:t>e,</w:t>
      </w:r>
      <w:r w:rsidRPr="00392288">
        <w:rPr>
          <w:rFonts w:eastAsia="Calibri" w:cs="Arial"/>
          <w:color w:val="0000FF"/>
          <w:spacing w:val="1"/>
          <w:sz w:val="12"/>
          <w:szCs w:val="12"/>
          <w:u w:val="single"/>
        </w:rPr>
        <w:t xml:space="preserve"> </w:t>
      </w:r>
      <w:r w:rsidRPr="00392288">
        <w:rPr>
          <w:rFonts w:eastAsia="Calibri" w:cs="Arial"/>
          <w:color w:val="0000FF"/>
          <w:sz w:val="12"/>
          <w:szCs w:val="12"/>
          <w:u w:val="single"/>
        </w:rPr>
        <w:t>Research</w:t>
      </w:r>
      <w:r w:rsidRPr="00392288">
        <w:rPr>
          <w:rFonts w:eastAsia="Calibri" w:cs="Arial"/>
          <w:color w:val="0000FF"/>
          <w:spacing w:val="-1"/>
          <w:sz w:val="12"/>
          <w:szCs w:val="12"/>
          <w:u w:val="single"/>
        </w:rPr>
        <w:t xml:space="preserve"> </w:t>
      </w:r>
      <w:r w:rsidRPr="00392288">
        <w:rPr>
          <w:rFonts w:eastAsia="Calibri" w:cs="Arial"/>
          <w:color w:val="0000FF"/>
          <w:sz w:val="12"/>
          <w:szCs w:val="12"/>
          <w:u w:val="single"/>
        </w:rPr>
        <w:t>and</w:t>
      </w:r>
      <w:r w:rsidRPr="00392288">
        <w:rPr>
          <w:rFonts w:eastAsia="Calibri" w:cs="Arial"/>
          <w:color w:val="0000FF"/>
          <w:spacing w:val="-1"/>
          <w:sz w:val="12"/>
          <w:szCs w:val="12"/>
          <w:u w:val="single"/>
        </w:rPr>
        <w:t xml:space="preserve"> </w:t>
      </w:r>
      <w:r w:rsidRPr="00392288">
        <w:rPr>
          <w:rFonts w:eastAsia="Calibri" w:cs="Arial"/>
          <w:color w:val="0000FF"/>
          <w:sz w:val="12"/>
          <w:szCs w:val="12"/>
          <w:u w:val="single"/>
        </w:rPr>
        <w:t>I</w:t>
      </w:r>
      <w:r w:rsidRPr="00392288">
        <w:rPr>
          <w:rFonts w:eastAsia="Calibri" w:cs="Arial"/>
          <w:color w:val="0000FF"/>
          <w:spacing w:val="-1"/>
          <w:sz w:val="12"/>
          <w:szCs w:val="12"/>
          <w:u w:val="single"/>
        </w:rPr>
        <w:t>n</w:t>
      </w:r>
      <w:r w:rsidRPr="00392288">
        <w:rPr>
          <w:rFonts w:eastAsia="Calibri" w:cs="Arial"/>
          <w:color w:val="0000FF"/>
          <w:sz w:val="12"/>
          <w:szCs w:val="12"/>
          <w:u w:val="single"/>
        </w:rPr>
        <w:t>no</w:t>
      </w:r>
      <w:r w:rsidRPr="00392288">
        <w:rPr>
          <w:rFonts w:eastAsia="Calibri" w:cs="Arial"/>
          <w:color w:val="0000FF"/>
          <w:spacing w:val="-2"/>
          <w:sz w:val="12"/>
          <w:szCs w:val="12"/>
          <w:u w:val="single"/>
        </w:rPr>
        <w:t>v</w:t>
      </w:r>
      <w:r w:rsidRPr="00392288">
        <w:rPr>
          <w:rFonts w:eastAsia="Calibri" w:cs="Arial"/>
          <w:color w:val="0000FF"/>
          <w:sz w:val="12"/>
          <w:szCs w:val="12"/>
          <w:u w:val="single"/>
        </w:rPr>
        <w:t>ation</w:t>
      </w:r>
      <w:r w:rsidRPr="00392288">
        <w:rPr>
          <w:rFonts w:eastAsia="Calibri" w:cs="Arial"/>
          <w:color w:val="0000FF"/>
          <w:spacing w:val="1"/>
          <w:sz w:val="12"/>
          <w:szCs w:val="12"/>
          <w:u w:val="single"/>
        </w:rPr>
        <w:t xml:space="preserve"> </w:t>
      </w:r>
      <w:r w:rsidRPr="00392288">
        <w:rPr>
          <w:rFonts w:eastAsia="Calibri" w:cs="Arial"/>
          <w:color w:val="0000FF"/>
          <w:sz w:val="12"/>
          <w:szCs w:val="12"/>
          <w:u w:val="single"/>
        </w:rPr>
        <w:t>Budg</w:t>
      </w:r>
      <w:r w:rsidRPr="00392288">
        <w:rPr>
          <w:rFonts w:eastAsia="Calibri" w:cs="Arial"/>
          <w:color w:val="0000FF"/>
          <w:spacing w:val="-1"/>
          <w:sz w:val="12"/>
          <w:szCs w:val="12"/>
          <w:u w:val="single"/>
        </w:rPr>
        <w:t>e</w:t>
      </w:r>
      <w:r w:rsidRPr="00392288">
        <w:rPr>
          <w:rFonts w:eastAsia="Calibri" w:cs="Arial"/>
          <w:color w:val="0000FF"/>
          <w:sz w:val="12"/>
          <w:szCs w:val="12"/>
          <w:u w:val="single"/>
        </w:rPr>
        <w:t>t</w:t>
      </w:r>
      <w:r w:rsidRPr="00392288">
        <w:rPr>
          <w:rFonts w:eastAsia="Calibri" w:cs="Arial"/>
          <w:color w:val="0000FF"/>
          <w:spacing w:val="1"/>
          <w:sz w:val="12"/>
          <w:szCs w:val="12"/>
          <w:u w:val="single"/>
        </w:rPr>
        <w:t xml:space="preserve"> </w:t>
      </w:r>
      <w:r w:rsidRPr="00392288">
        <w:rPr>
          <w:rFonts w:eastAsia="Calibri" w:cs="Arial"/>
          <w:color w:val="0000FF"/>
          <w:sz w:val="12"/>
          <w:szCs w:val="12"/>
          <w:u w:val="single"/>
        </w:rPr>
        <w:t>Tabl</w:t>
      </w:r>
      <w:r w:rsidRPr="00392288">
        <w:rPr>
          <w:rFonts w:eastAsia="Calibri" w:cs="Arial"/>
          <w:color w:val="0000FF"/>
          <w:spacing w:val="-1"/>
          <w:sz w:val="12"/>
          <w:szCs w:val="12"/>
          <w:u w:val="single"/>
        </w:rPr>
        <w:t>e</w:t>
      </w:r>
      <w:r w:rsidRPr="00392288">
        <w:rPr>
          <w:rFonts w:eastAsia="Calibri" w:cs="Arial"/>
          <w:color w:val="0000FF"/>
          <w:spacing w:val="1"/>
          <w:sz w:val="12"/>
          <w:szCs w:val="12"/>
          <w:u w:val="single"/>
        </w:rPr>
        <w:t>s</w:t>
      </w:r>
      <w:r w:rsidRPr="00392288">
        <w:rPr>
          <w:rFonts w:eastAsia="Calibri" w:cs="Arial"/>
          <w:color w:val="0000FF"/>
          <w:sz w:val="12"/>
          <w:szCs w:val="12"/>
          <w:u w:val="single"/>
        </w:rPr>
        <w:t>:</w:t>
      </w:r>
      <w:r w:rsidRPr="00392288">
        <w:rPr>
          <w:rFonts w:eastAsia="Calibri" w:cs="Arial"/>
          <w:color w:val="0000FF"/>
          <w:spacing w:val="-1"/>
          <w:sz w:val="12"/>
          <w:szCs w:val="12"/>
          <w:u w:val="single"/>
        </w:rPr>
        <w:t xml:space="preserve"> </w:t>
      </w:r>
      <w:r w:rsidRPr="00392288">
        <w:rPr>
          <w:rFonts w:eastAsia="Calibri" w:cs="Arial"/>
          <w:color w:val="0000FF"/>
          <w:sz w:val="12"/>
          <w:szCs w:val="12"/>
          <w:u w:val="single"/>
        </w:rPr>
        <w:t>201</w:t>
      </w:r>
      <w:r w:rsidRPr="00392288">
        <w:rPr>
          <w:rFonts w:eastAsia="Calibri" w:cs="Arial"/>
          <w:color w:val="0000FF"/>
          <w:spacing w:val="-1"/>
          <w:sz w:val="12"/>
          <w:szCs w:val="12"/>
          <w:u w:val="single"/>
        </w:rPr>
        <w:t>3</w:t>
      </w:r>
      <w:r w:rsidRPr="00392288">
        <w:rPr>
          <w:rFonts w:ascii="MS Gothic" w:eastAsia="MS Gothic" w:hAnsi="MS Gothic" w:cs="MS Gothic"/>
          <w:color w:val="0000FF"/>
          <w:spacing w:val="1"/>
          <w:sz w:val="12"/>
          <w:szCs w:val="12"/>
          <w:u w:val="single"/>
        </w:rPr>
        <w:t>‑</w:t>
      </w:r>
      <w:r w:rsidRPr="00392288">
        <w:rPr>
          <w:rFonts w:eastAsia="MS Gothic" w:cs="Arial"/>
          <w:color w:val="0000FF"/>
          <w:sz w:val="12"/>
          <w:szCs w:val="12"/>
          <w:u w:val="single"/>
        </w:rPr>
        <w:t>14</w:t>
      </w:r>
    </w:p>
  </w:footnote>
  <w:footnote w:id="6">
    <w:p w14:paraId="54E5645E" w14:textId="77777777" w:rsidR="000A6B7B" w:rsidRDefault="000A6B7B">
      <w:pPr>
        <w:pStyle w:val="FootnoteText"/>
      </w:pPr>
      <w:r w:rsidRPr="00392288">
        <w:rPr>
          <w:rStyle w:val="FootnoteReference"/>
          <w:rFonts w:cs="Arial"/>
          <w:sz w:val="12"/>
          <w:szCs w:val="12"/>
        </w:rPr>
        <w:footnoteRef/>
      </w:r>
      <w:r w:rsidRPr="00392288">
        <w:rPr>
          <w:rFonts w:cs="Arial"/>
          <w:sz w:val="12"/>
          <w:szCs w:val="12"/>
        </w:rPr>
        <w:t xml:space="preserve"> </w:t>
      </w:r>
      <w:r w:rsidR="00681CB7" w:rsidRPr="00392288">
        <w:rPr>
          <w:rFonts w:cs="Arial"/>
          <w:sz w:val="12"/>
          <w:szCs w:val="12"/>
          <w:lang w:val="en-US"/>
        </w:rPr>
        <w:t>Australian Government, 2012 National Research Investment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56453" w14:textId="77777777" w:rsidR="00CA4F1E" w:rsidRDefault="00B77F9F">
    <w:pPr>
      <w:pStyle w:val="Header"/>
    </w:pPr>
    <w:r>
      <w:rPr>
        <w:noProof/>
        <w:lang w:val="en-AU" w:eastAsia="en-AU"/>
      </w:rPr>
      <w:drawing>
        <wp:anchor distT="0" distB="0" distL="114300" distR="114300" simplePos="0" relativeHeight="251657216" behindDoc="0" locked="0" layoutInCell="1" allowOverlap="1" wp14:anchorId="54E56455" wp14:editId="54E56456">
          <wp:simplePos x="0" y="0"/>
          <wp:positionH relativeFrom="page">
            <wp:align>left</wp:align>
          </wp:positionH>
          <wp:positionV relativeFrom="page">
            <wp:align>top</wp:align>
          </wp:positionV>
          <wp:extent cx="7560310" cy="1704975"/>
          <wp:effectExtent l="0" t="0" r="2540" b="9525"/>
          <wp:wrapSquare wrapText="bothSides"/>
          <wp:docPr id="4" name="Picture 4"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5489F2"/>
    <w:lvl w:ilvl="0">
      <w:start w:val="1"/>
      <w:numFmt w:val="decimal"/>
      <w:lvlText w:val="%1."/>
      <w:lvlJc w:val="left"/>
      <w:pPr>
        <w:tabs>
          <w:tab w:val="num" w:pos="1492"/>
        </w:tabs>
        <w:ind w:left="1492" w:hanging="360"/>
      </w:pPr>
    </w:lvl>
  </w:abstractNum>
  <w:abstractNum w:abstractNumId="1">
    <w:nsid w:val="FFFFFF7D"/>
    <w:multiLevelType w:val="singleLevel"/>
    <w:tmpl w:val="6E2AB04E"/>
    <w:lvl w:ilvl="0">
      <w:start w:val="1"/>
      <w:numFmt w:val="decimal"/>
      <w:lvlText w:val="%1."/>
      <w:lvlJc w:val="left"/>
      <w:pPr>
        <w:tabs>
          <w:tab w:val="num" w:pos="1209"/>
        </w:tabs>
        <w:ind w:left="1209" w:hanging="360"/>
      </w:pPr>
    </w:lvl>
  </w:abstractNum>
  <w:abstractNum w:abstractNumId="2">
    <w:nsid w:val="FFFFFF7E"/>
    <w:multiLevelType w:val="singleLevel"/>
    <w:tmpl w:val="5F3AB740"/>
    <w:lvl w:ilvl="0">
      <w:start w:val="1"/>
      <w:numFmt w:val="decimal"/>
      <w:lvlText w:val="%1."/>
      <w:lvlJc w:val="left"/>
      <w:pPr>
        <w:tabs>
          <w:tab w:val="num" w:pos="926"/>
        </w:tabs>
        <w:ind w:left="926" w:hanging="360"/>
      </w:pPr>
    </w:lvl>
  </w:abstractNum>
  <w:abstractNum w:abstractNumId="3">
    <w:nsid w:val="FFFFFF7F"/>
    <w:multiLevelType w:val="singleLevel"/>
    <w:tmpl w:val="91527F66"/>
    <w:lvl w:ilvl="0">
      <w:start w:val="1"/>
      <w:numFmt w:val="decimal"/>
      <w:lvlText w:val="%1."/>
      <w:lvlJc w:val="left"/>
      <w:pPr>
        <w:tabs>
          <w:tab w:val="num" w:pos="643"/>
        </w:tabs>
        <w:ind w:left="643" w:hanging="360"/>
      </w:pPr>
    </w:lvl>
  </w:abstractNum>
  <w:abstractNum w:abstractNumId="4">
    <w:nsid w:val="FFFFFF80"/>
    <w:multiLevelType w:val="singleLevel"/>
    <w:tmpl w:val="2C9E36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B66B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FE24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5EA1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623A06"/>
    <w:lvl w:ilvl="0">
      <w:start w:val="1"/>
      <w:numFmt w:val="decimal"/>
      <w:lvlText w:val="%1."/>
      <w:lvlJc w:val="left"/>
      <w:pPr>
        <w:tabs>
          <w:tab w:val="num" w:pos="360"/>
        </w:tabs>
        <w:ind w:left="360" w:hanging="360"/>
      </w:pPr>
    </w:lvl>
  </w:abstractNum>
  <w:abstractNum w:abstractNumId="9">
    <w:nsid w:val="FFFFFF89"/>
    <w:multiLevelType w:val="singleLevel"/>
    <w:tmpl w:val="A35C7272"/>
    <w:lvl w:ilvl="0">
      <w:start w:val="1"/>
      <w:numFmt w:val="bullet"/>
      <w:lvlText w:val=""/>
      <w:lvlJc w:val="left"/>
      <w:pPr>
        <w:tabs>
          <w:tab w:val="num" w:pos="360"/>
        </w:tabs>
        <w:ind w:left="360" w:hanging="360"/>
      </w:pPr>
      <w:rPr>
        <w:rFonts w:ascii="Symbol" w:hAnsi="Symbol" w:hint="default"/>
      </w:rPr>
    </w:lvl>
  </w:abstractNum>
  <w:abstractNum w:abstractNumId="10">
    <w:nsid w:val="0B9039C5"/>
    <w:multiLevelType w:val="multilevel"/>
    <w:tmpl w:val="1228DC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DD72CBD"/>
    <w:multiLevelType w:val="hybridMultilevel"/>
    <w:tmpl w:val="16180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760E87"/>
    <w:multiLevelType w:val="hybridMultilevel"/>
    <w:tmpl w:val="1D50C71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D53347F"/>
    <w:multiLevelType w:val="hybridMultilevel"/>
    <w:tmpl w:val="3A7C389C"/>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362B05"/>
    <w:multiLevelType w:val="hybridMultilevel"/>
    <w:tmpl w:val="490CC81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nsid w:val="21A43D4C"/>
    <w:multiLevelType w:val="hybridMultilevel"/>
    <w:tmpl w:val="971CB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A520D7"/>
    <w:multiLevelType w:val="hybridMultilevel"/>
    <w:tmpl w:val="4628C22C"/>
    <w:lvl w:ilvl="0" w:tplc="87E8510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A37008C"/>
    <w:multiLevelType w:val="hybridMultilevel"/>
    <w:tmpl w:val="3A88E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1335D01"/>
    <w:multiLevelType w:val="hybridMultilevel"/>
    <w:tmpl w:val="58B6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DD7DFF"/>
    <w:multiLevelType w:val="hybridMultilevel"/>
    <w:tmpl w:val="04B865AA"/>
    <w:lvl w:ilvl="0" w:tplc="08090001">
      <w:start w:val="1"/>
      <w:numFmt w:val="bullet"/>
      <w:lvlText w:val=""/>
      <w:lvlJc w:val="left"/>
      <w:pPr>
        <w:ind w:left="720" w:hanging="360"/>
      </w:pPr>
      <w:rPr>
        <w:rFonts w:ascii="Symbol" w:hAnsi="Symbol" w:hint="default"/>
      </w:rPr>
    </w:lvl>
    <w:lvl w:ilvl="1" w:tplc="CE28804C">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CB1340A"/>
    <w:multiLevelType w:val="multilevel"/>
    <w:tmpl w:val="520AD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E9647FE"/>
    <w:multiLevelType w:val="hybridMultilevel"/>
    <w:tmpl w:val="3F3EC1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72F8705D"/>
    <w:multiLevelType w:val="hybridMultilevel"/>
    <w:tmpl w:val="BDAAC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3F55AEA"/>
    <w:multiLevelType w:val="hybridMultilevel"/>
    <w:tmpl w:val="A566C020"/>
    <w:lvl w:ilvl="0" w:tplc="BD68E0AC">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4937FB4"/>
    <w:multiLevelType w:val="hybridMultilevel"/>
    <w:tmpl w:val="9C34F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66E1F4C"/>
    <w:multiLevelType w:val="hybridMultilevel"/>
    <w:tmpl w:val="A1EA27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17"/>
  </w:num>
  <w:num w:numId="14">
    <w:abstractNumId w:val="10"/>
  </w:num>
  <w:num w:numId="15">
    <w:abstractNumId w:val="13"/>
  </w:num>
  <w:num w:numId="16">
    <w:abstractNumId w:val="16"/>
  </w:num>
  <w:num w:numId="17">
    <w:abstractNumId w:val="24"/>
  </w:num>
  <w:num w:numId="18">
    <w:abstractNumId w:val="12"/>
  </w:num>
  <w:num w:numId="19">
    <w:abstractNumId w:val="25"/>
  </w:num>
  <w:num w:numId="20">
    <w:abstractNumId w:val="15"/>
  </w:num>
  <w:num w:numId="21">
    <w:abstractNumId w:val="11"/>
  </w:num>
  <w:num w:numId="22">
    <w:abstractNumId w:val="20"/>
  </w:num>
  <w:num w:numId="23">
    <w:abstractNumId w:val="14"/>
  </w:num>
  <w:num w:numId="24">
    <w:abstractNumId w:val="21"/>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3B386C"/>
    <w:rsid w:val="00006847"/>
    <w:rsid w:val="00010FD8"/>
    <w:rsid w:val="00014FC9"/>
    <w:rsid w:val="00016924"/>
    <w:rsid w:val="00086320"/>
    <w:rsid w:val="000A4D76"/>
    <w:rsid w:val="000A6B7B"/>
    <w:rsid w:val="000A7966"/>
    <w:rsid w:val="000C7453"/>
    <w:rsid w:val="000E4114"/>
    <w:rsid w:val="00101665"/>
    <w:rsid w:val="00114DE8"/>
    <w:rsid w:val="00115E19"/>
    <w:rsid w:val="00137B95"/>
    <w:rsid w:val="00140EA2"/>
    <w:rsid w:val="0015204C"/>
    <w:rsid w:val="00162E7D"/>
    <w:rsid w:val="00185C06"/>
    <w:rsid w:val="001D034F"/>
    <w:rsid w:val="002156B7"/>
    <w:rsid w:val="00215F51"/>
    <w:rsid w:val="002259D8"/>
    <w:rsid w:val="002457A7"/>
    <w:rsid w:val="00267664"/>
    <w:rsid w:val="0028625E"/>
    <w:rsid w:val="002A21DD"/>
    <w:rsid w:val="002A6F2E"/>
    <w:rsid w:val="002D60B9"/>
    <w:rsid w:val="002E61C6"/>
    <w:rsid w:val="0032750C"/>
    <w:rsid w:val="00351403"/>
    <w:rsid w:val="00356BDC"/>
    <w:rsid w:val="00367D8F"/>
    <w:rsid w:val="00370EE5"/>
    <w:rsid w:val="00381E3A"/>
    <w:rsid w:val="00383DCB"/>
    <w:rsid w:val="00392288"/>
    <w:rsid w:val="003A0737"/>
    <w:rsid w:val="003B211F"/>
    <w:rsid w:val="003B2E3A"/>
    <w:rsid w:val="003B386C"/>
    <w:rsid w:val="003C678F"/>
    <w:rsid w:val="00422149"/>
    <w:rsid w:val="00441ECF"/>
    <w:rsid w:val="004435D0"/>
    <w:rsid w:val="004436AC"/>
    <w:rsid w:val="00455FCB"/>
    <w:rsid w:val="00465144"/>
    <w:rsid w:val="00471584"/>
    <w:rsid w:val="004813AC"/>
    <w:rsid w:val="004847A7"/>
    <w:rsid w:val="00496803"/>
    <w:rsid w:val="00496E03"/>
    <w:rsid w:val="004B62CE"/>
    <w:rsid w:val="004F3E18"/>
    <w:rsid w:val="004F4478"/>
    <w:rsid w:val="00502410"/>
    <w:rsid w:val="005053CB"/>
    <w:rsid w:val="005403EF"/>
    <w:rsid w:val="00553E50"/>
    <w:rsid w:val="00557E5A"/>
    <w:rsid w:val="00561ADF"/>
    <w:rsid w:val="00570A59"/>
    <w:rsid w:val="00591DEB"/>
    <w:rsid w:val="005943F2"/>
    <w:rsid w:val="005C5F43"/>
    <w:rsid w:val="005D3670"/>
    <w:rsid w:val="005D65C9"/>
    <w:rsid w:val="005E02FB"/>
    <w:rsid w:val="005E4AAA"/>
    <w:rsid w:val="005F2908"/>
    <w:rsid w:val="00607457"/>
    <w:rsid w:val="00610A77"/>
    <w:rsid w:val="00612D7E"/>
    <w:rsid w:val="00616FA8"/>
    <w:rsid w:val="00623120"/>
    <w:rsid w:val="00636FBE"/>
    <w:rsid w:val="006401E9"/>
    <w:rsid w:val="006455EA"/>
    <w:rsid w:val="00656895"/>
    <w:rsid w:val="00681CB7"/>
    <w:rsid w:val="00685660"/>
    <w:rsid w:val="00686389"/>
    <w:rsid w:val="00686943"/>
    <w:rsid w:val="006A0214"/>
    <w:rsid w:val="006A3E02"/>
    <w:rsid w:val="006E7BD3"/>
    <w:rsid w:val="006F32BF"/>
    <w:rsid w:val="007170B4"/>
    <w:rsid w:val="007374B0"/>
    <w:rsid w:val="007403A9"/>
    <w:rsid w:val="00774E4D"/>
    <w:rsid w:val="00777AA7"/>
    <w:rsid w:val="007A5839"/>
    <w:rsid w:val="007D0073"/>
    <w:rsid w:val="007D38F8"/>
    <w:rsid w:val="007E7FDC"/>
    <w:rsid w:val="007F28DF"/>
    <w:rsid w:val="007F461A"/>
    <w:rsid w:val="007F5BEC"/>
    <w:rsid w:val="00810742"/>
    <w:rsid w:val="00831607"/>
    <w:rsid w:val="00841B09"/>
    <w:rsid w:val="008456E7"/>
    <w:rsid w:val="00865756"/>
    <w:rsid w:val="00877499"/>
    <w:rsid w:val="008777EC"/>
    <w:rsid w:val="00886789"/>
    <w:rsid w:val="008932F5"/>
    <w:rsid w:val="008A4606"/>
    <w:rsid w:val="008A4B34"/>
    <w:rsid w:val="008B5F98"/>
    <w:rsid w:val="008B712D"/>
    <w:rsid w:val="008C0172"/>
    <w:rsid w:val="008C0AF7"/>
    <w:rsid w:val="008C640F"/>
    <w:rsid w:val="008D6FCA"/>
    <w:rsid w:val="008E310D"/>
    <w:rsid w:val="00900C40"/>
    <w:rsid w:val="009338C0"/>
    <w:rsid w:val="00963862"/>
    <w:rsid w:val="00975097"/>
    <w:rsid w:val="00982AB5"/>
    <w:rsid w:val="00990D44"/>
    <w:rsid w:val="009C3755"/>
    <w:rsid w:val="009C3D82"/>
    <w:rsid w:val="00A042D7"/>
    <w:rsid w:val="00A079D4"/>
    <w:rsid w:val="00A42D94"/>
    <w:rsid w:val="00A46B56"/>
    <w:rsid w:val="00A52677"/>
    <w:rsid w:val="00A808B5"/>
    <w:rsid w:val="00AA69DF"/>
    <w:rsid w:val="00AB06DB"/>
    <w:rsid w:val="00AC7CC5"/>
    <w:rsid w:val="00AD1813"/>
    <w:rsid w:val="00AE7D42"/>
    <w:rsid w:val="00AF252F"/>
    <w:rsid w:val="00B00377"/>
    <w:rsid w:val="00B21CB4"/>
    <w:rsid w:val="00B2512F"/>
    <w:rsid w:val="00B31062"/>
    <w:rsid w:val="00B3730C"/>
    <w:rsid w:val="00B555D0"/>
    <w:rsid w:val="00B65E59"/>
    <w:rsid w:val="00B77F9F"/>
    <w:rsid w:val="00B80171"/>
    <w:rsid w:val="00B828E8"/>
    <w:rsid w:val="00BA5182"/>
    <w:rsid w:val="00BA7551"/>
    <w:rsid w:val="00BB0F85"/>
    <w:rsid w:val="00BC20C1"/>
    <w:rsid w:val="00BD49F1"/>
    <w:rsid w:val="00C054D1"/>
    <w:rsid w:val="00C65CBB"/>
    <w:rsid w:val="00C7215B"/>
    <w:rsid w:val="00C75EA1"/>
    <w:rsid w:val="00C802BC"/>
    <w:rsid w:val="00CA4F1E"/>
    <w:rsid w:val="00CA6848"/>
    <w:rsid w:val="00CD1873"/>
    <w:rsid w:val="00CF45A7"/>
    <w:rsid w:val="00D201CA"/>
    <w:rsid w:val="00D57425"/>
    <w:rsid w:val="00D60A47"/>
    <w:rsid w:val="00D73372"/>
    <w:rsid w:val="00D96302"/>
    <w:rsid w:val="00DA0A38"/>
    <w:rsid w:val="00DA451D"/>
    <w:rsid w:val="00DA48FA"/>
    <w:rsid w:val="00DB629D"/>
    <w:rsid w:val="00DC74E9"/>
    <w:rsid w:val="00E1147F"/>
    <w:rsid w:val="00E55E56"/>
    <w:rsid w:val="00E83929"/>
    <w:rsid w:val="00EA5016"/>
    <w:rsid w:val="00EC0734"/>
    <w:rsid w:val="00ED10D7"/>
    <w:rsid w:val="00EE5BB7"/>
    <w:rsid w:val="00F02530"/>
    <w:rsid w:val="00F11939"/>
    <w:rsid w:val="00F160D0"/>
    <w:rsid w:val="00F21610"/>
    <w:rsid w:val="00F23420"/>
    <w:rsid w:val="00F24708"/>
    <w:rsid w:val="00F4633E"/>
    <w:rsid w:val="00F5012A"/>
    <w:rsid w:val="00F62EC6"/>
    <w:rsid w:val="00F82511"/>
    <w:rsid w:val="00FA238E"/>
    <w:rsid w:val="00FB1E44"/>
    <w:rsid w:val="00FC09F9"/>
    <w:rsid w:val="00FC16EF"/>
    <w:rsid w:val="00FE587D"/>
    <w:rsid w:val="00FF3008"/>
    <w:rsid w:val="00FF5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E5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4813AC"/>
  </w:style>
  <w:style w:type="paragraph" w:styleId="Heading1">
    <w:name w:val="heading 1"/>
    <w:basedOn w:val="Normal"/>
    <w:next w:val="Normal"/>
    <w:link w:val="Heading1Char"/>
    <w:uiPriority w:val="9"/>
    <w:qFormat/>
    <w:rsid w:val="004813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13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13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813A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13A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13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13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13A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813A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C1D84"/>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CC1D84"/>
    <w:rPr>
      <w:rFonts w:ascii="Tahoma" w:hAnsi="Tahoma" w:cs="Tahoma"/>
      <w:sz w:val="16"/>
      <w:szCs w:val="16"/>
    </w:rPr>
  </w:style>
  <w:style w:type="character" w:customStyle="1" w:styleId="Heading1Char">
    <w:name w:val="Heading 1 Char"/>
    <w:basedOn w:val="DefaultParagraphFont"/>
    <w:link w:val="Heading1"/>
    <w:uiPriority w:val="9"/>
    <w:locked/>
    <w:rsid w:val="004813AC"/>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B1534"/>
    <w:pPr>
      <w:autoSpaceDE w:val="0"/>
      <w:autoSpaceDN w:val="0"/>
      <w:adjustRightInd w:val="0"/>
    </w:pPr>
    <w:rPr>
      <w:rFonts w:cs="Calibri"/>
      <w:color w:val="000000"/>
      <w:sz w:val="24"/>
      <w:szCs w:val="24"/>
      <w:lang w:val="en-US" w:eastAsia="en-US"/>
    </w:rPr>
  </w:style>
  <w:style w:type="paragraph" w:styleId="Title">
    <w:name w:val="Title"/>
    <w:basedOn w:val="Normal"/>
    <w:next w:val="Normal"/>
    <w:link w:val="TitleChar"/>
    <w:uiPriority w:val="10"/>
    <w:qFormat/>
    <w:rsid w:val="004813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locked/>
    <w:rsid w:val="004813AC"/>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locked/>
    <w:rsid w:val="004813AC"/>
    <w:pPr>
      <w:spacing w:line="240" w:lineRule="auto"/>
    </w:pPr>
    <w:rPr>
      <w:b/>
      <w:bCs/>
      <w:color w:val="4F81BD" w:themeColor="accent1"/>
      <w:sz w:val="18"/>
      <w:szCs w:val="18"/>
    </w:rPr>
  </w:style>
  <w:style w:type="table" w:styleId="TableGrid">
    <w:name w:val="Table Grid"/>
    <w:basedOn w:val="TableNormal"/>
    <w:locked/>
    <w:rsid w:val="0033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55F0"/>
    <w:pPr>
      <w:tabs>
        <w:tab w:val="center" w:pos="4153"/>
        <w:tab w:val="right" w:pos="8306"/>
      </w:tabs>
    </w:pPr>
    <w:rPr>
      <w:rFonts w:ascii="Calibri" w:hAnsi="Calibri"/>
      <w:lang w:val="x-none"/>
    </w:rPr>
  </w:style>
  <w:style w:type="character" w:styleId="PageNumber">
    <w:name w:val="page number"/>
    <w:basedOn w:val="DefaultParagraphFont"/>
    <w:rsid w:val="009D55F0"/>
  </w:style>
  <w:style w:type="paragraph" w:styleId="Header">
    <w:name w:val="header"/>
    <w:basedOn w:val="Normal"/>
    <w:link w:val="HeaderChar"/>
    <w:rsid w:val="00AE2020"/>
    <w:pPr>
      <w:tabs>
        <w:tab w:val="center" w:pos="4513"/>
        <w:tab w:val="right" w:pos="9026"/>
      </w:tabs>
    </w:pPr>
    <w:rPr>
      <w:rFonts w:ascii="Calibri" w:hAnsi="Calibri"/>
      <w:lang w:val="x-none"/>
    </w:rPr>
  </w:style>
  <w:style w:type="character" w:customStyle="1" w:styleId="HeaderChar">
    <w:name w:val="Header Char"/>
    <w:link w:val="Header"/>
    <w:rsid w:val="00AE2020"/>
    <w:rPr>
      <w:rFonts w:eastAsia="Times New Roman"/>
      <w:sz w:val="22"/>
      <w:szCs w:val="22"/>
      <w:lang w:eastAsia="en-US"/>
    </w:rPr>
  </w:style>
  <w:style w:type="character" w:customStyle="1" w:styleId="FooterChar">
    <w:name w:val="Footer Char"/>
    <w:link w:val="Footer"/>
    <w:uiPriority w:val="99"/>
    <w:rsid w:val="00CB7022"/>
    <w:rPr>
      <w:rFonts w:eastAsia="Times New Roman"/>
      <w:sz w:val="22"/>
      <w:szCs w:val="22"/>
      <w:lang w:eastAsia="en-US"/>
    </w:rPr>
  </w:style>
  <w:style w:type="character" w:styleId="Hyperlink">
    <w:name w:val="Hyperlink"/>
    <w:uiPriority w:val="99"/>
    <w:rsid w:val="00251A15"/>
    <w:rPr>
      <w:color w:val="0000FF"/>
      <w:u w:val="single"/>
    </w:rPr>
  </w:style>
  <w:style w:type="paragraph" w:styleId="NormalWeb">
    <w:name w:val="Normal (Web)"/>
    <w:basedOn w:val="Normal"/>
    <w:uiPriority w:val="99"/>
    <w:unhideWhenUsed/>
    <w:rsid w:val="00AE7532"/>
    <w:pPr>
      <w:spacing w:before="100" w:beforeAutospacing="1" w:after="100" w:afterAutospacing="1" w:line="240" w:lineRule="auto"/>
    </w:pPr>
    <w:rPr>
      <w:szCs w:val="24"/>
      <w:lang w:eastAsia="en-AU"/>
    </w:rPr>
  </w:style>
  <w:style w:type="paragraph" w:customStyle="1" w:styleId="DateHeading">
    <w:name w:val="Date Heading"/>
    <w:basedOn w:val="Heading1"/>
    <w:rsid w:val="000921FE"/>
    <w:pPr>
      <w:spacing w:before="0"/>
    </w:pPr>
    <w:rPr>
      <w:rFonts w:cs="Calibri"/>
      <w:color w:val="auto"/>
      <w:sz w:val="20"/>
      <w:szCs w:val="22"/>
    </w:rPr>
  </w:style>
  <w:style w:type="character" w:styleId="CommentReference">
    <w:name w:val="annotation reference"/>
    <w:rsid w:val="007F28DF"/>
    <w:rPr>
      <w:sz w:val="16"/>
      <w:szCs w:val="16"/>
    </w:rPr>
  </w:style>
  <w:style w:type="paragraph" w:styleId="CommentText">
    <w:name w:val="annotation text"/>
    <w:basedOn w:val="Normal"/>
    <w:link w:val="CommentTextChar"/>
    <w:rsid w:val="007F28DF"/>
    <w:rPr>
      <w:szCs w:val="20"/>
    </w:rPr>
  </w:style>
  <w:style w:type="character" w:customStyle="1" w:styleId="CommentTextChar">
    <w:name w:val="Comment Text Char"/>
    <w:link w:val="CommentText"/>
    <w:rsid w:val="007F28DF"/>
    <w:rPr>
      <w:rFonts w:ascii="Arial" w:eastAsia="Times New Roman" w:hAnsi="Arial"/>
      <w:lang w:eastAsia="en-US"/>
    </w:rPr>
  </w:style>
  <w:style w:type="paragraph" w:styleId="CommentSubject">
    <w:name w:val="annotation subject"/>
    <w:basedOn w:val="CommentText"/>
    <w:next w:val="CommentText"/>
    <w:link w:val="CommentSubjectChar"/>
    <w:rsid w:val="007F28DF"/>
    <w:rPr>
      <w:b/>
      <w:bCs/>
    </w:rPr>
  </w:style>
  <w:style w:type="character" w:customStyle="1" w:styleId="CommentSubjectChar">
    <w:name w:val="Comment Subject Char"/>
    <w:link w:val="CommentSubject"/>
    <w:rsid w:val="007F28DF"/>
    <w:rPr>
      <w:rFonts w:ascii="Arial" w:eastAsia="Times New Roman" w:hAnsi="Arial"/>
      <w:b/>
      <w:bCs/>
      <w:lang w:eastAsia="en-US"/>
    </w:rPr>
  </w:style>
  <w:style w:type="paragraph" w:styleId="FootnoteText">
    <w:name w:val="footnote text"/>
    <w:basedOn w:val="Normal"/>
    <w:link w:val="FootnoteTextChar"/>
    <w:uiPriority w:val="99"/>
    <w:rsid w:val="00EA5016"/>
    <w:pPr>
      <w:spacing w:after="0" w:line="240" w:lineRule="auto"/>
    </w:pPr>
    <w:rPr>
      <w:szCs w:val="20"/>
    </w:rPr>
  </w:style>
  <w:style w:type="character" w:customStyle="1" w:styleId="FootnoteTextChar">
    <w:name w:val="Footnote Text Char"/>
    <w:basedOn w:val="DefaultParagraphFont"/>
    <w:link w:val="FootnoteText"/>
    <w:uiPriority w:val="99"/>
    <w:rsid w:val="00EA5016"/>
    <w:rPr>
      <w:rFonts w:ascii="Arial" w:eastAsia="Times New Roman" w:hAnsi="Arial"/>
      <w:lang w:val="en-AU" w:eastAsia="en-US"/>
    </w:rPr>
  </w:style>
  <w:style w:type="character" w:styleId="FootnoteReference">
    <w:name w:val="footnote reference"/>
    <w:basedOn w:val="DefaultParagraphFont"/>
    <w:uiPriority w:val="99"/>
    <w:rsid w:val="00EA5016"/>
    <w:rPr>
      <w:vertAlign w:val="superscript"/>
    </w:rPr>
  </w:style>
  <w:style w:type="paragraph" w:styleId="ListParagraph">
    <w:name w:val="List Paragraph"/>
    <w:basedOn w:val="Normal"/>
    <w:uiPriority w:val="34"/>
    <w:qFormat/>
    <w:rsid w:val="004813AC"/>
    <w:pPr>
      <w:ind w:left="720"/>
      <w:contextualSpacing/>
    </w:pPr>
  </w:style>
  <w:style w:type="paragraph" w:customStyle="1" w:styleId="AVCALBODYCOPY">
    <w:name w:val="AVCAL BODY COPY"/>
    <w:basedOn w:val="Normal"/>
    <w:rsid w:val="0032750C"/>
  </w:style>
  <w:style w:type="character" w:customStyle="1" w:styleId="apple-converted-space">
    <w:name w:val="apple-converted-space"/>
    <w:basedOn w:val="DefaultParagraphFont"/>
    <w:rsid w:val="00422149"/>
  </w:style>
  <w:style w:type="character" w:styleId="Emphasis">
    <w:name w:val="Emphasis"/>
    <w:basedOn w:val="DefaultParagraphFont"/>
    <w:uiPriority w:val="20"/>
    <w:qFormat/>
    <w:rsid w:val="004813AC"/>
    <w:rPr>
      <w:i/>
      <w:iCs/>
    </w:rPr>
  </w:style>
  <w:style w:type="paragraph" w:customStyle="1" w:styleId="AVCALDividerHeading">
    <w:name w:val="AVCAL Divider Heading"/>
    <w:basedOn w:val="Normal"/>
    <w:qFormat/>
    <w:rsid w:val="00FF3008"/>
    <w:pPr>
      <w:jc w:val="right"/>
    </w:pPr>
    <w:rPr>
      <w:color w:val="D22C21"/>
      <w:sz w:val="72"/>
      <w:szCs w:val="72"/>
    </w:rPr>
  </w:style>
  <w:style w:type="character" w:customStyle="1" w:styleId="Heading2Char">
    <w:name w:val="Heading 2 Char"/>
    <w:basedOn w:val="DefaultParagraphFont"/>
    <w:link w:val="Heading2"/>
    <w:uiPriority w:val="9"/>
    <w:rsid w:val="004813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13A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813A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13A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13A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13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13A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813AC"/>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4813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813A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813AC"/>
    <w:rPr>
      <w:b/>
      <w:bCs/>
    </w:rPr>
  </w:style>
  <w:style w:type="paragraph" w:styleId="NoSpacing">
    <w:name w:val="No Spacing"/>
    <w:uiPriority w:val="1"/>
    <w:qFormat/>
    <w:rsid w:val="004813AC"/>
    <w:pPr>
      <w:spacing w:after="0" w:line="240" w:lineRule="auto"/>
    </w:pPr>
  </w:style>
  <w:style w:type="paragraph" w:styleId="Quote">
    <w:name w:val="Quote"/>
    <w:basedOn w:val="Normal"/>
    <w:next w:val="Normal"/>
    <w:link w:val="QuoteChar"/>
    <w:uiPriority w:val="29"/>
    <w:qFormat/>
    <w:rsid w:val="004813AC"/>
    <w:rPr>
      <w:i/>
      <w:iCs/>
      <w:color w:val="000000" w:themeColor="text1"/>
    </w:rPr>
  </w:style>
  <w:style w:type="character" w:customStyle="1" w:styleId="QuoteChar">
    <w:name w:val="Quote Char"/>
    <w:basedOn w:val="DefaultParagraphFont"/>
    <w:link w:val="Quote"/>
    <w:uiPriority w:val="29"/>
    <w:rsid w:val="004813AC"/>
    <w:rPr>
      <w:i/>
      <w:iCs/>
      <w:color w:val="000000" w:themeColor="text1"/>
    </w:rPr>
  </w:style>
  <w:style w:type="paragraph" w:styleId="IntenseQuote">
    <w:name w:val="Intense Quote"/>
    <w:basedOn w:val="Normal"/>
    <w:next w:val="Normal"/>
    <w:link w:val="IntenseQuoteChar"/>
    <w:uiPriority w:val="30"/>
    <w:qFormat/>
    <w:rsid w:val="004813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13AC"/>
    <w:rPr>
      <w:b/>
      <w:bCs/>
      <w:i/>
      <w:iCs/>
      <w:color w:val="4F81BD" w:themeColor="accent1"/>
    </w:rPr>
  </w:style>
  <w:style w:type="character" w:styleId="SubtleEmphasis">
    <w:name w:val="Subtle Emphasis"/>
    <w:basedOn w:val="DefaultParagraphFont"/>
    <w:uiPriority w:val="19"/>
    <w:qFormat/>
    <w:rsid w:val="004813AC"/>
    <w:rPr>
      <w:i/>
      <w:iCs/>
      <w:color w:val="808080" w:themeColor="text1" w:themeTint="7F"/>
    </w:rPr>
  </w:style>
  <w:style w:type="character" w:styleId="IntenseEmphasis">
    <w:name w:val="Intense Emphasis"/>
    <w:basedOn w:val="DefaultParagraphFont"/>
    <w:uiPriority w:val="21"/>
    <w:qFormat/>
    <w:rsid w:val="004813AC"/>
    <w:rPr>
      <w:b/>
      <w:bCs/>
      <w:i/>
      <w:iCs/>
      <w:color w:val="4F81BD" w:themeColor="accent1"/>
    </w:rPr>
  </w:style>
  <w:style w:type="character" w:styleId="SubtleReference">
    <w:name w:val="Subtle Reference"/>
    <w:basedOn w:val="DefaultParagraphFont"/>
    <w:uiPriority w:val="31"/>
    <w:qFormat/>
    <w:rsid w:val="004813AC"/>
    <w:rPr>
      <w:smallCaps/>
      <w:color w:val="C0504D" w:themeColor="accent2"/>
      <w:u w:val="single"/>
    </w:rPr>
  </w:style>
  <w:style w:type="character" w:styleId="IntenseReference">
    <w:name w:val="Intense Reference"/>
    <w:basedOn w:val="DefaultParagraphFont"/>
    <w:uiPriority w:val="32"/>
    <w:qFormat/>
    <w:rsid w:val="004813AC"/>
    <w:rPr>
      <w:b/>
      <w:bCs/>
      <w:smallCaps/>
      <w:color w:val="C0504D" w:themeColor="accent2"/>
      <w:spacing w:val="5"/>
      <w:u w:val="single"/>
    </w:rPr>
  </w:style>
  <w:style w:type="character" w:styleId="BookTitle">
    <w:name w:val="Book Title"/>
    <w:basedOn w:val="DefaultParagraphFont"/>
    <w:uiPriority w:val="33"/>
    <w:qFormat/>
    <w:rsid w:val="004813AC"/>
    <w:rPr>
      <w:b/>
      <w:bCs/>
      <w:smallCaps/>
      <w:spacing w:val="5"/>
    </w:rPr>
  </w:style>
  <w:style w:type="paragraph" w:styleId="TOCHeading">
    <w:name w:val="TOC Heading"/>
    <w:basedOn w:val="Heading1"/>
    <w:next w:val="Normal"/>
    <w:uiPriority w:val="39"/>
    <w:semiHidden/>
    <w:unhideWhenUsed/>
    <w:qFormat/>
    <w:rsid w:val="004813A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4813AC"/>
  </w:style>
  <w:style w:type="paragraph" w:styleId="Heading1">
    <w:name w:val="heading 1"/>
    <w:basedOn w:val="Normal"/>
    <w:next w:val="Normal"/>
    <w:link w:val="Heading1Char"/>
    <w:uiPriority w:val="9"/>
    <w:qFormat/>
    <w:rsid w:val="004813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13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13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813A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13A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13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13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13A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813A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C1D84"/>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CC1D84"/>
    <w:rPr>
      <w:rFonts w:ascii="Tahoma" w:hAnsi="Tahoma" w:cs="Tahoma"/>
      <w:sz w:val="16"/>
      <w:szCs w:val="16"/>
    </w:rPr>
  </w:style>
  <w:style w:type="character" w:customStyle="1" w:styleId="Heading1Char">
    <w:name w:val="Heading 1 Char"/>
    <w:basedOn w:val="DefaultParagraphFont"/>
    <w:link w:val="Heading1"/>
    <w:uiPriority w:val="9"/>
    <w:locked/>
    <w:rsid w:val="004813AC"/>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B1534"/>
    <w:pPr>
      <w:autoSpaceDE w:val="0"/>
      <w:autoSpaceDN w:val="0"/>
      <w:adjustRightInd w:val="0"/>
    </w:pPr>
    <w:rPr>
      <w:rFonts w:cs="Calibri"/>
      <w:color w:val="000000"/>
      <w:sz w:val="24"/>
      <w:szCs w:val="24"/>
      <w:lang w:val="en-US" w:eastAsia="en-US"/>
    </w:rPr>
  </w:style>
  <w:style w:type="paragraph" w:styleId="Title">
    <w:name w:val="Title"/>
    <w:basedOn w:val="Normal"/>
    <w:next w:val="Normal"/>
    <w:link w:val="TitleChar"/>
    <w:uiPriority w:val="10"/>
    <w:qFormat/>
    <w:rsid w:val="004813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locked/>
    <w:rsid w:val="004813AC"/>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locked/>
    <w:rsid w:val="004813AC"/>
    <w:pPr>
      <w:spacing w:line="240" w:lineRule="auto"/>
    </w:pPr>
    <w:rPr>
      <w:b/>
      <w:bCs/>
      <w:color w:val="4F81BD" w:themeColor="accent1"/>
      <w:sz w:val="18"/>
      <w:szCs w:val="18"/>
    </w:rPr>
  </w:style>
  <w:style w:type="table" w:styleId="TableGrid">
    <w:name w:val="Table Grid"/>
    <w:basedOn w:val="TableNormal"/>
    <w:locked/>
    <w:rsid w:val="0033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55F0"/>
    <w:pPr>
      <w:tabs>
        <w:tab w:val="center" w:pos="4153"/>
        <w:tab w:val="right" w:pos="8306"/>
      </w:tabs>
    </w:pPr>
    <w:rPr>
      <w:rFonts w:ascii="Calibri" w:hAnsi="Calibri"/>
      <w:lang w:val="x-none"/>
    </w:rPr>
  </w:style>
  <w:style w:type="character" w:styleId="PageNumber">
    <w:name w:val="page number"/>
    <w:basedOn w:val="DefaultParagraphFont"/>
    <w:rsid w:val="009D55F0"/>
  </w:style>
  <w:style w:type="paragraph" w:styleId="Header">
    <w:name w:val="header"/>
    <w:basedOn w:val="Normal"/>
    <w:link w:val="HeaderChar"/>
    <w:rsid w:val="00AE2020"/>
    <w:pPr>
      <w:tabs>
        <w:tab w:val="center" w:pos="4513"/>
        <w:tab w:val="right" w:pos="9026"/>
      </w:tabs>
    </w:pPr>
    <w:rPr>
      <w:rFonts w:ascii="Calibri" w:hAnsi="Calibri"/>
      <w:lang w:val="x-none"/>
    </w:rPr>
  </w:style>
  <w:style w:type="character" w:customStyle="1" w:styleId="HeaderChar">
    <w:name w:val="Header Char"/>
    <w:link w:val="Header"/>
    <w:rsid w:val="00AE2020"/>
    <w:rPr>
      <w:rFonts w:eastAsia="Times New Roman"/>
      <w:sz w:val="22"/>
      <w:szCs w:val="22"/>
      <w:lang w:eastAsia="en-US"/>
    </w:rPr>
  </w:style>
  <w:style w:type="character" w:customStyle="1" w:styleId="FooterChar">
    <w:name w:val="Footer Char"/>
    <w:link w:val="Footer"/>
    <w:uiPriority w:val="99"/>
    <w:rsid w:val="00CB7022"/>
    <w:rPr>
      <w:rFonts w:eastAsia="Times New Roman"/>
      <w:sz w:val="22"/>
      <w:szCs w:val="22"/>
      <w:lang w:eastAsia="en-US"/>
    </w:rPr>
  </w:style>
  <w:style w:type="character" w:styleId="Hyperlink">
    <w:name w:val="Hyperlink"/>
    <w:uiPriority w:val="99"/>
    <w:rsid w:val="00251A15"/>
    <w:rPr>
      <w:color w:val="0000FF"/>
      <w:u w:val="single"/>
    </w:rPr>
  </w:style>
  <w:style w:type="paragraph" w:styleId="NormalWeb">
    <w:name w:val="Normal (Web)"/>
    <w:basedOn w:val="Normal"/>
    <w:uiPriority w:val="99"/>
    <w:unhideWhenUsed/>
    <w:rsid w:val="00AE7532"/>
    <w:pPr>
      <w:spacing w:before="100" w:beforeAutospacing="1" w:after="100" w:afterAutospacing="1" w:line="240" w:lineRule="auto"/>
    </w:pPr>
    <w:rPr>
      <w:szCs w:val="24"/>
      <w:lang w:eastAsia="en-AU"/>
    </w:rPr>
  </w:style>
  <w:style w:type="paragraph" w:customStyle="1" w:styleId="DateHeading">
    <w:name w:val="Date Heading"/>
    <w:basedOn w:val="Heading1"/>
    <w:rsid w:val="000921FE"/>
    <w:pPr>
      <w:spacing w:before="0"/>
    </w:pPr>
    <w:rPr>
      <w:rFonts w:cs="Calibri"/>
      <w:color w:val="auto"/>
      <w:sz w:val="20"/>
      <w:szCs w:val="22"/>
    </w:rPr>
  </w:style>
  <w:style w:type="character" w:styleId="CommentReference">
    <w:name w:val="annotation reference"/>
    <w:rsid w:val="007F28DF"/>
    <w:rPr>
      <w:sz w:val="16"/>
      <w:szCs w:val="16"/>
    </w:rPr>
  </w:style>
  <w:style w:type="paragraph" w:styleId="CommentText">
    <w:name w:val="annotation text"/>
    <w:basedOn w:val="Normal"/>
    <w:link w:val="CommentTextChar"/>
    <w:rsid w:val="007F28DF"/>
    <w:rPr>
      <w:szCs w:val="20"/>
    </w:rPr>
  </w:style>
  <w:style w:type="character" w:customStyle="1" w:styleId="CommentTextChar">
    <w:name w:val="Comment Text Char"/>
    <w:link w:val="CommentText"/>
    <w:rsid w:val="007F28DF"/>
    <w:rPr>
      <w:rFonts w:ascii="Arial" w:eastAsia="Times New Roman" w:hAnsi="Arial"/>
      <w:lang w:eastAsia="en-US"/>
    </w:rPr>
  </w:style>
  <w:style w:type="paragraph" w:styleId="CommentSubject">
    <w:name w:val="annotation subject"/>
    <w:basedOn w:val="CommentText"/>
    <w:next w:val="CommentText"/>
    <w:link w:val="CommentSubjectChar"/>
    <w:rsid w:val="007F28DF"/>
    <w:rPr>
      <w:b/>
      <w:bCs/>
    </w:rPr>
  </w:style>
  <w:style w:type="character" w:customStyle="1" w:styleId="CommentSubjectChar">
    <w:name w:val="Comment Subject Char"/>
    <w:link w:val="CommentSubject"/>
    <w:rsid w:val="007F28DF"/>
    <w:rPr>
      <w:rFonts w:ascii="Arial" w:eastAsia="Times New Roman" w:hAnsi="Arial"/>
      <w:b/>
      <w:bCs/>
      <w:lang w:eastAsia="en-US"/>
    </w:rPr>
  </w:style>
  <w:style w:type="paragraph" w:styleId="FootnoteText">
    <w:name w:val="footnote text"/>
    <w:basedOn w:val="Normal"/>
    <w:link w:val="FootnoteTextChar"/>
    <w:uiPriority w:val="99"/>
    <w:rsid w:val="00EA5016"/>
    <w:pPr>
      <w:spacing w:after="0" w:line="240" w:lineRule="auto"/>
    </w:pPr>
    <w:rPr>
      <w:szCs w:val="20"/>
    </w:rPr>
  </w:style>
  <w:style w:type="character" w:customStyle="1" w:styleId="FootnoteTextChar">
    <w:name w:val="Footnote Text Char"/>
    <w:basedOn w:val="DefaultParagraphFont"/>
    <w:link w:val="FootnoteText"/>
    <w:uiPriority w:val="99"/>
    <w:rsid w:val="00EA5016"/>
    <w:rPr>
      <w:rFonts w:ascii="Arial" w:eastAsia="Times New Roman" w:hAnsi="Arial"/>
      <w:lang w:val="en-AU" w:eastAsia="en-US"/>
    </w:rPr>
  </w:style>
  <w:style w:type="character" w:styleId="FootnoteReference">
    <w:name w:val="footnote reference"/>
    <w:basedOn w:val="DefaultParagraphFont"/>
    <w:uiPriority w:val="99"/>
    <w:rsid w:val="00EA5016"/>
    <w:rPr>
      <w:vertAlign w:val="superscript"/>
    </w:rPr>
  </w:style>
  <w:style w:type="paragraph" w:styleId="ListParagraph">
    <w:name w:val="List Paragraph"/>
    <w:basedOn w:val="Normal"/>
    <w:uiPriority w:val="34"/>
    <w:qFormat/>
    <w:rsid w:val="004813AC"/>
    <w:pPr>
      <w:ind w:left="720"/>
      <w:contextualSpacing/>
    </w:pPr>
  </w:style>
  <w:style w:type="paragraph" w:customStyle="1" w:styleId="AVCALBODYCOPY">
    <w:name w:val="AVCAL BODY COPY"/>
    <w:basedOn w:val="Normal"/>
    <w:rsid w:val="0032750C"/>
  </w:style>
  <w:style w:type="character" w:customStyle="1" w:styleId="apple-converted-space">
    <w:name w:val="apple-converted-space"/>
    <w:basedOn w:val="DefaultParagraphFont"/>
    <w:rsid w:val="00422149"/>
  </w:style>
  <w:style w:type="character" w:styleId="Emphasis">
    <w:name w:val="Emphasis"/>
    <w:basedOn w:val="DefaultParagraphFont"/>
    <w:uiPriority w:val="20"/>
    <w:qFormat/>
    <w:rsid w:val="004813AC"/>
    <w:rPr>
      <w:i/>
      <w:iCs/>
    </w:rPr>
  </w:style>
  <w:style w:type="paragraph" w:customStyle="1" w:styleId="AVCALDividerHeading">
    <w:name w:val="AVCAL Divider Heading"/>
    <w:basedOn w:val="Normal"/>
    <w:qFormat/>
    <w:rsid w:val="00FF3008"/>
    <w:pPr>
      <w:jc w:val="right"/>
    </w:pPr>
    <w:rPr>
      <w:color w:val="D22C21"/>
      <w:sz w:val="72"/>
      <w:szCs w:val="72"/>
    </w:rPr>
  </w:style>
  <w:style w:type="character" w:customStyle="1" w:styleId="Heading2Char">
    <w:name w:val="Heading 2 Char"/>
    <w:basedOn w:val="DefaultParagraphFont"/>
    <w:link w:val="Heading2"/>
    <w:uiPriority w:val="9"/>
    <w:rsid w:val="004813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13A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813A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13A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13A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13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13A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813AC"/>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4813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813A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813AC"/>
    <w:rPr>
      <w:b/>
      <w:bCs/>
    </w:rPr>
  </w:style>
  <w:style w:type="paragraph" w:styleId="NoSpacing">
    <w:name w:val="No Spacing"/>
    <w:uiPriority w:val="1"/>
    <w:qFormat/>
    <w:rsid w:val="004813AC"/>
    <w:pPr>
      <w:spacing w:after="0" w:line="240" w:lineRule="auto"/>
    </w:pPr>
  </w:style>
  <w:style w:type="paragraph" w:styleId="Quote">
    <w:name w:val="Quote"/>
    <w:basedOn w:val="Normal"/>
    <w:next w:val="Normal"/>
    <w:link w:val="QuoteChar"/>
    <w:uiPriority w:val="29"/>
    <w:qFormat/>
    <w:rsid w:val="004813AC"/>
    <w:rPr>
      <w:i/>
      <w:iCs/>
      <w:color w:val="000000" w:themeColor="text1"/>
    </w:rPr>
  </w:style>
  <w:style w:type="character" w:customStyle="1" w:styleId="QuoteChar">
    <w:name w:val="Quote Char"/>
    <w:basedOn w:val="DefaultParagraphFont"/>
    <w:link w:val="Quote"/>
    <w:uiPriority w:val="29"/>
    <w:rsid w:val="004813AC"/>
    <w:rPr>
      <w:i/>
      <w:iCs/>
      <w:color w:val="000000" w:themeColor="text1"/>
    </w:rPr>
  </w:style>
  <w:style w:type="paragraph" w:styleId="IntenseQuote">
    <w:name w:val="Intense Quote"/>
    <w:basedOn w:val="Normal"/>
    <w:next w:val="Normal"/>
    <w:link w:val="IntenseQuoteChar"/>
    <w:uiPriority w:val="30"/>
    <w:qFormat/>
    <w:rsid w:val="004813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13AC"/>
    <w:rPr>
      <w:b/>
      <w:bCs/>
      <w:i/>
      <w:iCs/>
      <w:color w:val="4F81BD" w:themeColor="accent1"/>
    </w:rPr>
  </w:style>
  <w:style w:type="character" w:styleId="SubtleEmphasis">
    <w:name w:val="Subtle Emphasis"/>
    <w:basedOn w:val="DefaultParagraphFont"/>
    <w:uiPriority w:val="19"/>
    <w:qFormat/>
    <w:rsid w:val="004813AC"/>
    <w:rPr>
      <w:i/>
      <w:iCs/>
      <w:color w:val="808080" w:themeColor="text1" w:themeTint="7F"/>
    </w:rPr>
  </w:style>
  <w:style w:type="character" w:styleId="IntenseEmphasis">
    <w:name w:val="Intense Emphasis"/>
    <w:basedOn w:val="DefaultParagraphFont"/>
    <w:uiPriority w:val="21"/>
    <w:qFormat/>
    <w:rsid w:val="004813AC"/>
    <w:rPr>
      <w:b/>
      <w:bCs/>
      <w:i/>
      <w:iCs/>
      <w:color w:val="4F81BD" w:themeColor="accent1"/>
    </w:rPr>
  </w:style>
  <w:style w:type="character" w:styleId="SubtleReference">
    <w:name w:val="Subtle Reference"/>
    <w:basedOn w:val="DefaultParagraphFont"/>
    <w:uiPriority w:val="31"/>
    <w:qFormat/>
    <w:rsid w:val="004813AC"/>
    <w:rPr>
      <w:smallCaps/>
      <w:color w:val="C0504D" w:themeColor="accent2"/>
      <w:u w:val="single"/>
    </w:rPr>
  </w:style>
  <w:style w:type="character" w:styleId="IntenseReference">
    <w:name w:val="Intense Reference"/>
    <w:basedOn w:val="DefaultParagraphFont"/>
    <w:uiPriority w:val="32"/>
    <w:qFormat/>
    <w:rsid w:val="004813AC"/>
    <w:rPr>
      <w:b/>
      <w:bCs/>
      <w:smallCaps/>
      <w:color w:val="C0504D" w:themeColor="accent2"/>
      <w:spacing w:val="5"/>
      <w:u w:val="single"/>
    </w:rPr>
  </w:style>
  <w:style w:type="character" w:styleId="BookTitle">
    <w:name w:val="Book Title"/>
    <w:basedOn w:val="DefaultParagraphFont"/>
    <w:uiPriority w:val="33"/>
    <w:qFormat/>
    <w:rsid w:val="004813AC"/>
    <w:rPr>
      <w:b/>
      <w:bCs/>
      <w:smallCaps/>
      <w:spacing w:val="5"/>
    </w:rPr>
  </w:style>
  <w:style w:type="paragraph" w:styleId="TOCHeading">
    <w:name w:val="TOC Heading"/>
    <w:basedOn w:val="Heading1"/>
    <w:next w:val="Normal"/>
    <w:uiPriority w:val="39"/>
    <w:semiHidden/>
    <w:unhideWhenUsed/>
    <w:qFormat/>
    <w:rsid w:val="004813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5815">
      <w:bodyDiv w:val="1"/>
      <w:marLeft w:val="0"/>
      <w:marRight w:val="0"/>
      <w:marTop w:val="0"/>
      <w:marBottom w:val="0"/>
      <w:divBdr>
        <w:top w:val="none" w:sz="0" w:space="0" w:color="auto"/>
        <w:left w:val="none" w:sz="0" w:space="0" w:color="auto"/>
        <w:bottom w:val="none" w:sz="0" w:space="0" w:color="auto"/>
        <w:right w:val="none" w:sz="0" w:space="0" w:color="auto"/>
      </w:divBdr>
    </w:div>
    <w:div w:id="234513878">
      <w:bodyDiv w:val="1"/>
      <w:marLeft w:val="0"/>
      <w:marRight w:val="0"/>
      <w:marTop w:val="0"/>
      <w:marBottom w:val="0"/>
      <w:divBdr>
        <w:top w:val="none" w:sz="0" w:space="0" w:color="auto"/>
        <w:left w:val="none" w:sz="0" w:space="0" w:color="auto"/>
        <w:bottom w:val="none" w:sz="0" w:space="0" w:color="auto"/>
        <w:right w:val="none" w:sz="0" w:space="0" w:color="auto"/>
      </w:divBdr>
    </w:div>
    <w:div w:id="258830677">
      <w:bodyDiv w:val="1"/>
      <w:marLeft w:val="0"/>
      <w:marRight w:val="0"/>
      <w:marTop w:val="0"/>
      <w:marBottom w:val="0"/>
      <w:divBdr>
        <w:top w:val="none" w:sz="0" w:space="0" w:color="auto"/>
        <w:left w:val="none" w:sz="0" w:space="0" w:color="auto"/>
        <w:bottom w:val="none" w:sz="0" w:space="0" w:color="auto"/>
        <w:right w:val="none" w:sz="0" w:space="0" w:color="auto"/>
      </w:divBdr>
    </w:div>
    <w:div w:id="359164921">
      <w:bodyDiv w:val="1"/>
      <w:marLeft w:val="0"/>
      <w:marRight w:val="0"/>
      <w:marTop w:val="0"/>
      <w:marBottom w:val="0"/>
      <w:divBdr>
        <w:top w:val="none" w:sz="0" w:space="0" w:color="auto"/>
        <w:left w:val="none" w:sz="0" w:space="0" w:color="auto"/>
        <w:bottom w:val="none" w:sz="0" w:space="0" w:color="auto"/>
        <w:right w:val="none" w:sz="0" w:space="0" w:color="auto"/>
      </w:divBdr>
    </w:div>
    <w:div w:id="521093159">
      <w:bodyDiv w:val="1"/>
      <w:marLeft w:val="0"/>
      <w:marRight w:val="0"/>
      <w:marTop w:val="0"/>
      <w:marBottom w:val="0"/>
      <w:divBdr>
        <w:top w:val="none" w:sz="0" w:space="0" w:color="auto"/>
        <w:left w:val="none" w:sz="0" w:space="0" w:color="auto"/>
        <w:bottom w:val="none" w:sz="0" w:space="0" w:color="auto"/>
        <w:right w:val="none" w:sz="0" w:space="0" w:color="auto"/>
      </w:divBdr>
    </w:div>
    <w:div w:id="1438260097">
      <w:bodyDiv w:val="1"/>
      <w:marLeft w:val="0"/>
      <w:marRight w:val="0"/>
      <w:marTop w:val="0"/>
      <w:marBottom w:val="0"/>
      <w:divBdr>
        <w:top w:val="none" w:sz="0" w:space="0" w:color="auto"/>
        <w:left w:val="none" w:sz="0" w:space="0" w:color="auto"/>
        <w:bottom w:val="none" w:sz="0" w:space="0" w:color="auto"/>
        <w:right w:val="none" w:sz="0" w:space="0" w:color="auto"/>
      </w:divBdr>
    </w:div>
    <w:div w:id="1645550726">
      <w:bodyDiv w:val="1"/>
      <w:marLeft w:val="0"/>
      <w:marRight w:val="0"/>
      <w:marTop w:val="0"/>
      <w:marBottom w:val="0"/>
      <w:divBdr>
        <w:top w:val="none" w:sz="0" w:space="0" w:color="auto"/>
        <w:left w:val="none" w:sz="0" w:space="0" w:color="auto"/>
        <w:bottom w:val="none" w:sz="0" w:space="0" w:color="auto"/>
        <w:right w:val="none" w:sz="0" w:space="0" w:color="auto"/>
      </w:divBdr>
    </w:div>
    <w:div w:id="1902445783">
      <w:bodyDiv w:val="1"/>
      <w:marLeft w:val="0"/>
      <w:marRight w:val="0"/>
      <w:marTop w:val="0"/>
      <w:marBottom w:val="0"/>
      <w:divBdr>
        <w:top w:val="none" w:sz="0" w:space="0" w:color="auto"/>
        <w:left w:val="none" w:sz="0" w:space="0" w:color="auto"/>
        <w:bottom w:val="none" w:sz="0" w:space="0" w:color="auto"/>
        <w:right w:val="none" w:sz="0" w:space="0" w:color="auto"/>
      </w:divBdr>
    </w:div>
    <w:div w:id="1940336160">
      <w:bodyDiv w:val="1"/>
      <w:marLeft w:val="0"/>
      <w:marRight w:val="0"/>
      <w:marTop w:val="0"/>
      <w:marBottom w:val="0"/>
      <w:divBdr>
        <w:top w:val="none" w:sz="0" w:space="0" w:color="auto"/>
        <w:left w:val="none" w:sz="0" w:space="0" w:color="auto"/>
        <w:bottom w:val="none" w:sz="0" w:space="0" w:color="auto"/>
        <w:right w:val="none" w:sz="0" w:space="0" w:color="auto"/>
      </w:divBdr>
    </w:div>
    <w:div w:id="20411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reviewconsultations@education.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avcal.com.au/policyadvocacy/2014/avcal-submission-significant-investor-visa-review" TargetMode="External"/><Relationship Id="rId2" Type="http://schemas.openxmlformats.org/officeDocument/2006/relationships/hyperlink" Target="http://www.smh.com.au/it-pro/it-opinion/when-startups-become-grownups-where-do-they-go-for-money-20140312-hvhv4.html" TargetMode="External"/><Relationship Id="rId1" Type="http://schemas.openxmlformats.org/officeDocument/2006/relationships/hyperlink" Target="http://www.rje.org/abstracts/abstracts/2000/Winter_2000._pp._Kortu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svrsyd1\AVCAL%20Research\Presentations%20by%20AVCAL%20Research\KM%20-%20PwC%20VC%20Nov%202014\Australia_AUD_1999.01.01_2014.06.30_20141107100212%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vrsyd1\AVCAL%20Research\Presentations%20by%20AVCAL%20Research\KM%20-%20PwC%20VC%20Nov%202014\Australia_AUD_1999.01.01_2014.06.30_20141107100212%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vrsyd1\AVCAL%20Research\Presentations%20by%20AVCAL%20Research\KM%20-%20PwC%20VC%20Nov%202014\Australia_AUD_1999.01.01_2014.06.30_20141107100212%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869085797126916"/>
          <c:y val="9.9828508063129665E-2"/>
          <c:w val="0.48658749760703984"/>
          <c:h val="0.67982169051046082"/>
        </c:manualLayout>
      </c:layout>
      <c:barChart>
        <c:barDir val="col"/>
        <c:grouping val="stacked"/>
        <c:varyColors val="0"/>
        <c:ser>
          <c:idx val="0"/>
          <c:order val="0"/>
          <c:tx>
            <c:strRef>
              <c:f>'Sources of VC funds analysis'!$A$24</c:f>
              <c:strCache>
                <c:ptCount val="1"/>
                <c:pt idx="0">
                  <c:v>Super funds</c:v>
                </c:pt>
              </c:strCache>
            </c:strRef>
          </c:tx>
          <c:invertIfNegative val="0"/>
          <c:cat>
            <c:strRef>
              <c:f>'Sources of VC funds analysis'!$B$23:$D$23</c:f>
              <c:strCache>
                <c:ptCount val="3"/>
                <c:pt idx="0">
                  <c:v>FY05-09</c:v>
                </c:pt>
                <c:pt idx="1">
                  <c:v>FY10-14</c:v>
                </c:pt>
                <c:pt idx="2">
                  <c:v>FY2014</c:v>
                </c:pt>
              </c:strCache>
            </c:strRef>
          </c:cat>
          <c:val>
            <c:numRef>
              <c:f>'Sources of VC funds analysis'!$B$24:$D$24</c:f>
              <c:numCache>
                <c:formatCode>0</c:formatCode>
                <c:ptCount val="3"/>
                <c:pt idx="0">
                  <c:v>680625.54</c:v>
                </c:pt>
                <c:pt idx="1">
                  <c:v>30000</c:v>
                </c:pt>
              </c:numCache>
            </c:numRef>
          </c:val>
        </c:ser>
        <c:ser>
          <c:idx val="1"/>
          <c:order val="1"/>
          <c:tx>
            <c:strRef>
              <c:f>'Sources of VC funds analysis'!$A$25</c:f>
              <c:strCache>
                <c:ptCount val="1"/>
                <c:pt idx="0">
                  <c:v>Fund of funds</c:v>
                </c:pt>
              </c:strCache>
            </c:strRef>
          </c:tx>
          <c:spPr>
            <a:solidFill>
              <a:schemeClr val="accent5">
                <a:lumMod val="60000"/>
                <a:lumOff val="40000"/>
              </a:schemeClr>
            </a:solidFill>
          </c:spPr>
          <c:invertIfNegative val="0"/>
          <c:cat>
            <c:strRef>
              <c:f>'Sources of VC funds analysis'!$B$23:$D$23</c:f>
              <c:strCache>
                <c:ptCount val="3"/>
                <c:pt idx="0">
                  <c:v>FY05-09</c:v>
                </c:pt>
                <c:pt idx="1">
                  <c:v>FY10-14</c:v>
                </c:pt>
                <c:pt idx="2">
                  <c:v>FY2014</c:v>
                </c:pt>
              </c:strCache>
            </c:strRef>
          </c:cat>
          <c:val>
            <c:numRef>
              <c:f>'Sources of VC funds analysis'!$B$25:$D$25</c:f>
              <c:numCache>
                <c:formatCode>0</c:formatCode>
                <c:ptCount val="3"/>
                <c:pt idx="0">
                  <c:v>375690.88</c:v>
                </c:pt>
                <c:pt idx="1">
                  <c:v>20000</c:v>
                </c:pt>
              </c:numCache>
            </c:numRef>
          </c:val>
        </c:ser>
        <c:ser>
          <c:idx val="2"/>
          <c:order val="2"/>
          <c:tx>
            <c:strRef>
              <c:f>'Sources of VC funds analysis'!$A$26</c:f>
              <c:strCache>
                <c:ptCount val="1"/>
                <c:pt idx="0">
                  <c:v>Other</c:v>
                </c:pt>
              </c:strCache>
            </c:strRef>
          </c:tx>
          <c:invertIfNegative val="0"/>
          <c:cat>
            <c:strRef>
              <c:f>'Sources of VC funds analysis'!$B$23:$D$23</c:f>
              <c:strCache>
                <c:ptCount val="3"/>
                <c:pt idx="0">
                  <c:v>FY05-09</c:v>
                </c:pt>
                <c:pt idx="1">
                  <c:v>FY10-14</c:v>
                </c:pt>
                <c:pt idx="2">
                  <c:v>FY2014</c:v>
                </c:pt>
              </c:strCache>
            </c:strRef>
          </c:cat>
          <c:val>
            <c:numRef>
              <c:f>'Sources of VC funds analysis'!$B$26:$D$26</c:f>
              <c:numCache>
                <c:formatCode>0</c:formatCode>
                <c:ptCount val="3"/>
                <c:pt idx="0">
                  <c:v>166150.37</c:v>
                </c:pt>
                <c:pt idx="1">
                  <c:v>5589</c:v>
                </c:pt>
                <c:pt idx="2" formatCode="General">
                  <c:v>1825</c:v>
                </c:pt>
              </c:numCache>
            </c:numRef>
          </c:val>
        </c:ser>
        <c:ser>
          <c:idx val="3"/>
          <c:order val="3"/>
          <c:tx>
            <c:strRef>
              <c:f>'Sources of VC funds analysis'!$A$27</c:f>
              <c:strCache>
                <c:ptCount val="1"/>
                <c:pt idx="0">
                  <c:v>Public sector</c:v>
                </c:pt>
              </c:strCache>
            </c:strRef>
          </c:tx>
          <c:invertIfNegative val="0"/>
          <c:cat>
            <c:strRef>
              <c:f>'Sources of VC funds analysis'!$B$23:$D$23</c:f>
              <c:strCache>
                <c:ptCount val="3"/>
                <c:pt idx="0">
                  <c:v>FY05-09</c:v>
                </c:pt>
                <c:pt idx="1">
                  <c:v>FY10-14</c:v>
                </c:pt>
                <c:pt idx="2">
                  <c:v>FY2014</c:v>
                </c:pt>
              </c:strCache>
            </c:strRef>
          </c:cat>
          <c:val>
            <c:numRef>
              <c:f>'Sources of VC funds analysis'!$B$27:$D$27</c:f>
              <c:numCache>
                <c:formatCode>0</c:formatCode>
                <c:ptCount val="3"/>
                <c:pt idx="0">
                  <c:v>72500</c:v>
                </c:pt>
                <c:pt idx="1">
                  <c:v>296072</c:v>
                </c:pt>
              </c:numCache>
            </c:numRef>
          </c:val>
        </c:ser>
        <c:ser>
          <c:idx val="4"/>
          <c:order val="4"/>
          <c:tx>
            <c:strRef>
              <c:f>'Sources of VC funds analysis'!$A$28</c:f>
              <c:strCache>
                <c:ptCount val="1"/>
                <c:pt idx="0">
                  <c:v>Corporate investor</c:v>
                </c:pt>
              </c:strCache>
            </c:strRef>
          </c:tx>
          <c:spPr>
            <a:solidFill>
              <a:schemeClr val="bg1">
                <a:lumMod val="65000"/>
              </a:schemeClr>
            </a:solidFill>
          </c:spPr>
          <c:invertIfNegative val="0"/>
          <c:cat>
            <c:strRef>
              <c:f>'Sources of VC funds analysis'!$B$23:$D$23</c:f>
              <c:strCache>
                <c:ptCount val="3"/>
                <c:pt idx="0">
                  <c:v>FY05-09</c:v>
                </c:pt>
                <c:pt idx="1">
                  <c:v>FY10-14</c:v>
                </c:pt>
                <c:pt idx="2">
                  <c:v>FY2014</c:v>
                </c:pt>
              </c:strCache>
            </c:strRef>
          </c:cat>
          <c:val>
            <c:numRef>
              <c:f>'Sources of VC funds analysis'!$B$28:$D$28</c:f>
              <c:numCache>
                <c:formatCode>0</c:formatCode>
                <c:ptCount val="3"/>
                <c:pt idx="0">
                  <c:v>30823.079999999998</c:v>
                </c:pt>
                <c:pt idx="1">
                  <c:v>215985</c:v>
                </c:pt>
                <c:pt idx="2" formatCode="General">
                  <c:v>50000</c:v>
                </c:pt>
              </c:numCache>
            </c:numRef>
          </c:val>
        </c:ser>
        <c:ser>
          <c:idx val="5"/>
          <c:order val="5"/>
          <c:tx>
            <c:strRef>
              <c:f>'Sources of VC funds analysis'!$A$29</c:f>
              <c:strCache>
                <c:ptCount val="1"/>
                <c:pt idx="0">
                  <c:v>Academic/Endowment/Family offices</c:v>
                </c:pt>
              </c:strCache>
            </c:strRef>
          </c:tx>
          <c:invertIfNegative val="0"/>
          <c:cat>
            <c:strRef>
              <c:f>'Sources of VC funds analysis'!$B$23:$D$23</c:f>
              <c:strCache>
                <c:ptCount val="3"/>
                <c:pt idx="0">
                  <c:v>FY05-09</c:v>
                </c:pt>
                <c:pt idx="1">
                  <c:v>FY10-14</c:v>
                </c:pt>
                <c:pt idx="2">
                  <c:v>FY2014</c:v>
                </c:pt>
              </c:strCache>
            </c:strRef>
          </c:cat>
          <c:val>
            <c:numRef>
              <c:f>'Sources of VC funds analysis'!$B$29:$D$29</c:f>
              <c:numCache>
                <c:formatCode>0</c:formatCode>
                <c:ptCount val="3"/>
                <c:pt idx="0">
                  <c:v>21949</c:v>
                </c:pt>
                <c:pt idx="1">
                  <c:v>0</c:v>
                </c:pt>
              </c:numCache>
            </c:numRef>
          </c:val>
        </c:ser>
        <c:ser>
          <c:idx val="6"/>
          <c:order val="6"/>
          <c:tx>
            <c:strRef>
              <c:f>'Sources of VC funds analysis'!$A$30</c:f>
              <c:strCache>
                <c:ptCount val="1"/>
                <c:pt idx="0">
                  <c:v>Insurance company</c:v>
                </c:pt>
              </c:strCache>
            </c:strRef>
          </c:tx>
          <c:invertIfNegative val="0"/>
          <c:cat>
            <c:strRef>
              <c:f>'Sources of VC funds analysis'!$B$23:$D$23</c:f>
              <c:strCache>
                <c:ptCount val="3"/>
                <c:pt idx="0">
                  <c:v>FY05-09</c:v>
                </c:pt>
                <c:pt idx="1">
                  <c:v>FY10-14</c:v>
                </c:pt>
                <c:pt idx="2">
                  <c:v>FY2014</c:v>
                </c:pt>
              </c:strCache>
            </c:strRef>
          </c:cat>
          <c:val>
            <c:numRef>
              <c:f>'Sources of VC funds analysis'!$B$30:$D$30</c:f>
              <c:numCache>
                <c:formatCode>0</c:formatCode>
                <c:ptCount val="3"/>
                <c:pt idx="0">
                  <c:v>5599.1</c:v>
                </c:pt>
                <c:pt idx="1">
                  <c:v>0</c:v>
                </c:pt>
              </c:numCache>
            </c:numRef>
          </c:val>
        </c:ser>
        <c:ser>
          <c:idx val="7"/>
          <c:order val="7"/>
          <c:tx>
            <c:strRef>
              <c:f>'Sources of VC funds analysis'!$A$31</c:f>
              <c:strCache>
                <c:ptCount val="1"/>
                <c:pt idx="0">
                  <c:v>GP Commitments</c:v>
                </c:pt>
              </c:strCache>
            </c:strRef>
          </c:tx>
          <c:invertIfNegative val="0"/>
          <c:cat>
            <c:strRef>
              <c:f>'Sources of VC funds analysis'!$B$23:$D$23</c:f>
              <c:strCache>
                <c:ptCount val="3"/>
                <c:pt idx="0">
                  <c:v>FY05-09</c:v>
                </c:pt>
                <c:pt idx="1">
                  <c:v>FY10-14</c:v>
                </c:pt>
                <c:pt idx="2">
                  <c:v>FY2014</c:v>
                </c:pt>
              </c:strCache>
            </c:strRef>
          </c:cat>
          <c:val>
            <c:numRef>
              <c:f>'Sources of VC funds analysis'!$B$31:$D$31</c:f>
              <c:numCache>
                <c:formatCode>0</c:formatCode>
                <c:ptCount val="3"/>
                <c:pt idx="0">
                  <c:v>1685</c:v>
                </c:pt>
                <c:pt idx="1">
                  <c:v>275</c:v>
                </c:pt>
              </c:numCache>
            </c:numRef>
          </c:val>
        </c:ser>
        <c:ser>
          <c:idx val="8"/>
          <c:order val="8"/>
          <c:tx>
            <c:strRef>
              <c:f>'Sources of VC funds analysis'!$A$32</c:f>
              <c:strCache>
                <c:ptCount val="1"/>
                <c:pt idx="0">
                  <c:v>Private individual</c:v>
                </c:pt>
              </c:strCache>
            </c:strRef>
          </c:tx>
          <c:spPr>
            <a:solidFill>
              <a:schemeClr val="accent2"/>
            </a:solidFill>
          </c:spPr>
          <c:invertIfNegative val="0"/>
          <c:cat>
            <c:strRef>
              <c:f>'Sources of VC funds analysis'!$B$23:$D$23</c:f>
              <c:strCache>
                <c:ptCount val="3"/>
                <c:pt idx="0">
                  <c:v>FY05-09</c:v>
                </c:pt>
                <c:pt idx="1">
                  <c:v>FY10-14</c:v>
                </c:pt>
                <c:pt idx="2">
                  <c:v>FY2014</c:v>
                </c:pt>
              </c:strCache>
            </c:strRef>
          </c:cat>
          <c:val>
            <c:numRef>
              <c:f>'Sources of VC funds analysis'!$B$32:$D$32</c:f>
              <c:numCache>
                <c:formatCode>0</c:formatCode>
                <c:ptCount val="3"/>
                <c:pt idx="0">
                  <c:v>1166.48</c:v>
                </c:pt>
                <c:pt idx="1">
                  <c:v>200345</c:v>
                </c:pt>
                <c:pt idx="2" formatCode="General">
                  <c:v>67745</c:v>
                </c:pt>
              </c:numCache>
            </c:numRef>
          </c:val>
        </c:ser>
        <c:ser>
          <c:idx val="9"/>
          <c:order val="9"/>
          <c:tx>
            <c:strRef>
              <c:f>'Sources of VC funds analysis'!$A$33</c:f>
              <c:strCache>
                <c:ptCount val="1"/>
                <c:pt idx="0">
                  <c:v>SMSF</c:v>
                </c:pt>
              </c:strCache>
            </c:strRef>
          </c:tx>
          <c:invertIfNegative val="0"/>
          <c:cat>
            <c:strRef>
              <c:f>'Sources of VC funds analysis'!$B$23:$D$23</c:f>
              <c:strCache>
                <c:ptCount val="3"/>
                <c:pt idx="0">
                  <c:v>FY05-09</c:v>
                </c:pt>
                <c:pt idx="1">
                  <c:v>FY10-14</c:v>
                </c:pt>
                <c:pt idx="2">
                  <c:v>FY2014</c:v>
                </c:pt>
              </c:strCache>
            </c:strRef>
          </c:cat>
          <c:val>
            <c:numRef>
              <c:f>'Sources of VC funds analysis'!$B$33:$D$33</c:f>
              <c:numCache>
                <c:formatCode>0</c:formatCode>
                <c:ptCount val="3"/>
                <c:pt idx="0">
                  <c:v>0</c:v>
                </c:pt>
                <c:pt idx="1">
                  <c:v>1425</c:v>
                </c:pt>
              </c:numCache>
            </c:numRef>
          </c:val>
        </c:ser>
        <c:dLbls>
          <c:showLegendKey val="0"/>
          <c:showVal val="0"/>
          <c:showCatName val="0"/>
          <c:showSerName val="0"/>
          <c:showPercent val="0"/>
          <c:showBubbleSize val="0"/>
        </c:dLbls>
        <c:gapWidth val="150"/>
        <c:overlap val="100"/>
        <c:axId val="116931200"/>
        <c:axId val="116937472"/>
      </c:barChart>
      <c:catAx>
        <c:axId val="116931200"/>
        <c:scaling>
          <c:orientation val="minMax"/>
        </c:scaling>
        <c:delete val="0"/>
        <c:axPos val="b"/>
        <c:title>
          <c:tx>
            <c:rich>
              <a:bodyPr/>
              <a:lstStyle/>
              <a:p>
                <a:pPr>
                  <a:defRPr/>
                </a:pPr>
                <a:r>
                  <a:rPr lang="en-US"/>
                  <a:t>VC </a:t>
                </a:r>
              </a:p>
              <a:p>
                <a:pPr>
                  <a:defRPr/>
                </a:pPr>
                <a:r>
                  <a:rPr lang="en-US"/>
                  <a:t>Funds raised</a:t>
                </a:r>
              </a:p>
            </c:rich>
          </c:tx>
          <c:layout>
            <c:manualLayout>
              <c:xMode val="edge"/>
              <c:yMode val="edge"/>
              <c:x val="0.29663991063191519"/>
              <c:y val="0.85258054533576311"/>
            </c:manualLayout>
          </c:layout>
          <c:overlay val="0"/>
        </c:title>
        <c:majorTickMark val="out"/>
        <c:minorTickMark val="none"/>
        <c:tickLblPos val="nextTo"/>
        <c:crossAx val="116937472"/>
        <c:crosses val="autoZero"/>
        <c:auto val="1"/>
        <c:lblAlgn val="ctr"/>
        <c:lblOffset val="100"/>
        <c:noMultiLvlLbl val="0"/>
      </c:catAx>
      <c:valAx>
        <c:axId val="116937472"/>
        <c:scaling>
          <c:orientation val="minMax"/>
          <c:max val="1400000"/>
        </c:scaling>
        <c:delete val="0"/>
        <c:axPos val="l"/>
        <c:title>
          <c:tx>
            <c:rich>
              <a:bodyPr rot="0" vert="horz"/>
              <a:lstStyle/>
              <a:p>
                <a:pPr>
                  <a:defRPr/>
                </a:pPr>
                <a:r>
                  <a:rPr lang="en-US"/>
                  <a:t>AUD '000</a:t>
                </a:r>
              </a:p>
            </c:rich>
          </c:tx>
          <c:layout>
            <c:manualLayout>
              <c:xMode val="edge"/>
              <c:yMode val="edge"/>
              <c:x val="1.1955491681362613E-2"/>
              <c:y val="3.7169480452497704E-3"/>
            </c:manualLayout>
          </c:layout>
          <c:overlay val="0"/>
        </c:title>
        <c:numFmt formatCode="#,##0" sourceLinked="0"/>
        <c:majorTickMark val="out"/>
        <c:minorTickMark val="none"/>
        <c:tickLblPos val="nextTo"/>
        <c:crossAx val="116931200"/>
        <c:crosses val="autoZero"/>
        <c:crossBetween val="between"/>
        <c:majorUnit val="700000"/>
      </c:valAx>
    </c:plotArea>
    <c:legend>
      <c:legendPos val="r"/>
      <c:layout>
        <c:manualLayout>
          <c:xMode val="edge"/>
          <c:yMode val="edge"/>
          <c:x val="0.67142507445636657"/>
          <c:y val="3.4816906035376606E-2"/>
          <c:w val="0.30682833139281268"/>
          <c:h val="0.96518288909793659"/>
        </c:manualLayout>
      </c:layout>
      <c:overlay val="0"/>
    </c:legend>
    <c:plotVisOnly val="1"/>
    <c:dispBlanksAs val="gap"/>
    <c:showDLblsOverMax val="0"/>
  </c:chart>
  <c:spPr>
    <a:noFill/>
    <a:ln>
      <a:noFill/>
    </a:ln>
  </c:spPr>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'VC histogram'!$S$43</c:f>
              <c:strCache>
                <c:ptCount val="1"/>
                <c:pt idx="0">
                  <c:v>No. of companies funded by VC</c:v>
                </c:pt>
              </c:strCache>
            </c:strRef>
          </c:tx>
          <c:invertIfNegative val="0"/>
          <c:dLbls>
            <c:dLbl>
              <c:idx val="0"/>
              <c:tx>
                <c:rich>
                  <a:bodyPr/>
                  <a:lstStyle/>
                  <a:p>
                    <a:r>
                      <a:rPr lang="en-US"/>
                      <a:t>47% of all companies</a:t>
                    </a:r>
                  </a:p>
                </c:rich>
              </c:tx>
              <c:dLblPos val="inEnd"/>
              <c:showLegendKey val="0"/>
              <c:showVal val="1"/>
              <c:showCatName val="0"/>
              <c:showSerName val="0"/>
              <c:showPercent val="0"/>
              <c:showBubbleSize val="0"/>
            </c:dLbl>
            <c:dLbl>
              <c:idx val="1"/>
              <c:tx>
                <c:rich>
                  <a:bodyPr/>
                  <a:lstStyle/>
                  <a:p>
                    <a:r>
                      <a:rPr lang="en-US"/>
                      <a:t>24%</a:t>
                    </a:r>
                  </a:p>
                </c:rich>
              </c:tx>
              <c:dLblPos val="inEnd"/>
              <c:showLegendKey val="0"/>
              <c:showVal val="1"/>
              <c:showCatName val="0"/>
              <c:showSerName val="0"/>
              <c:showPercent val="0"/>
              <c:showBubbleSize val="0"/>
            </c:dLbl>
            <c:dLbl>
              <c:idx val="2"/>
              <c:tx>
                <c:rich>
                  <a:bodyPr/>
                  <a:lstStyle/>
                  <a:p>
                    <a:r>
                      <a:rPr lang="en-US"/>
                      <a:t>18%</a:t>
                    </a:r>
                  </a:p>
                </c:rich>
              </c:tx>
              <c:dLblPos val="inEnd"/>
              <c:showLegendKey val="0"/>
              <c:showVal val="1"/>
              <c:showCatName val="0"/>
              <c:showSerName val="0"/>
              <c:showPercent val="0"/>
              <c:showBubbleSize val="0"/>
            </c:dLbl>
            <c:dLbl>
              <c:idx val="3"/>
              <c:tx>
                <c:rich>
                  <a:bodyPr/>
                  <a:lstStyle/>
                  <a:p>
                    <a:r>
                      <a:rPr lang="en-US"/>
                      <a:t>8%</a:t>
                    </a:r>
                  </a:p>
                </c:rich>
              </c:tx>
              <c:dLblPos val="inEnd"/>
              <c:showLegendKey val="0"/>
              <c:showVal val="1"/>
              <c:showCatName val="0"/>
              <c:showSerName val="0"/>
              <c:showPercent val="0"/>
              <c:showBubbleSize val="0"/>
            </c:dLbl>
            <c:dLbl>
              <c:idx val="4"/>
              <c:tx>
                <c:rich>
                  <a:bodyPr/>
                  <a:lstStyle/>
                  <a:p>
                    <a:r>
                      <a:rPr lang="en-US"/>
                      <a:t>2%</a:t>
                    </a:r>
                  </a:p>
                </c:rich>
              </c:tx>
              <c:dLblPos val="in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'VC histogram'!$R$44:$R$48</c:f>
              <c:strCache>
                <c:ptCount val="5"/>
                <c:pt idx="0">
                  <c:v>&lt;$2,000</c:v>
                </c:pt>
                <c:pt idx="1">
                  <c:v>&lt;$5,000</c:v>
                </c:pt>
                <c:pt idx="2">
                  <c:v>&lt;$10,000</c:v>
                </c:pt>
                <c:pt idx="3">
                  <c:v>&lt;$20,000</c:v>
                </c:pt>
                <c:pt idx="4">
                  <c:v>&gt;$20,000</c:v>
                </c:pt>
              </c:strCache>
            </c:strRef>
          </c:cat>
          <c:val>
            <c:numRef>
              <c:f>'VC histogram'!$S$44:$S$48</c:f>
              <c:numCache>
                <c:formatCode>General</c:formatCode>
                <c:ptCount val="5"/>
                <c:pt idx="0">
                  <c:v>100</c:v>
                </c:pt>
                <c:pt idx="1">
                  <c:v>51</c:v>
                </c:pt>
                <c:pt idx="2">
                  <c:v>39</c:v>
                </c:pt>
                <c:pt idx="3">
                  <c:v>16</c:v>
                </c:pt>
                <c:pt idx="4">
                  <c:v>5</c:v>
                </c:pt>
              </c:numCache>
            </c:numRef>
          </c:val>
        </c:ser>
        <c:dLbls>
          <c:dLblPos val="inEnd"/>
          <c:showLegendKey val="0"/>
          <c:showVal val="1"/>
          <c:showCatName val="0"/>
          <c:showSerName val="0"/>
          <c:showPercent val="0"/>
          <c:showBubbleSize val="0"/>
        </c:dLbls>
        <c:gapWidth val="150"/>
        <c:axId val="116941952"/>
        <c:axId val="116968448"/>
      </c:barChart>
      <c:catAx>
        <c:axId val="116941952"/>
        <c:scaling>
          <c:orientation val="minMax"/>
        </c:scaling>
        <c:delete val="0"/>
        <c:axPos val="b"/>
        <c:title>
          <c:tx>
            <c:rich>
              <a:bodyPr/>
              <a:lstStyle/>
              <a:p>
                <a:pPr>
                  <a:defRPr b="0"/>
                </a:pPr>
                <a:r>
                  <a:rPr lang="en-GB" b="0"/>
                  <a:t>Deal value</a:t>
                </a:r>
              </a:p>
            </c:rich>
          </c:tx>
          <c:overlay val="0"/>
        </c:title>
        <c:majorTickMark val="out"/>
        <c:minorTickMark val="none"/>
        <c:tickLblPos val="nextTo"/>
        <c:crossAx val="116968448"/>
        <c:crosses val="autoZero"/>
        <c:auto val="1"/>
        <c:lblAlgn val="ctr"/>
        <c:lblOffset val="100"/>
        <c:noMultiLvlLbl val="0"/>
      </c:catAx>
      <c:valAx>
        <c:axId val="116968448"/>
        <c:scaling>
          <c:orientation val="minMax"/>
          <c:max val="140"/>
        </c:scaling>
        <c:delete val="0"/>
        <c:axPos val="l"/>
        <c:title>
          <c:tx>
            <c:rich>
              <a:bodyPr rot="-5400000" vert="horz"/>
              <a:lstStyle/>
              <a:p>
                <a:pPr>
                  <a:defRPr/>
                </a:pPr>
                <a:r>
                  <a:rPr lang="en-GB"/>
                  <a:t>No. of companies</a:t>
                </a:r>
              </a:p>
            </c:rich>
          </c:tx>
          <c:overlay val="0"/>
        </c:title>
        <c:numFmt formatCode="General" sourceLinked="1"/>
        <c:majorTickMark val="out"/>
        <c:minorTickMark val="none"/>
        <c:tickLblPos val="nextTo"/>
        <c:crossAx val="116941952"/>
        <c:crosses val="autoZero"/>
        <c:crossBetween val="between"/>
      </c:valAx>
      <c:spPr>
        <a:noFill/>
        <a:ln w="25400">
          <a:noFill/>
        </a:ln>
      </c:spPr>
    </c:plotArea>
    <c:plotVisOnly val="1"/>
    <c:dispBlanksAs val="gap"/>
    <c:showDLblsOverMax val="0"/>
  </c:chart>
  <c:spPr>
    <a:noFill/>
    <a:ln>
      <a:noFill/>
    </a:ln>
  </c:spPr>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7876055648484354"/>
          <c:y val="5.8016877637130801E-2"/>
          <c:w val="0.77739727532065661"/>
          <c:h val="0.76209508621548894"/>
        </c:manualLayout>
      </c:layout>
      <c:barChart>
        <c:barDir val="col"/>
        <c:grouping val="clustered"/>
        <c:varyColors val="0"/>
        <c:ser>
          <c:idx val="0"/>
          <c:order val="0"/>
          <c:tx>
            <c:strRef>
              <c:f>'VC histogram'!$AD$43</c:f>
              <c:strCache>
                <c:ptCount val="1"/>
                <c:pt idx="0">
                  <c:v>No. of companies funded by VC</c:v>
                </c:pt>
              </c:strCache>
            </c:strRef>
          </c:tx>
          <c:invertIfNegative val="0"/>
          <c:dLbls>
            <c:dLbl>
              <c:idx val="0"/>
              <c:tx>
                <c:rich>
                  <a:bodyPr/>
                  <a:lstStyle/>
                  <a:p>
                    <a:r>
                      <a:rPr lang="en-US"/>
                      <a:t>52% of all companies</a:t>
                    </a:r>
                  </a:p>
                </c:rich>
              </c:tx>
              <c:dLblPos val="inEnd"/>
              <c:showLegendKey val="0"/>
              <c:showVal val="1"/>
              <c:showCatName val="0"/>
              <c:showSerName val="0"/>
              <c:showPercent val="0"/>
              <c:showBubbleSize val="0"/>
            </c:dLbl>
            <c:dLbl>
              <c:idx val="1"/>
              <c:tx>
                <c:rich>
                  <a:bodyPr/>
                  <a:lstStyle/>
                  <a:p>
                    <a:r>
                      <a:rPr lang="en-US"/>
                      <a:t>23%</a:t>
                    </a:r>
                  </a:p>
                </c:rich>
              </c:tx>
              <c:dLblPos val="inEnd"/>
              <c:showLegendKey val="0"/>
              <c:showVal val="1"/>
              <c:showCatName val="0"/>
              <c:showSerName val="0"/>
              <c:showPercent val="0"/>
              <c:showBubbleSize val="0"/>
            </c:dLbl>
            <c:dLbl>
              <c:idx val="2"/>
              <c:tx>
                <c:rich>
                  <a:bodyPr/>
                  <a:lstStyle/>
                  <a:p>
                    <a:r>
                      <a:rPr lang="en-US"/>
                      <a:t>15%</a:t>
                    </a:r>
                  </a:p>
                </c:rich>
              </c:tx>
              <c:dLblPos val="inEnd"/>
              <c:showLegendKey val="0"/>
              <c:showVal val="1"/>
              <c:showCatName val="0"/>
              <c:showSerName val="0"/>
              <c:showPercent val="0"/>
              <c:showBubbleSize val="0"/>
            </c:dLbl>
            <c:dLbl>
              <c:idx val="3"/>
              <c:tx>
                <c:rich>
                  <a:bodyPr/>
                  <a:lstStyle/>
                  <a:p>
                    <a:r>
                      <a:rPr lang="en-US"/>
                      <a:t>6%</a:t>
                    </a:r>
                  </a:p>
                </c:rich>
              </c:tx>
              <c:dLblPos val="inEnd"/>
              <c:showLegendKey val="0"/>
              <c:showVal val="1"/>
              <c:showCatName val="0"/>
              <c:showSerName val="0"/>
              <c:showPercent val="0"/>
              <c:showBubbleSize val="0"/>
            </c:dLbl>
            <c:dLbl>
              <c:idx val="4"/>
              <c:tx>
                <c:rich>
                  <a:bodyPr/>
                  <a:lstStyle/>
                  <a:p>
                    <a:r>
                      <a:rPr lang="en-US"/>
                      <a:t>3%</a:t>
                    </a:r>
                  </a:p>
                </c:rich>
              </c:tx>
              <c:dLblPos val="in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'VC histogram'!$AC$44:$AC$48</c:f>
              <c:strCache>
                <c:ptCount val="5"/>
                <c:pt idx="0">
                  <c:v>&lt;$2,000</c:v>
                </c:pt>
                <c:pt idx="1">
                  <c:v>&lt;$5,000</c:v>
                </c:pt>
                <c:pt idx="2">
                  <c:v>&lt;$10,000</c:v>
                </c:pt>
                <c:pt idx="3">
                  <c:v>&lt;$20,000</c:v>
                </c:pt>
                <c:pt idx="4">
                  <c:v>&gt;$20,000</c:v>
                </c:pt>
              </c:strCache>
            </c:strRef>
          </c:cat>
          <c:val>
            <c:numRef>
              <c:f>'VC histogram'!$AD$44:$AD$48</c:f>
              <c:numCache>
                <c:formatCode>General</c:formatCode>
                <c:ptCount val="5"/>
                <c:pt idx="0">
                  <c:v>122</c:v>
                </c:pt>
                <c:pt idx="1">
                  <c:v>53</c:v>
                </c:pt>
                <c:pt idx="2">
                  <c:v>36</c:v>
                </c:pt>
                <c:pt idx="3">
                  <c:v>14</c:v>
                </c:pt>
                <c:pt idx="4">
                  <c:v>8</c:v>
                </c:pt>
              </c:numCache>
            </c:numRef>
          </c:val>
        </c:ser>
        <c:dLbls>
          <c:dLblPos val="inEnd"/>
          <c:showLegendKey val="0"/>
          <c:showVal val="1"/>
          <c:showCatName val="0"/>
          <c:showSerName val="0"/>
          <c:showPercent val="0"/>
          <c:showBubbleSize val="0"/>
        </c:dLbls>
        <c:gapWidth val="150"/>
        <c:axId val="119838592"/>
        <c:axId val="120782848"/>
      </c:barChart>
      <c:catAx>
        <c:axId val="119838592"/>
        <c:scaling>
          <c:orientation val="minMax"/>
        </c:scaling>
        <c:delete val="0"/>
        <c:axPos val="b"/>
        <c:title>
          <c:tx>
            <c:rich>
              <a:bodyPr/>
              <a:lstStyle/>
              <a:p>
                <a:pPr>
                  <a:defRPr/>
                </a:pPr>
                <a:r>
                  <a:rPr lang="en-GB" b="0"/>
                  <a:t>Deal value</a:t>
                </a:r>
              </a:p>
            </c:rich>
          </c:tx>
          <c:overlay val="0"/>
        </c:title>
        <c:majorTickMark val="out"/>
        <c:minorTickMark val="none"/>
        <c:tickLblPos val="nextTo"/>
        <c:crossAx val="120782848"/>
        <c:crosses val="autoZero"/>
        <c:auto val="1"/>
        <c:lblAlgn val="ctr"/>
        <c:lblOffset val="100"/>
        <c:noMultiLvlLbl val="0"/>
      </c:catAx>
      <c:valAx>
        <c:axId val="120782848"/>
        <c:scaling>
          <c:orientation val="minMax"/>
        </c:scaling>
        <c:delete val="0"/>
        <c:axPos val="l"/>
        <c:title>
          <c:tx>
            <c:rich>
              <a:bodyPr rot="-5400000" vert="horz"/>
              <a:lstStyle/>
              <a:p>
                <a:pPr>
                  <a:defRPr/>
                </a:pPr>
                <a:r>
                  <a:rPr lang="en-GB"/>
                  <a:t>No. of companies</a:t>
                </a:r>
              </a:p>
            </c:rich>
          </c:tx>
          <c:overlay val="0"/>
        </c:title>
        <c:numFmt formatCode="General" sourceLinked="1"/>
        <c:majorTickMark val="out"/>
        <c:minorTickMark val="none"/>
        <c:tickLblPos val="nextTo"/>
        <c:crossAx val="119838592"/>
        <c:crosses val="autoZero"/>
        <c:crossBetween val="between"/>
      </c:valAx>
    </c:plotArea>
    <c:plotVisOnly val="1"/>
    <c:dispBlanksAs val="gap"/>
    <c:showDLblsOverMax val="0"/>
  </c:chart>
  <c:spPr>
    <a:noFill/>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BCR1400090</SubmissionID>
    <OriginalFileName xmlns="ed110c73-9675-4a40-bedd-85eaf241746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97194-D81B-422F-ABB4-EAC1E695E7A2}"/>
</file>

<file path=customXml/itemProps2.xml><?xml version="1.0" encoding="utf-8"?>
<ds:datastoreItem xmlns:ds="http://schemas.openxmlformats.org/officeDocument/2006/customXml" ds:itemID="{086B81BE-2BAC-4606-B40E-3691758F2917}"/>
</file>

<file path=customXml/itemProps3.xml><?xml version="1.0" encoding="utf-8"?>
<ds:datastoreItem xmlns:ds="http://schemas.openxmlformats.org/officeDocument/2006/customXml" ds:itemID="{FFCCE87C-CA1C-4709-98A4-F19D08BBCFDC}"/>
</file>

<file path=customXml/itemProps4.xml><?xml version="1.0" encoding="utf-8"?>
<ds:datastoreItem xmlns:ds="http://schemas.openxmlformats.org/officeDocument/2006/customXml" ds:itemID="{0982A536-9D16-41FB-BF82-6AC2FED4256A}"/>
</file>

<file path=docProps/app.xml><?xml version="1.0" encoding="utf-8"?>
<Properties xmlns="http://schemas.openxmlformats.org/officeDocument/2006/extended-properties" xmlns:vt="http://schemas.openxmlformats.org/officeDocument/2006/docPropsVTypes">
  <Template>CA673424.dotm</Template>
  <TotalTime>0</TotalTime>
  <Pages>11</Pages>
  <Words>4533</Words>
  <Characters>26066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30538</CharactersWithSpaces>
  <SharedDoc>false</SharedDoc>
  <HLinks>
    <vt:vector size="6" baseType="variant">
      <vt:variant>
        <vt:i4>3735582</vt:i4>
      </vt:variant>
      <vt:variant>
        <vt:i4>3</vt:i4>
      </vt:variant>
      <vt:variant>
        <vt:i4>0</vt:i4>
      </vt:variant>
      <vt:variant>
        <vt:i4>5</vt:i4>
      </vt:variant>
      <vt:variant>
        <vt:lpwstr>mailto:business.innovation@immi.gov.au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deborah.young</dc:creator>
  <cp:lastModifiedBy>Drew Menzies-McVey</cp:lastModifiedBy>
  <cp:revision>2</cp:revision>
  <cp:lastPrinted>2015-02-23T01:38:00Z</cp:lastPrinted>
  <dcterms:created xsi:type="dcterms:W3CDTF">2015-02-23T03:53:00Z</dcterms:created>
  <dcterms:modified xsi:type="dcterms:W3CDTF">2015-02-23T03:53:00Z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