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A99A27" w14:textId="77777777" w:rsidR="008C3CBC" w:rsidRPr="006235C9" w:rsidRDefault="006235C9" w:rsidP="00FD0786">
      <w:pPr>
        <w:pStyle w:val="Title"/>
      </w:pPr>
      <w:bookmarkStart w:id="0" w:name="_GoBack"/>
      <w:bookmarkEnd w:id="0"/>
      <w:r w:rsidRPr="006235C9">
        <w:t>National Computational Infrastructure</w:t>
      </w:r>
    </w:p>
    <w:p w14:paraId="438BBBAF" w14:textId="77777777" w:rsidR="006235C9" w:rsidRPr="006235C9" w:rsidRDefault="006235C9" w:rsidP="00FD0786">
      <w:pPr>
        <w:pStyle w:val="Subtitle"/>
      </w:pPr>
      <w:r w:rsidRPr="006235C9">
        <w:t>Submission to the consultation on “Boos</w:t>
      </w:r>
      <w:r>
        <w:t>t</w:t>
      </w:r>
      <w:r w:rsidRPr="006235C9">
        <w:t>ing the commercial returns from research”</w:t>
      </w:r>
    </w:p>
    <w:p w14:paraId="62AC0988" w14:textId="4E3859B3" w:rsidR="00E8510D" w:rsidRPr="006235C9" w:rsidRDefault="00331860" w:rsidP="00FD0786">
      <w:pPr>
        <w:pStyle w:val="Heading1"/>
      </w:pPr>
      <w:r>
        <w:t xml:space="preserve">Overview and </w:t>
      </w:r>
      <w:r w:rsidR="00D50C90">
        <w:t>Summary</w:t>
      </w:r>
    </w:p>
    <w:p w14:paraId="79FD57A1" w14:textId="70F05D58" w:rsidR="00331860" w:rsidRDefault="00E57200" w:rsidP="00A2684A">
      <w:r>
        <w:t xml:space="preserve">This </w:t>
      </w:r>
      <w:r w:rsidR="008E42C3">
        <w:t>submission</w:t>
      </w:r>
      <w:r w:rsidR="008C3CBC">
        <w:t>, from NCI, Australia’s national</w:t>
      </w:r>
      <w:r w:rsidR="001B54C6">
        <w:t>, high-end,</w:t>
      </w:r>
      <w:r w:rsidR="008C3CBC">
        <w:t xml:space="preserve"> research computing service, </w:t>
      </w:r>
      <w:r w:rsidR="008E42C3">
        <w:t>considers</w:t>
      </w:r>
      <w:r>
        <w:t xml:space="preserve"> the role of </w:t>
      </w:r>
      <w:r w:rsidR="008E42C3">
        <w:t xml:space="preserve">high-performance </w:t>
      </w:r>
      <w:r w:rsidR="00F03442">
        <w:t>e</w:t>
      </w:r>
      <w:r w:rsidR="00F03442">
        <w:noBreakHyphen/>
      </w:r>
      <w:r w:rsidR="00696758">
        <w:t>infrastructure</w:t>
      </w:r>
      <w:r w:rsidR="00696758">
        <w:rPr>
          <w:rStyle w:val="FootnoteReference"/>
        </w:rPr>
        <w:footnoteReference w:id="1"/>
      </w:r>
      <w:r w:rsidR="008E42C3">
        <w:t xml:space="preserve"> </w:t>
      </w:r>
      <w:r w:rsidR="00696758">
        <w:t xml:space="preserve">in advancing research and innovation, </w:t>
      </w:r>
      <w:r w:rsidR="008E42C3">
        <w:t xml:space="preserve">and </w:t>
      </w:r>
      <w:r w:rsidR="00696758">
        <w:t>the competitive advantage that it provides</w:t>
      </w:r>
      <w:r w:rsidR="008E42C3">
        <w:t xml:space="preserve"> </w:t>
      </w:r>
      <w:r w:rsidR="00696758">
        <w:t>in generat</w:t>
      </w:r>
      <w:r w:rsidR="001539A5">
        <w:t>ing</w:t>
      </w:r>
      <w:r w:rsidR="00696758">
        <w:t xml:space="preserve"> commercial and economic outcomes.  </w:t>
      </w:r>
      <w:r w:rsidR="00F40A0B">
        <w:t>R</w:t>
      </w:r>
      <w:r w:rsidR="00696758">
        <w:t xml:space="preserve">ecognition of </w:t>
      </w:r>
      <w:r w:rsidR="002077FC">
        <w:t>this</w:t>
      </w:r>
      <w:r w:rsidR="00696758">
        <w:t xml:space="preserve"> competitive advanta</w:t>
      </w:r>
      <w:r w:rsidR="001539A5">
        <w:t>ge o</w:t>
      </w:r>
      <w:r w:rsidR="001539A5">
        <w:t>c</w:t>
      </w:r>
      <w:r w:rsidR="001539A5">
        <w:t>curs throughout</w:t>
      </w:r>
      <w:r w:rsidR="008C3CBC">
        <w:t xml:space="preserve"> advanced economies </w:t>
      </w:r>
      <w:r w:rsidR="0015534D">
        <w:t xml:space="preserve">and is </w:t>
      </w:r>
      <w:r w:rsidR="002077FC">
        <w:t xml:space="preserve">manifest in </w:t>
      </w:r>
      <w:r w:rsidR="00696758">
        <w:t xml:space="preserve">the </w:t>
      </w:r>
      <w:r w:rsidR="008C3CBC">
        <w:t>large</w:t>
      </w:r>
      <w:r w:rsidR="00696758">
        <w:t xml:space="preserve"> investments </w:t>
      </w:r>
      <w:r w:rsidR="0015534D">
        <w:t xml:space="preserve">in high-performance computing </w:t>
      </w:r>
      <w:r w:rsidR="001539A5">
        <w:t xml:space="preserve">(HPC) </w:t>
      </w:r>
      <w:r w:rsidR="00696758">
        <w:t>being made in the USA, Japan, China, Europe, the UK and other nations</w:t>
      </w:r>
      <w:r w:rsidR="001539A5">
        <w:t>,</w:t>
      </w:r>
      <w:r w:rsidR="008E42C3">
        <w:t xml:space="preserve"> totalling about US$11B </w:t>
      </w:r>
      <w:r w:rsidR="0070624D">
        <w:t xml:space="preserve">p.a. </w:t>
      </w:r>
      <w:r w:rsidR="008C3CBC">
        <w:t>globally</w:t>
      </w:r>
      <w:r w:rsidR="00696758">
        <w:t xml:space="preserve">.  </w:t>
      </w:r>
      <w:r w:rsidR="00A2684A">
        <w:t xml:space="preserve">Paralleling </w:t>
      </w:r>
      <w:r w:rsidR="008C3CBC">
        <w:t>this</w:t>
      </w:r>
      <w:r w:rsidR="00A2684A">
        <w:t xml:space="preserve"> is </w:t>
      </w:r>
      <w:r w:rsidR="0070624D">
        <w:t>an</w:t>
      </w:r>
      <w:r w:rsidR="00A2684A">
        <w:t xml:space="preserve"> increasing emphasis by governments on realising </w:t>
      </w:r>
      <w:r w:rsidR="001539A5">
        <w:t>economic/</w:t>
      </w:r>
      <w:r w:rsidR="00A2684A">
        <w:t>co</w:t>
      </w:r>
      <w:r w:rsidR="008E42C3">
        <w:t>mmercial ou</w:t>
      </w:r>
      <w:r w:rsidR="008E42C3">
        <w:t>t</w:t>
      </w:r>
      <w:r w:rsidR="008E42C3">
        <w:t>comes from publicly-</w:t>
      </w:r>
      <w:r w:rsidR="00A2684A">
        <w:t>funded research infrastructure</w:t>
      </w:r>
      <w:r w:rsidR="008E42C3">
        <w:t>,</w:t>
      </w:r>
      <w:r w:rsidR="00A2684A">
        <w:t xml:space="preserve"> </w:t>
      </w:r>
      <w:r w:rsidR="00F40A0B">
        <w:t>as</w:t>
      </w:r>
      <w:r w:rsidR="008E42C3">
        <w:t xml:space="preserve"> exemplified </w:t>
      </w:r>
      <w:r w:rsidR="001539A5">
        <w:t>in</w:t>
      </w:r>
      <w:r w:rsidR="008E42C3">
        <w:t xml:space="preserve"> </w:t>
      </w:r>
      <w:r w:rsidR="001539A5">
        <w:t>a</w:t>
      </w:r>
      <w:r w:rsidR="00A2684A">
        <w:t xml:space="preserve"> directive from </w:t>
      </w:r>
      <w:r w:rsidR="008C3CBC">
        <w:t xml:space="preserve">the office of </w:t>
      </w:r>
      <w:r w:rsidR="00A2684A">
        <w:t>Pres</w:t>
      </w:r>
      <w:r w:rsidR="001539A5">
        <w:t>ident Obama to Heads of US e</w:t>
      </w:r>
      <w:r w:rsidR="00A2684A">
        <w:t xml:space="preserve">xecutive </w:t>
      </w:r>
      <w:r w:rsidR="001539A5">
        <w:t>d</w:t>
      </w:r>
      <w:r w:rsidR="00A2684A">
        <w:t xml:space="preserve">epartments and </w:t>
      </w:r>
      <w:r w:rsidR="001539A5">
        <w:t>a</w:t>
      </w:r>
      <w:r w:rsidR="00A2684A">
        <w:t>gencies regarding science</w:t>
      </w:r>
      <w:r w:rsidR="00261922">
        <w:t>/</w:t>
      </w:r>
      <w:r w:rsidR="00A2684A">
        <w:t>technology priorities for the FY2016 budget</w:t>
      </w:r>
      <w:r w:rsidR="00F40A0B">
        <w:t xml:space="preserve"> </w:t>
      </w:r>
      <w:r w:rsidR="00A14239">
        <w:t>requiring</w:t>
      </w:r>
      <w:r w:rsidR="008E42C3">
        <w:t xml:space="preserve"> </w:t>
      </w:r>
      <w:r w:rsidR="00261922">
        <w:t xml:space="preserve">that </w:t>
      </w:r>
      <w:r w:rsidR="001539A5">
        <w:t xml:space="preserve">agencies </w:t>
      </w:r>
      <w:r w:rsidR="00A14239">
        <w:t>“</w:t>
      </w:r>
      <w:r w:rsidR="00A2684A">
        <w:t xml:space="preserve">coordinate with one another and the private sector to </w:t>
      </w:r>
      <w:r w:rsidR="00A2684A" w:rsidRPr="00A2684A">
        <w:t>promote inn</w:t>
      </w:r>
      <w:r w:rsidR="00A2684A" w:rsidRPr="00A2684A">
        <w:t>o</w:t>
      </w:r>
      <w:r w:rsidR="00A2684A" w:rsidRPr="00A2684A">
        <w:t>vation in high-performance computing to support national security, scientific discovery, and economic co</w:t>
      </w:r>
      <w:r w:rsidR="00A2684A" w:rsidRPr="00A2684A">
        <w:t>m</w:t>
      </w:r>
      <w:r w:rsidR="00A2684A" w:rsidRPr="00A2684A">
        <w:t>petitiveness</w:t>
      </w:r>
      <w:r w:rsidR="00A2684A">
        <w:t xml:space="preserve">”. </w:t>
      </w:r>
      <w:r w:rsidR="00331860">
        <w:t>According to a recent IDC (industry analyst) study, the influence of HPC is such that now 97% of US companies adopting the technology believe that they could no longer compete or survive without it.</w:t>
      </w:r>
    </w:p>
    <w:p w14:paraId="1A35C000" w14:textId="39AC8E5E" w:rsidR="00A2684A" w:rsidRDefault="005963F7" w:rsidP="00A2684A">
      <w:r>
        <w:t xml:space="preserve">In Australia, investments in world-class e-infrastructure, established under its National Collaborative Research Infrastructure Strategy (NCRIS) and </w:t>
      </w:r>
      <w:r w:rsidR="00261922">
        <w:t>associated</w:t>
      </w:r>
      <w:r>
        <w:t xml:space="preserve"> programs, have a strong track record in supporting</w:t>
      </w:r>
      <w:r>
        <w:rPr>
          <w:rStyle w:val="FootnoteReference"/>
        </w:rPr>
        <w:footnoteReference w:id="2"/>
      </w:r>
      <w:r>
        <w:t xml:space="preserve"> research of excellence, </w:t>
      </w:r>
      <w:r w:rsidR="00F40A0B">
        <w:t xml:space="preserve">which have led to </w:t>
      </w:r>
      <w:r w:rsidR="00331860">
        <w:t>significant R&amp;D outcomes t</w:t>
      </w:r>
      <w:r>
        <w:t xml:space="preserve">hat </w:t>
      </w:r>
      <w:r w:rsidR="00331860">
        <w:t xml:space="preserve">yield </w:t>
      </w:r>
      <w:r w:rsidR="00A2684A">
        <w:t>economic</w:t>
      </w:r>
      <w:r w:rsidR="00261922">
        <w:t>/</w:t>
      </w:r>
      <w:r w:rsidR="00A2684A">
        <w:t xml:space="preserve">commercial outcomes.  </w:t>
      </w:r>
      <w:r w:rsidR="00331860">
        <w:t>I</w:t>
      </w:r>
      <w:r w:rsidR="00722B92">
        <w:t xml:space="preserve">n some cases, the </w:t>
      </w:r>
      <w:r w:rsidR="0015534D">
        <w:t xml:space="preserve">benefits </w:t>
      </w:r>
      <w:r w:rsidR="00307823">
        <w:t>have been</w:t>
      </w:r>
      <w:r w:rsidR="0015534D">
        <w:t xml:space="preserve"> </w:t>
      </w:r>
      <w:r w:rsidR="00722B92">
        <w:t>transformative, changing organisation</w:t>
      </w:r>
      <w:r w:rsidR="00261922">
        <w:t>al</w:t>
      </w:r>
      <w:r w:rsidR="00722B92">
        <w:t xml:space="preserve"> practices</w:t>
      </w:r>
      <w:r w:rsidR="00261922">
        <w:t xml:space="preserve">, making possible </w:t>
      </w:r>
      <w:r w:rsidR="00722B92">
        <w:t>system a</w:t>
      </w:r>
      <w:r w:rsidR="00722B92">
        <w:t>p</w:t>
      </w:r>
      <w:r w:rsidR="00722B92">
        <w:t>proaches to research and, in doing so, position</w:t>
      </w:r>
      <w:r w:rsidR="00307823">
        <w:t>ing</w:t>
      </w:r>
      <w:r w:rsidR="00722B92">
        <w:t xml:space="preserve"> HPC as </w:t>
      </w:r>
      <w:r w:rsidR="00331860">
        <w:t xml:space="preserve">core </w:t>
      </w:r>
      <w:r w:rsidR="00722B92">
        <w:t>part of business-as-usual operations</w:t>
      </w:r>
      <w:r w:rsidR="00307823">
        <w:rPr>
          <w:rStyle w:val="FootnoteReference"/>
        </w:rPr>
        <w:footnoteReference w:id="3"/>
      </w:r>
      <w:r w:rsidR="00307823">
        <w:t>.</w:t>
      </w:r>
      <w:r w:rsidR="00722B92">
        <w:t xml:space="preserve"> </w:t>
      </w:r>
      <w:r w:rsidR="00331860">
        <w:t xml:space="preserve"> </w:t>
      </w:r>
      <w:r w:rsidR="00261922">
        <w:t>Such t</w:t>
      </w:r>
      <w:r w:rsidR="00307823">
        <w:t xml:space="preserve">ransformations </w:t>
      </w:r>
      <w:r w:rsidR="00331860">
        <w:t xml:space="preserve">are </w:t>
      </w:r>
      <w:r w:rsidR="00307823">
        <w:t xml:space="preserve">enabled not by any single component of the e-infrastructure but by the </w:t>
      </w:r>
      <w:r w:rsidR="0015534D">
        <w:t>confluence of high-performance compu</w:t>
      </w:r>
      <w:r w:rsidR="00A2684A">
        <w:t>ti</w:t>
      </w:r>
      <w:r w:rsidR="0015534D">
        <w:t xml:space="preserve">ng and </w:t>
      </w:r>
      <w:r w:rsidR="00A2684A">
        <w:t xml:space="preserve">data </w:t>
      </w:r>
      <w:r w:rsidR="0015534D">
        <w:t>capabilities and expertise</w:t>
      </w:r>
      <w:r w:rsidR="00307823">
        <w:t xml:space="preserve">. This is </w:t>
      </w:r>
      <w:r w:rsidR="00261922">
        <w:t xml:space="preserve">certainly the experience of NCI over a number of years, </w:t>
      </w:r>
      <w:r w:rsidR="00307823">
        <w:t>with this holistic</w:t>
      </w:r>
      <w:r w:rsidR="0015534D">
        <w:t xml:space="preserve"> approach </w:t>
      </w:r>
      <w:r w:rsidR="00307823">
        <w:t xml:space="preserve">to the implementation </w:t>
      </w:r>
      <w:r w:rsidR="00331860">
        <w:t>of</w:t>
      </w:r>
      <w:r w:rsidR="00307823">
        <w:t xml:space="preserve"> e-infrastructure </w:t>
      </w:r>
      <w:r w:rsidR="00331860">
        <w:t>now</w:t>
      </w:r>
      <w:r w:rsidR="00307823">
        <w:t xml:space="preserve"> </w:t>
      </w:r>
      <w:r w:rsidR="009F04ED">
        <w:t xml:space="preserve">promulgated </w:t>
      </w:r>
      <w:r w:rsidR="00261922">
        <w:t>i</w:t>
      </w:r>
      <w:r w:rsidR="00261922">
        <w:t>n</w:t>
      </w:r>
      <w:r w:rsidR="00261922">
        <w:t xml:space="preserve">ternationally </w:t>
      </w:r>
      <w:r w:rsidR="009F04ED">
        <w:t xml:space="preserve">as </w:t>
      </w:r>
      <w:r w:rsidR="0015534D">
        <w:t>best practice and the way of the future</w:t>
      </w:r>
      <w:r w:rsidR="00AF1DD2">
        <w:rPr>
          <w:rStyle w:val="FootnoteReference"/>
        </w:rPr>
        <w:footnoteReference w:id="4"/>
      </w:r>
      <w:proofErr w:type="gramStart"/>
      <w:r w:rsidR="00AF1DD2" w:rsidRPr="001B54C6">
        <w:rPr>
          <w:vertAlign w:val="superscript"/>
        </w:rPr>
        <w:t>,</w:t>
      </w:r>
      <w:r w:rsidR="00AF1DD2">
        <w:rPr>
          <w:rStyle w:val="FootnoteReference"/>
        </w:rPr>
        <w:footnoteReference w:id="5"/>
      </w:r>
      <w:r w:rsidR="0015534D">
        <w:t>.</w:t>
      </w:r>
      <w:proofErr w:type="gramEnd"/>
      <w:r w:rsidR="0015534D">
        <w:t xml:space="preserve"> </w:t>
      </w:r>
      <w:r w:rsidR="00A2684A">
        <w:t xml:space="preserve"> </w:t>
      </w:r>
    </w:p>
    <w:p w14:paraId="57C3CB33" w14:textId="51788BFF" w:rsidR="00A2684A" w:rsidRDefault="00307823">
      <w:r>
        <w:t xml:space="preserve">Despite good returns on investment to date, and the growing portfolio of engagement with industry and </w:t>
      </w:r>
      <w:r w:rsidR="002A2ADE">
        <w:t>su</w:t>
      </w:r>
      <w:r w:rsidR="002A2ADE">
        <w:t>p</w:t>
      </w:r>
      <w:r w:rsidR="002A2ADE">
        <w:t xml:space="preserve">porting research that generates </w:t>
      </w:r>
      <w:r>
        <w:t>economic and commercial</w:t>
      </w:r>
      <w:r w:rsidR="002A2ADE">
        <w:t xml:space="preserve"> outcomes</w:t>
      </w:r>
      <w:r w:rsidR="00726BF2">
        <w:t xml:space="preserve"> </w:t>
      </w:r>
      <w:r>
        <w:t>more generally, there exist impediments that</w:t>
      </w:r>
      <w:r w:rsidR="002A2ADE">
        <w:t xml:space="preserve"> </w:t>
      </w:r>
      <w:r>
        <w:t>limit the effectiveness of the “hard” infrastructure</w:t>
      </w:r>
      <w:r w:rsidR="002A2ADE">
        <w:t xml:space="preserve"> investments in </w:t>
      </w:r>
      <w:r w:rsidR="00331860">
        <w:t>delivering</w:t>
      </w:r>
      <w:r w:rsidR="002A2ADE">
        <w:t xml:space="preserve"> outcomes.  </w:t>
      </w:r>
      <w:r w:rsidR="00726BF2">
        <w:t xml:space="preserve">These relate </w:t>
      </w:r>
      <w:r w:rsidR="00331860">
        <w:t xml:space="preserve">to </w:t>
      </w:r>
      <w:r w:rsidR="00261922">
        <w:t xml:space="preserve">the </w:t>
      </w:r>
      <w:r w:rsidR="00331860">
        <w:t>fragment</w:t>
      </w:r>
      <w:r w:rsidR="00261922">
        <w:t xml:space="preserve">ation of </w:t>
      </w:r>
      <w:r w:rsidR="00331860">
        <w:t xml:space="preserve">today’s </w:t>
      </w:r>
      <w:r w:rsidR="00726BF2">
        <w:t xml:space="preserve">e-infrastructure (which is the subject of </w:t>
      </w:r>
      <w:r w:rsidR="00261922">
        <w:t>a separate review</w:t>
      </w:r>
      <w:r w:rsidR="00331860">
        <w:t xml:space="preserve"> by </w:t>
      </w:r>
      <w:r w:rsidR="00261922">
        <w:t>the Department of Education</w:t>
      </w:r>
      <w:r w:rsidR="00331860">
        <w:t>)</w:t>
      </w:r>
      <w:r w:rsidR="00726BF2">
        <w:t xml:space="preserve"> and to </w:t>
      </w:r>
      <w:r w:rsidR="00331860">
        <w:t xml:space="preserve">the existence of a </w:t>
      </w:r>
      <w:r w:rsidR="00726BF2">
        <w:t xml:space="preserve">“missing middle”, </w:t>
      </w:r>
      <w:r w:rsidR="00F40A0B">
        <w:t xml:space="preserve">caused by the paucity of </w:t>
      </w:r>
      <w:r w:rsidR="00261922">
        <w:t xml:space="preserve">the </w:t>
      </w:r>
      <w:r w:rsidR="00726BF2">
        <w:t>essential “soft” skills</w:t>
      </w:r>
      <w:r w:rsidR="00331860">
        <w:t xml:space="preserve">/infrastructure </w:t>
      </w:r>
      <w:r w:rsidR="00F40A0B">
        <w:t xml:space="preserve">required to </w:t>
      </w:r>
      <w:r w:rsidR="00331860">
        <w:t xml:space="preserve">link </w:t>
      </w:r>
      <w:r w:rsidR="00726BF2">
        <w:t>end-user</w:t>
      </w:r>
      <w:r w:rsidR="00331860">
        <w:t>s</w:t>
      </w:r>
      <w:r w:rsidR="00726BF2">
        <w:t xml:space="preserve"> to the provision of e-infrastructure services.  While these issues </w:t>
      </w:r>
      <w:r w:rsidR="00F40A0B">
        <w:lastRenderedPageBreak/>
        <w:t xml:space="preserve">are not unique </w:t>
      </w:r>
      <w:r w:rsidR="00726BF2">
        <w:t xml:space="preserve">to Australia, the need to address them </w:t>
      </w:r>
      <w:r w:rsidR="00F40A0B">
        <w:t xml:space="preserve">in the Australian setting </w:t>
      </w:r>
      <w:r w:rsidR="00726BF2">
        <w:t xml:space="preserve">is urgent </w:t>
      </w:r>
      <w:r w:rsidR="00F40A0B">
        <w:t>to ensure</w:t>
      </w:r>
      <w:r w:rsidR="00726BF2">
        <w:t xml:space="preserve"> compet</w:t>
      </w:r>
      <w:r w:rsidR="00726BF2">
        <w:t>i</w:t>
      </w:r>
      <w:r w:rsidR="00726BF2">
        <w:t xml:space="preserve">tiveness in a world economy increasingly driven by the translation of ideas to wealth.  </w:t>
      </w:r>
    </w:p>
    <w:p w14:paraId="26BFE651" w14:textId="33B62FDA" w:rsidR="00D50C90" w:rsidRDefault="008B30A1" w:rsidP="0070624D">
      <w:pPr>
        <w:keepNext/>
      </w:pPr>
      <w:r>
        <w:t xml:space="preserve">The issues </w:t>
      </w:r>
      <w:r w:rsidR="00A14239">
        <w:t>focus</w:t>
      </w:r>
      <w:r w:rsidR="00261922">
        <w:t>ed</w:t>
      </w:r>
      <w:r w:rsidR="00A14239">
        <w:t xml:space="preserve"> on in this </w:t>
      </w:r>
      <w:r>
        <w:t xml:space="preserve">submission </w:t>
      </w:r>
      <w:r w:rsidR="00261922">
        <w:t>relate to</w:t>
      </w:r>
      <w:r>
        <w:t>:</w:t>
      </w:r>
    </w:p>
    <w:p w14:paraId="79A71CD3" w14:textId="5A2D2956" w:rsidR="008B30A1" w:rsidRDefault="008B30A1" w:rsidP="00331860">
      <w:pPr>
        <w:pStyle w:val="ListParagraph"/>
        <w:numPr>
          <w:ilvl w:val="0"/>
          <w:numId w:val="3"/>
        </w:numPr>
        <w:ind w:left="426"/>
      </w:pPr>
      <w:r w:rsidRPr="00A14239">
        <w:rPr>
          <w:i/>
        </w:rPr>
        <w:t>Skills, training and awareness:</w:t>
      </w:r>
      <w:r>
        <w:t xml:space="preserve"> </w:t>
      </w:r>
      <w:r w:rsidR="00331860">
        <w:t xml:space="preserve">Here, </w:t>
      </w:r>
      <w:r w:rsidR="00FF6C8C">
        <w:t xml:space="preserve">the </w:t>
      </w:r>
      <w:r w:rsidR="00D05F01">
        <w:t xml:space="preserve">relative </w:t>
      </w:r>
      <w:r w:rsidR="00B45441">
        <w:t xml:space="preserve">paucity of </w:t>
      </w:r>
      <w:r w:rsidR="00FF6C8C">
        <w:t xml:space="preserve">high-level </w:t>
      </w:r>
      <w:r w:rsidR="00B45441">
        <w:t>skills and expertise in advanced computational and data-intensive techniques</w:t>
      </w:r>
      <w:r w:rsidR="00261922">
        <w:t xml:space="preserve">, and insufficient </w:t>
      </w:r>
      <w:r w:rsidR="00FF6C8C">
        <w:t xml:space="preserve">investment </w:t>
      </w:r>
      <w:r w:rsidR="00261922">
        <w:t xml:space="preserve">to date </w:t>
      </w:r>
      <w:r w:rsidR="00FF6C8C">
        <w:t xml:space="preserve">in </w:t>
      </w:r>
      <w:r w:rsidR="00A14239">
        <w:t xml:space="preserve">building </w:t>
      </w:r>
      <w:r w:rsidR="00FF6C8C">
        <w:t>these</w:t>
      </w:r>
      <w:r w:rsidR="00967E83">
        <w:t>,</w:t>
      </w:r>
      <w:r w:rsidR="00FF6C8C">
        <w:t xml:space="preserve"> is li</w:t>
      </w:r>
      <w:r w:rsidR="00FF6C8C">
        <w:t>m</w:t>
      </w:r>
      <w:r w:rsidR="00FF6C8C">
        <w:t xml:space="preserve">iting </w:t>
      </w:r>
      <w:r w:rsidR="00B45441">
        <w:t xml:space="preserve">the </w:t>
      </w:r>
      <w:r w:rsidR="00FF6C8C">
        <w:t>translation of research into competitive outcomes</w:t>
      </w:r>
      <w:r w:rsidR="00F03442">
        <w:t>,</w:t>
      </w:r>
      <w:r w:rsidR="00FF6C8C">
        <w:t xml:space="preserve"> and the uptake </w:t>
      </w:r>
      <w:r w:rsidR="00D05F01">
        <w:t>of e-infrastructure technol</w:t>
      </w:r>
      <w:r w:rsidR="00D05F01">
        <w:t>o</w:t>
      </w:r>
      <w:r w:rsidR="00D05F01">
        <w:t xml:space="preserve">gies </w:t>
      </w:r>
      <w:r w:rsidR="00FF6C8C">
        <w:t>in industry</w:t>
      </w:r>
      <w:r w:rsidR="004141CE">
        <w:t>.  This is</w:t>
      </w:r>
      <w:r w:rsidR="00FF6C8C">
        <w:t xml:space="preserve"> particularly</w:t>
      </w:r>
      <w:r w:rsidR="00A14239">
        <w:t xml:space="preserve"> </w:t>
      </w:r>
      <w:r w:rsidR="004141CE">
        <w:t xml:space="preserve">true for </w:t>
      </w:r>
      <w:r w:rsidR="00FF6C8C">
        <w:t xml:space="preserve">the SME sector </w:t>
      </w:r>
      <w:r w:rsidR="004141CE">
        <w:t xml:space="preserve">where the </w:t>
      </w:r>
      <w:r w:rsidR="00A14239">
        <w:t xml:space="preserve">awareness and </w:t>
      </w:r>
      <w:r w:rsidR="00FF6C8C">
        <w:t xml:space="preserve">skills </w:t>
      </w:r>
      <w:r w:rsidR="004141CE">
        <w:t xml:space="preserve">required </w:t>
      </w:r>
      <w:proofErr w:type="gramStart"/>
      <w:r w:rsidR="004141CE">
        <w:t>to engage</w:t>
      </w:r>
      <w:proofErr w:type="gramEnd"/>
      <w:r w:rsidR="004141CE">
        <w:t xml:space="preserve"> available</w:t>
      </w:r>
      <w:r w:rsidR="00FF6C8C">
        <w:t xml:space="preserve"> services </w:t>
      </w:r>
      <w:r w:rsidR="004141CE">
        <w:t>are rarely to hand</w:t>
      </w:r>
      <w:r w:rsidR="00FF6C8C">
        <w:t xml:space="preserve">. </w:t>
      </w:r>
      <w:r w:rsidR="004141CE">
        <w:t xml:space="preserve">Accordingly, a </w:t>
      </w:r>
      <w:r w:rsidR="00FF6C8C">
        <w:t xml:space="preserve">more holistic view of </w:t>
      </w:r>
      <w:r w:rsidR="00D05F01">
        <w:t xml:space="preserve">future </w:t>
      </w:r>
      <w:r w:rsidR="00FF6C8C">
        <w:t xml:space="preserve">e-infrastructure investments </w:t>
      </w:r>
      <w:r w:rsidR="00A14239">
        <w:t>will</w:t>
      </w:r>
      <w:r w:rsidR="00FF6C8C">
        <w:t xml:space="preserve"> </w:t>
      </w:r>
      <w:r w:rsidR="00F03442">
        <w:t xml:space="preserve">be </w:t>
      </w:r>
      <w:r w:rsidR="00FF6C8C">
        <w:t xml:space="preserve">required to complement the </w:t>
      </w:r>
      <w:r w:rsidR="00D05F01">
        <w:t>“</w:t>
      </w:r>
      <w:r w:rsidR="00FF6C8C">
        <w:t>hard</w:t>
      </w:r>
      <w:r w:rsidR="00D05F01">
        <w:t>”</w:t>
      </w:r>
      <w:r w:rsidR="00FF6C8C">
        <w:t xml:space="preserve"> infrastructure with </w:t>
      </w:r>
      <w:r w:rsidR="00A14239">
        <w:t xml:space="preserve">the </w:t>
      </w:r>
      <w:r w:rsidR="00FF6C8C">
        <w:t xml:space="preserve">necessary </w:t>
      </w:r>
      <w:r w:rsidR="00A14239">
        <w:t>“</w:t>
      </w:r>
      <w:r w:rsidR="00FF6C8C">
        <w:t>soft</w:t>
      </w:r>
      <w:r w:rsidR="00A14239">
        <w:t>”</w:t>
      </w:r>
      <w:r w:rsidR="00FF6C8C">
        <w:t xml:space="preserve"> skills</w:t>
      </w:r>
      <w:r w:rsidR="00F03442">
        <w:t xml:space="preserve">. </w:t>
      </w:r>
      <w:r w:rsidR="004141CE">
        <w:t>A</w:t>
      </w:r>
      <w:r w:rsidR="004141CE">
        <w:t>l</w:t>
      </w:r>
      <w:r w:rsidR="004141CE">
        <w:t>so</w:t>
      </w:r>
      <w:r w:rsidR="00FF6C8C">
        <w:t xml:space="preserve"> curriculum </w:t>
      </w:r>
      <w:r w:rsidR="004141CE">
        <w:t xml:space="preserve">developments </w:t>
      </w:r>
      <w:r w:rsidR="00D05F01">
        <w:t>to</w:t>
      </w:r>
      <w:r w:rsidR="00FF6C8C">
        <w:t xml:space="preserve"> build capability </w:t>
      </w:r>
      <w:r w:rsidR="00D05F01">
        <w:t xml:space="preserve">in the </w:t>
      </w:r>
      <w:r w:rsidR="00FF6C8C">
        <w:t xml:space="preserve">researchers of the </w:t>
      </w:r>
      <w:r w:rsidR="00D05F01">
        <w:t xml:space="preserve">future </w:t>
      </w:r>
      <w:r w:rsidR="00FF6C8C">
        <w:t xml:space="preserve">(including training in </w:t>
      </w:r>
      <w:r w:rsidR="00F03442">
        <w:t>high-</w:t>
      </w:r>
      <w:r w:rsidR="004141CE">
        <w:t xml:space="preserve">performance </w:t>
      </w:r>
      <w:r w:rsidR="001B54C6">
        <w:t xml:space="preserve">computing and data </w:t>
      </w:r>
      <w:r w:rsidR="00FF6C8C">
        <w:t xml:space="preserve">methodologies for research students) </w:t>
      </w:r>
      <w:r w:rsidR="00D05F01">
        <w:t>are</w:t>
      </w:r>
      <w:r w:rsidR="00FF6C8C">
        <w:t xml:space="preserve"> indicated.  </w:t>
      </w:r>
      <w:r w:rsidR="00D05F01">
        <w:t>On-ramps, or ce</w:t>
      </w:r>
      <w:r w:rsidR="00D05F01">
        <w:t>n</w:t>
      </w:r>
      <w:r w:rsidR="00D05F01">
        <w:t xml:space="preserve">tres of expertise, </w:t>
      </w:r>
      <w:r w:rsidR="004141CE">
        <w:t xml:space="preserve">such as those that are being pursued in the UK, </w:t>
      </w:r>
      <w:r w:rsidR="00F92672">
        <w:t>that build awareness in</w:t>
      </w:r>
      <w:r w:rsidR="00D05F01">
        <w:t>,</w:t>
      </w:r>
      <w:r w:rsidR="00F92672">
        <w:t xml:space="preserve"> and uptake </w:t>
      </w:r>
      <w:r w:rsidR="00D05F01">
        <w:t>by,</w:t>
      </w:r>
      <w:r w:rsidR="00F92672">
        <w:t xml:space="preserve"> industry, should be considered.  </w:t>
      </w:r>
    </w:p>
    <w:p w14:paraId="455827BD" w14:textId="4AE39ADA" w:rsidR="008B30A1" w:rsidRPr="00331860" w:rsidRDefault="008B30A1" w:rsidP="00331860">
      <w:pPr>
        <w:pStyle w:val="ListParagraph"/>
        <w:numPr>
          <w:ilvl w:val="0"/>
          <w:numId w:val="3"/>
        </w:numPr>
        <w:ind w:left="426"/>
      </w:pPr>
      <w:r w:rsidRPr="00331860">
        <w:rPr>
          <w:i/>
        </w:rPr>
        <w:t xml:space="preserve">National </w:t>
      </w:r>
      <w:r w:rsidR="00D05F01">
        <w:rPr>
          <w:i/>
        </w:rPr>
        <w:t xml:space="preserve">research </w:t>
      </w:r>
      <w:r w:rsidRPr="00331860">
        <w:rPr>
          <w:i/>
        </w:rPr>
        <w:t xml:space="preserve">software </w:t>
      </w:r>
      <w:r w:rsidR="00F92672" w:rsidRPr="00331860">
        <w:rPr>
          <w:i/>
        </w:rPr>
        <w:t>capability</w:t>
      </w:r>
      <w:r w:rsidRPr="00331860">
        <w:rPr>
          <w:i/>
        </w:rPr>
        <w:t>:</w:t>
      </w:r>
      <w:r w:rsidR="00F92672" w:rsidRPr="00331860">
        <w:rPr>
          <w:i/>
        </w:rPr>
        <w:t xml:space="preserve"> </w:t>
      </w:r>
      <w:r w:rsidR="006640EB" w:rsidRPr="00331860">
        <w:t>Software</w:t>
      </w:r>
      <w:r w:rsidR="00331860" w:rsidRPr="00331860">
        <w:t>, which</w:t>
      </w:r>
      <w:r w:rsidR="006640EB" w:rsidRPr="00331860">
        <w:t xml:space="preserve"> </w:t>
      </w:r>
      <w:r w:rsidR="00331860" w:rsidRPr="00331860">
        <w:t xml:space="preserve">is the “glue” of </w:t>
      </w:r>
      <w:r w:rsidR="00D05F01">
        <w:t xml:space="preserve">research </w:t>
      </w:r>
      <w:r w:rsidR="00331860" w:rsidRPr="00331860">
        <w:t xml:space="preserve">e-infrastructure, and </w:t>
      </w:r>
      <w:r w:rsidR="00D05F01">
        <w:t xml:space="preserve">which </w:t>
      </w:r>
      <w:r w:rsidR="00331860" w:rsidRPr="00331860">
        <w:t xml:space="preserve">transforms ideas into outcomes is a complex issue </w:t>
      </w:r>
      <w:r w:rsidR="00D05F01">
        <w:t>throughout</w:t>
      </w:r>
      <w:r w:rsidR="00331860" w:rsidRPr="00331860">
        <w:t xml:space="preserve"> the research and innovation spe</w:t>
      </w:r>
      <w:r w:rsidR="00331860" w:rsidRPr="00331860">
        <w:t>c</w:t>
      </w:r>
      <w:r w:rsidR="00331860" w:rsidRPr="00331860">
        <w:t xml:space="preserve">trum.  Software development, which is dependent on a strong base of relevant skills and expertise, </w:t>
      </w:r>
      <w:r w:rsidR="00D05F01">
        <w:t>takes place</w:t>
      </w:r>
      <w:r w:rsidR="00331860" w:rsidRPr="00331860">
        <w:t xml:space="preserve"> on a much longer timeframe than </w:t>
      </w:r>
      <w:r w:rsidR="00D05F01">
        <w:t xml:space="preserve">the corresponding </w:t>
      </w:r>
      <w:r w:rsidR="00D05F01" w:rsidRPr="00331860">
        <w:t xml:space="preserve">developments </w:t>
      </w:r>
      <w:r w:rsidR="00D05F01">
        <w:t xml:space="preserve">in the </w:t>
      </w:r>
      <w:r w:rsidR="00331860" w:rsidRPr="00331860">
        <w:t xml:space="preserve">hardware.  Those </w:t>
      </w:r>
      <w:r w:rsidR="00D05F01">
        <w:t>cou</w:t>
      </w:r>
      <w:r w:rsidR="00D05F01">
        <w:t>n</w:t>
      </w:r>
      <w:r w:rsidR="00D05F01">
        <w:t>tries</w:t>
      </w:r>
      <w:r w:rsidR="00331860" w:rsidRPr="00331860">
        <w:t xml:space="preserve"> </w:t>
      </w:r>
      <w:r w:rsidR="00D05F01">
        <w:t>with</w:t>
      </w:r>
      <w:r w:rsidR="00331860" w:rsidRPr="00331860">
        <w:t xml:space="preserve"> strong national (computational and data-intensive) software development capabilities will reap richer rewards from their investment in high-end e-infrastructure than those that do not.  </w:t>
      </w:r>
      <w:r w:rsidR="0042697E">
        <w:t>The n</w:t>
      </w:r>
      <w:r w:rsidR="00331860" w:rsidRPr="00331860">
        <w:t>ational laboratories and major facilities in the US and the UK</w:t>
      </w:r>
      <w:r w:rsidR="0042697E">
        <w:t>,</w:t>
      </w:r>
      <w:r w:rsidR="00331860" w:rsidRPr="00331860">
        <w:t xml:space="preserve"> for example</w:t>
      </w:r>
      <w:r w:rsidR="0042697E">
        <w:t>,</w:t>
      </w:r>
      <w:r w:rsidR="00331860" w:rsidRPr="00331860">
        <w:t xml:space="preserve"> </w:t>
      </w:r>
      <w:r w:rsidR="00873D38">
        <w:t>enjoy</w:t>
      </w:r>
      <w:r w:rsidR="00873D38" w:rsidRPr="00331860">
        <w:t xml:space="preserve"> </w:t>
      </w:r>
      <w:r w:rsidR="00331860" w:rsidRPr="00331860">
        <w:t>a concentration of expertise (e.g., 200</w:t>
      </w:r>
      <w:r w:rsidR="0042697E">
        <w:t>+</w:t>
      </w:r>
      <w:r w:rsidR="00331860" w:rsidRPr="00331860">
        <w:t xml:space="preserve"> staff) </w:t>
      </w:r>
      <w:r w:rsidR="00873D38">
        <w:t>whereas</w:t>
      </w:r>
      <w:r w:rsidR="00873D38" w:rsidRPr="00331860">
        <w:t xml:space="preserve"> </w:t>
      </w:r>
      <w:r w:rsidR="00331860" w:rsidRPr="00331860">
        <w:t xml:space="preserve">Australia </w:t>
      </w:r>
      <w:r w:rsidR="00873D38">
        <w:t>is yet to recognise the need</w:t>
      </w:r>
      <w:r w:rsidR="00331860" w:rsidRPr="00331860">
        <w:t xml:space="preserve">.  </w:t>
      </w:r>
      <w:r w:rsidR="00331860">
        <w:t xml:space="preserve">Such facilities/centres support </w:t>
      </w:r>
      <w:r w:rsidR="00331860" w:rsidRPr="00331860">
        <w:t xml:space="preserve">the re-engineering of software of national importance (e.g., meteorological systems) to run on next-generation </w:t>
      </w:r>
      <w:r w:rsidR="0042697E">
        <w:t xml:space="preserve">HPC </w:t>
      </w:r>
      <w:r w:rsidR="00331860">
        <w:t>systems</w:t>
      </w:r>
      <w:r w:rsidR="0042697E">
        <w:t>,</w:t>
      </w:r>
      <w:r w:rsidR="00331860" w:rsidRPr="00331860">
        <w:t xml:space="preserve"> and are </w:t>
      </w:r>
      <w:r w:rsidR="00331860">
        <w:t xml:space="preserve">assisting </w:t>
      </w:r>
      <w:r w:rsidR="00331860" w:rsidRPr="00331860">
        <w:t xml:space="preserve">independent software vendors </w:t>
      </w:r>
      <w:r w:rsidR="00331860">
        <w:t xml:space="preserve">to </w:t>
      </w:r>
      <w:r w:rsidR="00331860" w:rsidRPr="00331860">
        <w:t xml:space="preserve">scale up the performance of </w:t>
      </w:r>
      <w:r w:rsidR="00331860">
        <w:t xml:space="preserve">simulation </w:t>
      </w:r>
      <w:r w:rsidR="00331860" w:rsidRPr="00331860">
        <w:t>codes of importance</w:t>
      </w:r>
      <w:r w:rsidR="0042697E">
        <w:t xml:space="preserve"> to industry</w:t>
      </w:r>
      <w:r w:rsidR="00331860" w:rsidRPr="00331860">
        <w:t>.  Australia requires a similar national computational science capability</w:t>
      </w:r>
      <w:r w:rsidR="0042697E">
        <w:t>,</w:t>
      </w:r>
      <w:r w:rsidR="00331860" w:rsidRPr="00331860">
        <w:t xml:space="preserve"> of an appropriate scale</w:t>
      </w:r>
      <w:r w:rsidR="0042697E">
        <w:t>,</w:t>
      </w:r>
      <w:r w:rsidR="00331860" w:rsidRPr="00331860">
        <w:t xml:space="preserve"> to support its research and innovation sector, and to underpin the on-ramps to build industry’s engagement with this technology. </w:t>
      </w:r>
      <w:r w:rsidR="00873D38">
        <w:t xml:space="preserve"> </w:t>
      </w:r>
      <w:r w:rsidR="00252CD4">
        <w:t>It is incongruous that Australia should be behind in this area, given its record of competitive advantage in software (rather than hardware) and the fact that international communities are increasingly looking to software innovation for higher performance in the future.</w:t>
      </w:r>
    </w:p>
    <w:p w14:paraId="5C2C713F" w14:textId="0825C868" w:rsidR="008B30A1" w:rsidRPr="00331860" w:rsidRDefault="008B30A1" w:rsidP="00331860">
      <w:pPr>
        <w:pStyle w:val="ListParagraph"/>
        <w:numPr>
          <w:ilvl w:val="0"/>
          <w:numId w:val="3"/>
        </w:numPr>
        <w:ind w:left="426"/>
      </w:pPr>
      <w:r w:rsidRPr="00331860">
        <w:rPr>
          <w:i/>
        </w:rPr>
        <w:t>Shared infrastructure for shared costs and shared services</w:t>
      </w:r>
      <w:r w:rsidR="003859FD" w:rsidRPr="00331860">
        <w:rPr>
          <w:i/>
        </w:rPr>
        <w:t xml:space="preserve">:  </w:t>
      </w:r>
      <w:r w:rsidR="00243154">
        <w:t xml:space="preserve">The increasing cost of accessing world-class e-infrastructure is an issue for research institutions and industry alike.  For SMEs, the costs are even more confronting, even at modest scale, when infrastructure and software may be needed for only a few weeks/months of every year. Pay-by-use models are required, with these now </w:t>
      </w:r>
      <w:r w:rsidR="0042697E">
        <w:t xml:space="preserve">becoming </w:t>
      </w:r>
      <w:r w:rsidR="00243154">
        <w:t xml:space="preserve">available from </w:t>
      </w:r>
      <w:r w:rsidR="0042697E">
        <w:t xml:space="preserve">some </w:t>
      </w:r>
      <w:r w:rsidR="00243154">
        <w:t xml:space="preserve">commercial cloud providers. However, the cloud </w:t>
      </w:r>
      <w:r w:rsidR="00500A28">
        <w:t xml:space="preserve">does not provide necessary ‘soft infrastructure’, and </w:t>
      </w:r>
      <w:r w:rsidR="00243154">
        <w:t>cannot provide performance at the highe</w:t>
      </w:r>
      <w:r w:rsidR="00500A28">
        <w:t>r</w:t>
      </w:r>
      <w:r w:rsidR="00243154">
        <w:t xml:space="preserve"> level</w:t>
      </w:r>
      <w:r w:rsidR="00500A28">
        <w:t>s required for competitive advantage. The</w:t>
      </w:r>
      <w:r w:rsidR="00243154">
        <w:t xml:space="preserve"> integration required for data-intensive applications in which </w:t>
      </w:r>
      <w:r w:rsidR="00F03442">
        <w:t>“</w:t>
      </w:r>
      <w:r w:rsidR="00243154">
        <w:t>friction-free</w:t>
      </w:r>
      <w:r w:rsidR="00F03442">
        <w:t>”</w:t>
      </w:r>
      <w:r w:rsidR="00243154">
        <w:t xml:space="preserve"> computing</w:t>
      </w:r>
      <w:r w:rsidR="00F03442">
        <w:t xml:space="preserve"> leads to </w:t>
      </w:r>
      <w:r w:rsidR="0042697E">
        <w:t>“</w:t>
      </w:r>
      <w:r w:rsidR="00243154">
        <w:t>workflows as a se</w:t>
      </w:r>
      <w:r w:rsidR="00243154">
        <w:t>r</w:t>
      </w:r>
      <w:r w:rsidR="00243154">
        <w:t>vice</w:t>
      </w:r>
      <w:r w:rsidR="0042697E">
        <w:t>”</w:t>
      </w:r>
      <w:r w:rsidR="00243154">
        <w:t xml:space="preserve"> </w:t>
      </w:r>
      <w:r w:rsidR="00500A28">
        <w:t xml:space="preserve">is another area not supported through cloud services, and </w:t>
      </w:r>
      <w:r w:rsidR="00F03442">
        <w:t xml:space="preserve">an </w:t>
      </w:r>
      <w:r w:rsidR="00500A28">
        <w:t xml:space="preserve">area </w:t>
      </w:r>
      <w:r w:rsidR="00F03442">
        <w:t>that</w:t>
      </w:r>
      <w:r w:rsidR="00500A28">
        <w:t xml:space="preserve"> </w:t>
      </w:r>
      <w:r w:rsidR="00243154">
        <w:t xml:space="preserve">will </w:t>
      </w:r>
      <w:r w:rsidR="0042697E">
        <w:t>reap</w:t>
      </w:r>
      <w:r w:rsidR="00243154">
        <w:t xml:space="preserve"> the most tran</w:t>
      </w:r>
      <w:r w:rsidR="00243154">
        <w:t>s</w:t>
      </w:r>
      <w:r w:rsidR="00243154">
        <w:t xml:space="preserve">formative outcomes.  It is here that the national e-infrastructure must be shaped to deliver not only shared costs, but </w:t>
      </w:r>
      <w:r w:rsidR="0042697E">
        <w:t xml:space="preserve">also </w:t>
      </w:r>
      <w:r w:rsidR="00243154">
        <w:t xml:space="preserve">shared services (e.g., </w:t>
      </w:r>
      <w:r w:rsidR="0042697E">
        <w:t xml:space="preserve">like </w:t>
      </w:r>
      <w:r w:rsidR="00243154">
        <w:t xml:space="preserve">those </w:t>
      </w:r>
      <w:r w:rsidR="0042697E">
        <w:t>evolving</w:t>
      </w:r>
      <w:r w:rsidR="00243154">
        <w:t xml:space="preserve"> at NCI) that benefit universities, gover</w:t>
      </w:r>
      <w:r w:rsidR="00243154">
        <w:t>n</w:t>
      </w:r>
      <w:r w:rsidR="00243154">
        <w:t xml:space="preserve">ment agencies and industry alike.  </w:t>
      </w:r>
    </w:p>
    <w:p w14:paraId="5D5DF784" w14:textId="49E9012B" w:rsidR="008B30A1" w:rsidRPr="006F1093" w:rsidRDefault="008B30A1" w:rsidP="00331860">
      <w:pPr>
        <w:pStyle w:val="ListParagraph"/>
        <w:numPr>
          <w:ilvl w:val="0"/>
          <w:numId w:val="3"/>
        </w:numPr>
        <w:ind w:left="426"/>
      </w:pPr>
      <w:r w:rsidRPr="00331860">
        <w:rPr>
          <w:i/>
        </w:rPr>
        <w:t>Long-term confidence, trust and security</w:t>
      </w:r>
      <w:r w:rsidR="00331860">
        <w:rPr>
          <w:i/>
        </w:rPr>
        <w:t xml:space="preserve">:  </w:t>
      </w:r>
      <w:r w:rsidR="00DB2250">
        <w:t xml:space="preserve">High-end e-infrastructure is now pervasive across the </w:t>
      </w:r>
      <w:r w:rsidR="0042697E">
        <w:t xml:space="preserve">research and innovation </w:t>
      </w:r>
      <w:r w:rsidR="00DB2250">
        <w:t xml:space="preserve">spectrum, and the dependence on it has grown </w:t>
      </w:r>
      <w:r w:rsidR="0042697E">
        <w:t>such</w:t>
      </w:r>
      <w:r w:rsidR="00DB2250">
        <w:t xml:space="preserve"> that it is no longer an adjunct but a part of business-as-usual practice.  The need to ensure long-term confidence in operational continuity </w:t>
      </w:r>
      <w:r w:rsidR="001539A5">
        <w:t xml:space="preserve">and sustainability </w:t>
      </w:r>
      <w:r w:rsidR="00DB2250">
        <w:t xml:space="preserve">is important if </w:t>
      </w:r>
      <w:r w:rsidR="001539A5">
        <w:t xml:space="preserve">industry is to be attracted to a national e-infrastructure, as is the need for </w:t>
      </w:r>
      <w:proofErr w:type="spellStart"/>
      <w:proofErr w:type="gramStart"/>
      <w:r w:rsidR="001539A5">
        <w:t>a</w:t>
      </w:r>
      <w:proofErr w:type="spellEnd"/>
      <w:proofErr w:type="gramEnd"/>
      <w:r w:rsidR="001539A5">
        <w:t xml:space="preserve"> investment plan that is holistic in intent, and national in focus.  Trust in the service, and the security </w:t>
      </w:r>
      <w:r w:rsidR="001539A5">
        <w:lastRenderedPageBreak/>
        <w:t xml:space="preserve">and privacy of data (e.g., </w:t>
      </w:r>
      <w:r w:rsidR="00C24EF3">
        <w:t xml:space="preserve">for </w:t>
      </w:r>
      <w:r w:rsidR="001539A5">
        <w:t xml:space="preserve">medical data) and intellectual property, are critical </w:t>
      </w:r>
      <w:r w:rsidR="0042697E">
        <w:t>in</w:t>
      </w:r>
      <w:r w:rsidR="001539A5">
        <w:t xml:space="preserve"> foster</w:t>
      </w:r>
      <w:r w:rsidR="0042697E">
        <w:t>ing</w:t>
      </w:r>
      <w:r w:rsidR="001539A5">
        <w:t xml:space="preserve"> </w:t>
      </w:r>
      <w:proofErr w:type="gramStart"/>
      <w:r w:rsidR="001539A5">
        <w:t>an</w:t>
      </w:r>
      <w:proofErr w:type="gramEnd"/>
      <w:r w:rsidR="001539A5">
        <w:t xml:space="preserve"> </w:t>
      </w:r>
      <w:r w:rsidR="0070624D">
        <w:t>globally-</w:t>
      </w:r>
      <w:r w:rsidR="001539A5">
        <w:t>competitive infrastructure for nationally significant outcomes in which industry, agencies, and universities can feel confiden</w:t>
      </w:r>
      <w:r w:rsidR="0070624D">
        <w:t>t</w:t>
      </w:r>
      <w:r w:rsidR="001539A5">
        <w:t xml:space="preserve">. </w:t>
      </w:r>
      <w:r w:rsidR="0042697E">
        <w:t>P</w:t>
      </w:r>
      <w:r w:rsidR="001539A5">
        <w:t xml:space="preserve">rogress has </w:t>
      </w:r>
      <w:r w:rsidR="0070624D">
        <w:t xml:space="preserve">already </w:t>
      </w:r>
      <w:r w:rsidR="001539A5">
        <w:t xml:space="preserve">been made, but more is </w:t>
      </w:r>
      <w:r w:rsidR="0070624D">
        <w:t>needed</w:t>
      </w:r>
      <w:r w:rsidR="0042697E">
        <w:t xml:space="preserve"> order </w:t>
      </w:r>
      <w:r w:rsidR="001539A5">
        <w:t>to attain the “protected</w:t>
      </w:r>
      <w:r w:rsidR="0070624D">
        <w:t>-level</w:t>
      </w:r>
      <w:r w:rsidR="001539A5">
        <w:t xml:space="preserve">” status that will be </w:t>
      </w:r>
      <w:r w:rsidR="0042697E">
        <w:t>necessary</w:t>
      </w:r>
      <w:r w:rsidR="001539A5">
        <w:t xml:space="preserve">, with this having implications for </w:t>
      </w:r>
      <w:r w:rsidR="0042697E">
        <w:t xml:space="preserve">the cost of </w:t>
      </w:r>
      <w:r w:rsidR="001539A5">
        <w:t xml:space="preserve">recurrent </w:t>
      </w:r>
      <w:r w:rsidR="0042697E">
        <w:t>operations</w:t>
      </w:r>
      <w:r w:rsidR="001539A5">
        <w:t>.</w:t>
      </w:r>
    </w:p>
    <w:p w14:paraId="5FB63DD1" w14:textId="77777777" w:rsidR="00FD0786" w:rsidRDefault="008B30A1" w:rsidP="00FD0786">
      <w:pPr>
        <w:pStyle w:val="ListParagraph"/>
        <w:numPr>
          <w:ilvl w:val="0"/>
          <w:numId w:val="3"/>
        </w:numPr>
        <w:ind w:left="426"/>
        <w:rPr>
          <w:b/>
        </w:rPr>
      </w:pPr>
      <w:r w:rsidRPr="001539A5">
        <w:rPr>
          <w:i/>
        </w:rPr>
        <w:t>A national e-infrastructure str</w:t>
      </w:r>
      <w:r w:rsidR="00B45441" w:rsidRPr="001539A5">
        <w:rPr>
          <w:i/>
        </w:rPr>
        <w:t xml:space="preserve">ategy:  </w:t>
      </w:r>
      <w:r w:rsidR="00331860">
        <w:t>A</w:t>
      </w:r>
      <w:r w:rsidR="00B45441" w:rsidRPr="00331860">
        <w:t xml:space="preserve"> national governance framework</w:t>
      </w:r>
      <w:r w:rsidR="00331860">
        <w:t xml:space="preserve"> will</w:t>
      </w:r>
      <w:r w:rsidR="00B45441" w:rsidRPr="00331860">
        <w:t xml:space="preserve"> </w:t>
      </w:r>
      <w:r w:rsidR="00331860">
        <w:t xml:space="preserve">be </w:t>
      </w:r>
      <w:r w:rsidR="00B45441" w:rsidRPr="00331860">
        <w:t xml:space="preserve">required to </w:t>
      </w:r>
      <w:r w:rsidR="0042697E">
        <w:t xml:space="preserve">(a) </w:t>
      </w:r>
      <w:r w:rsidR="00B45441" w:rsidRPr="00331860">
        <w:t xml:space="preserve">lead the development of a 5–10 year </w:t>
      </w:r>
      <w:r w:rsidR="0042697E" w:rsidRPr="00331860">
        <w:t xml:space="preserve">strategic </w:t>
      </w:r>
      <w:r w:rsidR="00B45441" w:rsidRPr="00331860">
        <w:t xml:space="preserve">roadmap </w:t>
      </w:r>
      <w:r w:rsidR="0042697E">
        <w:t xml:space="preserve">for e-infrastructure and </w:t>
      </w:r>
      <w:r w:rsidR="00B45441" w:rsidRPr="00331860">
        <w:t>the integration of the component parts</w:t>
      </w:r>
      <w:r w:rsidR="00331860">
        <w:t xml:space="preserve">, </w:t>
      </w:r>
      <w:r w:rsidR="0042697E">
        <w:t>(b)</w:t>
      </w:r>
      <w:r w:rsidR="00331860">
        <w:t xml:space="preserve"> </w:t>
      </w:r>
      <w:r w:rsidR="0042697E">
        <w:t xml:space="preserve">to </w:t>
      </w:r>
      <w:r w:rsidR="00B45441" w:rsidRPr="00331860">
        <w:t>coordinate the participation of universities, gov</w:t>
      </w:r>
      <w:r w:rsidR="0042697E">
        <w:t xml:space="preserve">ernment agencies, and industry, and (c) to </w:t>
      </w:r>
      <w:r w:rsidR="00B45441" w:rsidRPr="00331860">
        <w:t>r</w:t>
      </w:r>
      <w:r w:rsidR="00B45441" w:rsidRPr="00331860">
        <w:t>e</w:t>
      </w:r>
      <w:r w:rsidR="00B45441" w:rsidRPr="00331860">
        <w:t>view progress towards the establishment of a national e-infrastructure</w:t>
      </w:r>
      <w:r w:rsidR="00331860">
        <w:t xml:space="preserve"> to deliver </w:t>
      </w:r>
      <w:r w:rsidR="0042697E">
        <w:t xml:space="preserve">shared services, </w:t>
      </w:r>
      <w:r w:rsidR="00331860">
        <w:t xml:space="preserve">shared outcomes, </w:t>
      </w:r>
      <w:r w:rsidR="0042697E">
        <w:t xml:space="preserve">and </w:t>
      </w:r>
      <w:r w:rsidR="00331860">
        <w:t>shared costs.</w:t>
      </w:r>
    </w:p>
    <w:p w14:paraId="17E1FFB7" w14:textId="6D6E5EF4" w:rsidR="00E8510D" w:rsidRPr="00FD0786" w:rsidRDefault="006235C9" w:rsidP="00FD0786">
      <w:pPr>
        <w:pStyle w:val="Heading1"/>
      </w:pPr>
      <w:r w:rsidRPr="00FD0786">
        <w:t xml:space="preserve">Background </w:t>
      </w:r>
    </w:p>
    <w:p w14:paraId="7BC7A208" w14:textId="1984C849" w:rsidR="00517BB7" w:rsidRDefault="00EC2CDF">
      <w:r>
        <w:rPr>
          <w:lang w:val="en-US"/>
        </w:rPr>
        <w:t>W</w:t>
      </w:r>
      <w:r w:rsidR="006235C9">
        <w:rPr>
          <w:lang w:val="en-US"/>
        </w:rPr>
        <w:t xml:space="preserve">orld-class research </w:t>
      </w:r>
      <w:r w:rsidR="00380A9E">
        <w:rPr>
          <w:lang w:val="en-US"/>
        </w:rPr>
        <w:t xml:space="preserve">and innovation </w:t>
      </w:r>
      <w:r w:rsidR="006235C9">
        <w:rPr>
          <w:lang w:val="en-US"/>
        </w:rPr>
        <w:t xml:space="preserve">requires </w:t>
      </w:r>
      <w:r w:rsidR="00380A9E">
        <w:rPr>
          <w:lang w:val="en-US"/>
        </w:rPr>
        <w:t xml:space="preserve">access to </w:t>
      </w:r>
      <w:r w:rsidR="006235C9">
        <w:rPr>
          <w:lang w:val="en-US"/>
        </w:rPr>
        <w:t>world-class research infrastructure, in which a world-class e-inf</w:t>
      </w:r>
      <w:r w:rsidR="00380A9E">
        <w:rPr>
          <w:lang w:val="en-US"/>
        </w:rPr>
        <w:t>rastructure is a core component</w:t>
      </w:r>
      <w:r w:rsidR="004A7F4C">
        <w:rPr>
          <w:lang w:val="en-US"/>
        </w:rPr>
        <w:t>,</w:t>
      </w:r>
      <w:r w:rsidR="006235C9">
        <w:rPr>
          <w:lang w:val="en-US"/>
        </w:rPr>
        <w:t xml:space="preserve"> and a key determinant of </w:t>
      </w:r>
      <w:r w:rsidR="00BA6912">
        <w:rPr>
          <w:lang w:val="en-US"/>
        </w:rPr>
        <w:t xml:space="preserve">international </w:t>
      </w:r>
      <w:r w:rsidR="006235C9">
        <w:rPr>
          <w:lang w:val="en-US"/>
        </w:rPr>
        <w:t xml:space="preserve">competitiveness.  </w:t>
      </w:r>
      <w:r w:rsidR="00675A8E">
        <w:t>Over r</w:t>
      </w:r>
      <w:r w:rsidR="00675A8E">
        <w:t>e</w:t>
      </w:r>
      <w:r w:rsidR="00675A8E">
        <w:t>cent decades</w:t>
      </w:r>
      <w:r w:rsidR="004C4F7B">
        <w:t>,</w:t>
      </w:r>
      <w:r w:rsidR="004A7F4C">
        <w:t xml:space="preserve"> there has been </w:t>
      </w:r>
      <w:r w:rsidR="00554428">
        <w:t>massive growth in computational</w:t>
      </w:r>
      <w:r w:rsidR="00517BB7">
        <w:t xml:space="preserve"> power and </w:t>
      </w:r>
      <w:r w:rsidR="00554428">
        <w:t>storage capability</w:t>
      </w:r>
      <w:r w:rsidR="00517BB7">
        <w:t xml:space="preserve">, </w:t>
      </w:r>
      <w:r w:rsidR="00554428">
        <w:t xml:space="preserve">and </w:t>
      </w:r>
      <w:r w:rsidR="00517BB7">
        <w:t>correspon</w:t>
      </w:r>
      <w:r w:rsidR="00517BB7">
        <w:t>d</w:t>
      </w:r>
      <w:r w:rsidR="00517BB7">
        <w:t>ingly</w:t>
      </w:r>
      <w:r w:rsidR="00675A8E">
        <w:t xml:space="preserve"> massive advances </w:t>
      </w:r>
      <w:r w:rsidR="00517BB7">
        <w:t xml:space="preserve">in </w:t>
      </w:r>
      <w:r w:rsidR="00675A8E">
        <w:t xml:space="preserve">our ability to </w:t>
      </w:r>
      <w:r w:rsidR="00517BB7">
        <w:t>harness these capabilities across the gamut of science and technology</w:t>
      </w:r>
      <w:r w:rsidR="00BA6912">
        <w:t>,</w:t>
      </w:r>
      <w:r w:rsidR="00380A9E">
        <w:t xml:space="preserve"> </w:t>
      </w:r>
      <w:r w:rsidR="004A7F4C">
        <w:t>simultaneously</w:t>
      </w:r>
      <w:r w:rsidR="007824CC">
        <w:t xml:space="preserve"> </w:t>
      </w:r>
      <w:r w:rsidR="00380A9E">
        <w:t>spawning</w:t>
      </w:r>
      <w:r w:rsidR="00675A8E">
        <w:t xml:space="preserve"> </w:t>
      </w:r>
      <w:r w:rsidR="00BA6912">
        <w:t xml:space="preserve">the </w:t>
      </w:r>
      <w:r w:rsidR="00675A8E">
        <w:t xml:space="preserve">new </w:t>
      </w:r>
      <w:r w:rsidR="00BA6912">
        <w:t xml:space="preserve">disciplines and </w:t>
      </w:r>
      <w:r w:rsidR="00675A8E">
        <w:t xml:space="preserve">methodologies </w:t>
      </w:r>
      <w:r w:rsidR="00380A9E">
        <w:t xml:space="preserve">of </w:t>
      </w:r>
      <w:r w:rsidR="00675A8E">
        <w:t xml:space="preserve">computational and data-intensive science.  </w:t>
      </w:r>
      <w:r w:rsidR="00380A9E">
        <w:t>The collective</w:t>
      </w:r>
      <w:r w:rsidR="00675A8E">
        <w:t xml:space="preserve"> </w:t>
      </w:r>
      <w:r w:rsidR="00517BB7">
        <w:t xml:space="preserve">impact on knowledge </w:t>
      </w:r>
      <w:r w:rsidR="00380A9E">
        <w:t>discovery</w:t>
      </w:r>
      <w:r w:rsidR="00BA6912">
        <w:t>,</w:t>
      </w:r>
      <w:r w:rsidR="00380A9E">
        <w:t xml:space="preserve"> </w:t>
      </w:r>
      <w:r w:rsidR="00517BB7">
        <w:t>and its commercial and industrial</w:t>
      </w:r>
      <w:r w:rsidR="00380A9E">
        <w:t xml:space="preserve"> application</w:t>
      </w:r>
      <w:r w:rsidR="00BA6912">
        <w:t>,</w:t>
      </w:r>
      <w:r w:rsidR="00380A9E">
        <w:t xml:space="preserve"> </w:t>
      </w:r>
      <w:r w:rsidR="00675A8E">
        <w:t xml:space="preserve">is such that now 97% of </w:t>
      </w:r>
      <w:r w:rsidR="004C4F7B">
        <w:t xml:space="preserve">US </w:t>
      </w:r>
      <w:r w:rsidR="00675A8E">
        <w:t xml:space="preserve">companies that had adopted </w:t>
      </w:r>
      <w:r w:rsidR="00380A9E">
        <w:t xml:space="preserve">high-performance computing (HPC) </w:t>
      </w:r>
      <w:r w:rsidR="00675A8E">
        <w:t>believe</w:t>
      </w:r>
      <w:r w:rsidR="00380A9E">
        <w:t xml:space="preserve"> that they could no longer compe</w:t>
      </w:r>
      <w:r w:rsidR="00675A8E">
        <w:t xml:space="preserve">te or survive without it, according to a 2013 IDC </w:t>
      </w:r>
      <w:r w:rsidR="002F6638">
        <w:t>presentation</w:t>
      </w:r>
      <w:r w:rsidR="002F6638">
        <w:rPr>
          <w:rStyle w:val="FootnoteReference"/>
        </w:rPr>
        <w:footnoteReference w:id="6"/>
      </w:r>
      <w:r w:rsidR="00675A8E">
        <w:t xml:space="preserve">.  </w:t>
      </w:r>
      <w:r w:rsidR="00BA6912">
        <w:t>Its</w:t>
      </w:r>
      <w:r w:rsidR="00380A9E">
        <w:t xml:space="preserve"> bearing</w:t>
      </w:r>
      <w:r w:rsidR="00675A8E">
        <w:t xml:space="preserve"> on national economic co</w:t>
      </w:r>
      <w:r w:rsidR="00675A8E">
        <w:t>m</w:t>
      </w:r>
      <w:r w:rsidR="00675A8E">
        <w:t xml:space="preserve">petitiveness </w:t>
      </w:r>
      <w:r w:rsidR="00475E10">
        <w:t xml:space="preserve">is driving </w:t>
      </w:r>
      <w:r w:rsidR="004A7F4C">
        <w:t xml:space="preserve">the </w:t>
      </w:r>
      <w:r w:rsidR="00475E10">
        <w:t xml:space="preserve">massive investments in </w:t>
      </w:r>
      <w:r w:rsidR="00380A9E">
        <w:t>HPC</w:t>
      </w:r>
      <w:r w:rsidR="00475E10">
        <w:t xml:space="preserve"> in the USA, China, Japan, Europe</w:t>
      </w:r>
      <w:r w:rsidR="007824CC">
        <w:t xml:space="preserve"> and </w:t>
      </w:r>
      <w:r w:rsidR="004A7F4C">
        <w:t xml:space="preserve">most recently in </w:t>
      </w:r>
      <w:r w:rsidR="007824CC">
        <w:t>the UK</w:t>
      </w:r>
      <w:r w:rsidR="00475E10">
        <w:t xml:space="preserve">—in line with </w:t>
      </w:r>
      <w:r w:rsidR="004A7F4C">
        <w:t>the now</w:t>
      </w:r>
      <w:r w:rsidR="002F6638">
        <w:t xml:space="preserve"> the common </w:t>
      </w:r>
      <w:r w:rsidR="00475E10">
        <w:t>mantra</w:t>
      </w:r>
      <w:r w:rsidR="002F6638">
        <w:rPr>
          <w:rStyle w:val="FootnoteReference"/>
        </w:rPr>
        <w:footnoteReference w:id="7"/>
      </w:r>
      <w:r w:rsidR="00475E10">
        <w:t xml:space="preserve"> that “to outcompute is to outcompete”</w:t>
      </w:r>
      <w:r w:rsidR="00322070">
        <w:t>,</w:t>
      </w:r>
      <w:r w:rsidR="00475E10">
        <w:t xml:space="preserve"> evidenced by the </w:t>
      </w:r>
      <w:r w:rsidR="00322070">
        <w:t xml:space="preserve">increasing </w:t>
      </w:r>
      <w:r w:rsidR="00475E10">
        <w:t>number and performance of HPC systems in industry, government laboratories and universities in these countries</w:t>
      </w:r>
      <w:r w:rsidR="00380A9E">
        <w:t>/regions</w:t>
      </w:r>
      <w:r w:rsidR="00475E10">
        <w:t xml:space="preserve">.  </w:t>
      </w:r>
    </w:p>
    <w:p w14:paraId="0F98B361" w14:textId="02F95244" w:rsidR="00F65CAE" w:rsidRDefault="00380A9E" w:rsidP="00D76375">
      <w:r>
        <w:t>High-end computing</w:t>
      </w:r>
      <w:r w:rsidR="00475E10">
        <w:t xml:space="preserve"> is important to </w:t>
      </w:r>
      <w:r w:rsidR="004C4F7B">
        <w:t xml:space="preserve">advanced economies, including Australia’s, </w:t>
      </w:r>
      <w:r w:rsidR="00475E10">
        <w:t>be</w:t>
      </w:r>
      <w:r w:rsidR="00D76375">
        <w:t>cause it provides a 4–6 year advantage over that which is available from the commodity (cloud) marketplace. It enables vast</w:t>
      </w:r>
      <w:r w:rsidR="00F65CAE">
        <w:t xml:space="preserve">ly </w:t>
      </w:r>
      <w:r>
        <w:t>enhanced</w:t>
      </w:r>
      <w:r w:rsidR="00F65CAE">
        <w:t xml:space="preserve"> predictive power and reduces the time to market through model simulation</w:t>
      </w:r>
      <w:r w:rsidR="00D76375">
        <w:t xml:space="preserve">, </w:t>
      </w:r>
      <w:r>
        <w:t xml:space="preserve">enables the processing, mining and analysis of large and </w:t>
      </w:r>
      <w:r w:rsidR="00D76375">
        <w:t xml:space="preserve">complex data, and </w:t>
      </w:r>
      <w:r>
        <w:t>underpins</w:t>
      </w:r>
      <w:r w:rsidR="00D76375">
        <w:t xml:space="preserve"> </w:t>
      </w:r>
      <w:r>
        <w:t xml:space="preserve">research capabilities </w:t>
      </w:r>
      <w:r w:rsidR="00D76375">
        <w:t>in areas where physical exper</w:t>
      </w:r>
      <w:r w:rsidR="00D76375">
        <w:t>i</w:t>
      </w:r>
      <w:r w:rsidR="00D76375">
        <w:t xml:space="preserve">mentation is impossible, too costly, or too dangerous.  </w:t>
      </w:r>
    </w:p>
    <w:p w14:paraId="473BD3B4" w14:textId="3E66197B" w:rsidR="00D76375" w:rsidRDefault="00F65CAE" w:rsidP="00D76375">
      <w:r>
        <w:t xml:space="preserve">Australia has </w:t>
      </w:r>
      <w:r w:rsidR="008C0ADA">
        <w:t xml:space="preserve">made significant investments </w:t>
      </w:r>
      <w:r>
        <w:t>in world-class e-infrastructure and</w:t>
      </w:r>
      <w:r w:rsidR="000676F3">
        <w:t>,</w:t>
      </w:r>
      <w:r>
        <w:t xml:space="preserve"> in </w:t>
      </w:r>
      <w:r w:rsidR="00D76375">
        <w:t xml:space="preserve">the context of </w:t>
      </w:r>
      <w:r>
        <w:t>nation</w:t>
      </w:r>
      <w:r w:rsidR="000676F3">
        <w:t>al</w:t>
      </w:r>
      <w:r>
        <w:t xml:space="preserve"> HPC</w:t>
      </w:r>
      <w:r w:rsidR="00380A9E">
        <w:t>,</w:t>
      </w:r>
      <w:r>
        <w:t xml:space="preserve"> </w:t>
      </w:r>
      <w:r w:rsidR="00D76375">
        <w:t xml:space="preserve">through </w:t>
      </w:r>
      <w:r w:rsidR="000676F3">
        <w:t>the National Computational Infrastructure (</w:t>
      </w:r>
      <w:r w:rsidR="00D76375">
        <w:t>NCI</w:t>
      </w:r>
      <w:r w:rsidR="000676F3">
        <w:t>), is seeing benefits delivered</w:t>
      </w:r>
      <w:r w:rsidR="009C707D">
        <w:t>, now and into the future</w:t>
      </w:r>
      <w:r w:rsidR="008C0ADA">
        <w:t>,</w:t>
      </w:r>
      <w:r w:rsidR="000676F3">
        <w:t xml:space="preserve"> from research and innovation that have </w:t>
      </w:r>
      <w:r w:rsidR="00D76375">
        <w:t>tangible</w:t>
      </w:r>
      <w:r w:rsidR="00380A9E">
        <w:t xml:space="preserve"> economic, social </w:t>
      </w:r>
      <w:r w:rsidR="00D76375">
        <w:t>and environmental outcomes</w:t>
      </w:r>
      <w:r w:rsidR="00380A9E">
        <w:t xml:space="preserve"> in a range of areas including:</w:t>
      </w:r>
    </w:p>
    <w:p w14:paraId="5D35761B" w14:textId="5B5586A2" w:rsidR="00D76375" w:rsidRDefault="00322070" w:rsidP="00D76375">
      <w:pPr>
        <w:pStyle w:val="ListParagraph"/>
        <w:numPr>
          <w:ilvl w:val="0"/>
          <w:numId w:val="1"/>
        </w:numPr>
      </w:pPr>
      <w:r>
        <w:t>Advanced e</w:t>
      </w:r>
      <w:r w:rsidR="00D76375">
        <w:t xml:space="preserve">xtraction techniques for oil and gas—through </w:t>
      </w:r>
      <w:r w:rsidR="00A76C2A">
        <w:t xml:space="preserve">(a) </w:t>
      </w:r>
      <w:r w:rsidR="00D76375">
        <w:t xml:space="preserve">the determination of rock porosity using advanced pore modelling techniques, the business of an Australian start-up company </w:t>
      </w:r>
      <w:r w:rsidR="008C0ADA">
        <w:t>(</w:t>
      </w:r>
      <w:proofErr w:type="spellStart"/>
      <w:r w:rsidR="008C0ADA">
        <w:t>Lithicon</w:t>
      </w:r>
      <w:proofErr w:type="spellEnd"/>
      <w:r w:rsidR="008C0ADA">
        <w:t xml:space="preserve">) </w:t>
      </w:r>
      <w:r w:rsidR="00D76375">
        <w:t xml:space="preserve">sold to a US multinational </w:t>
      </w:r>
      <w:r w:rsidR="008C0ADA">
        <w:t xml:space="preserve">(FEI) </w:t>
      </w:r>
      <w:r w:rsidR="00D76375">
        <w:t xml:space="preserve">for $76M in 2014, and </w:t>
      </w:r>
      <w:r w:rsidR="00A76C2A">
        <w:t xml:space="preserve">(b) the </w:t>
      </w:r>
      <w:r w:rsidR="00D76375">
        <w:t xml:space="preserve">use of the </w:t>
      </w:r>
      <w:r w:rsidR="000676F3">
        <w:t xml:space="preserve">NCI </w:t>
      </w:r>
      <w:r w:rsidR="00D76375">
        <w:t xml:space="preserve">HPC facility under contract by a </w:t>
      </w:r>
      <w:r w:rsidR="00A76C2A">
        <w:t xml:space="preserve">leading </w:t>
      </w:r>
      <w:r w:rsidR="00D76375">
        <w:t>mining company</w:t>
      </w:r>
    </w:p>
    <w:p w14:paraId="6700E237" w14:textId="703F6C28" w:rsidR="00D76375" w:rsidRDefault="00A76C2A" w:rsidP="00D76375">
      <w:pPr>
        <w:pStyle w:val="ListParagraph"/>
        <w:numPr>
          <w:ilvl w:val="0"/>
          <w:numId w:val="1"/>
        </w:numPr>
      </w:pPr>
      <w:r>
        <w:t>Simulation p</w:t>
      </w:r>
      <w:r w:rsidR="00D76375">
        <w:t xml:space="preserve">rototypes for renewable energy technologies, e.g., </w:t>
      </w:r>
      <w:r w:rsidR="00322070">
        <w:t>optimised combustion and combu</w:t>
      </w:r>
      <w:r w:rsidR="00322070">
        <w:t>s</w:t>
      </w:r>
      <w:r w:rsidR="00322070">
        <w:t>tion chamber design for biodiesel fuel</w:t>
      </w:r>
    </w:p>
    <w:p w14:paraId="27F35437" w14:textId="3D22B5FE" w:rsidR="00D76375" w:rsidRDefault="00D76375" w:rsidP="00D76375">
      <w:pPr>
        <w:pStyle w:val="ListParagraph"/>
        <w:numPr>
          <w:ilvl w:val="0"/>
          <w:numId w:val="1"/>
        </w:numPr>
      </w:pPr>
      <w:r>
        <w:lastRenderedPageBreak/>
        <w:t>Adaptation to regional climate change (sea level rise, flooding</w:t>
      </w:r>
      <w:r w:rsidR="00D9518D">
        <w:t>) through</w:t>
      </w:r>
      <w:r>
        <w:t xml:space="preserve"> more accurate weather mo</w:t>
      </w:r>
      <w:r>
        <w:t>d</w:t>
      </w:r>
      <w:r>
        <w:t>els</w:t>
      </w:r>
      <w:r w:rsidR="00D9518D">
        <w:t xml:space="preserve"> (</w:t>
      </w:r>
      <w:r>
        <w:t xml:space="preserve">developed on </w:t>
      </w:r>
      <w:r w:rsidR="00A76C2A">
        <w:t xml:space="preserve">the NCI </w:t>
      </w:r>
      <w:r>
        <w:t xml:space="preserve">research </w:t>
      </w:r>
      <w:r w:rsidR="004A7F4C">
        <w:t>supercomputer</w:t>
      </w:r>
      <w:r w:rsidR="00D9518D">
        <w:t xml:space="preserve">) that will </w:t>
      </w:r>
      <w:r w:rsidR="00DF2D10">
        <w:t xml:space="preserve">help </w:t>
      </w:r>
      <w:r>
        <w:t xml:space="preserve">reduce economic losses (e.g., </w:t>
      </w:r>
      <w:r w:rsidR="004A7F4C">
        <w:t>avoid</w:t>
      </w:r>
      <w:r w:rsidR="00322070">
        <w:t xml:space="preserve"> production shutdowns such as </w:t>
      </w:r>
      <w:r>
        <w:t xml:space="preserve">mine closures), and </w:t>
      </w:r>
      <w:r w:rsidR="00D9518D">
        <w:t xml:space="preserve">which will </w:t>
      </w:r>
      <w:r>
        <w:t xml:space="preserve">mitigate </w:t>
      </w:r>
      <w:r w:rsidR="00D9518D">
        <w:t>risks</w:t>
      </w:r>
      <w:r>
        <w:t xml:space="preserve"> to human safety in e</w:t>
      </w:r>
      <w:r>
        <w:t>x</w:t>
      </w:r>
      <w:r>
        <w:t xml:space="preserve">treme weather </w:t>
      </w:r>
      <w:r w:rsidR="00D9518D">
        <w:t xml:space="preserve">events </w:t>
      </w:r>
      <w:r>
        <w:t>(e.g., cyclone inundation</w:t>
      </w:r>
      <w:r w:rsidR="00322070">
        <w:t xml:space="preserve"> modelling</w:t>
      </w:r>
      <w:r>
        <w:t xml:space="preserve">) </w:t>
      </w:r>
    </w:p>
    <w:p w14:paraId="3CF27B9A" w14:textId="4984335E" w:rsidR="00D76375" w:rsidRDefault="00A76C2A" w:rsidP="00D76375">
      <w:pPr>
        <w:pStyle w:val="ListParagraph"/>
        <w:numPr>
          <w:ilvl w:val="0"/>
          <w:numId w:val="1"/>
        </w:numPr>
      </w:pPr>
      <w:r>
        <w:t>Simulated d</w:t>
      </w:r>
      <w:r w:rsidR="00D76375">
        <w:t>esign of advanced m</w:t>
      </w:r>
      <w:r>
        <w:t xml:space="preserve">aterials (e.g., nanotechnology </w:t>
      </w:r>
      <w:r w:rsidR="00D76375">
        <w:t>toxicity testing)</w:t>
      </w:r>
    </w:p>
    <w:p w14:paraId="3D7C9092" w14:textId="6D00B3D1" w:rsidR="00D76375" w:rsidRDefault="00D76375" w:rsidP="00D76375">
      <w:pPr>
        <w:pStyle w:val="ListParagraph"/>
        <w:numPr>
          <w:ilvl w:val="0"/>
          <w:numId w:val="1"/>
        </w:numPr>
      </w:pPr>
      <w:r>
        <w:t>Economic gains in agriculture by modelling the recharging of aquifers in flood runoffs</w:t>
      </w:r>
      <w:r w:rsidR="00DF2D10">
        <w:t xml:space="preserve"> (</w:t>
      </w:r>
      <w:r>
        <w:t>made possible through</w:t>
      </w:r>
      <w:r w:rsidR="008C0ADA">
        <w:t xml:space="preserve"> use of</w:t>
      </w:r>
      <w:r>
        <w:t xml:space="preserve"> land topology and vegetation data derived from satellite </w:t>
      </w:r>
      <w:r w:rsidR="008C0ADA">
        <w:t>imagery</w:t>
      </w:r>
      <w:r w:rsidR="00DF2D10">
        <w:t>), and advances in</w:t>
      </w:r>
      <w:r w:rsidR="00322070">
        <w:t xml:space="preserve"> world</w:t>
      </w:r>
      <w:r w:rsidR="00DF2D10">
        <w:t xml:space="preserve"> food security through </w:t>
      </w:r>
      <w:r w:rsidR="00322070">
        <w:t xml:space="preserve">computational simulation that is enhancing </w:t>
      </w:r>
      <w:r w:rsidR="00DF2D10">
        <w:t xml:space="preserve">the efficiency of the enzyme </w:t>
      </w:r>
      <w:r w:rsidR="00D9518D">
        <w:t xml:space="preserve">that </w:t>
      </w:r>
      <w:r w:rsidR="00322070">
        <w:t>control</w:t>
      </w:r>
      <w:r w:rsidR="00D9518D">
        <w:t xml:space="preserve">s </w:t>
      </w:r>
      <w:r w:rsidR="00322070">
        <w:t>photosynthesis in grains</w:t>
      </w:r>
    </w:p>
    <w:p w14:paraId="6EC311C5" w14:textId="6DEC48EA" w:rsidR="00D76375" w:rsidRDefault="008C0ADA" w:rsidP="00D76375">
      <w:pPr>
        <w:pStyle w:val="ListParagraph"/>
        <w:numPr>
          <w:ilvl w:val="0"/>
          <w:numId w:val="1"/>
        </w:numPr>
      </w:pPr>
      <w:r>
        <w:t>Underpinning</w:t>
      </w:r>
      <w:r w:rsidR="00A76C2A">
        <w:t xml:space="preserve"> </w:t>
      </w:r>
      <w:r w:rsidR="00DF2D10">
        <w:t>a</w:t>
      </w:r>
      <w:r w:rsidR="00A76C2A">
        <w:t xml:space="preserve"> </w:t>
      </w:r>
      <w:r>
        <w:t xml:space="preserve">future </w:t>
      </w:r>
      <w:r w:rsidR="00A76C2A">
        <w:t xml:space="preserve">transition </w:t>
      </w:r>
      <w:r w:rsidR="00D76375">
        <w:t>to personalised medicine</w:t>
      </w:r>
      <w:r w:rsidR="00D76375" w:rsidRPr="0025518D">
        <w:t xml:space="preserve"> </w:t>
      </w:r>
      <w:r w:rsidR="00D76375">
        <w:t xml:space="preserve">based on </w:t>
      </w:r>
      <w:r w:rsidR="009C707D">
        <w:t xml:space="preserve">whole </w:t>
      </w:r>
      <w:r w:rsidR="00D76375">
        <w:t>human genome data, pr</w:t>
      </w:r>
      <w:r w:rsidR="00D76375">
        <w:t>o</w:t>
      </w:r>
      <w:r w:rsidR="00D76375">
        <w:t>cessed with high-throughput</w:t>
      </w:r>
      <w:r>
        <w:t>/high-performance</w:t>
      </w:r>
      <w:r w:rsidR="00D76375">
        <w:t xml:space="preserve"> computing—with </w:t>
      </w:r>
      <w:r w:rsidR="00A76C2A">
        <w:t>potentially large</w:t>
      </w:r>
      <w:r w:rsidR="00D76375">
        <w:t xml:space="preserve"> savings </w:t>
      </w:r>
      <w:r w:rsidR="00A76C2A">
        <w:t xml:space="preserve">for future </w:t>
      </w:r>
      <w:r w:rsidR="00D76375">
        <w:t>national health budget</w:t>
      </w:r>
      <w:r w:rsidR="00A76C2A">
        <w:t>s</w:t>
      </w:r>
    </w:p>
    <w:p w14:paraId="04E17A7A" w14:textId="54963937" w:rsidR="000676F3" w:rsidRDefault="00D76375">
      <w:r>
        <w:t xml:space="preserve">These examples span usage by industry directly, </w:t>
      </w:r>
      <w:r w:rsidR="00FC1241">
        <w:t>the science agencies of government (</w:t>
      </w:r>
      <w:r w:rsidR="00D9518D">
        <w:t xml:space="preserve">particularly, </w:t>
      </w:r>
      <w:r w:rsidR="00FC1241">
        <w:t xml:space="preserve">CSIRO, BoM, and GA), and university research sponsored by </w:t>
      </w:r>
      <w:r w:rsidR="008D3510">
        <w:t xml:space="preserve">either by </w:t>
      </w:r>
      <w:r w:rsidR="00FC1241">
        <w:t xml:space="preserve">industry </w:t>
      </w:r>
      <w:r w:rsidR="00DF2D10">
        <w:t xml:space="preserve">funding or the industry </w:t>
      </w:r>
      <w:r w:rsidR="00FC1241">
        <w:t>linkage pr</w:t>
      </w:r>
      <w:r w:rsidR="00FC1241">
        <w:t>o</w:t>
      </w:r>
      <w:r w:rsidR="00FC1241">
        <w:t>gram</w:t>
      </w:r>
      <w:r w:rsidR="008D3510">
        <w:t>s</w:t>
      </w:r>
      <w:r w:rsidR="00FC1241">
        <w:t xml:space="preserve"> of the national research funding councils.</w:t>
      </w:r>
      <w:r w:rsidR="00322070">
        <w:t xml:space="preserve"> </w:t>
      </w:r>
      <w:r w:rsidR="008D3510">
        <w:t xml:space="preserve">Coincidently, these also </w:t>
      </w:r>
      <w:r w:rsidR="00DF2D10">
        <w:t xml:space="preserve">span a </w:t>
      </w:r>
      <w:r w:rsidR="00363CA5">
        <w:t xml:space="preserve">number </w:t>
      </w:r>
      <w:r w:rsidR="00DF2D10">
        <w:t xml:space="preserve">of the priorities </w:t>
      </w:r>
      <w:r w:rsidR="00363CA5">
        <w:t>e</w:t>
      </w:r>
      <w:r w:rsidR="00363CA5">
        <w:t>m</w:t>
      </w:r>
      <w:r w:rsidR="00363CA5">
        <w:t>bodied in the Industry Growth Centres announced by the Prime Minister and the Minister for Industry in O</w:t>
      </w:r>
      <w:r w:rsidR="00363CA5">
        <w:t>c</w:t>
      </w:r>
      <w:r w:rsidR="00363CA5">
        <w:t xml:space="preserve">tober 2014.  </w:t>
      </w:r>
      <w:r w:rsidR="00FC1241">
        <w:t xml:space="preserve">In each </w:t>
      </w:r>
      <w:r w:rsidR="000676F3">
        <w:t>case</w:t>
      </w:r>
      <w:r w:rsidR="00FC1241">
        <w:t xml:space="preserve">, the investment by </w:t>
      </w:r>
      <w:r w:rsidR="00A76C2A">
        <w:t>the Australian G</w:t>
      </w:r>
      <w:r w:rsidR="00FC1241">
        <w:t>overnment in high-</w:t>
      </w:r>
      <w:r w:rsidR="00322070">
        <w:t>performance</w:t>
      </w:r>
      <w:r w:rsidR="00FC1241">
        <w:t xml:space="preserve"> computational and data infrastructure through </w:t>
      </w:r>
      <w:r w:rsidR="00A76C2A">
        <w:t xml:space="preserve">its </w:t>
      </w:r>
      <w:r w:rsidR="00FC1241">
        <w:t>national research infrastructure strategy has been successful</w:t>
      </w:r>
      <w:r w:rsidR="000676F3">
        <w:t xml:space="preserve"> and benef</w:t>
      </w:r>
      <w:r w:rsidR="000676F3">
        <w:t>i</w:t>
      </w:r>
      <w:r w:rsidR="000676F3">
        <w:t>cial</w:t>
      </w:r>
      <w:r w:rsidR="00FC1241">
        <w:t>, and</w:t>
      </w:r>
      <w:r w:rsidR="000676F3">
        <w:t xml:space="preserve">, in some cases, </w:t>
      </w:r>
      <w:r w:rsidR="00FC1241">
        <w:t>transformational</w:t>
      </w:r>
      <w:r w:rsidR="00363CA5">
        <w:t xml:space="preserve"> to advancing research and innovation that yields economic </w:t>
      </w:r>
      <w:r w:rsidR="00322070">
        <w:t>and/</w:t>
      </w:r>
      <w:r w:rsidR="00363CA5">
        <w:t>or commercial outcomes</w:t>
      </w:r>
      <w:r w:rsidR="00FC1241">
        <w:t xml:space="preserve">.  </w:t>
      </w:r>
    </w:p>
    <w:p w14:paraId="12141607" w14:textId="0B95E183" w:rsidR="00CE2C8B" w:rsidRDefault="00322070">
      <w:r>
        <w:t>Yet</w:t>
      </w:r>
      <w:r w:rsidR="00FC1241">
        <w:t xml:space="preserve"> the </w:t>
      </w:r>
      <w:r w:rsidR="004D0556">
        <w:t xml:space="preserve">potential </w:t>
      </w:r>
      <w:r w:rsidR="00FC1241">
        <w:t xml:space="preserve">transformative effect </w:t>
      </w:r>
      <w:r w:rsidR="004D0556">
        <w:t xml:space="preserve">of </w:t>
      </w:r>
      <w:r w:rsidR="00DF2D10">
        <w:t xml:space="preserve">the </w:t>
      </w:r>
      <w:r w:rsidR="004D0556">
        <w:t xml:space="preserve">investments in e-infrastructure </w:t>
      </w:r>
      <w:r w:rsidR="00FC1241">
        <w:t>on commercial and industry ou</w:t>
      </w:r>
      <w:r w:rsidR="00FC1241">
        <w:t>t</w:t>
      </w:r>
      <w:r w:rsidR="00FC1241">
        <w:t>comes is limited by</w:t>
      </w:r>
      <w:r w:rsidR="004D0556">
        <w:t xml:space="preserve"> </w:t>
      </w:r>
      <w:r w:rsidR="000676F3">
        <w:t>some</w:t>
      </w:r>
      <w:r w:rsidR="004D0556">
        <w:t xml:space="preserve"> </w:t>
      </w:r>
      <w:r w:rsidR="00FC1241">
        <w:t xml:space="preserve">barriers </w:t>
      </w:r>
      <w:r w:rsidR="000676F3">
        <w:t xml:space="preserve">that we now consider. Some of these may be addressed </w:t>
      </w:r>
      <w:r w:rsidR="00CE2C8B">
        <w:t xml:space="preserve">in the </w:t>
      </w:r>
      <w:r w:rsidR="008D3510">
        <w:t>current</w:t>
      </w:r>
      <w:r w:rsidR="00CE2C8B">
        <w:t xml:space="preserve"> rea</w:t>
      </w:r>
      <w:r w:rsidR="00CE2C8B">
        <w:t>s</w:t>
      </w:r>
      <w:r w:rsidR="00CE2C8B">
        <w:t>sessment of research infrastructure provision</w:t>
      </w:r>
      <w:r w:rsidR="008D3510">
        <w:t>,</w:t>
      </w:r>
      <w:r w:rsidR="00CE2C8B">
        <w:t xml:space="preserve"> and the development of the </w:t>
      </w:r>
      <w:r w:rsidR="008D3510">
        <w:t>future</w:t>
      </w:r>
      <w:r w:rsidR="00CE2C8B">
        <w:t xml:space="preserve"> </w:t>
      </w:r>
      <w:r w:rsidR="000676F3">
        <w:t xml:space="preserve">research infrastructure </w:t>
      </w:r>
      <w:r w:rsidR="00CE2C8B">
        <w:t>roadmap</w:t>
      </w:r>
      <w:r w:rsidR="000676F3">
        <w:t xml:space="preserve">, while others </w:t>
      </w:r>
      <w:r w:rsidR="00DF2D10">
        <w:t>will</w:t>
      </w:r>
      <w:r w:rsidR="000676F3">
        <w:t xml:space="preserve"> require new bridges to be established between industry and the research sector, perhaps with </w:t>
      </w:r>
      <w:r>
        <w:t xml:space="preserve">assistance from </w:t>
      </w:r>
      <w:r w:rsidR="000676F3">
        <w:t xml:space="preserve">programs </w:t>
      </w:r>
      <w:r w:rsidR="008D3510">
        <w:t>of</w:t>
      </w:r>
      <w:r w:rsidR="00A76C2A">
        <w:t xml:space="preserve"> </w:t>
      </w:r>
      <w:r w:rsidR="000676F3">
        <w:t>the Department of Industry</w:t>
      </w:r>
      <w:r w:rsidR="00A76C2A">
        <w:t>.</w:t>
      </w:r>
    </w:p>
    <w:p w14:paraId="4D49CD14" w14:textId="5B8A3B82" w:rsidR="00FC1241" w:rsidRPr="00CE2C8B" w:rsidRDefault="00CE2C8B" w:rsidP="00FD0786">
      <w:pPr>
        <w:pStyle w:val="Heading1"/>
      </w:pPr>
      <w:r w:rsidRPr="00CE2C8B">
        <w:t xml:space="preserve">Issues </w:t>
      </w:r>
      <w:r w:rsidR="00A76C2A">
        <w:t>for consideration</w:t>
      </w:r>
    </w:p>
    <w:p w14:paraId="575845FC" w14:textId="2C5B5F2E" w:rsidR="00CE2C8B" w:rsidRPr="004B5A24" w:rsidRDefault="00212F2F">
      <w:pPr>
        <w:rPr>
          <w:i/>
        </w:rPr>
      </w:pPr>
      <w:r w:rsidRPr="004B5A24">
        <w:rPr>
          <w:i/>
        </w:rPr>
        <w:t xml:space="preserve">Skills, </w:t>
      </w:r>
      <w:r w:rsidR="00CE2C8B" w:rsidRPr="004B5A24">
        <w:rPr>
          <w:i/>
        </w:rPr>
        <w:t>Training</w:t>
      </w:r>
      <w:r w:rsidRPr="004B5A24">
        <w:rPr>
          <w:i/>
        </w:rPr>
        <w:t xml:space="preserve"> and the “Missing Middle”</w:t>
      </w:r>
    </w:p>
    <w:p w14:paraId="7B4115F0" w14:textId="15B33BDE" w:rsidR="00212F2F" w:rsidRDefault="008009D4">
      <w:r>
        <w:t>Wherever</w:t>
      </w:r>
      <w:r w:rsidR="00CE2C8B">
        <w:t xml:space="preserve"> there exists a </w:t>
      </w:r>
      <w:r>
        <w:t>strong</w:t>
      </w:r>
      <w:r w:rsidR="00CE2C8B">
        <w:t xml:space="preserve"> relationship between research and </w:t>
      </w:r>
      <w:r w:rsidR="000676F3">
        <w:t xml:space="preserve">commercially/economically </w:t>
      </w:r>
      <w:r w:rsidR="00CE2C8B">
        <w:t>measurable outcomes</w:t>
      </w:r>
      <w:r w:rsidR="000676F3">
        <w:t xml:space="preserve"> </w:t>
      </w:r>
      <w:r w:rsidR="00597CCF">
        <w:t xml:space="preserve">that is </w:t>
      </w:r>
      <w:r w:rsidR="008D3510">
        <w:t>advanced</w:t>
      </w:r>
      <w:r w:rsidR="00CE2C8B">
        <w:t xml:space="preserve"> by </w:t>
      </w:r>
      <w:r w:rsidR="000676F3">
        <w:t xml:space="preserve">access to </w:t>
      </w:r>
      <w:r w:rsidR="00CE2C8B">
        <w:t xml:space="preserve">high-end </w:t>
      </w:r>
      <w:r w:rsidR="000676F3">
        <w:t>e-</w:t>
      </w:r>
      <w:r w:rsidR="00CE2C8B">
        <w:t xml:space="preserve">infrastructure, there exists a </w:t>
      </w:r>
      <w:r>
        <w:t xml:space="preserve">continuous </w:t>
      </w:r>
      <w:r w:rsidR="00CE2C8B">
        <w:t>bridge</w:t>
      </w:r>
      <w:r>
        <w:t xml:space="preserve"> of skills</w:t>
      </w:r>
      <w:r w:rsidR="00CE2C8B">
        <w:t xml:space="preserve"> </w:t>
      </w:r>
      <w:r w:rsidR="000676F3">
        <w:t>between the</w:t>
      </w:r>
      <w:r w:rsidR="00CE2C8B">
        <w:t xml:space="preserve"> </w:t>
      </w:r>
      <w:r>
        <w:t xml:space="preserve">core </w:t>
      </w:r>
      <w:r w:rsidR="00CE2C8B">
        <w:t>expertise</w:t>
      </w:r>
      <w:r w:rsidR="000676F3">
        <w:t xml:space="preserve"> </w:t>
      </w:r>
      <w:r>
        <w:t xml:space="preserve">of the industry, the </w:t>
      </w:r>
      <w:r w:rsidR="000676F3">
        <w:t xml:space="preserve">research </w:t>
      </w:r>
      <w:r>
        <w:t>team that is driving the innovation (whether it be within the company or external to it)</w:t>
      </w:r>
      <w:r w:rsidR="008D3510">
        <w:t>,</w:t>
      </w:r>
      <w:r>
        <w:t xml:space="preserve"> and </w:t>
      </w:r>
      <w:r w:rsidR="000676F3">
        <w:t xml:space="preserve">the </w:t>
      </w:r>
      <w:r>
        <w:t>e-</w:t>
      </w:r>
      <w:r w:rsidR="000676F3">
        <w:t>infrastructure provider</w:t>
      </w:r>
      <w:r w:rsidR="00CE2C8B">
        <w:t xml:space="preserve">.  This is the case for </w:t>
      </w:r>
      <w:r>
        <w:t>large, mature companies</w:t>
      </w:r>
      <w:r w:rsidR="00DF2D10">
        <w:t xml:space="preserve"> that </w:t>
      </w:r>
      <w:r w:rsidR="00CE2C8B">
        <w:t xml:space="preserve">have </w:t>
      </w:r>
      <w:r>
        <w:t xml:space="preserve">the necessary </w:t>
      </w:r>
      <w:r w:rsidR="00CE2C8B">
        <w:t>critical mass of expertise</w:t>
      </w:r>
      <w:r w:rsidR="000676F3">
        <w:t xml:space="preserve"> </w:t>
      </w:r>
      <w:r w:rsidR="008D3510">
        <w:t>in-</w:t>
      </w:r>
      <w:r>
        <w:t>house</w:t>
      </w:r>
      <w:r w:rsidR="00CE2C8B">
        <w:t xml:space="preserve">, </w:t>
      </w:r>
      <w:r>
        <w:t xml:space="preserve">or </w:t>
      </w:r>
      <w:r w:rsidR="00CE2C8B">
        <w:t xml:space="preserve">for start-up companies </w:t>
      </w:r>
      <w:r w:rsidR="000676F3">
        <w:t>that</w:t>
      </w:r>
      <w:r w:rsidR="00CE2C8B">
        <w:t xml:space="preserve"> have evolved </w:t>
      </w:r>
      <w:r w:rsidR="00BA1E5F">
        <w:t xml:space="preserve">in </w:t>
      </w:r>
      <w:r w:rsidR="00DF2D10">
        <w:t>an</w:t>
      </w:r>
      <w:r>
        <w:t xml:space="preserve"> </w:t>
      </w:r>
      <w:r w:rsidR="00BA1E5F">
        <w:t xml:space="preserve">expertise-rich environment </w:t>
      </w:r>
      <w:r>
        <w:t xml:space="preserve">of </w:t>
      </w:r>
      <w:r w:rsidR="008D3510">
        <w:t>a research institution</w:t>
      </w:r>
      <w:r w:rsidR="00DF2D10">
        <w:t>,</w:t>
      </w:r>
      <w:r>
        <w:t xml:space="preserve"> supported by access to strong e-infrastructure </w:t>
      </w:r>
      <w:r w:rsidR="00212F2F">
        <w:t xml:space="preserve">and </w:t>
      </w:r>
      <w:r w:rsidR="008D3510">
        <w:t xml:space="preserve">the </w:t>
      </w:r>
      <w:r w:rsidR="00212F2F">
        <w:t>associated expertise</w:t>
      </w:r>
      <w:r w:rsidR="00CE2C8B">
        <w:t xml:space="preserve">.  </w:t>
      </w:r>
    </w:p>
    <w:p w14:paraId="2C43F3B6" w14:textId="77E19392" w:rsidR="00212F2F" w:rsidRDefault="00CE2C8B">
      <w:r>
        <w:t xml:space="preserve">However, for </w:t>
      </w:r>
      <w:r w:rsidR="000676F3">
        <w:t xml:space="preserve">many </w:t>
      </w:r>
      <w:r>
        <w:t xml:space="preserve">small and medium enterprises, the </w:t>
      </w:r>
      <w:r w:rsidR="008009D4">
        <w:t xml:space="preserve">lack </w:t>
      </w:r>
      <w:r>
        <w:t xml:space="preserve">of </w:t>
      </w:r>
      <w:r w:rsidR="008009D4">
        <w:t>core</w:t>
      </w:r>
      <w:r>
        <w:t xml:space="preserve"> </w:t>
      </w:r>
      <w:r w:rsidR="008009D4">
        <w:t>expertise</w:t>
      </w:r>
      <w:r>
        <w:t xml:space="preserve"> </w:t>
      </w:r>
      <w:r w:rsidR="00DF2D10">
        <w:t xml:space="preserve">in the use of the e-infrastructure </w:t>
      </w:r>
      <w:r w:rsidR="00BA1E5F">
        <w:t xml:space="preserve">is telling, and the </w:t>
      </w:r>
      <w:r>
        <w:t xml:space="preserve">skills gap </w:t>
      </w:r>
      <w:r w:rsidR="00BA1E5F">
        <w:t xml:space="preserve">between their </w:t>
      </w:r>
      <w:r w:rsidR="008009D4">
        <w:t xml:space="preserve">internal capacity </w:t>
      </w:r>
      <w:r w:rsidR="00BA1E5F">
        <w:t xml:space="preserve">and that </w:t>
      </w:r>
      <w:r w:rsidR="008009D4">
        <w:t xml:space="preserve">which is </w:t>
      </w:r>
      <w:r w:rsidR="00BA1E5F">
        <w:t>required to</w:t>
      </w:r>
      <w:r w:rsidR="00207955">
        <w:t xml:space="preserve"> </w:t>
      </w:r>
      <w:r w:rsidR="00BA1E5F">
        <w:t>access major</w:t>
      </w:r>
      <w:r w:rsidR="00312E96">
        <w:t xml:space="preserve"> e-infrastructure</w:t>
      </w:r>
      <w:r w:rsidR="008009D4">
        <w:t xml:space="preserve">, and particularly </w:t>
      </w:r>
      <w:r w:rsidR="00DF2D10">
        <w:t xml:space="preserve">the </w:t>
      </w:r>
      <w:r w:rsidR="008009D4">
        <w:t>HPC facilities (e.g., for engineering simulation and modelling</w:t>
      </w:r>
      <w:r w:rsidR="00DF2D10">
        <w:t xml:space="preserve"> that is r</w:t>
      </w:r>
      <w:r w:rsidR="00DF2D10">
        <w:t>e</w:t>
      </w:r>
      <w:r w:rsidR="00DF2D10">
        <w:t>quired in advanced manufacturing</w:t>
      </w:r>
      <w:r w:rsidR="008009D4">
        <w:t>)</w:t>
      </w:r>
      <w:r w:rsidR="00312E96">
        <w:t>,</w:t>
      </w:r>
      <w:r w:rsidR="00BA1E5F">
        <w:t xml:space="preserve"> is a real barrier to uptake</w:t>
      </w:r>
      <w:r w:rsidR="00312E96">
        <w:t>, and to the realisation of their vision</w:t>
      </w:r>
      <w:r w:rsidR="008A33D1">
        <w:t xml:space="preserve"> or goals</w:t>
      </w:r>
      <w:r w:rsidR="00BA1E5F">
        <w:t>.</w:t>
      </w:r>
      <w:r w:rsidR="00212F2F">
        <w:t xml:space="preserve"> </w:t>
      </w:r>
    </w:p>
    <w:p w14:paraId="131279CC" w14:textId="180C7A15" w:rsidR="00212F2F" w:rsidRDefault="00BA1E5F" w:rsidP="001F070F">
      <w:r>
        <w:lastRenderedPageBreak/>
        <w:t xml:space="preserve">This was a principal concern noted in the </w:t>
      </w:r>
      <w:r w:rsidR="00312E96">
        <w:t xml:space="preserve">influential </w:t>
      </w:r>
      <w:r>
        <w:t>Tildesley Report</w:t>
      </w:r>
      <w:r w:rsidR="00212F2F">
        <w:rPr>
          <w:rStyle w:val="FootnoteReference"/>
        </w:rPr>
        <w:footnoteReference w:id="8"/>
      </w:r>
      <w:r>
        <w:t xml:space="preserve"> (</w:t>
      </w:r>
      <w:r w:rsidR="008A33D1">
        <w:t xml:space="preserve">“A Strategic Vision for a UK E-infrastructure”, </w:t>
      </w:r>
      <w:r>
        <w:t xml:space="preserve">2011) </w:t>
      </w:r>
      <w:r w:rsidR="008A33D1">
        <w:t>commissioned by</w:t>
      </w:r>
      <w:r>
        <w:t xml:space="preserve"> the UK Government </w:t>
      </w:r>
      <w:r w:rsidR="00C60737">
        <w:t>in response</w:t>
      </w:r>
      <w:r w:rsidR="00015864">
        <w:t xml:space="preserve"> </w:t>
      </w:r>
      <w:r w:rsidR="00C60737">
        <w:t>to growing concerns that the UK was being “left behind”</w:t>
      </w:r>
      <w:r w:rsidR="008A33D1">
        <w:t xml:space="preserve"> in </w:t>
      </w:r>
      <w:r w:rsidR="00363CA5">
        <w:t xml:space="preserve">the use of </w:t>
      </w:r>
      <w:proofErr w:type="spellStart"/>
      <w:r w:rsidR="008A33D1">
        <w:t>eScience</w:t>
      </w:r>
      <w:proofErr w:type="spellEnd"/>
      <w:r w:rsidR="008A33D1">
        <w:t>/e-infrastructure</w:t>
      </w:r>
      <w:r w:rsidR="00363CA5">
        <w:t xml:space="preserve"> technologies</w:t>
      </w:r>
      <w:r>
        <w:t xml:space="preserve">. </w:t>
      </w:r>
      <w:r w:rsidR="00212F2F">
        <w:t>This was further emphasised in the subsequent report</w:t>
      </w:r>
      <w:r w:rsidR="00212F2F">
        <w:rPr>
          <w:rStyle w:val="FootnoteReference"/>
        </w:rPr>
        <w:footnoteReference w:id="9"/>
      </w:r>
      <w:r w:rsidR="00212F2F">
        <w:t xml:space="preserve"> of the UK e-Infrastructure Leadership Council one year on, and the </w:t>
      </w:r>
      <w:r w:rsidR="001F070F">
        <w:t xml:space="preserve">report of the </w:t>
      </w:r>
      <w:proofErr w:type="spellStart"/>
      <w:r w:rsidR="001F070F">
        <w:t>eScience</w:t>
      </w:r>
      <w:proofErr w:type="spellEnd"/>
      <w:r w:rsidR="001F070F">
        <w:t xml:space="preserve"> Le</w:t>
      </w:r>
      <w:r w:rsidR="00212F2F">
        <w:t>ad</w:t>
      </w:r>
      <w:r w:rsidR="001F070F">
        <w:t>er</w:t>
      </w:r>
      <w:r w:rsidR="00212F2F">
        <w:t xml:space="preserve">ship Council’s Working Group on </w:t>
      </w:r>
      <w:r w:rsidR="001F070F">
        <w:t>Engineering and Manufacturing</w:t>
      </w:r>
      <w:bookmarkStart w:id="1" w:name="_Ref403127184"/>
      <w:r w:rsidR="001F070F">
        <w:rPr>
          <w:rStyle w:val="FootnoteReference"/>
        </w:rPr>
        <w:footnoteReference w:id="10"/>
      </w:r>
      <w:bookmarkEnd w:id="1"/>
      <w:r w:rsidR="001F070F">
        <w:t xml:space="preserve"> which identified the “missing mi</w:t>
      </w:r>
      <w:r w:rsidR="001F070F">
        <w:t>d</w:t>
      </w:r>
      <w:r w:rsidR="001F070F">
        <w:t>dle” as the gap between scientific research (</w:t>
      </w:r>
      <w:r w:rsidR="008D3510">
        <w:t xml:space="preserve">e.g., </w:t>
      </w:r>
      <w:r w:rsidR="001F070F">
        <w:t>in academe) and its commercial exploitation and spin-out companies.  The survey of UK manufacturing industry</w:t>
      </w:r>
      <w:r w:rsidR="003A132B">
        <w:t xml:space="preserve">, </w:t>
      </w:r>
      <w:r w:rsidR="001F070F">
        <w:t xml:space="preserve">undertaken in the </w:t>
      </w:r>
      <w:r w:rsidR="003A132B">
        <w:t xml:space="preserve">preparation </w:t>
      </w:r>
      <w:r w:rsidR="001F070F">
        <w:t>of reference</w:t>
      </w:r>
      <w:r w:rsidR="003A132B">
        <w:t xml:space="preserve"> </w:t>
      </w:r>
      <w:r w:rsidR="008C0ADA">
        <w:t>[</w:t>
      </w:r>
      <w:r w:rsidR="008C0ADA">
        <w:fldChar w:fldCharType="begin"/>
      </w:r>
      <w:r w:rsidR="008C0ADA">
        <w:instrText xml:space="preserve"> NOTEREF _Ref403127184 \h </w:instrText>
      </w:r>
      <w:r w:rsidR="008C0ADA">
        <w:fldChar w:fldCharType="separate"/>
      </w:r>
      <w:r w:rsidR="001B54C6">
        <w:t>10</w:t>
      </w:r>
      <w:r w:rsidR="008C0ADA">
        <w:fldChar w:fldCharType="end"/>
      </w:r>
      <w:r w:rsidR="001F070F">
        <w:t>]</w:t>
      </w:r>
      <w:r w:rsidR="003A132B">
        <w:t>,</w:t>
      </w:r>
      <w:r w:rsidR="001F070F">
        <w:t xml:space="preserve"> demonstrated not only a concerning lack of awareness of the availability of publicly-funded e-infrastructure in the 10% of firms that responded, but an even more concerning lack of awareness by the 90% of recipients whi</w:t>
      </w:r>
      <w:r w:rsidR="003A132B">
        <w:t xml:space="preserve">ch did not respond, </w:t>
      </w:r>
      <w:r w:rsidR="001F070F">
        <w:t xml:space="preserve">and which </w:t>
      </w:r>
      <w:r w:rsidR="003A132B">
        <w:t xml:space="preserve">was attributed to these firms not perceiving the survey was applicable to them, or not being able to engage with the survey because of a lack of knowledge.  </w:t>
      </w:r>
    </w:p>
    <w:p w14:paraId="20F21195" w14:textId="07F24E0C" w:rsidR="00207955" w:rsidRDefault="00696A1D">
      <w:r>
        <w:t xml:space="preserve">In order to accelerate the </w:t>
      </w:r>
      <w:r w:rsidR="00B36C29">
        <w:t xml:space="preserve">translation of ideas </w:t>
      </w:r>
      <w:r>
        <w:t xml:space="preserve">to products </w:t>
      </w:r>
      <w:r w:rsidR="00363CA5">
        <w:t>(</w:t>
      </w:r>
      <w:r w:rsidR="007824CC">
        <w:t xml:space="preserve">e.g., </w:t>
      </w:r>
      <w:r w:rsidR="00363CA5">
        <w:t xml:space="preserve">via </w:t>
      </w:r>
      <w:r w:rsidR="008A33D1">
        <w:t>prototype simulation)</w:t>
      </w:r>
      <w:r w:rsidR="003A132B">
        <w:t xml:space="preserve">, </w:t>
      </w:r>
      <w:r w:rsidR="00312E96">
        <w:t xml:space="preserve">it was recognised </w:t>
      </w:r>
      <w:r>
        <w:t xml:space="preserve">in the UK </w:t>
      </w:r>
      <w:r w:rsidR="00312E96">
        <w:t>that</w:t>
      </w:r>
      <w:r w:rsidR="00207955">
        <w:t xml:space="preserve"> </w:t>
      </w:r>
      <w:r w:rsidR="003A132B">
        <w:t xml:space="preserve">software and data </w:t>
      </w:r>
      <w:r w:rsidR="00207955">
        <w:t xml:space="preserve">“on-ramps” for industry, in the form of expertise centres </w:t>
      </w:r>
      <w:r w:rsidR="00312E96">
        <w:t>to</w:t>
      </w:r>
      <w:r w:rsidR="00207955">
        <w:t xml:space="preserve"> </w:t>
      </w:r>
      <w:r w:rsidR="003A132B">
        <w:t xml:space="preserve">build awareness and </w:t>
      </w:r>
      <w:r w:rsidR="00207955">
        <w:t xml:space="preserve">provide a one-stop shop for access to </w:t>
      </w:r>
      <w:r w:rsidR="00312E96">
        <w:t>the e-</w:t>
      </w:r>
      <w:r w:rsidR="00207955">
        <w:t xml:space="preserve">infrastructure, software and expertise (e.g., in computational manufacturing technologies) </w:t>
      </w:r>
      <w:r w:rsidR="008A33D1">
        <w:t>would be</w:t>
      </w:r>
      <w:r w:rsidR="00207955">
        <w:t xml:space="preserve"> required.  </w:t>
      </w:r>
      <w:r w:rsidR="002E211A">
        <w:t xml:space="preserve">The UK can point to various </w:t>
      </w:r>
      <w:r w:rsidR="00207955">
        <w:t>activities</w:t>
      </w:r>
      <w:r w:rsidR="003A132B">
        <w:t xml:space="preserve"> </w:t>
      </w:r>
      <w:r w:rsidR="002E211A">
        <w:t xml:space="preserve">(not all co-ordinated </w:t>
      </w:r>
      <w:r>
        <w:t xml:space="preserve">centrally </w:t>
      </w:r>
      <w:r w:rsidR="002E211A">
        <w:t xml:space="preserve">by government) </w:t>
      </w:r>
      <w:r w:rsidR="003A132B">
        <w:t>over the years</w:t>
      </w:r>
      <w:r w:rsidR="00312E96">
        <w:t>, some in economically-</w:t>
      </w:r>
      <w:r w:rsidR="00015864">
        <w:t xml:space="preserve">depressed areas (e.g., </w:t>
      </w:r>
      <w:r>
        <w:t xml:space="preserve">in </w:t>
      </w:r>
      <w:r w:rsidR="00015864">
        <w:t xml:space="preserve">Wales, </w:t>
      </w:r>
      <w:r w:rsidR="00207955">
        <w:t>Scotland</w:t>
      </w:r>
      <w:r w:rsidR="00015864">
        <w:t xml:space="preserve">, and </w:t>
      </w:r>
      <w:r>
        <w:t>most recently</w:t>
      </w:r>
      <w:r w:rsidR="00015864">
        <w:t xml:space="preserve"> Northern Ireland</w:t>
      </w:r>
      <w:r>
        <w:t>)</w:t>
      </w:r>
      <w:r w:rsidR="00207955">
        <w:t xml:space="preserve"> </w:t>
      </w:r>
      <w:r w:rsidR="008A33D1">
        <w:t xml:space="preserve">that have been </w:t>
      </w:r>
      <w:r w:rsidR="00207955">
        <w:t xml:space="preserve">funded by the </w:t>
      </w:r>
      <w:r w:rsidR="008A33D1">
        <w:t xml:space="preserve">British </w:t>
      </w:r>
      <w:r w:rsidR="002E211A">
        <w:t xml:space="preserve">Government </w:t>
      </w:r>
      <w:r w:rsidR="008A33D1">
        <w:t xml:space="preserve">and </w:t>
      </w:r>
      <w:r w:rsidR="002E211A">
        <w:t>the E</w:t>
      </w:r>
      <w:r>
        <w:t>uropean Commi</w:t>
      </w:r>
      <w:r>
        <w:t>s</w:t>
      </w:r>
      <w:r>
        <w:t>sion</w:t>
      </w:r>
      <w:r w:rsidR="00207955">
        <w:t xml:space="preserve">, </w:t>
      </w:r>
      <w:r w:rsidR="007824CC">
        <w:t>together with</w:t>
      </w:r>
      <w:r w:rsidR="008A33D1">
        <w:t xml:space="preserve"> </w:t>
      </w:r>
      <w:r w:rsidR="00207955">
        <w:t xml:space="preserve">its premier </w:t>
      </w:r>
      <w:proofErr w:type="spellStart"/>
      <w:r w:rsidR="00207955">
        <w:t>Hartree</w:t>
      </w:r>
      <w:proofErr w:type="spellEnd"/>
      <w:r w:rsidR="00207955">
        <w:t xml:space="preserve"> Centre (Science and Technology Facilities Council)</w:t>
      </w:r>
      <w:r w:rsidR="008A33D1">
        <w:t>,</w:t>
      </w:r>
      <w:r w:rsidR="00207955">
        <w:t xml:space="preserve"> which provides an internationally significant infrastructure and skills base </w:t>
      </w:r>
      <w:r w:rsidR="00312E96">
        <w:t>that has</w:t>
      </w:r>
      <w:r w:rsidR="00207955">
        <w:t xml:space="preserve"> a strong focus on industry</w:t>
      </w:r>
      <w:r w:rsidR="008A33D1">
        <w:t xml:space="preserve"> and economic ou</w:t>
      </w:r>
      <w:r w:rsidR="008A33D1">
        <w:t>t</w:t>
      </w:r>
      <w:r w:rsidR="008A33D1">
        <w:t>comes</w:t>
      </w:r>
      <w:r w:rsidR="00207955">
        <w:t xml:space="preserve">. </w:t>
      </w:r>
    </w:p>
    <w:p w14:paraId="56716F27" w14:textId="76562A83" w:rsidR="00155883" w:rsidRDefault="003A132B" w:rsidP="00BA77EF">
      <w:r>
        <w:t xml:space="preserve">Almost certainly, </w:t>
      </w:r>
      <w:r w:rsidR="00696A1D">
        <w:t xml:space="preserve">comparable </w:t>
      </w:r>
      <w:r w:rsidR="003745E2">
        <w:t xml:space="preserve">initiatives </w:t>
      </w:r>
      <w:r w:rsidR="00363CA5">
        <w:t xml:space="preserve">will </w:t>
      </w:r>
      <w:r w:rsidR="00173AC9">
        <w:t xml:space="preserve">be </w:t>
      </w:r>
      <w:r w:rsidR="003745E2">
        <w:t>need</w:t>
      </w:r>
      <w:r w:rsidR="00173AC9">
        <w:t>ed</w:t>
      </w:r>
      <w:r w:rsidR="002E211A">
        <w:t xml:space="preserve"> in</w:t>
      </w:r>
      <w:r w:rsidR="003745E2">
        <w:t xml:space="preserve"> Australia </w:t>
      </w:r>
      <w:r w:rsidR="002E211A">
        <w:t xml:space="preserve">if we are </w:t>
      </w:r>
      <w:r w:rsidR="00207955">
        <w:t xml:space="preserve">to address </w:t>
      </w:r>
      <w:r w:rsidR="003745E2">
        <w:t xml:space="preserve">corresponding </w:t>
      </w:r>
      <w:r w:rsidR="00207955">
        <w:t>pro</w:t>
      </w:r>
      <w:r w:rsidR="00207955">
        <w:t>b</w:t>
      </w:r>
      <w:r w:rsidR="00207955">
        <w:t>lems</w:t>
      </w:r>
      <w:r w:rsidR="00696A1D">
        <w:t>,</w:t>
      </w:r>
      <w:r>
        <w:t xml:space="preserve"> and </w:t>
      </w:r>
      <w:r w:rsidR="002E211A">
        <w:t xml:space="preserve">support key themes, </w:t>
      </w:r>
      <w:r w:rsidR="00696A1D">
        <w:t xml:space="preserve">e.g., </w:t>
      </w:r>
      <w:r w:rsidR="002E211A">
        <w:t xml:space="preserve">those associated with the Industry Growth Centres.  The </w:t>
      </w:r>
      <w:r w:rsidR="00696A1D">
        <w:t>capacity</w:t>
      </w:r>
      <w:r w:rsidR="002E211A">
        <w:t xml:space="preserve"> to </w:t>
      </w:r>
      <w:r w:rsidR="00696A1D">
        <w:t>i</w:t>
      </w:r>
      <w:r w:rsidR="00696A1D">
        <w:t>m</w:t>
      </w:r>
      <w:r w:rsidR="00696A1D">
        <w:t>plement</w:t>
      </w:r>
      <w:r w:rsidR="002E211A">
        <w:t xml:space="preserve"> </w:t>
      </w:r>
      <w:r w:rsidR="00696A1D">
        <w:t>“</w:t>
      </w:r>
      <w:r w:rsidR="002E211A">
        <w:t>awareness</w:t>
      </w:r>
      <w:r w:rsidR="00696A1D">
        <w:t>” programs</w:t>
      </w:r>
      <w:r w:rsidR="002E211A">
        <w:t>, and scale up the expertise base, is quite limited within the</w:t>
      </w:r>
      <w:r w:rsidR="00E15F85">
        <w:t xml:space="preserve"> </w:t>
      </w:r>
      <w:r w:rsidR="00BA77EF">
        <w:t>current</w:t>
      </w:r>
      <w:r w:rsidR="00155883">
        <w:t xml:space="preserve"> research infrastructure funding arrangements </w:t>
      </w:r>
      <w:r w:rsidR="00E15F85">
        <w:t xml:space="preserve">for </w:t>
      </w:r>
      <w:r w:rsidR="00696A1D">
        <w:t xml:space="preserve">the </w:t>
      </w:r>
      <w:r w:rsidR="00155883">
        <w:t>national HPC facilities</w:t>
      </w:r>
      <w:r w:rsidR="002E211A">
        <w:t xml:space="preserve">, </w:t>
      </w:r>
      <w:r w:rsidR="00155883">
        <w:t xml:space="preserve">which </w:t>
      </w:r>
      <w:r w:rsidR="00BA77EF">
        <w:t xml:space="preserve">are </w:t>
      </w:r>
      <w:r w:rsidR="00155883">
        <w:t xml:space="preserve">required to raise the bulk of their recurrent funding through </w:t>
      </w:r>
      <w:r w:rsidR="002E211A">
        <w:t xml:space="preserve">partner (universities and science agencies) </w:t>
      </w:r>
      <w:r w:rsidR="00155883">
        <w:t>co-investment</w:t>
      </w:r>
      <w:r w:rsidR="002E211A">
        <w:t>.  These arrang</w:t>
      </w:r>
      <w:r w:rsidR="002E211A">
        <w:t>e</w:t>
      </w:r>
      <w:r w:rsidR="002E211A">
        <w:t xml:space="preserve">ments leave </w:t>
      </w:r>
      <w:r w:rsidR="00BA77EF">
        <w:t xml:space="preserve">little latitude with which to </w:t>
      </w:r>
      <w:r w:rsidR="00155883">
        <w:t>boost</w:t>
      </w:r>
      <w:r w:rsidR="00BA77EF">
        <w:t xml:space="preserve"> </w:t>
      </w:r>
      <w:r w:rsidR="00155883">
        <w:t>indust</w:t>
      </w:r>
      <w:r w:rsidR="00363CA5">
        <w:t>ry</w:t>
      </w:r>
      <w:r w:rsidR="002E211A">
        <w:t xml:space="preserve"> uptake</w:t>
      </w:r>
      <w:r w:rsidR="00363CA5">
        <w:t xml:space="preserve">, particularly </w:t>
      </w:r>
      <w:r w:rsidR="002E211A">
        <w:t xml:space="preserve">from the </w:t>
      </w:r>
      <w:r w:rsidR="00363CA5">
        <w:t>SME</w:t>
      </w:r>
      <w:r w:rsidR="002E211A">
        <w:t xml:space="preserve"> sector</w:t>
      </w:r>
      <w:r w:rsidR="00363CA5">
        <w:t xml:space="preserve">, </w:t>
      </w:r>
      <w:r w:rsidR="00155883">
        <w:t xml:space="preserve">since the funding base is </w:t>
      </w:r>
      <w:r w:rsidR="00BA77EF">
        <w:t xml:space="preserve">both stretched and significantly </w:t>
      </w:r>
      <w:r w:rsidR="003745E2">
        <w:t>prioritised</w:t>
      </w:r>
      <w:r w:rsidR="00C157F4">
        <w:t xml:space="preserve"> by virtue of its source</w:t>
      </w:r>
      <w:r w:rsidR="00155883">
        <w:t xml:space="preserve">. Depending on the outcomes of this consultation, it is </w:t>
      </w:r>
      <w:r w:rsidR="00696A1D">
        <w:t>likely</w:t>
      </w:r>
      <w:r w:rsidR="00155883">
        <w:t xml:space="preserve"> that </w:t>
      </w:r>
      <w:r w:rsidR="00E15F85">
        <w:t>“</w:t>
      </w:r>
      <w:r w:rsidR="00155883">
        <w:t>on-ramps</w:t>
      </w:r>
      <w:r w:rsidR="00E15F85">
        <w:t>”</w:t>
      </w:r>
      <w:r w:rsidR="00155883">
        <w:t xml:space="preserve"> will need to engage additional expertise in areas </w:t>
      </w:r>
      <w:r w:rsidR="00696A1D">
        <w:t xml:space="preserve">of priority in </w:t>
      </w:r>
      <w:r w:rsidR="00E15F85">
        <w:t xml:space="preserve">industry, </w:t>
      </w:r>
      <w:r w:rsidR="00155883">
        <w:t xml:space="preserve">combined with business development capabilities </w:t>
      </w:r>
      <w:r w:rsidR="00696A1D">
        <w:t xml:space="preserve">in these centres through which </w:t>
      </w:r>
      <w:r w:rsidR="00155883">
        <w:t xml:space="preserve">to build bridges.  </w:t>
      </w:r>
      <w:r w:rsidR="00E15F85">
        <w:t>The effective</w:t>
      </w:r>
      <w:r w:rsidR="00155883">
        <w:t xml:space="preserve"> use of monies </w:t>
      </w:r>
      <w:r w:rsidR="00696A1D">
        <w:t>suggests</w:t>
      </w:r>
      <w:r w:rsidR="00E15F85">
        <w:t xml:space="preserve"> </w:t>
      </w:r>
      <w:r w:rsidR="00155883">
        <w:t xml:space="preserve">that expertise </w:t>
      </w:r>
      <w:r w:rsidR="00696A1D">
        <w:t>needs to</w:t>
      </w:r>
      <w:r w:rsidR="00C157F4">
        <w:t xml:space="preserve"> </w:t>
      </w:r>
      <w:r w:rsidR="00155883">
        <w:t xml:space="preserve">be concentrated around </w:t>
      </w:r>
      <w:r w:rsidR="00C157F4">
        <w:t xml:space="preserve">the </w:t>
      </w:r>
      <w:r w:rsidR="00155883">
        <w:t xml:space="preserve">HPC facilities </w:t>
      </w:r>
      <w:r w:rsidR="00696A1D">
        <w:t>in o</w:t>
      </w:r>
      <w:r w:rsidR="00696A1D">
        <w:t>r</w:t>
      </w:r>
      <w:r w:rsidR="00696A1D">
        <w:t xml:space="preserve">der to </w:t>
      </w:r>
      <w:r w:rsidR="00EA26F0">
        <w:t xml:space="preserve">build </w:t>
      </w:r>
      <w:r w:rsidR="00155883">
        <w:t>critical mass</w:t>
      </w:r>
      <w:r w:rsidR="00E15F85">
        <w:t xml:space="preserve"> and </w:t>
      </w:r>
      <w:r w:rsidR="00EA26F0">
        <w:t xml:space="preserve">ensure </w:t>
      </w:r>
      <w:r w:rsidR="00E15F85">
        <w:t>skills diversity</w:t>
      </w:r>
      <w:r w:rsidR="00155883">
        <w:t xml:space="preserve">, </w:t>
      </w:r>
      <w:r w:rsidR="00E15F85">
        <w:t xml:space="preserve">and </w:t>
      </w:r>
      <w:r w:rsidR="00155883">
        <w:t xml:space="preserve">yet </w:t>
      </w:r>
      <w:r w:rsidR="00E15F85">
        <w:t xml:space="preserve">be </w:t>
      </w:r>
      <w:r w:rsidR="00155883">
        <w:t xml:space="preserve">mobile </w:t>
      </w:r>
      <w:r w:rsidR="00EA26F0">
        <w:t>from this base</w:t>
      </w:r>
      <w:r w:rsidR="00696A1D">
        <w:t>(s)</w:t>
      </w:r>
      <w:r w:rsidR="00EA26F0">
        <w:t xml:space="preserve"> </w:t>
      </w:r>
      <w:r w:rsidR="00E15F85">
        <w:t xml:space="preserve">to drive </w:t>
      </w:r>
      <w:r w:rsidR="00696A1D">
        <w:t xml:space="preserve">the </w:t>
      </w:r>
      <w:r w:rsidR="00155883">
        <w:t xml:space="preserve">technical engagement </w:t>
      </w:r>
      <w:r w:rsidR="00C157F4">
        <w:t>with industry</w:t>
      </w:r>
      <w:r w:rsidR="00EA26F0">
        <w:t xml:space="preserve">.  </w:t>
      </w:r>
    </w:p>
    <w:p w14:paraId="05935335" w14:textId="76C82435" w:rsidR="00EA26F0" w:rsidRDefault="00207955" w:rsidP="00207955">
      <w:r>
        <w:t xml:space="preserve">Compounding the </w:t>
      </w:r>
      <w:r w:rsidR="00155883">
        <w:t xml:space="preserve">problems </w:t>
      </w:r>
      <w:r w:rsidR="00C157F4">
        <w:t xml:space="preserve">in </w:t>
      </w:r>
      <w:r w:rsidR="00EA26F0">
        <w:t xml:space="preserve">building </w:t>
      </w:r>
      <w:r w:rsidR="00155883">
        <w:t xml:space="preserve">engagement with industry </w:t>
      </w:r>
      <w:r>
        <w:t xml:space="preserve">is a </w:t>
      </w:r>
      <w:r w:rsidR="00155883">
        <w:t xml:space="preserve">general </w:t>
      </w:r>
      <w:r w:rsidR="00EA26F0">
        <w:t xml:space="preserve">shortage of </w:t>
      </w:r>
      <w:r>
        <w:t xml:space="preserve">skills </w:t>
      </w:r>
      <w:r w:rsidR="00155883">
        <w:t xml:space="preserve">in </w:t>
      </w:r>
      <w:proofErr w:type="spellStart"/>
      <w:r w:rsidR="00155883">
        <w:t>eSc</w:t>
      </w:r>
      <w:r w:rsidR="00155883">
        <w:t>i</w:t>
      </w:r>
      <w:r w:rsidR="00155883">
        <w:t>ence</w:t>
      </w:r>
      <w:proofErr w:type="spellEnd"/>
      <w:r w:rsidR="00155883">
        <w:t>/</w:t>
      </w:r>
      <w:proofErr w:type="spellStart"/>
      <w:r w:rsidR="00155883">
        <w:t>eResearch</w:t>
      </w:r>
      <w:proofErr w:type="spellEnd"/>
      <w:r w:rsidR="00155883">
        <w:t>/e-infrastructure capabilities</w:t>
      </w:r>
      <w:r>
        <w:t>, in Australia</w:t>
      </w:r>
      <w:r w:rsidR="00C60737">
        <w:t xml:space="preserve"> </w:t>
      </w:r>
      <w:r>
        <w:t>and internationally.  Many of the next-</w:t>
      </w:r>
      <w:r w:rsidR="00C60737">
        <w:t>generation</w:t>
      </w:r>
      <w:r>
        <w:t xml:space="preserve"> of jobs </w:t>
      </w:r>
      <w:r w:rsidR="00696A1D">
        <w:t>in</w:t>
      </w:r>
      <w:r w:rsidR="00C60737">
        <w:t xml:space="preserve"> research</w:t>
      </w:r>
      <w:r>
        <w:t xml:space="preserve"> and innovation,</w:t>
      </w:r>
      <w:r w:rsidR="00C60737">
        <w:t xml:space="preserve"> whether</w:t>
      </w:r>
      <w:r>
        <w:t xml:space="preserve"> </w:t>
      </w:r>
      <w:r w:rsidR="00155883">
        <w:t>they</w:t>
      </w:r>
      <w:r>
        <w:t xml:space="preserve"> be in industry, science agencies or academe</w:t>
      </w:r>
      <w:r w:rsidR="00EA26F0">
        <w:t>,</w:t>
      </w:r>
      <w:r>
        <w:t xml:space="preserve"> will require </w:t>
      </w:r>
      <w:r w:rsidR="00C60737">
        <w:t xml:space="preserve">much heightened </w:t>
      </w:r>
      <w:r>
        <w:t xml:space="preserve">computational and </w:t>
      </w:r>
      <w:r w:rsidR="00C60737">
        <w:t>data-intensive skills,</w:t>
      </w:r>
      <w:r w:rsidR="00C157F4">
        <w:t xml:space="preserve"> and</w:t>
      </w:r>
      <w:r w:rsidR="00C60737">
        <w:t xml:space="preserve"> particularly in the </w:t>
      </w:r>
      <w:r w:rsidR="00EA26F0">
        <w:t>context</w:t>
      </w:r>
      <w:r w:rsidR="00C60737">
        <w:t xml:space="preserve"> of the big data and data analytics</w:t>
      </w:r>
      <w:r w:rsidR="00C157F4">
        <w:t xml:space="preserve"> </w:t>
      </w:r>
      <w:r w:rsidR="00696A1D">
        <w:t>that</w:t>
      </w:r>
      <w:r w:rsidR="00C157F4">
        <w:t xml:space="preserve"> will drive </w:t>
      </w:r>
      <w:r w:rsidR="00696A1D">
        <w:t xml:space="preserve">a number of </w:t>
      </w:r>
      <w:r w:rsidR="00C157F4">
        <w:t>emergent industries</w:t>
      </w:r>
      <w:r w:rsidR="00C60737">
        <w:t xml:space="preserve">. </w:t>
      </w:r>
      <w:r w:rsidR="00696A1D">
        <w:t>P</w:t>
      </w:r>
      <w:r w:rsidR="00155883">
        <w:t xml:space="preserve">resent </w:t>
      </w:r>
      <w:r w:rsidR="00696A1D">
        <w:t xml:space="preserve">university </w:t>
      </w:r>
      <w:r w:rsidR="00155883">
        <w:t>curricul</w:t>
      </w:r>
      <w:r w:rsidR="00696A1D">
        <w:t>a</w:t>
      </w:r>
      <w:r w:rsidR="00155883">
        <w:t xml:space="preserve"> </w:t>
      </w:r>
      <w:r w:rsidR="00696A1D">
        <w:t>do</w:t>
      </w:r>
      <w:r w:rsidR="00155883">
        <w:t xml:space="preserve"> not generate suff</w:t>
      </w:r>
      <w:r w:rsidR="00155883">
        <w:t>i</w:t>
      </w:r>
      <w:r w:rsidR="00155883">
        <w:t xml:space="preserve">cient future staff for </w:t>
      </w:r>
      <w:r w:rsidR="00C157F4">
        <w:t xml:space="preserve">current organisations (e.g., </w:t>
      </w:r>
      <w:r w:rsidR="00EA26F0">
        <w:t>science agencies</w:t>
      </w:r>
      <w:r w:rsidR="00C157F4">
        <w:t>, universities, facilities such as NCI, etc.)</w:t>
      </w:r>
      <w:r w:rsidR="00155883">
        <w:t xml:space="preserve">, let alone for the </w:t>
      </w:r>
      <w:r w:rsidR="00C157F4">
        <w:t xml:space="preserve">likely future </w:t>
      </w:r>
      <w:r w:rsidR="00155883">
        <w:t>needs of Australian business, given international trends and the initiatives underway in advanced economies</w:t>
      </w:r>
      <w:r w:rsidR="00696A1D">
        <w:t>.</w:t>
      </w:r>
      <w:r w:rsidR="00155883">
        <w:t xml:space="preserve"> </w:t>
      </w:r>
    </w:p>
    <w:p w14:paraId="5B029778" w14:textId="1B9EA5CD" w:rsidR="00207955" w:rsidRDefault="00EA26F0" w:rsidP="00207955">
      <w:r>
        <w:lastRenderedPageBreak/>
        <w:t xml:space="preserve">Accordingly, there </w:t>
      </w:r>
      <w:r w:rsidR="00C157F4">
        <w:t xml:space="preserve">is </w:t>
      </w:r>
      <w:r w:rsidR="00B92573">
        <w:t>a</w:t>
      </w:r>
      <w:r w:rsidR="00D844DD">
        <w:t xml:space="preserve"> side</w:t>
      </w:r>
      <w:r>
        <w:t xml:space="preserve"> imperative </w:t>
      </w:r>
      <w:r w:rsidR="00B92573">
        <w:t xml:space="preserve">to foster the development of essential skills through </w:t>
      </w:r>
      <w:r>
        <w:t>changes to</w:t>
      </w:r>
      <w:r w:rsidR="007824CC">
        <w:t xml:space="preserve"> the</w:t>
      </w:r>
      <w:r>
        <w:t xml:space="preserve"> </w:t>
      </w:r>
      <w:r w:rsidR="00B92573">
        <w:t xml:space="preserve">undergraduate and postgraduate </w:t>
      </w:r>
      <w:r w:rsidR="007824CC">
        <w:t>science and technology curriculum</w:t>
      </w:r>
      <w:r w:rsidR="00B92573">
        <w:t xml:space="preserve">, </w:t>
      </w:r>
      <w:r w:rsidR="00696A1D">
        <w:t xml:space="preserve">including </w:t>
      </w:r>
      <w:r>
        <w:t xml:space="preserve">a heighted emphasis on </w:t>
      </w:r>
      <w:r w:rsidR="00B92573">
        <w:t>indu</w:t>
      </w:r>
      <w:r w:rsidR="00B92573">
        <w:t>s</w:t>
      </w:r>
      <w:r w:rsidR="00B92573">
        <w:t xml:space="preserve">try engagement.  In the UK, the Tildesley </w:t>
      </w:r>
      <w:r w:rsidR="00D844DD">
        <w:t>R</w:t>
      </w:r>
      <w:r w:rsidR="00B92573">
        <w:t xml:space="preserve">eport recommended the embedding of </w:t>
      </w:r>
      <w:proofErr w:type="spellStart"/>
      <w:r w:rsidR="00B92573">
        <w:t>eScience</w:t>
      </w:r>
      <w:proofErr w:type="spellEnd"/>
      <w:r w:rsidR="00B92573">
        <w:t xml:space="preserve"> training in all rel</w:t>
      </w:r>
      <w:r w:rsidR="00B92573">
        <w:t>e</w:t>
      </w:r>
      <w:r w:rsidR="00B92573">
        <w:t xml:space="preserve">vant doctoral training, and </w:t>
      </w:r>
      <w:r w:rsidR="00D844DD">
        <w:t xml:space="preserve">activities are underway to expand the scope of the UK’s </w:t>
      </w:r>
      <w:r w:rsidR="00B92573">
        <w:t xml:space="preserve">existing Doctoral Training Centres to include HPC and data-science training, as well as </w:t>
      </w:r>
      <w:r w:rsidR="00D844DD">
        <w:t xml:space="preserve">other activities to build </w:t>
      </w:r>
      <w:r w:rsidR="00B92573">
        <w:t>an awareness and ou</w:t>
      </w:r>
      <w:r w:rsidR="00A35D6D">
        <w:t>t</w:t>
      </w:r>
      <w:r w:rsidR="00A35D6D">
        <w:t>reach program for industry, SME</w:t>
      </w:r>
      <w:r w:rsidR="00B92573">
        <w:t xml:space="preserve">s and universities.  </w:t>
      </w:r>
    </w:p>
    <w:p w14:paraId="0C8AB900" w14:textId="77777777" w:rsidR="00207955" w:rsidRPr="004B5A24" w:rsidRDefault="00207955" w:rsidP="00FD0786">
      <w:pPr>
        <w:pStyle w:val="Heading2"/>
      </w:pPr>
      <w:r w:rsidRPr="004B5A24">
        <w:t xml:space="preserve">Software </w:t>
      </w:r>
    </w:p>
    <w:p w14:paraId="327D15EA" w14:textId="11ABA1F3" w:rsidR="00D844DD" w:rsidRDefault="00342575" w:rsidP="00207955">
      <w:r>
        <w:t>Software is a</w:t>
      </w:r>
      <w:r w:rsidR="002D1BC2">
        <w:t xml:space="preserve"> </w:t>
      </w:r>
      <w:r w:rsidR="00333DF8">
        <w:t xml:space="preserve">vital component </w:t>
      </w:r>
      <w:r w:rsidR="00C3779F">
        <w:t xml:space="preserve">in, </w:t>
      </w:r>
      <w:r w:rsidR="00333DF8">
        <w:t xml:space="preserve">and </w:t>
      </w:r>
      <w:r w:rsidR="00C3779F">
        <w:t xml:space="preserve">a </w:t>
      </w:r>
      <w:r w:rsidR="002D1BC2">
        <w:t xml:space="preserve">complex </w:t>
      </w:r>
      <w:r w:rsidR="00333DF8">
        <w:t xml:space="preserve">issue </w:t>
      </w:r>
      <w:r w:rsidR="002D1BC2">
        <w:t>for</w:t>
      </w:r>
      <w:r w:rsidR="00C3779F">
        <w:t>,</w:t>
      </w:r>
      <w:r w:rsidR="002D1BC2">
        <w:t xml:space="preserve"> all parts of the research and innovation spectrum.  </w:t>
      </w:r>
      <w:r w:rsidR="00D844DD">
        <w:t>S</w:t>
      </w:r>
      <w:r w:rsidR="002D1BC2">
        <w:t xml:space="preserve">ome industries embody </w:t>
      </w:r>
      <w:r w:rsidR="009679E9">
        <w:t xml:space="preserve">aspects of their </w:t>
      </w:r>
      <w:r w:rsidR="002D1BC2">
        <w:t xml:space="preserve">IP in </w:t>
      </w:r>
      <w:r w:rsidR="00C3779F">
        <w:t xml:space="preserve">software </w:t>
      </w:r>
      <w:r w:rsidR="002D1BC2">
        <w:t>code</w:t>
      </w:r>
      <w:r w:rsidR="00D844DD">
        <w:t>s</w:t>
      </w:r>
      <w:r w:rsidR="002D1BC2">
        <w:t xml:space="preserve"> that </w:t>
      </w:r>
      <w:r w:rsidR="00D844DD">
        <w:t xml:space="preserve">are </w:t>
      </w:r>
      <w:r w:rsidR="002D1BC2">
        <w:t xml:space="preserve">written in-house, </w:t>
      </w:r>
      <w:r w:rsidR="00D844DD">
        <w:t xml:space="preserve">although </w:t>
      </w:r>
      <w:r w:rsidR="00333DF8">
        <w:t xml:space="preserve">this practice </w:t>
      </w:r>
      <w:r w:rsidR="009679E9">
        <w:t xml:space="preserve">tends to </w:t>
      </w:r>
      <w:r w:rsidR="00363CA5">
        <w:t xml:space="preserve">be </w:t>
      </w:r>
      <w:r w:rsidR="00D844DD">
        <w:t xml:space="preserve">restricted </w:t>
      </w:r>
      <w:r w:rsidR="00333DF8">
        <w:t xml:space="preserve">largely </w:t>
      </w:r>
      <w:r w:rsidR="00D844DD">
        <w:t xml:space="preserve">to </w:t>
      </w:r>
      <w:r w:rsidR="009679E9">
        <w:t xml:space="preserve">either </w:t>
      </w:r>
      <w:r w:rsidR="002D1BC2">
        <w:t xml:space="preserve">substantial, mature corporations that have the </w:t>
      </w:r>
      <w:r w:rsidR="00D844DD">
        <w:t xml:space="preserve">full range of </w:t>
      </w:r>
      <w:r w:rsidR="002D1BC2">
        <w:t>skills</w:t>
      </w:r>
      <w:r w:rsidR="00D844DD">
        <w:t xml:space="preserve"> in-house</w:t>
      </w:r>
      <w:r w:rsidR="002D1BC2">
        <w:t xml:space="preserve">, or </w:t>
      </w:r>
      <w:r w:rsidR="00D844DD">
        <w:t xml:space="preserve">to start-up companies </w:t>
      </w:r>
      <w:r w:rsidR="002D1BC2">
        <w:t xml:space="preserve">that manifest </w:t>
      </w:r>
      <w:r w:rsidR="009679E9">
        <w:t xml:space="preserve">their </w:t>
      </w:r>
      <w:r w:rsidR="00D844DD">
        <w:t xml:space="preserve">IP </w:t>
      </w:r>
      <w:r w:rsidR="002D1BC2">
        <w:t xml:space="preserve">in a software product. For the majority of industry, </w:t>
      </w:r>
      <w:r w:rsidR="00D844DD">
        <w:t xml:space="preserve">however, </w:t>
      </w:r>
      <w:r w:rsidR="002D1BC2">
        <w:t xml:space="preserve">the software </w:t>
      </w:r>
      <w:r w:rsidR="00D844DD">
        <w:t xml:space="preserve">that is used </w:t>
      </w:r>
      <w:r w:rsidR="002D1BC2">
        <w:t xml:space="preserve">is either </w:t>
      </w:r>
      <w:r w:rsidR="00D844DD">
        <w:t>open source</w:t>
      </w:r>
      <w:r w:rsidR="00C3779F">
        <w:t>,</w:t>
      </w:r>
      <w:r w:rsidR="00D844DD">
        <w:t xml:space="preserve"> or from a (commercial) </w:t>
      </w:r>
      <w:r w:rsidR="002D1BC2">
        <w:t>independent software ve</w:t>
      </w:r>
      <w:r w:rsidR="002D1BC2">
        <w:t>n</w:t>
      </w:r>
      <w:r w:rsidR="002D1BC2">
        <w:t xml:space="preserve">dor (ISV).  </w:t>
      </w:r>
    </w:p>
    <w:p w14:paraId="3D42E25E" w14:textId="13A6C508" w:rsidR="00D96A72" w:rsidRDefault="009679E9" w:rsidP="00207955">
      <w:r>
        <w:t>R</w:t>
      </w:r>
      <w:r w:rsidR="00342575">
        <w:t>esearch organisations and industries that invest in engineering their own software are confronted by a</w:t>
      </w:r>
      <w:r>
        <w:t xml:space="preserve"> sof</w:t>
      </w:r>
      <w:r>
        <w:t>t</w:t>
      </w:r>
      <w:r>
        <w:t>ware development lifecycle</w:t>
      </w:r>
      <w:r w:rsidR="00363CA5">
        <w:t xml:space="preserve"> on the timeframe of a decade </w:t>
      </w:r>
      <w:r w:rsidR="00342575">
        <w:t xml:space="preserve">that is being </w:t>
      </w:r>
      <w:r w:rsidR="002D1BC2">
        <w:t>outstripped by advances in hardwar</w:t>
      </w:r>
      <w:r w:rsidR="00B92573">
        <w:t xml:space="preserve">e technology </w:t>
      </w:r>
      <w:r w:rsidR="00342575">
        <w:t xml:space="preserve">that occur on </w:t>
      </w:r>
      <w:r w:rsidR="00B92573">
        <w:t>a 2</w:t>
      </w:r>
      <w:r w:rsidR="00D844DD">
        <w:rPr>
          <w:rFonts w:ascii="Calibri" w:hAnsi="Calibri"/>
        </w:rPr>
        <w:t>–</w:t>
      </w:r>
      <w:r w:rsidR="002D1BC2">
        <w:t xml:space="preserve">3 year timeframe.  </w:t>
      </w:r>
      <w:r w:rsidR="00342575">
        <w:t xml:space="preserve">For such organisations, whether they </w:t>
      </w:r>
      <w:proofErr w:type="gramStart"/>
      <w:r w:rsidR="00342575">
        <w:t>be</w:t>
      </w:r>
      <w:proofErr w:type="gramEnd"/>
      <w:r w:rsidR="00342575">
        <w:t xml:space="preserve"> industries or science agencies</w:t>
      </w:r>
      <w:r w:rsidR="00C3779F">
        <w:t xml:space="preserve"> of government</w:t>
      </w:r>
      <w:r>
        <w:t xml:space="preserve"> or research </w:t>
      </w:r>
      <w:r w:rsidR="004B5A24">
        <w:t>universities</w:t>
      </w:r>
      <w:r w:rsidR="00342575">
        <w:t xml:space="preserve">, </w:t>
      </w:r>
      <w:r w:rsidR="002D1BC2">
        <w:t xml:space="preserve">there is a </w:t>
      </w:r>
      <w:r w:rsidR="00342575">
        <w:t xml:space="preserve">growing legacy of </w:t>
      </w:r>
      <w:r w:rsidR="002D1BC2">
        <w:t xml:space="preserve">software </w:t>
      </w:r>
      <w:r w:rsidR="00D96A72">
        <w:t xml:space="preserve">(open source or internal proprietary) </w:t>
      </w:r>
      <w:r w:rsidR="002D1BC2">
        <w:t>that needs to be migrated</w:t>
      </w:r>
      <w:r w:rsidR="00342575">
        <w:t xml:space="preserve"> </w:t>
      </w:r>
      <w:r>
        <w:t xml:space="preserve">to </w:t>
      </w:r>
      <w:r w:rsidR="007824CC">
        <w:t xml:space="preserve">the </w:t>
      </w:r>
      <w:r>
        <w:t xml:space="preserve">new </w:t>
      </w:r>
      <w:r w:rsidR="004B5A24">
        <w:t xml:space="preserve">hardware </w:t>
      </w:r>
      <w:r>
        <w:t>technolog</w:t>
      </w:r>
      <w:r w:rsidR="004B5A24">
        <w:t>ies</w:t>
      </w:r>
      <w:r>
        <w:t>, and/</w:t>
      </w:r>
      <w:r w:rsidR="00342575">
        <w:t>or up</w:t>
      </w:r>
      <w:r w:rsidR="00D96A72">
        <w:t>-</w:t>
      </w:r>
      <w:r w:rsidR="00342575">
        <w:t xml:space="preserve">scaled in performance </w:t>
      </w:r>
      <w:r w:rsidR="00D96A72">
        <w:t xml:space="preserve">in order </w:t>
      </w:r>
      <w:r w:rsidR="00342575">
        <w:t xml:space="preserve">to </w:t>
      </w:r>
      <w:r w:rsidR="00C3779F">
        <w:t xml:space="preserve">maintain </w:t>
      </w:r>
      <w:r w:rsidR="004B5A24">
        <w:t>their</w:t>
      </w:r>
      <w:r>
        <w:t xml:space="preserve"> </w:t>
      </w:r>
      <w:r w:rsidR="00342575">
        <w:t>competitiveness</w:t>
      </w:r>
      <w:r w:rsidR="004B5A24">
        <w:t xml:space="preserve"> and</w:t>
      </w:r>
      <w:r w:rsidR="00C3779F">
        <w:t xml:space="preserve"> take advantage of </w:t>
      </w:r>
      <w:r w:rsidR="004B5A24">
        <w:t xml:space="preserve">the capacity of </w:t>
      </w:r>
      <w:r w:rsidR="00C3779F">
        <w:t>current and next-generation hardware</w:t>
      </w:r>
      <w:r w:rsidR="00342575">
        <w:t xml:space="preserve">.  </w:t>
      </w:r>
      <w:r w:rsidR="00C3779F">
        <w:t xml:space="preserve">A significant fraction of </w:t>
      </w:r>
      <w:r w:rsidR="004B5A24">
        <w:t xml:space="preserve">the </w:t>
      </w:r>
      <w:r w:rsidR="00D96A72">
        <w:t>ISV software</w:t>
      </w:r>
      <w:r w:rsidR="00C3779F">
        <w:t xml:space="preserve"> </w:t>
      </w:r>
      <w:r w:rsidR="002D1BC2">
        <w:t xml:space="preserve">is </w:t>
      </w:r>
      <w:r w:rsidR="00C3779F">
        <w:t xml:space="preserve">also </w:t>
      </w:r>
      <w:r w:rsidR="002D1BC2">
        <w:t xml:space="preserve">waning in </w:t>
      </w:r>
      <w:r w:rsidR="00363CA5">
        <w:t xml:space="preserve">its </w:t>
      </w:r>
      <w:r w:rsidR="002D1BC2">
        <w:t>performance competitiveness</w:t>
      </w:r>
      <w:r w:rsidR="00C3779F">
        <w:t xml:space="preserve">, </w:t>
      </w:r>
      <w:r w:rsidR="00B92573">
        <w:t>relative to the capability of contemporary hardware</w:t>
      </w:r>
      <w:r w:rsidR="00C3779F">
        <w:t xml:space="preserve">. This is understandable </w:t>
      </w:r>
      <w:r w:rsidR="00D96A72">
        <w:t xml:space="preserve">since many ISVs are </w:t>
      </w:r>
      <w:r w:rsidR="00E03111">
        <w:t xml:space="preserve">themselves </w:t>
      </w:r>
      <w:r w:rsidR="00D96A72">
        <w:t>SMEs and are driven by what the market can exploit</w:t>
      </w:r>
      <w:r w:rsidR="00C3779F">
        <w:t xml:space="preserve">, what </w:t>
      </w:r>
      <w:r>
        <w:t>the market</w:t>
      </w:r>
      <w:r w:rsidR="00C3779F">
        <w:t xml:space="preserve"> is prepared to </w:t>
      </w:r>
      <w:r w:rsidR="00D96A72">
        <w:t xml:space="preserve">pay for, </w:t>
      </w:r>
      <w:r>
        <w:t xml:space="preserve">the cost of re-engineering codes, </w:t>
      </w:r>
      <w:r w:rsidR="00D96A72">
        <w:t xml:space="preserve">and the expertise </w:t>
      </w:r>
      <w:r w:rsidR="00C3779F">
        <w:t xml:space="preserve">that is available to </w:t>
      </w:r>
      <w:r w:rsidR="00363CA5">
        <w:t>them</w:t>
      </w:r>
      <w:r w:rsidR="00C3779F">
        <w:t xml:space="preserve"> for the </w:t>
      </w:r>
      <w:r w:rsidR="00D96A72">
        <w:t>re-engineer</w:t>
      </w:r>
      <w:r w:rsidR="00C3779F">
        <w:t xml:space="preserve">ing of </w:t>
      </w:r>
      <w:r>
        <w:t>the</w:t>
      </w:r>
      <w:r w:rsidR="00363CA5">
        <w:t>ir</w:t>
      </w:r>
      <w:r w:rsidR="00C3779F">
        <w:t xml:space="preserve"> code base</w:t>
      </w:r>
      <w:r w:rsidR="00D96A72">
        <w:t xml:space="preserve">.  </w:t>
      </w:r>
    </w:p>
    <w:p w14:paraId="3FD71755" w14:textId="53385FA8" w:rsidR="00327F05" w:rsidRDefault="00E03111" w:rsidP="00207955">
      <w:r>
        <w:t>Tildesl</w:t>
      </w:r>
      <w:r w:rsidR="00672E04">
        <w:t xml:space="preserve">ey, in his report to the UK Government, </w:t>
      </w:r>
      <w:r>
        <w:t xml:space="preserve">conceptualised </w:t>
      </w:r>
      <w:r w:rsidR="00C3779F">
        <w:t>an ecosystem comprising industry partners, r</w:t>
      </w:r>
      <w:r w:rsidR="00C3779F">
        <w:t>e</w:t>
      </w:r>
      <w:r w:rsidR="00C3779F">
        <w:t xml:space="preserve">search institutions </w:t>
      </w:r>
      <w:r w:rsidR="00672E04">
        <w:t>(</w:t>
      </w:r>
      <w:r w:rsidR="00C3779F">
        <w:t>including universities</w:t>
      </w:r>
      <w:r w:rsidR="00672E04">
        <w:t>)</w:t>
      </w:r>
      <w:r w:rsidR="00C3779F">
        <w:t xml:space="preserve">, and </w:t>
      </w:r>
      <w:r w:rsidR="00672E04">
        <w:t xml:space="preserve">suppliers, including ISVs, </w:t>
      </w:r>
      <w:r w:rsidR="00C3779F">
        <w:t>that would create a “substantive and internationally-leading software base”</w:t>
      </w:r>
      <w:r w:rsidR="009679E9">
        <w:t xml:space="preserve">, built around a national </w:t>
      </w:r>
      <w:r w:rsidR="00C3779F">
        <w:t>infrastructure</w:t>
      </w:r>
      <w:r w:rsidR="009679E9">
        <w:t xml:space="preserve"> that would be accessed </w:t>
      </w:r>
      <w:r w:rsidR="00C3779F">
        <w:t>for m</w:t>
      </w:r>
      <w:r w:rsidR="00C3779F">
        <w:t>u</w:t>
      </w:r>
      <w:r w:rsidR="00C3779F">
        <w:t xml:space="preserve">tual benefit.  In </w:t>
      </w:r>
      <w:r w:rsidR="009679E9">
        <w:t>such an</w:t>
      </w:r>
      <w:r w:rsidR="00C3779F">
        <w:t xml:space="preserve"> environment, </w:t>
      </w:r>
      <w:r w:rsidR="009679E9">
        <w:t>Tildesley</w:t>
      </w:r>
      <w:r w:rsidR="00C3779F">
        <w:t xml:space="preserve"> envisaged that ISVs might provide “versions of their code for limited parties in exchange for its migration on to high-end systems”.  </w:t>
      </w:r>
      <w:r w:rsidR="00A37238">
        <w:t>The UK has a number of expert r</w:t>
      </w:r>
      <w:r w:rsidR="00A37238">
        <w:t>e</w:t>
      </w:r>
      <w:r w:rsidR="00A37238">
        <w:t xml:space="preserve">sources on which to build, including the </w:t>
      </w:r>
      <w:proofErr w:type="spellStart"/>
      <w:r w:rsidR="00A37238">
        <w:t>Hartree</w:t>
      </w:r>
      <w:proofErr w:type="spellEnd"/>
      <w:r w:rsidR="00A37238">
        <w:t xml:space="preserve"> Centre</w:t>
      </w:r>
      <w:r w:rsidR="00EC703E">
        <w:t>,</w:t>
      </w:r>
      <w:r w:rsidR="00A37238">
        <w:t xml:space="preserve"> which has a substantial staff (150) and offers services</w:t>
      </w:r>
      <w:r w:rsidR="00801340">
        <w:t xml:space="preserve"> a range of services including </w:t>
      </w:r>
      <w:r w:rsidR="00A37238">
        <w:t xml:space="preserve">software development, applications optimisation, and HPC services </w:t>
      </w:r>
      <w:r w:rsidR="00801340">
        <w:t xml:space="preserve">provided </w:t>
      </w:r>
      <w:r w:rsidR="00A37238">
        <w:t xml:space="preserve">on demand to industry.  Their clients include the UK </w:t>
      </w:r>
      <w:proofErr w:type="spellStart"/>
      <w:r w:rsidR="00A37238">
        <w:t>MetOffice</w:t>
      </w:r>
      <w:proofErr w:type="spellEnd"/>
      <w:r w:rsidR="00EC703E">
        <w:t xml:space="preserve"> (</w:t>
      </w:r>
      <w:r w:rsidR="00A37238">
        <w:t xml:space="preserve">to which it is providing expert consultancy for the redevelopment of the UK’s weather models for </w:t>
      </w:r>
      <w:r w:rsidR="00EC703E">
        <w:t xml:space="preserve">use on </w:t>
      </w:r>
      <w:r w:rsidR="00801340">
        <w:t xml:space="preserve">future generation </w:t>
      </w:r>
      <w:r w:rsidR="00EC703E">
        <w:t>high-petascale/</w:t>
      </w:r>
      <w:r w:rsidR="00A37238">
        <w:t>exascale hardware</w:t>
      </w:r>
      <w:r w:rsidR="00EC703E">
        <w:t>)</w:t>
      </w:r>
      <w:r w:rsidR="00A37238">
        <w:t>, the UK motor (Jaguar, Land Rover</w:t>
      </w:r>
      <w:r w:rsidR="00EC703E">
        <w:t>, Bentley</w:t>
      </w:r>
      <w:r w:rsidR="00A37238">
        <w:t>) and aerospace (BAE systems)</w:t>
      </w:r>
      <w:r w:rsidR="00EC703E">
        <w:t xml:space="preserve"> industries, and other large and small/medium industries.  </w:t>
      </w:r>
    </w:p>
    <w:p w14:paraId="19ADBEF4" w14:textId="1FDED05B" w:rsidR="00A37238" w:rsidRDefault="00EC703E" w:rsidP="00207955">
      <w:r>
        <w:t>In the USA, the National Centre for Supercomputer Application (NCSA)</w:t>
      </w:r>
      <w:r w:rsidR="00BA5689">
        <w:t xml:space="preserve">, </w:t>
      </w:r>
      <w:r>
        <w:t xml:space="preserve">the largest of the </w:t>
      </w:r>
      <w:r w:rsidR="00801340">
        <w:t xml:space="preserve">US </w:t>
      </w:r>
      <w:r>
        <w:t>NSF funded facil</w:t>
      </w:r>
      <w:r>
        <w:t>i</w:t>
      </w:r>
      <w:r>
        <w:t>ties</w:t>
      </w:r>
      <w:r w:rsidR="00801340">
        <w:t>,</w:t>
      </w:r>
      <w:r>
        <w:t xml:space="preserve"> and the operator of the largest o</w:t>
      </w:r>
      <w:r w:rsidR="00BA5689">
        <w:t xml:space="preserve">pen access HPC system in the </w:t>
      </w:r>
      <w:r w:rsidR="00801340">
        <w:t>world</w:t>
      </w:r>
      <w:r w:rsidR="00977C41">
        <w:t xml:space="preserve"> (Blue Waters)</w:t>
      </w:r>
      <w:r w:rsidR="00BA5689">
        <w:t xml:space="preserve">, </w:t>
      </w:r>
      <w:r>
        <w:t>operates a very su</w:t>
      </w:r>
      <w:r>
        <w:t>c</w:t>
      </w:r>
      <w:r>
        <w:t xml:space="preserve">cessful Private Sector </w:t>
      </w:r>
      <w:r w:rsidR="00BA5689">
        <w:t xml:space="preserve">Program </w:t>
      </w:r>
      <w:r w:rsidR="00801340">
        <w:t xml:space="preserve">(PSP) </w:t>
      </w:r>
      <w:r w:rsidR="00327F05">
        <w:t>that</w:t>
      </w:r>
      <w:r w:rsidR="00BA5689">
        <w:t xml:space="preserve"> is spearheading</w:t>
      </w:r>
      <w:r w:rsidR="007D0364">
        <w:t xml:space="preserve"> the collaborative re-engineering by</w:t>
      </w:r>
      <w:r w:rsidR="00BA5689">
        <w:t xml:space="preserve"> leading ISVs of engineering software</w:t>
      </w:r>
      <w:r w:rsidR="00801340">
        <w:t xml:space="preserve"> </w:t>
      </w:r>
      <w:r w:rsidR="007D0364">
        <w:t>to operate at high core counts on top tier HPC systems</w:t>
      </w:r>
      <w:r w:rsidR="00327F05">
        <w:t xml:space="preserve"> (including NCSA’s Blue Waters</w:t>
      </w:r>
      <w:r w:rsidR="00977C41">
        <w:t xml:space="preserve"> system)</w:t>
      </w:r>
      <w:r w:rsidR="007D0364">
        <w:t xml:space="preserve">.  This is driven by NCSA’s partnership with </w:t>
      </w:r>
      <w:r w:rsidR="00327F05">
        <w:t>approximately</w:t>
      </w:r>
      <w:r w:rsidR="007D0364">
        <w:t xml:space="preserve"> one-third of the Fortune50 companies, i</w:t>
      </w:r>
      <w:r w:rsidR="007D0364">
        <w:t>n</w:t>
      </w:r>
      <w:r w:rsidR="007D0364">
        <w:t>cluding Caterpillar, BHP</w:t>
      </w:r>
      <w:r w:rsidR="00801340">
        <w:t xml:space="preserve"> </w:t>
      </w:r>
      <w:r w:rsidR="007D0364">
        <w:t xml:space="preserve">Billiton, ExxonMobil, Rolls Royce, </w:t>
      </w:r>
      <w:r w:rsidR="00801340">
        <w:t xml:space="preserve">GE, </w:t>
      </w:r>
      <w:r w:rsidR="007D0364">
        <w:t>and Procter and Gamble</w:t>
      </w:r>
      <w:r w:rsidR="00327F05">
        <w:t xml:space="preserve">, </w:t>
      </w:r>
      <w:r w:rsidR="00C157F4">
        <w:t>amongst</w:t>
      </w:r>
      <w:r w:rsidR="00977C41">
        <w:t xml:space="preserve"> others, </w:t>
      </w:r>
      <w:r w:rsidR="00327F05">
        <w:t xml:space="preserve">with the benefits to SMEs becoming available </w:t>
      </w:r>
      <w:r w:rsidR="00EB6949">
        <w:t>through more highly scaling tools with which to work</w:t>
      </w:r>
      <w:r w:rsidR="007D0364">
        <w:t xml:space="preserve">. </w:t>
      </w:r>
      <w:r w:rsidR="00327F05">
        <w:t xml:space="preserve">In addition, the NCSA PSP operates a dedicated HPC cluster for industry services and provides a high-tech mobile consulting team </w:t>
      </w:r>
      <w:r w:rsidR="00EB6949">
        <w:t>to</w:t>
      </w:r>
      <w:r w:rsidR="00327F05">
        <w:t xml:space="preserve"> industry, </w:t>
      </w:r>
      <w:r w:rsidR="00EB6949">
        <w:t xml:space="preserve">leveraging </w:t>
      </w:r>
      <w:r w:rsidR="00327F05">
        <w:t xml:space="preserve">the substantial expertise </w:t>
      </w:r>
      <w:r w:rsidR="00977C41">
        <w:t>(200</w:t>
      </w:r>
      <w:r w:rsidR="00801340">
        <w:t>+</w:t>
      </w:r>
      <w:r w:rsidR="00977C41">
        <w:t xml:space="preserve"> staff) </w:t>
      </w:r>
      <w:r w:rsidR="00327F05">
        <w:t xml:space="preserve">within NCSA for code performance </w:t>
      </w:r>
      <w:r w:rsidR="00977C41">
        <w:t>optim</w:t>
      </w:r>
      <w:r w:rsidR="00977C41">
        <w:t>i</w:t>
      </w:r>
      <w:r w:rsidR="00977C41">
        <w:t xml:space="preserve">sation </w:t>
      </w:r>
      <w:r w:rsidR="00327F05">
        <w:t>and big data.</w:t>
      </w:r>
    </w:p>
    <w:p w14:paraId="7C23F98D" w14:textId="5C0E64C2" w:rsidR="00A37238" w:rsidRDefault="00EB6949" w:rsidP="00207955">
      <w:r>
        <w:lastRenderedPageBreak/>
        <w:t>The</w:t>
      </w:r>
      <w:r w:rsidR="00977C41">
        <w:t>se</w:t>
      </w:r>
      <w:r>
        <w:t xml:space="preserve"> two examples, which illustrate highly successful industry interaction, also demonstrate the critical role of </w:t>
      </w:r>
      <w:r w:rsidR="00977C41">
        <w:t xml:space="preserve">a </w:t>
      </w:r>
      <w:r w:rsidR="00C157F4">
        <w:t>significant</w:t>
      </w:r>
      <w:r>
        <w:t xml:space="preserve"> software development capability.  It is this that Australia present</w:t>
      </w:r>
      <w:r w:rsidR="00C157F4">
        <w:t>ly</w:t>
      </w:r>
      <w:r>
        <w:t xml:space="preserve"> lacks, and which will be </w:t>
      </w:r>
      <w:r w:rsidR="00801340">
        <w:t>needed</w:t>
      </w:r>
      <w:r>
        <w:t xml:space="preserve"> to foster deeper engagement with industry, and provide </w:t>
      </w:r>
      <w:r w:rsidR="009F3C5F">
        <w:t>a</w:t>
      </w:r>
      <w:r>
        <w:t xml:space="preserve"> strengthened skills/expertise base in co</w:t>
      </w:r>
      <w:r>
        <w:t>m</w:t>
      </w:r>
      <w:r>
        <w:t>putational/data sciences with which to support research and innovation</w:t>
      </w:r>
      <w:r w:rsidR="00A03EC8">
        <w:t xml:space="preserve">.  Without this, </w:t>
      </w:r>
      <w:r>
        <w:t xml:space="preserve">Australia </w:t>
      </w:r>
      <w:r w:rsidR="00A03EC8">
        <w:t xml:space="preserve">will not </w:t>
      </w:r>
      <w:r>
        <w:t>ben</w:t>
      </w:r>
      <w:r>
        <w:t>e</w:t>
      </w:r>
      <w:r>
        <w:t>f</w:t>
      </w:r>
      <w:r w:rsidR="00A03EC8">
        <w:t xml:space="preserve">it </w:t>
      </w:r>
      <w:r w:rsidR="009F3C5F">
        <w:t xml:space="preserve">fully from </w:t>
      </w:r>
      <w:r>
        <w:t>its future investments in high-performance computing and data</w:t>
      </w:r>
      <w:r w:rsidR="00A03EC8">
        <w:t xml:space="preserve"> infrastructure</w:t>
      </w:r>
      <w:r w:rsidR="00C157F4">
        <w:t xml:space="preserve"> (in research, in industry, and in operational production environments, </w:t>
      </w:r>
      <w:r w:rsidR="00801340">
        <w:t xml:space="preserve">such as </w:t>
      </w:r>
      <w:r w:rsidR="007824CC">
        <w:t xml:space="preserve">meteorological </w:t>
      </w:r>
      <w:r w:rsidR="00801340">
        <w:t>facilities</w:t>
      </w:r>
      <w:r w:rsidR="007824CC">
        <w:t>)</w:t>
      </w:r>
      <w:r w:rsidR="00A03EC8">
        <w:t>, and will lack the abi</w:t>
      </w:r>
      <w:r w:rsidR="00A03EC8">
        <w:t>l</w:t>
      </w:r>
      <w:r w:rsidR="00A03EC8">
        <w:t xml:space="preserve">ity </w:t>
      </w:r>
      <w:r w:rsidR="009F3C5F">
        <w:t xml:space="preserve">to track </w:t>
      </w:r>
      <w:r w:rsidR="00A03EC8">
        <w:t xml:space="preserve">the competitive </w:t>
      </w:r>
      <w:r>
        <w:t xml:space="preserve">advantages </w:t>
      </w:r>
      <w:r w:rsidR="00C157F4">
        <w:t xml:space="preserve">that are, and will continue to be, </w:t>
      </w:r>
      <w:r w:rsidR="00A03EC8">
        <w:t xml:space="preserve">reaped in </w:t>
      </w:r>
      <w:r>
        <w:t>the US</w:t>
      </w:r>
      <w:r w:rsidR="00A03EC8">
        <w:t>A</w:t>
      </w:r>
      <w:r>
        <w:t>, Japan, China, E</w:t>
      </w:r>
      <w:r>
        <w:t>u</w:t>
      </w:r>
      <w:r>
        <w:t>rope, the UK</w:t>
      </w:r>
      <w:r w:rsidR="00977C41">
        <w:t>,</w:t>
      </w:r>
      <w:r w:rsidR="009F3C5F">
        <w:t xml:space="preserve"> and other</w:t>
      </w:r>
      <w:r w:rsidR="00A03EC8">
        <w:t xml:space="preserve"> </w:t>
      </w:r>
      <w:r w:rsidR="00C157F4">
        <w:t>advanced economies</w:t>
      </w:r>
      <w:r>
        <w:t xml:space="preserve">.   </w:t>
      </w:r>
    </w:p>
    <w:p w14:paraId="79107365" w14:textId="2C67BC7B" w:rsidR="000121DD" w:rsidRPr="00801340" w:rsidRDefault="000121DD" w:rsidP="00FD0786">
      <w:pPr>
        <w:pStyle w:val="Heading2"/>
      </w:pPr>
      <w:r w:rsidRPr="00801340">
        <w:t>Shared Infrastructure for Shared Costs</w:t>
      </w:r>
      <w:r w:rsidR="00467C9E" w:rsidRPr="00801340">
        <w:t xml:space="preserve"> and Shared Services</w:t>
      </w:r>
    </w:p>
    <w:p w14:paraId="27A02A8E" w14:textId="7BE21A28" w:rsidR="000121DD" w:rsidRDefault="00496F02" w:rsidP="00207955">
      <w:r>
        <w:t xml:space="preserve">The cost of accessing competitive e-infrastructure, both hardware and software, is a </w:t>
      </w:r>
      <w:r w:rsidR="00801340">
        <w:t xml:space="preserve">significant barrier </w:t>
      </w:r>
      <w:r>
        <w:t>in i</w:t>
      </w:r>
      <w:r>
        <w:t>n</w:t>
      </w:r>
      <w:r>
        <w:t xml:space="preserve">dustry, for all but the largest of companies.  It is a </w:t>
      </w:r>
      <w:r w:rsidR="00801340">
        <w:t xml:space="preserve">particularly </w:t>
      </w:r>
      <w:r>
        <w:t xml:space="preserve">significant issue </w:t>
      </w:r>
      <w:r w:rsidR="00801340">
        <w:t>in</w:t>
      </w:r>
      <w:r>
        <w:t xml:space="preserve"> the SME sector</w:t>
      </w:r>
      <w:r w:rsidR="00332E6A">
        <w:t xml:space="preserve"> for which </w:t>
      </w:r>
      <w:r>
        <w:t>a</w:t>
      </w:r>
      <w:r>
        <w:t>c</w:t>
      </w:r>
      <w:r>
        <w:t xml:space="preserve">cess to computing resources and design software may be required </w:t>
      </w:r>
      <w:r w:rsidR="00801340">
        <w:t xml:space="preserve">for </w:t>
      </w:r>
      <w:r w:rsidR="00332E6A">
        <w:t xml:space="preserve">only </w:t>
      </w:r>
      <w:r>
        <w:t xml:space="preserve">a few weeks or months every year.  Such concerns were identified in the Tildesley Report to the UK Government, </w:t>
      </w:r>
      <w:r w:rsidR="00332E6A">
        <w:t>in</w:t>
      </w:r>
      <w:r>
        <w:t xml:space="preserve"> which it was </w:t>
      </w:r>
      <w:r w:rsidR="00332E6A">
        <w:t>commented,</w:t>
      </w:r>
      <w:r>
        <w:t xml:space="preserve"> “significant economic growth will only be achieved through a shared infrastructure and a sharing of the costs of establishing and running it.”  </w:t>
      </w:r>
    </w:p>
    <w:p w14:paraId="16C047DD" w14:textId="4451EBDB" w:rsidR="000121DD" w:rsidRDefault="00496F02" w:rsidP="00207955">
      <w:r>
        <w:t>In Australia, there is significant progress to report on establishing shared infrastructure for shared services, particularly at the high-end where the costs exceed that which can be borne by any single institution</w:t>
      </w:r>
      <w:r w:rsidR="00332E6A">
        <w:t xml:space="preserve">.  The </w:t>
      </w:r>
      <w:r>
        <w:t xml:space="preserve">NCI Collaboration </w:t>
      </w:r>
      <w:r w:rsidR="00332E6A">
        <w:t>(involv</w:t>
      </w:r>
      <w:r w:rsidR="00977C41">
        <w:t>ing</w:t>
      </w:r>
      <w:r w:rsidR="00332E6A">
        <w:t xml:space="preserve"> ANU, CSIRO, BoM, GA, research-intensive universities and consortia thereof</w:t>
      </w:r>
      <w:r w:rsidR="007824CC">
        <w:t xml:space="preserve"> suppor</w:t>
      </w:r>
      <w:r w:rsidR="007824CC">
        <w:t>t</w:t>
      </w:r>
      <w:r w:rsidR="007824CC">
        <w:t>ed by the Australian Research Council</w:t>
      </w:r>
      <w:r w:rsidR="00046564">
        <w:t>)</w:t>
      </w:r>
      <w:r w:rsidR="00977C41">
        <w:t xml:space="preserve">, </w:t>
      </w:r>
      <w:r w:rsidR="005706F3">
        <w:t>which provides integrated and transformative high-performance se</w:t>
      </w:r>
      <w:r w:rsidR="005706F3">
        <w:t>r</w:t>
      </w:r>
      <w:r w:rsidR="005706F3">
        <w:t xml:space="preserve">vices to </w:t>
      </w:r>
      <w:r w:rsidR="00046564">
        <w:t>su</w:t>
      </w:r>
      <w:r w:rsidR="005706F3">
        <w:t xml:space="preserve">pport </w:t>
      </w:r>
      <w:r w:rsidR="00046564">
        <w:t xml:space="preserve">the work of industry, science agencies and universities, </w:t>
      </w:r>
      <w:r w:rsidR="005706F3">
        <w:t xml:space="preserve">is a successful example of the benefits of shared costs and shared outcomes.  </w:t>
      </w:r>
    </w:p>
    <w:p w14:paraId="5DB4E128" w14:textId="3942DBBF" w:rsidR="00496F02" w:rsidRDefault="00496F02" w:rsidP="00207955">
      <w:r>
        <w:t xml:space="preserve">For industry, pay-on-usage models </w:t>
      </w:r>
      <w:r w:rsidR="007824CC">
        <w:t>are</w:t>
      </w:r>
      <w:r>
        <w:t xml:space="preserve"> required, in which software </w:t>
      </w:r>
      <w:r w:rsidR="005706F3">
        <w:t>can be</w:t>
      </w:r>
      <w:r>
        <w:t xml:space="preserve"> provided as a service</w:t>
      </w:r>
      <w:r w:rsidR="00977C41">
        <w:t>—</w:t>
      </w:r>
      <w:r>
        <w:t>as</w:t>
      </w:r>
      <w:r w:rsidR="00046564">
        <w:t xml:space="preserve"> is now </w:t>
      </w:r>
      <w:r w:rsidR="005706F3">
        <w:t>the case in</w:t>
      </w:r>
      <w:r w:rsidR="00046564">
        <w:t xml:space="preserve"> some </w:t>
      </w:r>
      <w:r w:rsidR="00756038">
        <w:t xml:space="preserve">commercial </w:t>
      </w:r>
      <w:r>
        <w:t xml:space="preserve">cloud </w:t>
      </w:r>
      <w:r w:rsidR="00756038">
        <w:t>service prov</w:t>
      </w:r>
      <w:r>
        <w:t xml:space="preserve">iders. </w:t>
      </w:r>
      <w:r w:rsidR="00756038">
        <w:t xml:space="preserve"> The national research infrastructure will need to be </w:t>
      </w:r>
      <w:r w:rsidR="00046564">
        <w:t>corr</w:t>
      </w:r>
      <w:r w:rsidR="00046564">
        <w:t>e</w:t>
      </w:r>
      <w:r w:rsidR="00046564">
        <w:t>spondingly</w:t>
      </w:r>
      <w:r w:rsidR="00756038">
        <w:t xml:space="preserve"> nimble and </w:t>
      </w:r>
      <w:r w:rsidR="005706F3">
        <w:t>implement</w:t>
      </w:r>
      <w:r w:rsidR="00756038">
        <w:t xml:space="preserve"> software licencing arrangements with ISVs that </w:t>
      </w:r>
      <w:r w:rsidR="00046564">
        <w:t xml:space="preserve">can </w:t>
      </w:r>
      <w:r w:rsidR="00756038">
        <w:t xml:space="preserve">meet this need.  </w:t>
      </w:r>
      <w:r w:rsidR="008430D2">
        <w:t xml:space="preserve">While NCI maintains a substantial software library, </w:t>
      </w:r>
      <w:r w:rsidR="00046564">
        <w:t>including</w:t>
      </w:r>
      <w:r w:rsidR="008430D2">
        <w:t xml:space="preserve"> software from commercial ISVs, the present licences are restricted to academic or research usage, and </w:t>
      </w:r>
      <w:r w:rsidR="005706F3">
        <w:t>will</w:t>
      </w:r>
      <w:r w:rsidR="008430D2">
        <w:t xml:space="preserve"> need to be upgraded for commercial </w:t>
      </w:r>
      <w:r w:rsidR="00977C41">
        <w:t>application</w:t>
      </w:r>
      <w:r w:rsidR="008430D2">
        <w:t xml:space="preserve">.  </w:t>
      </w:r>
    </w:p>
    <w:p w14:paraId="7D948FE0" w14:textId="37DF8857" w:rsidR="00644867" w:rsidRDefault="00756038" w:rsidP="00207955">
      <w:r>
        <w:t>The same nimbleness will also be required in hardware provision, with experience from NCSA’s Private Sector Program suggesting that industry seeks access to the latest and most powerful computing hardware.  To</w:t>
      </w:r>
      <w:r w:rsidR="00046564">
        <w:t xml:space="preserve"> achieve this</w:t>
      </w:r>
      <w:r>
        <w:t xml:space="preserve">, NCSA leases a dedicated </w:t>
      </w:r>
      <w:r w:rsidR="00977C41">
        <w:t xml:space="preserve">HPC </w:t>
      </w:r>
      <w:r>
        <w:t xml:space="preserve">cluster, and turns over the hardware on a regular basis.  </w:t>
      </w:r>
      <w:r w:rsidR="00046564">
        <w:t xml:space="preserve">The </w:t>
      </w:r>
      <w:proofErr w:type="spellStart"/>
      <w:r w:rsidR="00046564">
        <w:t>Ha</w:t>
      </w:r>
      <w:r w:rsidR="00046564">
        <w:t>r</w:t>
      </w:r>
      <w:r w:rsidR="00046564">
        <w:t>tree</w:t>
      </w:r>
      <w:proofErr w:type="spellEnd"/>
      <w:r w:rsidR="00046564">
        <w:t xml:space="preserve"> Centre of the UK also provides commercial access for industry through a dedicated cluster.  </w:t>
      </w:r>
      <w:r>
        <w:t>Similar a</w:t>
      </w:r>
      <w:r>
        <w:t>r</w:t>
      </w:r>
      <w:r>
        <w:t xml:space="preserve">rangements could be implemented in Australia, within the major HPC installations </w:t>
      </w:r>
      <w:r w:rsidR="00046564">
        <w:t>that</w:t>
      </w:r>
      <w:r>
        <w:t xml:space="preserve"> </w:t>
      </w:r>
      <w:r w:rsidR="005706F3">
        <w:t>have</w:t>
      </w:r>
      <w:r>
        <w:t xml:space="preserve"> </w:t>
      </w:r>
      <w:r w:rsidR="005706F3">
        <w:t xml:space="preserve">a </w:t>
      </w:r>
      <w:r>
        <w:t xml:space="preserve">comprehensive and </w:t>
      </w:r>
      <w:r w:rsidR="005706F3">
        <w:t xml:space="preserve">well </w:t>
      </w:r>
      <w:r>
        <w:t xml:space="preserve">integrated </w:t>
      </w:r>
      <w:r w:rsidR="005706F3">
        <w:t>e-infrastructure</w:t>
      </w:r>
      <w:r>
        <w:t xml:space="preserve">. </w:t>
      </w:r>
    </w:p>
    <w:p w14:paraId="1AD256EC" w14:textId="424873B2" w:rsidR="00756038" w:rsidRDefault="00756038" w:rsidP="00207955">
      <w:r>
        <w:t xml:space="preserve">While it is </w:t>
      </w:r>
      <w:r w:rsidR="00046564">
        <w:t>inevitable</w:t>
      </w:r>
      <w:r>
        <w:t xml:space="preserve"> that commercial cloud service providers </w:t>
      </w:r>
      <w:r w:rsidR="00046564">
        <w:t xml:space="preserve">will be </w:t>
      </w:r>
      <w:r w:rsidR="005706F3">
        <w:t xml:space="preserve">strongly </w:t>
      </w:r>
      <w:r w:rsidR="00046564">
        <w:t xml:space="preserve">involved in </w:t>
      </w:r>
      <w:r w:rsidR="00644867">
        <w:t xml:space="preserve">service provision to industry, the present hardware offerings are not yet competitive on price </w:t>
      </w:r>
      <w:r w:rsidR="00046564">
        <w:t>relative to the</w:t>
      </w:r>
      <w:r w:rsidR="00644867">
        <w:t xml:space="preserve"> performance</w:t>
      </w:r>
      <w:r w:rsidR="00046564">
        <w:t xml:space="preserve"> that is available</w:t>
      </w:r>
      <w:r w:rsidR="005706F3">
        <w:t>, or required</w:t>
      </w:r>
      <w:r w:rsidR="00644867">
        <w:t xml:space="preserve">.  </w:t>
      </w:r>
      <w:r w:rsidR="00977C41">
        <w:t xml:space="preserve">While the situation will change, a differential </w:t>
      </w:r>
      <w:r w:rsidR="005706F3">
        <w:t>must</w:t>
      </w:r>
      <w:r w:rsidR="00977C41">
        <w:t xml:space="preserve"> always remain since cloud providers operate at the commodity layer, which is a different performance and price specification to that of </w:t>
      </w:r>
      <w:r w:rsidR="007824CC">
        <w:t xml:space="preserve">the </w:t>
      </w:r>
      <w:r w:rsidR="00977C41">
        <w:t>HPC</w:t>
      </w:r>
      <w:r w:rsidR="007824CC">
        <w:t xml:space="preserve"> level of service that is sought by </w:t>
      </w:r>
      <w:r w:rsidR="005706F3">
        <w:t xml:space="preserve">particular classes of </w:t>
      </w:r>
      <w:r w:rsidR="007824CC">
        <w:t>industry</w:t>
      </w:r>
      <w:r w:rsidR="00977C41">
        <w:t xml:space="preserve">.  </w:t>
      </w:r>
      <w:r w:rsidR="00644867">
        <w:t>Further, the skills gap</w:t>
      </w:r>
      <w:r w:rsidR="00977C41">
        <w:t>,</w:t>
      </w:r>
      <w:r w:rsidR="00644867">
        <w:t xml:space="preserve"> </w:t>
      </w:r>
      <w:r w:rsidR="00046564">
        <w:t xml:space="preserve">referred to </w:t>
      </w:r>
      <w:r w:rsidR="005706F3">
        <w:t>earlier</w:t>
      </w:r>
      <w:r w:rsidR="00977C41">
        <w:t>,</w:t>
      </w:r>
      <w:r w:rsidR="00046564">
        <w:t xml:space="preserve"> </w:t>
      </w:r>
      <w:r w:rsidR="00977C41">
        <w:t>n</w:t>
      </w:r>
      <w:r w:rsidR="00977C41">
        <w:t>e</w:t>
      </w:r>
      <w:r w:rsidR="00977C41">
        <w:t xml:space="preserve">cessitates a higher, more expert and </w:t>
      </w:r>
      <w:r w:rsidR="00644867">
        <w:t>more application-oriented, level of service than is available from cloud providers.  It is arguable, therefore, that the future advancement of industry</w:t>
      </w:r>
      <w:r w:rsidR="00046564">
        <w:t>’s</w:t>
      </w:r>
      <w:r w:rsidR="00644867">
        <w:t xml:space="preserve"> access to advanced computing </w:t>
      </w:r>
      <w:r w:rsidR="00046564">
        <w:t>will require</w:t>
      </w:r>
      <w:r w:rsidR="00644867">
        <w:t xml:space="preserve"> a one-stop shop through </w:t>
      </w:r>
      <w:r w:rsidR="005706F3">
        <w:t>national</w:t>
      </w:r>
      <w:r w:rsidR="00644867">
        <w:t xml:space="preserve"> </w:t>
      </w:r>
      <w:r w:rsidR="00046564">
        <w:t xml:space="preserve">HPC </w:t>
      </w:r>
      <w:r w:rsidR="00644867">
        <w:t xml:space="preserve">centres, </w:t>
      </w:r>
      <w:r w:rsidR="00977C41">
        <w:t>through</w:t>
      </w:r>
      <w:r w:rsidR="00644867">
        <w:t xml:space="preserve"> which</w:t>
      </w:r>
      <w:r w:rsidR="00046564">
        <w:t xml:space="preserve"> a mix of</w:t>
      </w:r>
      <w:r w:rsidR="00644867">
        <w:t xml:space="preserve"> in-house and outsourced infrastructure provision </w:t>
      </w:r>
      <w:r w:rsidR="00977C41">
        <w:t xml:space="preserve">will be </w:t>
      </w:r>
      <w:r w:rsidR="00644867">
        <w:t xml:space="preserve">integrated.  </w:t>
      </w:r>
    </w:p>
    <w:p w14:paraId="2F318BF1" w14:textId="77777777" w:rsidR="00756038" w:rsidRDefault="00756038" w:rsidP="00207955"/>
    <w:p w14:paraId="692A4E5F" w14:textId="0ADCDD5E" w:rsidR="000121DD" w:rsidRPr="005706F3" w:rsidRDefault="00476006" w:rsidP="00FD0786">
      <w:pPr>
        <w:pStyle w:val="Heading2"/>
      </w:pPr>
      <w:r w:rsidRPr="005706F3">
        <w:lastRenderedPageBreak/>
        <w:t>Long-term Confidence, Trust and Security</w:t>
      </w:r>
    </w:p>
    <w:p w14:paraId="4DD3347F" w14:textId="1017F4A9" w:rsidR="00476006" w:rsidRDefault="00644867" w:rsidP="00207955">
      <w:r>
        <w:t xml:space="preserve">The Tildesley Report also identified impediments to industry uptake </w:t>
      </w:r>
      <w:r w:rsidR="00476006">
        <w:t xml:space="preserve">of e-infrastructure by a lack of confidence in its long-term future.  </w:t>
      </w:r>
      <w:r w:rsidR="005706F3">
        <w:t xml:space="preserve">It </w:t>
      </w:r>
      <w:r w:rsidR="00476006">
        <w:t>observed that “firms cannot interact easily with a fragmented national infrastru</w:t>
      </w:r>
      <w:r w:rsidR="00476006">
        <w:t>c</w:t>
      </w:r>
      <w:r w:rsidR="00476006">
        <w:t xml:space="preserve">ture without a clear forward commitment to a strategy.”  Tildesley </w:t>
      </w:r>
      <w:r w:rsidR="00046564">
        <w:t>went</w:t>
      </w:r>
      <w:r w:rsidR="00476006">
        <w:t xml:space="preserve"> on to observe that “any move from a local, in-house provision of computing to the use of a shared infrastructure will only be achieved if a clear plan is developed and adhered to</w:t>
      </w:r>
      <w:r w:rsidR="008169C4">
        <w:t>.”</w:t>
      </w:r>
    </w:p>
    <w:p w14:paraId="0219AA57" w14:textId="49C0EF25" w:rsidR="00451938" w:rsidRDefault="00476006" w:rsidP="00207955">
      <w:r>
        <w:t xml:space="preserve">Australia similarly suffers from fragmentation of its national e-infrastructure, with previous planning </w:t>
      </w:r>
      <w:r w:rsidR="0057630F">
        <w:t xml:space="preserve">having </w:t>
      </w:r>
      <w:r w:rsidR="00451938">
        <w:t xml:space="preserve">been </w:t>
      </w:r>
      <w:r w:rsidR="0057630F">
        <w:t xml:space="preserve">conceived </w:t>
      </w:r>
      <w:proofErr w:type="gramStart"/>
      <w:r>
        <w:t xml:space="preserve">this </w:t>
      </w:r>
      <w:r w:rsidR="00046564">
        <w:t>in terms</w:t>
      </w:r>
      <w:proofErr w:type="gramEnd"/>
      <w:r w:rsidR="00046564">
        <w:t xml:space="preserve"> of </w:t>
      </w:r>
      <w:r w:rsidR="008169C4">
        <w:t xml:space="preserve">disjoint </w:t>
      </w:r>
      <w:r>
        <w:t>infrastructure</w:t>
      </w:r>
      <w:r w:rsidR="008169C4">
        <w:t>s</w:t>
      </w:r>
      <w:r w:rsidR="00046564">
        <w:t xml:space="preserve"> and services</w:t>
      </w:r>
      <w:r>
        <w:t xml:space="preserve">, rather than </w:t>
      </w:r>
      <w:r w:rsidR="0057630F">
        <w:t xml:space="preserve">informed by </w:t>
      </w:r>
      <w:r w:rsidR="00A8783A">
        <w:t xml:space="preserve">an </w:t>
      </w:r>
      <w:r w:rsidR="008169C4">
        <w:t xml:space="preserve">overarching </w:t>
      </w:r>
      <w:r w:rsidR="00A8783A">
        <w:t xml:space="preserve">goal of advancing </w:t>
      </w:r>
      <w:r>
        <w:t xml:space="preserve">research and innovation outcomes.  </w:t>
      </w:r>
      <w:r w:rsidR="005706F3">
        <w:t>While p</w:t>
      </w:r>
      <w:r w:rsidR="0057630F">
        <w:t xml:space="preserve">rogress has been made </w:t>
      </w:r>
      <w:r w:rsidR="00451938">
        <w:t xml:space="preserve">by high-end facilities, such as NCI, </w:t>
      </w:r>
      <w:r w:rsidR="00A8783A">
        <w:t xml:space="preserve">in defragmenting the </w:t>
      </w:r>
      <w:r w:rsidR="00451938">
        <w:t xml:space="preserve">landscape by </w:t>
      </w:r>
      <w:r w:rsidR="0057630F">
        <w:t xml:space="preserve">integrating </w:t>
      </w:r>
      <w:r w:rsidR="002E195E">
        <w:t xml:space="preserve">the infrastructure </w:t>
      </w:r>
      <w:r w:rsidR="00451938">
        <w:t>and service component</w:t>
      </w:r>
      <w:r w:rsidR="002E195E">
        <w:t xml:space="preserve">, </w:t>
      </w:r>
      <w:r w:rsidR="0057630F">
        <w:t xml:space="preserve">a future national </w:t>
      </w:r>
      <w:r w:rsidR="00451938">
        <w:t>e-infrastructure needs to conceptualised from the outset as an integrated whole, in which the HPC facilities have a pivotal role with respect to national services and priorities.</w:t>
      </w:r>
    </w:p>
    <w:p w14:paraId="6AB8622E" w14:textId="418DC0E2" w:rsidR="000158E9" w:rsidRDefault="000158E9" w:rsidP="00207955">
      <w:r>
        <w:t xml:space="preserve">Long-term certainty of service provision is also </w:t>
      </w:r>
      <w:r w:rsidR="00A8783A">
        <w:t xml:space="preserve">a </w:t>
      </w:r>
      <w:r>
        <w:t>significant</w:t>
      </w:r>
      <w:r w:rsidR="00A8783A">
        <w:t xml:space="preserve"> issue </w:t>
      </w:r>
      <w:r w:rsidR="00451938">
        <w:t>for</w:t>
      </w:r>
      <w:r w:rsidR="00A8783A">
        <w:t xml:space="preserve"> industry, </w:t>
      </w:r>
      <w:r w:rsidR="00451938">
        <w:t xml:space="preserve">a point also emphasised in the </w:t>
      </w:r>
      <w:r w:rsidR="00A8783A">
        <w:t>Tildesley</w:t>
      </w:r>
      <w:r w:rsidR="00451938">
        <w:t xml:space="preserve"> report</w:t>
      </w:r>
      <w:r>
        <w:t xml:space="preserve">.  Presently, the boom-bust cycles of infrastructure funding may be a disincentive to industry engagement with </w:t>
      </w:r>
      <w:r w:rsidR="007D39E0">
        <w:t>a</w:t>
      </w:r>
      <w:r>
        <w:t xml:space="preserve"> national research infrastructure.  </w:t>
      </w:r>
      <w:proofErr w:type="gramStart"/>
      <w:r>
        <w:t xml:space="preserve">A transition to </w:t>
      </w:r>
      <w:r w:rsidR="00C013E6">
        <w:t>a</w:t>
      </w:r>
      <w:r>
        <w:t xml:space="preserve"> mainstream </w:t>
      </w:r>
      <w:r w:rsidR="00C013E6">
        <w:t xml:space="preserve">environment </w:t>
      </w:r>
      <w:r>
        <w:t xml:space="preserve">in which long-term certainty of </w:t>
      </w:r>
      <w:r w:rsidR="00C013E6">
        <w:t>operations</w:t>
      </w:r>
      <w:r w:rsidR="007D39E0">
        <w:t>,</w:t>
      </w:r>
      <w:r w:rsidR="00C013E6">
        <w:t xml:space="preserve"> as well as the periodic refreshment of the </w:t>
      </w:r>
      <w:r>
        <w:t xml:space="preserve">technology </w:t>
      </w:r>
      <w:r w:rsidR="007D39E0">
        <w:t>will be</w:t>
      </w:r>
      <w:r w:rsidR="00C013E6">
        <w:t xml:space="preserve"> </w:t>
      </w:r>
      <w:r w:rsidR="00A8783A">
        <w:t>required</w:t>
      </w:r>
      <w:r w:rsidR="00C013E6">
        <w:t>.</w:t>
      </w:r>
      <w:proofErr w:type="gramEnd"/>
    </w:p>
    <w:p w14:paraId="36F2E36A" w14:textId="6304C5C5" w:rsidR="000121DD" w:rsidRDefault="008169C4" w:rsidP="00207955">
      <w:r>
        <w:t xml:space="preserve">Compounding </w:t>
      </w:r>
      <w:r w:rsidR="00A8783A">
        <w:t>these</w:t>
      </w:r>
      <w:r>
        <w:t xml:space="preserve"> </w:t>
      </w:r>
      <w:r w:rsidR="00960C55">
        <w:t xml:space="preserve">concerns </w:t>
      </w:r>
      <w:r>
        <w:t xml:space="preserve">is the </w:t>
      </w:r>
      <w:r w:rsidR="007D39E0">
        <w:t>additional</w:t>
      </w:r>
      <w:r w:rsidR="00960C55">
        <w:t xml:space="preserve"> </w:t>
      </w:r>
      <w:r>
        <w:t>issue of the security, and the trust that can be placed in ou</w:t>
      </w:r>
      <w:r>
        <w:t>t</w:t>
      </w:r>
      <w:r>
        <w:t xml:space="preserve">sourcing arrangements.  </w:t>
      </w:r>
      <w:r w:rsidR="00A8783A">
        <w:t>P</w:t>
      </w:r>
      <w:r w:rsidR="00960C55">
        <w:t xml:space="preserve">rogress </w:t>
      </w:r>
      <w:r w:rsidR="000158E9">
        <w:t xml:space="preserve">towards </w:t>
      </w:r>
      <w:r w:rsidR="007D39E0">
        <w:t xml:space="preserve">a </w:t>
      </w:r>
      <w:r w:rsidR="000158E9">
        <w:t xml:space="preserve">heighted </w:t>
      </w:r>
      <w:r w:rsidR="007D39E0">
        <w:t>security framework has</w:t>
      </w:r>
      <w:r w:rsidR="000158E9">
        <w:t xml:space="preserve"> been made </w:t>
      </w:r>
      <w:r w:rsidR="007D39E0">
        <w:t>over the past year at</w:t>
      </w:r>
      <w:r w:rsidR="000158E9">
        <w:t xml:space="preserve"> NCI</w:t>
      </w:r>
      <w:r w:rsidR="00A8783A">
        <w:t>, driven</w:t>
      </w:r>
      <w:r w:rsidR="000158E9">
        <w:t xml:space="preserve"> </w:t>
      </w:r>
      <w:r w:rsidR="00A8783A">
        <w:t>by</w:t>
      </w:r>
      <w:r w:rsidR="000158E9">
        <w:t xml:space="preserve"> its transition from a university supercomputing facility to a national, integrated e-infrastructure service</w:t>
      </w:r>
      <w:r w:rsidR="000158E9" w:rsidRPr="0004665A">
        <w:rPr>
          <w:rFonts w:ascii="Calibri" w:hAnsi="Calibri"/>
        </w:rPr>
        <w:t>—</w:t>
      </w:r>
      <w:r w:rsidR="000158E9">
        <w:t xml:space="preserve">with </w:t>
      </w:r>
      <w:r w:rsidR="00D50C90">
        <w:t>expectations of</w:t>
      </w:r>
      <w:r w:rsidR="000158E9">
        <w:t xml:space="preserve"> a </w:t>
      </w:r>
      <w:r w:rsidR="00A8783A">
        <w:t xml:space="preserve">robust and reliable </w:t>
      </w:r>
      <w:r w:rsidR="000158E9">
        <w:t>research production service being shaped by the</w:t>
      </w:r>
      <w:r w:rsidR="00A8783A">
        <w:t xml:space="preserve"> requir</w:t>
      </w:r>
      <w:r w:rsidR="00A8783A">
        <w:t>e</w:t>
      </w:r>
      <w:r w:rsidR="00A8783A">
        <w:t>ments of the</w:t>
      </w:r>
      <w:r w:rsidR="000158E9">
        <w:t xml:space="preserve"> national science agenc</w:t>
      </w:r>
      <w:r w:rsidR="007D39E0">
        <w:t>y partners</w:t>
      </w:r>
      <w:r w:rsidR="000158E9">
        <w:t xml:space="preserve">.  While progress has been made, there remains more to do, </w:t>
      </w:r>
      <w:r w:rsidR="00A8783A">
        <w:t xml:space="preserve">including annual </w:t>
      </w:r>
      <w:r w:rsidR="00D50C90">
        <w:t>audits</w:t>
      </w:r>
      <w:r w:rsidR="007824CC">
        <w:t xml:space="preserve"> and the likely need to demonstrate certification at the “protected” level of security classification</w:t>
      </w:r>
      <w:r w:rsidR="007D39E0">
        <w:t>,</w:t>
      </w:r>
      <w:r w:rsidR="007824CC">
        <w:t xml:space="preserve"> in order to meet the security requirements </w:t>
      </w:r>
      <w:r w:rsidR="007D39E0">
        <w:t>of</w:t>
      </w:r>
      <w:r w:rsidR="007824CC">
        <w:t xml:space="preserve"> industry and government agencies, and associated also with data privacy requirements</w:t>
      </w:r>
      <w:r w:rsidR="007D39E0">
        <w:t xml:space="preserve">, </w:t>
      </w:r>
      <w:r w:rsidR="007824CC">
        <w:t xml:space="preserve">particularly in the medical arena.  </w:t>
      </w:r>
      <w:r w:rsidR="007D39E0">
        <w:t xml:space="preserve">These also </w:t>
      </w:r>
      <w:r w:rsidR="007824CC">
        <w:t xml:space="preserve">will have </w:t>
      </w:r>
      <w:r w:rsidR="000158E9">
        <w:t xml:space="preserve">implications for operating costs </w:t>
      </w:r>
      <w:r w:rsidR="00A8783A">
        <w:t>that will</w:t>
      </w:r>
      <w:r w:rsidR="000158E9">
        <w:t xml:space="preserve"> need to be factored into infrastructure planning and business models.  </w:t>
      </w:r>
    </w:p>
    <w:p w14:paraId="2303DCAA" w14:textId="52D7D5C9" w:rsidR="000158E9" w:rsidRDefault="00A8783A" w:rsidP="00207955">
      <w:r>
        <w:t>Other matters</w:t>
      </w:r>
      <w:r w:rsidR="007D39E0">
        <w:t xml:space="preserve"> that</w:t>
      </w:r>
      <w:r>
        <w:t xml:space="preserve"> </w:t>
      </w:r>
      <w:r w:rsidR="000158E9">
        <w:t xml:space="preserve">require harmonisation </w:t>
      </w:r>
      <w:r>
        <w:t>include</w:t>
      </w:r>
      <w:r w:rsidR="000158E9">
        <w:t xml:space="preserve"> network provision, given the potentially fragmentary impact of the differences in business models of the provider</w:t>
      </w:r>
      <w:r>
        <w:t>s</w:t>
      </w:r>
      <w:r w:rsidR="000158E9">
        <w:t xml:space="preserve"> of research network services to universities (AARNet)</w:t>
      </w:r>
      <w:r>
        <w:t>,</w:t>
      </w:r>
      <w:r w:rsidR="000158E9">
        <w:t xml:space="preserve"> and</w:t>
      </w:r>
      <w:r>
        <w:t xml:space="preserve"> to</w:t>
      </w:r>
      <w:r w:rsidR="000158E9">
        <w:t xml:space="preserve"> industry and </w:t>
      </w:r>
      <w:r>
        <w:t xml:space="preserve">the </w:t>
      </w:r>
      <w:r w:rsidR="000158E9">
        <w:t xml:space="preserve">science </w:t>
      </w:r>
      <w:r w:rsidR="00C013E6">
        <w:t>agencies</w:t>
      </w:r>
      <w:r w:rsidR="000158E9">
        <w:t xml:space="preserve"> (i.e., </w:t>
      </w:r>
      <w:r>
        <w:t>commercial</w:t>
      </w:r>
      <w:r w:rsidR="000158E9">
        <w:t xml:space="preserve"> ISPs</w:t>
      </w:r>
      <w:r>
        <w:t>)</w:t>
      </w:r>
      <w:r w:rsidR="007824CC">
        <w:t xml:space="preserve"> — notably around data access and services</w:t>
      </w:r>
      <w:r>
        <w:t>. A</w:t>
      </w:r>
      <w:r w:rsidR="000158E9">
        <w:t xml:space="preserve">uthentication and authorisation services </w:t>
      </w:r>
      <w:r>
        <w:t xml:space="preserve">will </w:t>
      </w:r>
      <w:r w:rsidR="000158E9">
        <w:t xml:space="preserve">also require </w:t>
      </w:r>
      <w:r w:rsidR="007824CC">
        <w:t xml:space="preserve">further </w:t>
      </w:r>
      <w:r w:rsidR="000158E9">
        <w:t>harmonisation</w:t>
      </w:r>
      <w:r>
        <w:t>.</w:t>
      </w:r>
    </w:p>
    <w:p w14:paraId="747E6B09" w14:textId="7C2DB37B" w:rsidR="000121DD" w:rsidRPr="007D39E0" w:rsidRDefault="00B7337D" w:rsidP="00FD0786">
      <w:pPr>
        <w:pStyle w:val="Heading2"/>
      </w:pPr>
      <w:r w:rsidRPr="007D39E0">
        <w:t>National Focus</w:t>
      </w:r>
      <w:r w:rsidR="007D39E0">
        <w:t xml:space="preserve"> for e-Infrastructure Planning</w:t>
      </w:r>
    </w:p>
    <w:p w14:paraId="3F48B80D" w14:textId="009468E6" w:rsidR="000C1978" w:rsidRDefault="002F0F7C" w:rsidP="00207955">
      <w:r>
        <w:t>International benchmarks tell us that the establishment of</w:t>
      </w:r>
      <w:r w:rsidR="00722B42">
        <w:t xml:space="preserve"> an </w:t>
      </w:r>
      <w:r w:rsidR="008C330C">
        <w:t>e-</w:t>
      </w:r>
      <w:r w:rsidR="00951A85">
        <w:t xml:space="preserve">infrastructure </w:t>
      </w:r>
      <w:r w:rsidR="00A35D6D">
        <w:t xml:space="preserve">of the </w:t>
      </w:r>
      <w:r w:rsidR="005A385B">
        <w:t>requisite scale</w:t>
      </w:r>
      <w:r>
        <w:t xml:space="preserve"> to provide </w:t>
      </w:r>
      <w:r w:rsidR="007D39E0">
        <w:t xml:space="preserve">internationally </w:t>
      </w:r>
      <w:r>
        <w:t>competitive facilities</w:t>
      </w:r>
      <w:r w:rsidR="009F7488">
        <w:t xml:space="preserve">, </w:t>
      </w:r>
      <w:r>
        <w:t xml:space="preserve">the </w:t>
      </w:r>
      <w:r w:rsidR="007D39E0">
        <w:t xml:space="preserve">required level of operational </w:t>
      </w:r>
      <w:r w:rsidR="005A385B">
        <w:t>robustness</w:t>
      </w:r>
      <w:r w:rsidR="009F7488">
        <w:t>,</w:t>
      </w:r>
      <w:r>
        <w:t xml:space="preserve"> the </w:t>
      </w:r>
      <w:r w:rsidR="00DF2074">
        <w:t xml:space="preserve">depth of </w:t>
      </w:r>
      <w:r w:rsidR="005A385B">
        <w:t>expertise</w:t>
      </w:r>
      <w:r w:rsidR="009F7488">
        <w:t xml:space="preserve">, and </w:t>
      </w:r>
      <w:r>
        <w:t xml:space="preserve">the </w:t>
      </w:r>
      <w:r w:rsidR="009F7488">
        <w:t>diversity of capabilities,</w:t>
      </w:r>
      <w:r w:rsidR="00DF2074">
        <w:t xml:space="preserve"> </w:t>
      </w:r>
      <w:r w:rsidR="00A35D6D">
        <w:t xml:space="preserve">in which </w:t>
      </w:r>
      <w:r w:rsidR="008C330C">
        <w:t xml:space="preserve">industry </w:t>
      </w:r>
      <w:r w:rsidR="007D39E0">
        <w:t xml:space="preserve">and other parts of the innovation sector </w:t>
      </w:r>
      <w:r w:rsidR="00DF2074">
        <w:t xml:space="preserve">can </w:t>
      </w:r>
      <w:r w:rsidR="008C330C">
        <w:t>have confidence</w:t>
      </w:r>
      <w:r>
        <w:t>, requires a national, rather than a regional or institutional, focus</w:t>
      </w:r>
      <w:r w:rsidR="00B84D0C">
        <w:t>.</w:t>
      </w:r>
      <w:r w:rsidR="00722B42">
        <w:t xml:space="preserve">  A suitable</w:t>
      </w:r>
      <w:r w:rsidR="00CB17C3">
        <w:t xml:space="preserve"> foundation from which to esta</w:t>
      </w:r>
      <w:r w:rsidR="00CB17C3">
        <w:t>b</w:t>
      </w:r>
      <w:r w:rsidR="00CB17C3">
        <w:t xml:space="preserve">lish </w:t>
      </w:r>
      <w:r w:rsidR="007D39E0">
        <w:t>an industry-</w:t>
      </w:r>
      <w:r w:rsidR="00D50C90">
        <w:t>supporting</w:t>
      </w:r>
      <w:r w:rsidR="00CB17C3">
        <w:t xml:space="preserve"> </w:t>
      </w:r>
      <w:r w:rsidR="002C1037">
        <w:t xml:space="preserve">e-infrastructure </w:t>
      </w:r>
      <w:r>
        <w:t xml:space="preserve">are </w:t>
      </w:r>
      <w:r w:rsidR="005F2E77">
        <w:t>the</w:t>
      </w:r>
      <w:r w:rsidR="00B84D0C">
        <w:t xml:space="preserve"> </w:t>
      </w:r>
      <w:r w:rsidR="00C30D46">
        <w:t>national high-performance faciliti</w:t>
      </w:r>
      <w:r w:rsidR="005F2E77">
        <w:t xml:space="preserve">es that </w:t>
      </w:r>
      <w:r w:rsidR="00722B42">
        <w:t>provide a world-class capability, can demonstrate</w:t>
      </w:r>
      <w:r w:rsidR="00B84D0C">
        <w:t xml:space="preserve"> </w:t>
      </w:r>
      <w:r w:rsidR="00722B42">
        <w:t xml:space="preserve">the requisite </w:t>
      </w:r>
      <w:r w:rsidR="007824CC">
        <w:t xml:space="preserve">expertise and operational </w:t>
      </w:r>
      <w:r w:rsidR="00B84D0C">
        <w:t>experience</w:t>
      </w:r>
      <w:r w:rsidR="00722B42">
        <w:t xml:space="preserve">, and can </w:t>
      </w:r>
      <w:r w:rsidR="004E056A">
        <w:t>provide the i</w:t>
      </w:r>
      <w:r w:rsidR="004E056A">
        <w:t>n</w:t>
      </w:r>
      <w:r w:rsidR="004E056A">
        <w:t xml:space="preserve">tegration, </w:t>
      </w:r>
      <w:r w:rsidR="00C30D46">
        <w:t xml:space="preserve">performance </w:t>
      </w:r>
      <w:r w:rsidR="004E056A">
        <w:t xml:space="preserve">and support </w:t>
      </w:r>
      <w:r w:rsidR="007D39E0">
        <w:t>required</w:t>
      </w:r>
      <w:r w:rsidR="00D50C90">
        <w:t xml:space="preserve"> to accelerate </w:t>
      </w:r>
      <w:r w:rsidR="00722B42">
        <w:t>innovation and productivity</w:t>
      </w:r>
      <w:r w:rsidR="003B65B9">
        <w:t xml:space="preserve">.  </w:t>
      </w:r>
      <w:r w:rsidR="007C0E2F">
        <w:t xml:space="preserve">  </w:t>
      </w:r>
    </w:p>
    <w:p w14:paraId="3975A886" w14:textId="5B481371" w:rsidR="00EE0594" w:rsidRDefault="009A1327" w:rsidP="00207955">
      <w:r>
        <w:t xml:space="preserve">Only </w:t>
      </w:r>
      <w:r w:rsidR="003A338D">
        <w:t xml:space="preserve">a </w:t>
      </w:r>
      <w:r w:rsidR="00A35D6D">
        <w:t xml:space="preserve">national focus </w:t>
      </w:r>
      <w:r w:rsidR="003A338D">
        <w:t xml:space="preserve">can establish an infrastructure capable of </w:t>
      </w:r>
      <w:r w:rsidR="00A35D6D">
        <w:t>deliver</w:t>
      </w:r>
      <w:r w:rsidR="003A338D">
        <w:t>ing</w:t>
      </w:r>
      <w:r w:rsidR="00A35D6D">
        <w:t xml:space="preserve"> </w:t>
      </w:r>
      <w:r w:rsidR="003A338D">
        <w:t xml:space="preserve">the </w:t>
      </w:r>
      <w:r w:rsidR="00A35D6D">
        <w:t xml:space="preserve">transformative outcomes </w:t>
      </w:r>
      <w:r w:rsidR="003A338D">
        <w:t xml:space="preserve">that are needed in areas of national priority and significance.  Almost certainly, one such priority will involve the use of whole </w:t>
      </w:r>
      <w:r>
        <w:t xml:space="preserve">human </w:t>
      </w:r>
      <w:r w:rsidR="003A338D">
        <w:t xml:space="preserve">genome sequence data (now being generated by high-throughput sequencers, i.e., the $1,000 genome) to drive untold advances in medical research and clinical practice, and ultimately form the platform for personalised medicine that will deliver not only better health outcomes, but also bring </w:t>
      </w:r>
      <w:r>
        <w:t xml:space="preserve">under control </w:t>
      </w:r>
      <w:r w:rsidR="003A338D">
        <w:t>the ballooning health care</w:t>
      </w:r>
      <w:r>
        <w:t xml:space="preserve"> budget. A national computational genomics </w:t>
      </w:r>
      <w:r w:rsidR="00EE0594">
        <w:t xml:space="preserve">infrastructure will be needed to </w:t>
      </w:r>
      <w:r w:rsidR="00EE0594">
        <w:lastRenderedPageBreak/>
        <w:t xml:space="preserve">centralise the processing and analysis of </w:t>
      </w:r>
      <w:r w:rsidR="004B3CC3">
        <w:t xml:space="preserve">the </w:t>
      </w:r>
      <w:r w:rsidR="00EE0594">
        <w:t xml:space="preserve">vast </w:t>
      </w:r>
      <w:r w:rsidR="004B3CC3">
        <w:t xml:space="preserve">data streams and </w:t>
      </w:r>
      <w:r w:rsidR="00EE0594">
        <w:t>repositories</w:t>
      </w:r>
      <w:r w:rsidR="004B3CC3">
        <w:t xml:space="preserve">, </w:t>
      </w:r>
      <w:r w:rsidR="00EE0594">
        <w:t xml:space="preserve">in order to optimise access, </w:t>
      </w:r>
      <w:r w:rsidR="002F0F7C">
        <w:t xml:space="preserve">maximise </w:t>
      </w:r>
      <w:r w:rsidR="004B3CC3">
        <w:t xml:space="preserve">its </w:t>
      </w:r>
      <w:r w:rsidR="002F0F7C">
        <w:t>utility in research and clinical practice</w:t>
      </w:r>
      <w:r w:rsidR="00D50C90">
        <w:t>,</w:t>
      </w:r>
      <w:r w:rsidR="002F0F7C">
        <w:t xml:space="preserve"> and </w:t>
      </w:r>
      <w:r w:rsidR="00EE0594">
        <w:t>avoid fragmentation that would weaken system a</w:t>
      </w:r>
      <w:r w:rsidR="00EE0594">
        <w:t>p</w:t>
      </w:r>
      <w:r w:rsidR="00EE0594">
        <w:t xml:space="preserve">proaches to knowledge discovery, </w:t>
      </w:r>
      <w:r w:rsidR="00D50C90">
        <w:t xml:space="preserve">as well as </w:t>
      </w:r>
      <w:r w:rsidR="002F0F7C">
        <w:t>overcom</w:t>
      </w:r>
      <w:r w:rsidR="00D50C90">
        <w:t>ing</w:t>
      </w:r>
      <w:r w:rsidR="00EE0594">
        <w:t xml:space="preserve"> concerns about the provenance </w:t>
      </w:r>
      <w:r w:rsidR="002F0F7C">
        <w:t xml:space="preserve">and ethical handling </w:t>
      </w:r>
      <w:r w:rsidR="00EE0594">
        <w:t xml:space="preserve">of data.  </w:t>
      </w:r>
    </w:p>
    <w:p w14:paraId="091C9F54" w14:textId="325C2ECF" w:rsidR="007B0FB3" w:rsidRDefault="007B0FB3" w:rsidP="00207955">
      <w:r>
        <w:t xml:space="preserve">The realisation of such </w:t>
      </w:r>
      <w:r w:rsidR="004B3CC3">
        <w:t xml:space="preserve">an objective will necessitate a </w:t>
      </w:r>
      <w:r w:rsidR="002F0F7C">
        <w:t xml:space="preserve">coherent </w:t>
      </w:r>
      <w:r w:rsidR="004B3CC3">
        <w:t xml:space="preserve">roadmap for the national e-infrastructure—one that </w:t>
      </w:r>
      <w:r>
        <w:t xml:space="preserve">emphasises </w:t>
      </w:r>
      <w:r w:rsidR="002F0F7C">
        <w:t xml:space="preserve">national priorities and </w:t>
      </w:r>
      <w:r>
        <w:t>research</w:t>
      </w:r>
      <w:r w:rsidR="004B3CC3">
        <w:t>/</w:t>
      </w:r>
      <w:r>
        <w:t xml:space="preserve">innovation outcomes, </w:t>
      </w:r>
      <w:r w:rsidR="002F0F7C">
        <w:t>and which overcomes the fra</w:t>
      </w:r>
      <w:r w:rsidR="002F0F7C">
        <w:t>g</w:t>
      </w:r>
      <w:r w:rsidR="002F0F7C">
        <w:t>mentation</w:t>
      </w:r>
      <w:r w:rsidR="00737D35">
        <w:t xml:space="preserve"> </w:t>
      </w:r>
      <w:r w:rsidR="004B3CC3">
        <w:t xml:space="preserve">caused by misaligned </w:t>
      </w:r>
      <w:r w:rsidR="00A03EC8">
        <w:t>investments</w:t>
      </w:r>
      <w:r w:rsidR="00737D35">
        <w:t xml:space="preserve"> and </w:t>
      </w:r>
      <w:r w:rsidR="004B3CC3">
        <w:t>insufficient</w:t>
      </w:r>
      <w:r w:rsidR="00737D35">
        <w:t xml:space="preserve"> focus on national goals.</w:t>
      </w:r>
    </w:p>
    <w:p w14:paraId="745EDD3F" w14:textId="77777777" w:rsidR="006235C9" w:rsidRPr="006235C9" w:rsidRDefault="006235C9" w:rsidP="00FD0786">
      <w:pPr>
        <w:pStyle w:val="Heading1"/>
      </w:pPr>
      <w:r w:rsidRPr="006235C9">
        <w:t xml:space="preserve">Conclusion </w:t>
      </w:r>
    </w:p>
    <w:p w14:paraId="5D483096" w14:textId="3CDDB38D" w:rsidR="00467C9E" w:rsidRDefault="00AD7517">
      <w:pPr>
        <w:rPr>
          <w:lang w:val="en-US"/>
        </w:rPr>
      </w:pPr>
      <w:r>
        <w:t xml:space="preserve">The NCRIS investments in e-infrastructure, </w:t>
      </w:r>
      <w:r>
        <w:rPr>
          <w:lang w:val="en-US"/>
        </w:rPr>
        <w:t xml:space="preserve">combined with those made by institutions, fulfil a critical role in supporting </w:t>
      </w:r>
      <w:r w:rsidR="00A03EC8">
        <w:rPr>
          <w:lang w:val="en-US"/>
        </w:rPr>
        <w:t xml:space="preserve">almost </w:t>
      </w:r>
      <w:r>
        <w:rPr>
          <w:lang w:val="en-US"/>
        </w:rPr>
        <w:t xml:space="preserve">the </w:t>
      </w:r>
      <w:r w:rsidR="00A03EC8">
        <w:rPr>
          <w:lang w:val="en-US"/>
        </w:rPr>
        <w:t>entire</w:t>
      </w:r>
      <w:r>
        <w:rPr>
          <w:lang w:val="en-US"/>
        </w:rPr>
        <w:t xml:space="preserve"> spectrum of research and innovation in universities, public sector agencies, and industry.  To achieve more in </w:t>
      </w:r>
      <w:r w:rsidR="00A03EC8">
        <w:rPr>
          <w:lang w:val="en-US"/>
        </w:rPr>
        <w:t xml:space="preserve">direct support of industry, </w:t>
      </w:r>
      <w:r>
        <w:rPr>
          <w:lang w:val="en-US"/>
        </w:rPr>
        <w:t>and in the generation of c</w:t>
      </w:r>
      <w:r w:rsidR="00A03EC8">
        <w:rPr>
          <w:lang w:val="en-US"/>
        </w:rPr>
        <w:t>ommercial returns on r</w:t>
      </w:r>
      <w:r w:rsidR="00A03EC8">
        <w:rPr>
          <w:lang w:val="en-US"/>
        </w:rPr>
        <w:t>e</w:t>
      </w:r>
      <w:r w:rsidR="00A03EC8">
        <w:rPr>
          <w:lang w:val="en-US"/>
        </w:rPr>
        <w:t>search,</w:t>
      </w:r>
      <w:r>
        <w:rPr>
          <w:lang w:val="en-US"/>
        </w:rPr>
        <w:t xml:space="preserve"> national governance is required to lead the strategic development of a 5–10 year roadmap and the integration of the component parts</w:t>
      </w:r>
      <w:r w:rsidR="00D50C90">
        <w:rPr>
          <w:lang w:val="en-US"/>
        </w:rPr>
        <w:t xml:space="preserve">, and to coordinate the participation </w:t>
      </w:r>
      <w:r>
        <w:rPr>
          <w:lang w:val="en-US"/>
        </w:rPr>
        <w:t xml:space="preserve">of </w:t>
      </w:r>
      <w:r w:rsidR="00A03EC8">
        <w:rPr>
          <w:lang w:val="en-US"/>
        </w:rPr>
        <w:t>industry and commerce, gover</w:t>
      </w:r>
      <w:r w:rsidR="00A03EC8">
        <w:rPr>
          <w:lang w:val="en-US"/>
        </w:rPr>
        <w:t>n</w:t>
      </w:r>
      <w:r w:rsidR="00A03EC8">
        <w:rPr>
          <w:lang w:val="en-US"/>
        </w:rPr>
        <w:t xml:space="preserve">ment agencies, and </w:t>
      </w:r>
      <w:r>
        <w:rPr>
          <w:lang w:val="en-US"/>
        </w:rPr>
        <w:t>universities</w:t>
      </w:r>
      <w:r w:rsidR="00A03EC8">
        <w:rPr>
          <w:lang w:val="en-US"/>
        </w:rPr>
        <w:t xml:space="preserve">.  </w:t>
      </w:r>
      <w:r>
        <w:rPr>
          <w:lang w:val="en-US"/>
        </w:rPr>
        <w:t xml:space="preserve"> </w:t>
      </w:r>
    </w:p>
    <w:p w14:paraId="6BF0BAC0" w14:textId="11A982F7" w:rsidR="00AD7517" w:rsidRDefault="00AD7517">
      <w:pPr>
        <w:rPr>
          <w:lang w:val="en-US"/>
        </w:rPr>
      </w:pPr>
      <w:r>
        <w:rPr>
          <w:lang w:val="en-US"/>
        </w:rPr>
        <w:t xml:space="preserve">A model for this may be the </w:t>
      </w:r>
      <w:r w:rsidR="00A03EC8">
        <w:rPr>
          <w:lang w:val="en-US"/>
        </w:rPr>
        <w:t xml:space="preserve">holistic </w:t>
      </w:r>
      <w:r>
        <w:rPr>
          <w:lang w:val="en-US"/>
        </w:rPr>
        <w:t xml:space="preserve">pathway along which the UK is proceeding </w:t>
      </w:r>
      <w:r w:rsidR="00467C9E">
        <w:rPr>
          <w:lang w:val="en-US"/>
        </w:rPr>
        <w:t xml:space="preserve">following the Tildesley review, </w:t>
      </w:r>
      <w:r w:rsidR="00A03EC8">
        <w:rPr>
          <w:lang w:val="en-US"/>
        </w:rPr>
        <w:t xml:space="preserve">involving </w:t>
      </w:r>
      <w:r w:rsidR="00737D35">
        <w:rPr>
          <w:lang w:val="en-US"/>
        </w:rPr>
        <w:t>the establishment of an</w:t>
      </w:r>
      <w:r>
        <w:rPr>
          <w:lang w:val="en-US"/>
        </w:rPr>
        <w:t xml:space="preserve"> </w:t>
      </w:r>
      <w:r w:rsidRPr="00D50C90">
        <w:rPr>
          <w:i/>
          <w:lang w:val="en-US"/>
        </w:rPr>
        <w:t>e-Infrastructure Leadership Council</w:t>
      </w:r>
      <w:r>
        <w:rPr>
          <w:lang w:val="en-US"/>
        </w:rPr>
        <w:t xml:space="preserve">, co-chaired by a Minister of the Crown </w:t>
      </w:r>
      <w:r w:rsidR="00D50C90">
        <w:rPr>
          <w:lang w:val="en-US"/>
        </w:rPr>
        <w:t xml:space="preserve">(the Minister for Universities and Science in the BIS portfolio) </w:t>
      </w:r>
      <w:r>
        <w:rPr>
          <w:lang w:val="en-US"/>
        </w:rPr>
        <w:t xml:space="preserve">and a senior representative of industry, and </w:t>
      </w:r>
      <w:r w:rsidR="00467C9E">
        <w:rPr>
          <w:lang w:val="en-US"/>
        </w:rPr>
        <w:t>compris</w:t>
      </w:r>
      <w:r w:rsidR="00A03EC8">
        <w:rPr>
          <w:lang w:val="en-US"/>
        </w:rPr>
        <w:t>ing</w:t>
      </w:r>
      <w:r w:rsidR="00467C9E">
        <w:rPr>
          <w:lang w:val="en-US"/>
        </w:rPr>
        <w:t xml:space="preserve"> </w:t>
      </w:r>
      <w:r>
        <w:rPr>
          <w:lang w:val="en-US"/>
        </w:rPr>
        <w:t xml:space="preserve">representation from </w:t>
      </w:r>
      <w:r w:rsidR="00A03EC8">
        <w:rPr>
          <w:lang w:val="en-US"/>
        </w:rPr>
        <w:t xml:space="preserve">industry, government departments and agencies, the </w:t>
      </w:r>
      <w:r>
        <w:rPr>
          <w:lang w:val="en-US"/>
        </w:rPr>
        <w:t>university sector</w:t>
      </w:r>
      <w:r w:rsidR="00A03EC8">
        <w:rPr>
          <w:lang w:val="en-US"/>
        </w:rPr>
        <w:t xml:space="preserve"> and </w:t>
      </w:r>
      <w:r>
        <w:rPr>
          <w:lang w:val="en-US"/>
        </w:rPr>
        <w:t>the research funding councils, and the charitable sector</w:t>
      </w:r>
      <w:r w:rsidR="00467C9E">
        <w:rPr>
          <w:lang w:val="en-US"/>
        </w:rPr>
        <w:t xml:space="preserve">.  </w:t>
      </w:r>
    </w:p>
    <w:p w14:paraId="2C51A88D" w14:textId="77777777" w:rsidR="00467C9E" w:rsidRDefault="00467C9E">
      <w:pPr>
        <w:rPr>
          <w:lang w:val="en-US"/>
        </w:rPr>
      </w:pPr>
    </w:p>
    <w:p w14:paraId="53BBE70A" w14:textId="072B7430" w:rsidR="00467C9E" w:rsidRDefault="00FB4134">
      <w:r>
        <w:rPr>
          <w:lang w:val="en-US"/>
        </w:rPr>
        <w:t>27</w:t>
      </w:r>
      <w:r w:rsidR="00737D35">
        <w:rPr>
          <w:lang w:val="en-US"/>
        </w:rPr>
        <w:t xml:space="preserve"> </w:t>
      </w:r>
      <w:r w:rsidR="00467C9E">
        <w:rPr>
          <w:lang w:val="en-US"/>
        </w:rPr>
        <w:t>November 2014</w:t>
      </w:r>
    </w:p>
    <w:sectPr w:rsidR="00467C9E" w:rsidSect="0070624D">
      <w:footerReference w:type="default" r:id="rId12"/>
      <w:pgSz w:w="11906" w:h="16838"/>
      <w:pgMar w:top="1008" w:right="1008" w:bottom="1008" w:left="1008"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61B85A" w14:textId="77777777" w:rsidR="00EB229A" w:rsidRDefault="00EB229A" w:rsidP="00DF2D10">
      <w:pPr>
        <w:spacing w:after="0" w:line="240" w:lineRule="auto"/>
      </w:pPr>
      <w:r>
        <w:separator/>
      </w:r>
    </w:p>
  </w:endnote>
  <w:endnote w:type="continuationSeparator" w:id="0">
    <w:p w14:paraId="314F552C" w14:textId="77777777" w:rsidR="00EB229A" w:rsidRDefault="00EB229A" w:rsidP="00DF2D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altName w:val="Calibri"/>
    <w:charset w:val="00"/>
    <w:family w:val="swiss"/>
    <w:pitch w:val="variable"/>
    <w:sig w:usb0="00000001"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2325489"/>
      <w:docPartObj>
        <w:docPartGallery w:val="Page Numbers (Bottom of Page)"/>
        <w:docPartUnique/>
      </w:docPartObj>
    </w:sdtPr>
    <w:sdtEndPr>
      <w:rPr>
        <w:noProof/>
      </w:rPr>
    </w:sdtEndPr>
    <w:sdtContent>
      <w:p w14:paraId="13874292" w14:textId="0BA00112" w:rsidR="004B5A24" w:rsidRDefault="004B5A24">
        <w:pPr>
          <w:pStyle w:val="Footer"/>
          <w:jc w:val="center"/>
        </w:pPr>
        <w:r>
          <w:fldChar w:fldCharType="begin"/>
        </w:r>
        <w:r>
          <w:instrText xml:space="preserve"> PAGE   \* MERGEFORMAT </w:instrText>
        </w:r>
        <w:r>
          <w:fldChar w:fldCharType="separate"/>
        </w:r>
        <w:r w:rsidR="00FD0786">
          <w:rPr>
            <w:noProof/>
          </w:rPr>
          <w:t>1</w:t>
        </w:r>
        <w:r>
          <w:rPr>
            <w:noProof/>
          </w:rPr>
          <w:fldChar w:fldCharType="end"/>
        </w:r>
      </w:p>
    </w:sdtContent>
  </w:sdt>
  <w:p w14:paraId="751C8B46" w14:textId="77777777" w:rsidR="004B5A24" w:rsidRDefault="004B5A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12BAB9" w14:textId="77777777" w:rsidR="00EB229A" w:rsidRDefault="00EB229A" w:rsidP="00DF2D10">
      <w:pPr>
        <w:spacing w:after="0" w:line="240" w:lineRule="auto"/>
      </w:pPr>
      <w:r>
        <w:separator/>
      </w:r>
    </w:p>
  </w:footnote>
  <w:footnote w:type="continuationSeparator" w:id="0">
    <w:p w14:paraId="78A23438" w14:textId="77777777" w:rsidR="00EB229A" w:rsidRDefault="00EB229A" w:rsidP="00DF2D10">
      <w:pPr>
        <w:spacing w:after="0" w:line="240" w:lineRule="auto"/>
      </w:pPr>
      <w:r>
        <w:continuationSeparator/>
      </w:r>
    </w:p>
  </w:footnote>
  <w:footnote w:id="1">
    <w:p w14:paraId="3D105BFB" w14:textId="6B497334" w:rsidR="004B5A24" w:rsidRPr="00696758" w:rsidRDefault="004B5A24">
      <w:pPr>
        <w:pStyle w:val="FootnoteText"/>
        <w:rPr>
          <w:lang w:val="en-US"/>
        </w:rPr>
      </w:pPr>
      <w:r>
        <w:rPr>
          <w:rStyle w:val="FootnoteReference"/>
        </w:rPr>
        <w:footnoteRef/>
      </w:r>
      <w:r>
        <w:t xml:space="preserve"> </w:t>
      </w:r>
      <w:r>
        <w:rPr>
          <w:lang w:val="en-US"/>
        </w:rPr>
        <w:t xml:space="preserve">Here, the term </w:t>
      </w:r>
      <w:r w:rsidRPr="00261922">
        <w:rPr>
          <w:i/>
          <w:lang w:val="en-US"/>
        </w:rPr>
        <w:t>high-performance</w:t>
      </w:r>
      <w:r>
        <w:rPr>
          <w:lang w:val="en-US"/>
        </w:rPr>
        <w:t xml:space="preserve"> </w:t>
      </w:r>
      <w:r w:rsidRPr="008C3CBC">
        <w:rPr>
          <w:i/>
          <w:lang w:val="en-US"/>
        </w:rPr>
        <w:t>e-infrastructure</w:t>
      </w:r>
      <w:r>
        <w:rPr>
          <w:lang w:val="en-US"/>
        </w:rPr>
        <w:t xml:space="preserve"> refers to the ecosystem of high-end computing (including high-performance computers and clouds), data storage, networks, software, </w:t>
      </w:r>
      <w:proofErr w:type="spellStart"/>
      <w:r>
        <w:rPr>
          <w:lang w:val="en-US"/>
        </w:rPr>
        <w:t>visualisation</w:t>
      </w:r>
      <w:proofErr w:type="spellEnd"/>
      <w:r>
        <w:rPr>
          <w:lang w:val="en-US"/>
        </w:rPr>
        <w:t>, and the associated skills and expe</w:t>
      </w:r>
      <w:r>
        <w:rPr>
          <w:lang w:val="en-US"/>
        </w:rPr>
        <w:t>r</w:t>
      </w:r>
      <w:r>
        <w:rPr>
          <w:lang w:val="en-US"/>
        </w:rPr>
        <w:t xml:space="preserve">tise in technical operations, and computational and data-intensive science.  </w:t>
      </w:r>
    </w:p>
  </w:footnote>
  <w:footnote w:id="2">
    <w:p w14:paraId="31A1D7D5" w14:textId="03FD682D" w:rsidR="004B5A24" w:rsidRDefault="004B5A24">
      <w:pPr>
        <w:pStyle w:val="FootnoteText"/>
      </w:pPr>
      <w:r>
        <w:rPr>
          <w:rStyle w:val="FootnoteReference"/>
        </w:rPr>
        <w:footnoteRef/>
      </w:r>
      <w:r>
        <w:t xml:space="preserve"> </w:t>
      </w:r>
      <w:proofErr w:type="gramStart"/>
      <w:r>
        <w:t>Exemplified in the (NCI) results of the NCRIS Research Infrastructure Survey undertaken by the Australian Government Department of Education in 2014.</w:t>
      </w:r>
      <w:proofErr w:type="gramEnd"/>
    </w:p>
  </w:footnote>
  <w:footnote w:id="3">
    <w:p w14:paraId="1DF9F152" w14:textId="6997731D" w:rsidR="004B5A24" w:rsidRDefault="004B5A24">
      <w:pPr>
        <w:pStyle w:val="FootnoteText"/>
      </w:pPr>
      <w:r>
        <w:rPr>
          <w:rStyle w:val="FootnoteReference"/>
        </w:rPr>
        <w:footnoteRef/>
      </w:r>
      <w:r>
        <w:t xml:space="preserve"> Dr Clinton Foster, Chief Scientist, Geoscience Australia.</w:t>
      </w:r>
    </w:p>
  </w:footnote>
  <w:footnote w:id="4">
    <w:p w14:paraId="49D935CF" w14:textId="69901C36" w:rsidR="004B5A24" w:rsidRPr="00307823" w:rsidRDefault="004B5A24">
      <w:pPr>
        <w:pStyle w:val="FootnoteText"/>
      </w:pPr>
      <w:r>
        <w:rPr>
          <w:rStyle w:val="FootnoteReference"/>
        </w:rPr>
        <w:footnoteRef/>
      </w:r>
      <w:r>
        <w:t xml:space="preserve"> _, </w:t>
      </w:r>
      <w:r w:rsidRPr="00AF1DD2">
        <w:rPr>
          <w:i/>
        </w:rPr>
        <w:t>Report of the</w:t>
      </w:r>
      <w:r>
        <w:rPr>
          <w:i/>
        </w:rPr>
        <w:t xml:space="preserve"> Task Force on High-Performance Computing of the Secretary of Energy Advisory Board</w:t>
      </w:r>
      <w:r>
        <w:t xml:space="preserve">, August 2014, </w:t>
      </w:r>
      <w:hyperlink r:id="rId1" w:history="1">
        <w:r w:rsidRPr="000941C3">
          <w:rPr>
            <w:rStyle w:val="Hyperlink"/>
          </w:rPr>
          <w:t>http://energy.gov/sites/prod/files/2014/08/f18/SEAB%20HPC%20Task%20Force%20Final%20Report%2008-10-2014_1.pdf</w:t>
        </w:r>
      </w:hyperlink>
      <w:r>
        <w:t xml:space="preserve"> </w:t>
      </w:r>
    </w:p>
  </w:footnote>
  <w:footnote w:id="5">
    <w:p w14:paraId="04706DF1" w14:textId="54D4527F" w:rsidR="004B5A24" w:rsidRPr="00AF1DD2" w:rsidRDefault="004B5A24">
      <w:pPr>
        <w:pStyle w:val="FootnoteText"/>
        <w:rPr>
          <w:lang w:val="en-US"/>
        </w:rPr>
      </w:pPr>
      <w:r>
        <w:rPr>
          <w:rStyle w:val="FootnoteReference"/>
        </w:rPr>
        <w:footnoteRef/>
      </w:r>
      <w:r>
        <w:t xml:space="preserve"> </w:t>
      </w:r>
      <w:r>
        <w:rPr>
          <w:lang w:val="en-US"/>
        </w:rPr>
        <w:t xml:space="preserve">_, Future Directions for NSF Advanced Computing Infrastructure to Support U.S. Science and Engineering in 2017–2020: Interim Report, </w:t>
      </w:r>
      <w:hyperlink r:id="rId2" w:history="1">
        <w:r w:rsidRPr="009C3F7B">
          <w:rPr>
            <w:rStyle w:val="Hyperlink"/>
            <w:lang w:val="en-US"/>
          </w:rPr>
          <w:t>http://www.nap.edu/catalog/18972/future-directions-for-nsf-advanced-computing-infrastructure-to-support-us-science-and-engineering-in-20172020</w:t>
        </w:r>
      </w:hyperlink>
      <w:r>
        <w:rPr>
          <w:lang w:val="en-US"/>
        </w:rPr>
        <w:t xml:space="preserve"> </w:t>
      </w:r>
    </w:p>
  </w:footnote>
  <w:footnote w:id="6">
    <w:p w14:paraId="58A90BF9" w14:textId="6D7DF025" w:rsidR="004B5A24" w:rsidRPr="002F6638" w:rsidRDefault="004B5A24">
      <w:pPr>
        <w:pStyle w:val="FootnoteText"/>
      </w:pPr>
      <w:r>
        <w:rPr>
          <w:rStyle w:val="FootnoteReference"/>
        </w:rPr>
        <w:footnoteRef/>
      </w:r>
      <w:r>
        <w:t xml:space="preserve"> E. Joseph, </w:t>
      </w:r>
      <w:r>
        <w:rPr>
          <w:i/>
        </w:rPr>
        <w:t>A Worldwide Overview of the HPC Market, Global Trends, Major Changes and Five Year Predictions</w:t>
      </w:r>
      <w:r>
        <w:t>, IDC, O</w:t>
      </w:r>
      <w:r>
        <w:t>c</w:t>
      </w:r>
      <w:r>
        <w:t xml:space="preserve">tober 13, retrieved from </w:t>
      </w:r>
      <w:hyperlink r:id="rId3" w:history="1">
        <w:r w:rsidRPr="00BE7459">
          <w:rPr>
            <w:rStyle w:val="Hyperlink"/>
          </w:rPr>
          <w:t>https://hpcuserforum.com/presentations/korea2013/IDCSeoulDayOnePresentation.pdf</w:t>
        </w:r>
      </w:hyperlink>
      <w:r>
        <w:t xml:space="preserve"> </w:t>
      </w:r>
    </w:p>
  </w:footnote>
  <w:footnote w:id="7">
    <w:p w14:paraId="5B855488" w14:textId="5DAF2DF2" w:rsidR="004B5A24" w:rsidRPr="002F6638" w:rsidRDefault="004B5A24">
      <w:pPr>
        <w:pStyle w:val="FootnoteText"/>
      </w:pPr>
      <w:r>
        <w:rPr>
          <w:rStyle w:val="FootnoteReference"/>
        </w:rPr>
        <w:footnoteRef/>
      </w:r>
      <w:r>
        <w:t xml:space="preserve"> Matthew </w:t>
      </w:r>
      <w:proofErr w:type="spellStart"/>
      <w:r>
        <w:t>Faraci</w:t>
      </w:r>
      <w:proofErr w:type="spellEnd"/>
      <w:r>
        <w:t xml:space="preserve"> (Vice President (Communications), US Council on Competiveness), </w:t>
      </w:r>
      <w:r>
        <w:rPr>
          <w:i/>
        </w:rPr>
        <w:t>American Business’s Secret Compet</w:t>
      </w:r>
      <w:r>
        <w:rPr>
          <w:i/>
        </w:rPr>
        <w:t>i</w:t>
      </w:r>
      <w:r>
        <w:rPr>
          <w:i/>
        </w:rPr>
        <w:t>tive Weapon: HPC,</w:t>
      </w:r>
      <w:r>
        <w:t xml:space="preserve"> Forbes Magazine (May 2009) retrieved from </w:t>
      </w:r>
      <w:hyperlink r:id="rId4" w:history="1">
        <w:r w:rsidRPr="00BE7459">
          <w:rPr>
            <w:rStyle w:val="Hyperlink"/>
          </w:rPr>
          <w:t>http://www.forbes.com/2009/05/22/high-performance-computing-leadership-managing-hpc.html</w:t>
        </w:r>
      </w:hyperlink>
      <w:r>
        <w:t xml:space="preserve"> </w:t>
      </w:r>
    </w:p>
  </w:footnote>
  <w:footnote w:id="8">
    <w:p w14:paraId="006D0652" w14:textId="6173CD96" w:rsidR="004B5A24" w:rsidRPr="00212F2F" w:rsidRDefault="004B5A24">
      <w:pPr>
        <w:pStyle w:val="FootnoteText"/>
      </w:pPr>
      <w:r>
        <w:rPr>
          <w:rStyle w:val="FootnoteReference"/>
        </w:rPr>
        <w:footnoteRef/>
      </w:r>
      <w:r>
        <w:t xml:space="preserve"> D. Tildesley, </w:t>
      </w:r>
      <w:r>
        <w:rPr>
          <w:i/>
        </w:rPr>
        <w:t xml:space="preserve">A Strategic Vision for UK e-Infrastructure: A roadmap for the development and use of advanced computing, data and networks, </w:t>
      </w:r>
      <w:r>
        <w:t>E-science Leadership Infrastructure Council, November 2011</w:t>
      </w:r>
    </w:p>
  </w:footnote>
  <w:footnote w:id="9">
    <w:p w14:paraId="042C3328" w14:textId="2A189314" w:rsidR="004B5A24" w:rsidRPr="00212F2F" w:rsidRDefault="004B5A24">
      <w:pPr>
        <w:pStyle w:val="FootnoteText"/>
      </w:pPr>
      <w:r>
        <w:rPr>
          <w:rStyle w:val="FootnoteReference"/>
        </w:rPr>
        <w:footnoteRef/>
      </w:r>
      <w:r>
        <w:t xml:space="preserve"> _,</w:t>
      </w:r>
      <w:r>
        <w:rPr>
          <w:i/>
        </w:rPr>
        <w:t>E-infrastructure: The ecosystem for innovation — one year on</w:t>
      </w:r>
      <w:r>
        <w:t>, E-Infrastructure Leadership Council, October 2013</w:t>
      </w:r>
    </w:p>
  </w:footnote>
  <w:footnote w:id="10">
    <w:p w14:paraId="684D2F60" w14:textId="6EE937AD" w:rsidR="004B5A24" w:rsidRPr="001F070F" w:rsidRDefault="004B5A24">
      <w:pPr>
        <w:pStyle w:val="FootnoteText"/>
      </w:pPr>
      <w:r>
        <w:rPr>
          <w:rStyle w:val="FootnoteReference"/>
        </w:rPr>
        <w:footnoteRef/>
      </w:r>
      <w:r>
        <w:t xml:space="preserve"> _, D</w:t>
      </w:r>
      <w:r>
        <w:rPr>
          <w:i/>
        </w:rPr>
        <w:t>eveloping e-Infrastructure in the UK’s Engineering and Manufacturing Industries</w:t>
      </w:r>
      <w:r>
        <w:t xml:space="preserve">, </w:t>
      </w:r>
      <w:proofErr w:type="spellStart"/>
      <w:r>
        <w:t>eScience</w:t>
      </w:r>
      <w:proofErr w:type="spellEnd"/>
      <w:r>
        <w:t xml:space="preserve"> Leadership Council, June 2012 (a report commissioned for the Department of Business and Skills).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2C8EDF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45A734E"/>
    <w:multiLevelType w:val="hybridMultilevel"/>
    <w:tmpl w:val="AB707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B5367FE"/>
    <w:multiLevelType w:val="hybridMultilevel"/>
    <w:tmpl w:val="A184C7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10D"/>
    <w:rsid w:val="000121DD"/>
    <w:rsid w:val="00015864"/>
    <w:rsid w:val="000158E9"/>
    <w:rsid w:val="00046564"/>
    <w:rsid w:val="000676F3"/>
    <w:rsid w:val="000964C5"/>
    <w:rsid w:val="000C113B"/>
    <w:rsid w:val="000C1978"/>
    <w:rsid w:val="000E16ED"/>
    <w:rsid w:val="0011769C"/>
    <w:rsid w:val="001278F4"/>
    <w:rsid w:val="0015007F"/>
    <w:rsid w:val="001539A5"/>
    <w:rsid w:val="00154DB6"/>
    <w:rsid w:val="0015534D"/>
    <w:rsid w:val="00155883"/>
    <w:rsid w:val="00173AC9"/>
    <w:rsid w:val="001B54C6"/>
    <w:rsid w:val="001B6567"/>
    <w:rsid w:val="001F070F"/>
    <w:rsid w:val="002077FC"/>
    <w:rsid w:val="00207955"/>
    <w:rsid w:val="00212F2F"/>
    <w:rsid w:val="00243154"/>
    <w:rsid w:val="00252CD4"/>
    <w:rsid w:val="00261922"/>
    <w:rsid w:val="002A2ADE"/>
    <w:rsid w:val="002C1037"/>
    <w:rsid w:val="002D1BC2"/>
    <w:rsid w:val="002E195E"/>
    <w:rsid w:val="002E211A"/>
    <w:rsid w:val="002F0F7C"/>
    <w:rsid w:val="002F6638"/>
    <w:rsid w:val="00307823"/>
    <w:rsid w:val="00312E96"/>
    <w:rsid w:val="00322070"/>
    <w:rsid w:val="00327F05"/>
    <w:rsid w:val="00331860"/>
    <w:rsid w:val="00332E6A"/>
    <w:rsid w:val="00333DF8"/>
    <w:rsid w:val="00342575"/>
    <w:rsid w:val="00363CA5"/>
    <w:rsid w:val="003745E2"/>
    <w:rsid w:val="00374D28"/>
    <w:rsid w:val="0037557E"/>
    <w:rsid w:val="00380A9E"/>
    <w:rsid w:val="003859FD"/>
    <w:rsid w:val="003A132B"/>
    <w:rsid w:val="003A338D"/>
    <w:rsid w:val="003B5DA5"/>
    <w:rsid w:val="003B65B9"/>
    <w:rsid w:val="003E6DEB"/>
    <w:rsid w:val="004141CE"/>
    <w:rsid w:val="0041761C"/>
    <w:rsid w:val="0042697E"/>
    <w:rsid w:val="00451938"/>
    <w:rsid w:val="00467C9E"/>
    <w:rsid w:val="00475E10"/>
    <w:rsid w:val="00476006"/>
    <w:rsid w:val="00496F02"/>
    <w:rsid w:val="004A7F4C"/>
    <w:rsid w:val="004B3CC3"/>
    <w:rsid w:val="004B5A24"/>
    <w:rsid w:val="004C4F7B"/>
    <w:rsid w:val="004D0556"/>
    <w:rsid w:val="004E056A"/>
    <w:rsid w:val="00500A28"/>
    <w:rsid w:val="00505CCA"/>
    <w:rsid w:val="00517BB7"/>
    <w:rsid w:val="00554428"/>
    <w:rsid w:val="005706F3"/>
    <w:rsid w:val="0057630F"/>
    <w:rsid w:val="005963F7"/>
    <w:rsid w:val="00597CCF"/>
    <w:rsid w:val="005A385B"/>
    <w:rsid w:val="005A5623"/>
    <w:rsid w:val="005F2E77"/>
    <w:rsid w:val="0061233B"/>
    <w:rsid w:val="006235C9"/>
    <w:rsid w:val="00644867"/>
    <w:rsid w:val="006640EB"/>
    <w:rsid w:val="00672E04"/>
    <w:rsid w:val="00675A8E"/>
    <w:rsid w:val="00676B6A"/>
    <w:rsid w:val="00696758"/>
    <w:rsid w:val="00696A1D"/>
    <w:rsid w:val="006F1093"/>
    <w:rsid w:val="0070624D"/>
    <w:rsid w:val="00722B42"/>
    <w:rsid w:val="00722B92"/>
    <w:rsid w:val="00726BF2"/>
    <w:rsid w:val="0073080D"/>
    <w:rsid w:val="00737D35"/>
    <w:rsid w:val="00756038"/>
    <w:rsid w:val="00770FE8"/>
    <w:rsid w:val="007824CC"/>
    <w:rsid w:val="00787609"/>
    <w:rsid w:val="00797503"/>
    <w:rsid w:val="007B0FB3"/>
    <w:rsid w:val="007C0E2F"/>
    <w:rsid w:val="007D0364"/>
    <w:rsid w:val="007D39E0"/>
    <w:rsid w:val="008009D4"/>
    <w:rsid w:val="00801340"/>
    <w:rsid w:val="008169C4"/>
    <w:rsid w:val="00825035"/>
    <w:rsid w:val="008430D2"/>
    <w:rsid w:val="00873D38"/>
    <w:rsid w:val="008A33D1"/>
    <w:rsid w:val="008B30A1"/>
    <w:rsid w:val="008C0ADA"/>
    <w:rsid w:val="008C330C"/>
    <w:rsid w:val="008C3CBC"/>
    <w:rsid w:val="008D3510"/>
    <w:rsid w:val="008E15DB"/>
    <w:rsid w:val="008E42C3"/>
    <w:rsid w:val="00951A85"/>
    <w:rsid w:val="00960C55"/>
    <w:rsid w:val="009679E9"/>
    <w:rsid w:val="00967E83"/>
    <w:rsid w:val="00977C41"/>
    <w:rsid w:val="009A1327"/>
    <w:rsid w:val="009C707D"/>
    <w:rsid w:val="009E15BA"/>
    <w:rsid w:val="009F04ED"/>
    <w:rsid w:val="009F3C5F"/>
    <w:rsid w:val="009F7488"/>
    <w:rsid w:val="00A03EC8"/>
    <w:rsid w:val="00A14239"/>
    <w:rsid w:val="00A16865"/>
    <w:rsid w:val="00A2684A"/>
    <w:rsid w:val="00A35D6D"/>
    <w:rsid w:val="00A37238"/>
    <w:rsid w:val="00A76C2A"/>
    <w:rsid w:val="00A8783A"/>
    <w:rsid w:val="00AD7517"/>
    <w:rsid w:val="00AF1DD2"/>
    <w:rsid w:val="00B36C29"/>
    <w:rsid w:val="00B45441"/>
    <w:rsid w:val="00B7337D"/>
    <w:rsid w:val="00B84D0C"/>
    <w:rsid w:val="00B92573"/>
    <w:rsid w:val="00BA1E5F"/>
    <w:rsid w:val="00BA5689"/>
    <w:rsid w:val="00BA6912"/>
    <w:rsid w:val="00BA77EF"/>
    <w:rsid w:val="00C013E6"/>
    <w:rsid w:val="00C157F4"/>
    <w:rsid w:val="00C24EF3"/>
    <w:rsid w:val="00C26A51"/>
    <w:rsid w:val="00C30D46"/>
    <w:rsid w:val="00C310AC"/>
    <w:rsid w:val="00C3779F"/>
    <w:rsid w:val="00C60737"/>
    <w:rsid w:val="00CB17C3"/>
    <w:rsid w:val="00CE2C8B"/>
    <w:rsid w:val="00D05F01"/>
    <w:rsid w:val="00D50C90"/>
    <w:rsid w:val="00D65B16"/>
    <w:rsid w:val="00D76375"/>
    <w:rsid w:val="00D844DD"/>
    <w:rsid w:val="00D84746"/>
    <w:rsid w:val="00D925EB"/>
    <w:rsid w:val="00D9518D"/>
    <w:rsid w:val="00D96A72"/>
    <w:rsid w:val="00DB2250"/>
    <w:rsid w:val="00DB6E54"/>
    <w:rsid w:val="00DF2074"/>
    <w:rsid w:val="00DF2D10"/>
    <w:rsid w:val="00E00851"/>
    <w:rsid w:val="00E03111"/>
    <w:rsid w:val="00E153DE"/>
    <w:rsid w:val="00E15F85"/>
    <w:rsid w:val="00E57200"/>
    <w:rsid w:val="00E8510D"/>
    <w:rsid w:val="00E85ACD"/>
    <w:rsid w:val="00EA26F0"/>
    <w:rsid w:val="00EB229A"/>
    <w:rsid w:val="00EB6949"/>
    <w:rsid w:val="00EC2CDF"/>
    <w:rsid w:val="00EC703E"/>
    <w:rsid w:val="00EE0594"/>
    <w:rsid w:val="00EE29B5"/>
    <w:rsid w:val="00F02E08"/>
    <w:rsid w:val="00F03442"/>
    <w:rsid w:val="00F40A0B"/>
    <w:rsid w:val="00F65CAE"/>
    <w:rsid w:val="00F92672"/>
    <w:rsid w:val="00FA57CD"/>
    <w:rsid w:val="00FB4134"/>
    <w:rsid w:val="00FC1241"/>
    <w:rsid w:val="00FC58F7"/>
    <w:rsid w:val="00FD0786"/>
    <w:rsid w:val="00FF6C8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5D5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0786"/>
  </w:style>
  <w:style w:type="paragraph" w:styleId="Heading1">
    <w:name w:val="heading 1"/>
    <w:basedOn w:val="Normal"/>
    <w:next w:val="Normal"/>
    <w:link w:val="Heading1Char"/>
    <w:uiPriority w:val="9"/>
    <w:qFormat/>
    <w:rsid w:val="00FD0786"/>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FD0786"/>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FD0786"/>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FD0786"/>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FD0786"/>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FD0786"/>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FD078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D0786"/>
    <w:pPr>
      <w:keepNext/>
      <w:keepLines/>
      <w:spacing w:before="200" w:after="0"/>
      <w:outlineLvl w:val="7"/>
    </w:pPr>
    <w:rPr>
      <w:rFonts w:asciiTheme="majorHAnsi" w:eastAsiaTheme="majorEastAsia" w:hAnsiTheme="majorHAnsi" w:cstheme="majorBidi"/>
      <w:color w:val="5B9BD5" w:themeColor="accent1"/>
      <w:sz w:val="20"/>
      <w:szCs w:val="20"/>
    </w:rPr>
  </w:style>
  <w:style w:type="paragraph" w:styleId="Heading9">
    <w:name w:val="heading 9"/>
    <w:basedOn w:val="Normal"/>
    <w:next w:val="Normal"/>
    <w:link w:val="Heading9Char"/>
    <w:uiPriority w:val="9"/>
    <w:semiHidden/>
    <w:unhideWhenUsed/>
    <w:qFormat/>
    <w:rsid w:val="00FD078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0786"/>
    <w:pPr>
      <w:ind w:left="720"/>
      <w:contextualSpacing/>
    </w:pPr>
  </w:style>
  <w:style w:type="paragraph" w:styleId="BalloonText">
    <w:name w:val="Balloon Text"/>
    <w:basedOn w:val="Normal"/>
    <w:link w:val="BalloonTextChar"/>
    <w:uiPriority w:val="99"/>
    <w:semiHidden/>
    <w:unhideWhenUsed/>
    <w:rsid w:val="004C4F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4F7B"/>
    <w:rPr>
      <w:rFonts w:ascii="Segoe UI" w:hAnsi="Segoe UI" w:cs="Segoe UI"/>
      <w:sz w:val="18"/>
      <w:szCs w:val="18"/>
    </w:rPr>
  </w:style>
  <w:style w:type="paragraph" w:styleId="Header">
    <w:name w:val="header"/>
    <w:basedOn w:val="Normal"/>
    <w:link w:val="HeaderChar"/>
    <w:uiPriority w:val="99"/>
    <w:unhideWhenUsed/>
    <w:rsid w:val="00DF2D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2D10"/>
  </w:style>
  <w:style w:type="paragraph" w:styleId="Footer">
    <w:name w:val="footer"/>
    <w:basedOn w:val="Normal"/>
    <w:link w:val="FooterChar"/>
    <w:uiPriority w:val="99"/>
    <w:unhideWhenUsed/>
    <w:rsid w:val="00DF2D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2D10"/>
  </w:style>
  <w:style w:type="paragraph" w:styleId="FootnoteText">
    <w:name w:val="footnote text"/>
    <w:basedOn w:val="Normal"/>
    <w:link w:val="FootnoteTextChar"/>
    <w:uiPriority w:val="99"/>
    <w:semiHidden/>
    <w:unhideWhenUsed/>
    <w:rsid w:val="00212F2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12F2F"/>
    <w:rPr>
      <w:sz w:val="20"/>
      <w:szCs w:val="20"/>
    </w:rPr>
  </w:style>
  <w:style w:type="character" w:styleId="FootnoteReference">
    <w:name w:val="footnote reference"/>
    <w:basedOn w:val="DefaultParagraphFont"/>
    <w:uiPriority w:val="99"/>
    <w:semiHidden/>
    <w:unhideWhenUsed/>
    <w:rsid w:val="00212F2F"/>
    <w:rPr>
      <w:vertAlign w:val="superscript"/>
    </w:rPr>
  </w:style>
  <w:style w:type="paragraph" w:styleId="ListBullet">
    <w:name w:val="List Bullet"/>
    <w:basedOn w:val="Normal"/>
    <w:uiPriority w:val="99"/>
    <w:unhideWhenUsed/>
    <w:rsid w:val="00212F2F"/>
    <w:pPr>
      <w:numPr>
        <w:numId w:val="2"/>
      </w:numPr>
      <w:contextualSpacing/>
    </w:pPr>
  </w:style>
  <w:style w:type="character" w:styleId="Hyperlink">
    <w:name w:val="Hyperlink"/>
    <w:basedOn w:val="DefaultParagraphFont"/>
    <w:uiPriority w:val="99"/>
    <w:unhideWhenUsed/>
    <w:rsid w:val="002F6638"/>
    <w:rPr>
      <w:color w:val="0563C1" w:themeColor="hyperlink"/>
      <w:u w:val="single"/>
    </w:rPr>
  </w:style>
  <w:style w:type="character" w:customStyle="1" w:styleId="Heading1Char">
    <w:name w:val="Heading 1 Char"/>
    <w:basedOn w:val="DefaultParagraphFont"/>
    <w:link w:val="Heading1"/>
    <w:uiPriority w:val="9"/>
    <w:rsid w:val="00FD0786"/>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FD0786"/>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semiHidden/>
    <w:rsid w:val="00FD0786"/>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semiHidden/>
    <w:rsid w:val="00FD0786"/>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FD0786"/>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semiHidden/>
    <w:rsid w:val="00FD0786"/>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FD078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D0786"/>
    <w:rPr>
      <w:rFonts w:asciiTheme="majorHAnsi" w:eastAsiaTheme="majorEastAsia" w:hAnsiTheme="majorHAnsi" w:cstheme="majorBidi"/>
      <w:color w:val="5B9BD5" w:themeColor="accent1"/>
      <w:sz w:val="20"/>
      <w:szCs w:val="20"/>
    </w:rPr>
  </w:style>
  <w:style w:type="character" w:customStyle="1" w:styleId="Heading9Char">
    <w:name w:val="Heading 9 Char"/>
    <w:basedOn w:val="DefaultParagraphFont"/>
    <w:link w:val="Heading9"/>
    <w:uiPriority w:val="9"/>
    <w:semiHidden/>
    <w:rsid w:val="00FD078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D0786"/>
    <w:pPr>
      <w:spacing w:line="240" w:lineRule="auto"/>
    </w:pPr>
    <w:rPr>
      <w:b/>
      <w:bCs/>
      <w:color w:val="5B9BD5" w:themeColor="accent1"/>
      <w:sz w:val="18"/>
      <w:szCs w:val="18"/>
    </w:rPr>
  </w:style>
  <w:style w:type="paragraph" w:styleId="Title">
    <w:name w:val="Title"/>
    <w:basedOn w:val="Normal"/>
    <w:next w:val="Normal"/>
    <w:link w:val="TitleChar"/>
    <w:uiPriority w:val="10"/>
    <w:qFormat/>
    <w:rsid w:val="00FD0786"/>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FD0786"/>
    <w:rPr>
      <w:rFonts w:asciiTheme="majorHAnsi" w:eastAsiaTheme="majorEastAsia" w:hAnsiTheme="majorHAnsi" w:cstheme="majorBidi"/>
      <w:color w:val="323E4F" w:themeColor="text2" w:themeShade="BF"/>
      <w:spacing w:val="5"/>
      <w:kern w:val="28"/>
      <w:sz w:val="52"/>
      <w:szCs w:val="52"/>
    </w:rPr>
  </w:style>
  <w:style w:type="paragraph" w:styleId="Subtitle">
    <w:name w:val="Subtitle"/>
    <w:basedOn w:val="Normal"/>
    <w:next w:val="Normal"/>
    <w:link w:val="SubtitleChar"/>
    <w:uiPriority w:val="11"/>
    <w:qFormat/>
    <w:rsid w:val="00FD0786"/>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FD0786"/>
    <w:rPr>
      <w:rFonts w:asciiTheme="majorHAnsi" w:eastAsiaTheme="majorEastAsia" w:hAnsiTheme="majorHAnsi" w:cstheme="majorBidi"/>
      <w:i/>
      <w:iCs/>
      <w:color w:val="5B9BD5" w:themeColor="accent1"/>
      <w:spacing w:val="15"/>
      <w:sz w:val="24"/>
      <w:szCs w:val="24"/>
    </w:rPr>
  </w:style>
  <w:style w:type="character" w:styleId="Strong">
    <w:name w:val="Strong"/>
    <w:basedOn w:val="DefaultParagraphFont"/>
    <w:uiPriority w:val="22"/>
    <w:qFormat/>
    <w:rsid w:val="00FD0786"/>
    <w:rPr>
      <w:b/>
      <w:bCs/>
    </w:rPr>
  </w:style>
  <w:style w:type="character" w:styleId="Emphasis">
    <w:name w:val="Emphasis"/>
    <w:basedOn w:val="DefaultParagraphFont"/>
    <w:uiPriority w:val="20"/>
    <w:qFormat/>
    <w:rsid w:val="00FD0786"/>
    <w:rPr>
      <w:i/>
      <w:iCs/>
    </w:rPr>
  </w:style>
  <w:style w:type="paragraph" w:styleId="NoSpacing">
    <w:name w:val="No Spacing"/>
    <w:uiPriority w:val="1"/>
    <w:qFormat/>
    <w:rsid w:val="00FD0786"/>
    <w:pPr>
      <w:spacing w:after="0" w:line="240" w:lineRule="auto"/>
    </w:pPr>
  </w:style>
  <w:style w:type="paragraph" w:styleId="Quote">
    <w:name w:val="Quote"/>
    <w:basedOn w:val="Normal"/>
    <w:next w:val="Normal"/>
    <w:link w:val="QuoteChar"/>
    <w:uiPriority w:val="29"/>
    <w:qFormat/>
    <w:rsid w:val="00FD0786"/>
    <w:rPr>
      <w:i/>
      <w:iCs/>
      <w:color w:val="000000" w:themeColor="text1"/>
    </w:rPr>
  </w:style>
  <w:style w:type="character" w:customStyle="1" w:styleId="QuoteChar">
    <w:name w:val="Quote Char"/>
    <w:basedOn w:val="DefaultParagraphFont"/>
    <w:link w:val="Quote"/>
    <w:uiPriority w:val="29"/>
    <w:rsid w:val="00FD0786"/>
    <w:rPr>
      <w:i/>
      <w:iCs/>
      <w:color w:val="000000" w:themeColor="text1"/>
    </w:rPr>
  </w:style>
  <w:style w:type="paragraph" w:styleId="IntenseQuote">
    <w:name w:val="Intense Quote"/>
    <w:basedOn w:val="Normal"/>
    <w:next w:val="Normal"/>
    <w:link w:val="IntenseQuoteChar"/>
    <w:uiPriority w:val="30"/>
    <w:qFormat/>
    <w:rsid w:val="00FD0786"/>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FD0786"/>
    <w:rPr>
      <w:b/>
      <w:bCs/>
      <w:i/>
      <w:iCs/>
      <w:color w:val="5B9BD5" w:themeColor="accent1"/>
    </w:rPr>
  </w:style>
  <w:style w:type="character" w:styleId="SubtleEmphasis">
    <w:name w:val="Subtle Emphasis"/>
    <w:basedOn w:val="DefaultParagraphFont"/>
    <w:uiPriority w:val="19"/>
    <w:qFormat/>
    <w:rsid w:val="00FD0786"/>
    <w:rPr>
      <w:i/>
      <w:iCs/>
      <w:color w:val="808080" w:themeColor="text1" w:themeTint="7F"/>
    </w:rPr>
  </w:style>
  <w:style w:type="character" w:styleId="IntenseEmphasis">
    <w:name w:val="Intense Emphasis"/>
    <w:basedOn w:val="DefaultParagraphFont"/>
    <w:uiPriority w:val="21"/>
    <w:qFormat/>
    <w:rsid w:val="00FD0786"/>
    <w:rPr>
      <w:b/>
      <w:bCs/>
      <w:i/>
      <w:iCs/>
      <w:color w:val="5B9BD5" w:themeColor="accent1"/>
    </w:rPr>
  </w:style>
  <w:style w:type="character" w:styleId="SubtleReference">
    <w:name w:val="Subtle Reference"/>
    <w:basedOn w:val="DefaultParagraphFont"/>
    <w:uiPriority w:val="31"/>
    <w:qFormat/>
    <w:rsid w:val="00FD0786"/>
    <w:rPr>
      <w:smallCaps/>
      <w:color w:val="ED7D31" w:themeColor="accent2"/>
      <w:u w:val="single"/>
    </w:rPr>
  </w:style>
  <w:style w:type="character" w:styleId="IntenseReference">
    <w:name w:val="Intense Reference"/>
    <w:basedOn w:val="DefaultParagraphFont"/>
    <w:uiPriority w:val="32"/>
    <w:qFormat/>
    <w:rsid w:val="00FD0786"/>
    <w:rPr>
      <w:b/>
      <w:bCs/>
      <w:smallCaps/>
      <w:color w:val="ED7D31" w:themeColor="accent2"/>
      <w:spacing w:val="5"/>
      <w:u w:val="single"/>
    </w:rPr>
  </w:style>
  <w:style w:type="character" w:styleId="BookTitle">
    <w:name w:val="Book Title"/>
    <w:basedOn w:val="DefaultParagraphFont"/>
    <w:uiPriority w:val="33"/>
    <w:qFormat/>
    <w:rsid w:val="00FD0786"/>
    <w:rPr>
      <w:b/>
      <w:bCs/>
      <w:smallCaps/>
      <w:spacing w:val="5"/>
    </w:rPr>
  </w:style>
  <w:style w:type="paragraph" w:styleId="TOCHeading">
    <w:name w:val="TOC Heading"/>
    <w:basedOn w:val="Heading1"/>
    <w:next w:val="Normal"/>
    <w:uiPriority w:val="39"/>
    <w:semiHidden/>
    <w:unhideWhenUsed/>
    <w:qFormat/>
    <w:rsid w:val="00FD0786"/>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0786"/>
  </w:style>
  <w:style w:type="paragraph" w:styleId="Heading1">
    <w:name w:val="heading 1"/>
    <w:basedOn w:val="Normal"/>
    <w:next w:val="Normal"/>
    <w:link w:val="Heading1Char"/>
    <w:uiPriority w:val="9"/>
    <w:qFormat/>
    <w:rsid w:val="00FD0786"/>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FD0786"/>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FD0786"/>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FD0786"/>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FD0786"/>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FD0786"/>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FD078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D0786"/>
    <w:pPr>
      <w:keepNext/>
      <w:keepLines/>
      <w:spacing w:before="200" w:after="0"/>
      <w:outlineLvl w:val="7"/>
    </w:pPr>
    <w:rPr>
      <w:rFonts w:asciiTheme="majorHAnsi" w:eastAsiaTheme="majorEastAsia" w:hAnsiTheme="majorHAnsi" w:cstheme="majorBidi"/>
      <w:color w:val="5B9BD5" w:themeColor="accent1"/>
      <w:sz w:val="20"/>
      <w:szCs w:val="20"/>
    </w:rPr>
  </w:style>
  <w:style w:type="paragraph" w:styleId="Heading9">
    <w:name w:val="heading 9"/>
    <w:basedOn w:val="Normal"/>
    <w:next w:val="Normal"/>
    <w:link w:val="Heading9Char"/>
    <w:uiPriority w:val="9"/>
    <w:semiHidden/>
    <w:unhideWhenUsed/>
    <w:qFormat/>
    <w:rsid w:val="00FD078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0786"/>
    <w:pPr>
      <w:ind w:left="720"/>
      <w:contextualSpacing/>
    </w:pPr>
  </w:style>
  <w:style w:type="paragraph" w:styleId="BalloonText">
    <w:name w:val="Balloon Text"/>
    <w:basedOn w:val="Normal"/>
    <w:link w:val="BalloonTextChar"/>
    <w:uiPriority w:val="99"/>
    <w:semiHidden/>
    <w:unhideWhenUsed/>
    <w:rsid w:val="004C4F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4F7B"/>
    <w:rPr>
      <w:rFonts w:ascii="Segoe UI" w:hAnsi="Segoe UI" w:cs="Segoe UI"/>
      <w:sz w:val="18"/>
      <w:szCs w:val="18"/>
    </w:rPr>
  </w:style>
  <w:style w:type="paragraph" w:styleId="Header">
    <w:name w:val="header"/>
    <w:basedOn w:val="Normal"/>
    <w:link w:val="HeaderChar"/>
    <w:uiPriority w:val="99"/>
    <w:unhideWhenUsed/>
    <w:rsid w:val="00DF2D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2D10"/>
  </w:style>
  <w:style w:type="paragraph" w:styleId="Footer">
    <w:name w:val="footer"/>
    <w:basedOn w:val="Normal"/>
    <w:link w:val="FooterChar"/>
    <w:uiPriority w:val="99"/>
    <w:unhideWhenUsed/>
    <w:rsid w:val="00DF2D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2D10"/>
  </w:style>
  <w:style w:type="paragraph" w:styleId="FootnoteText">
    <w:name w:val="footnote text"/>
    <w:basedOn w:val="Normal"/>
    <w:link w:val="FootnoteTextChar"/>
    <w:uiPriority w:val="99"/>
    <w:semiHidden/>
    <w:unhideWhenUsed/>
    <w:rsid w:val="00212F2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12F2F"/>
    <w:rPr>
      <w:sz w:val="20"/>
      <w:szCs w:val="20"/>
    </w:rPr>
  </w:style>
  <w:style w:type="character" w:styleId="FootnoteReference">
    <w:name w:val="footnote reference"/>
    <w:basedOn w:val="DefaultParagraphFont"/>
    <w:uiPriority w:val="99"/>
    <w:semiHidden/>
    <w:unhideWhenUsed/>
    <w:rsid w:val="00212F2F"/>
    <w:rPr>
      <w:vertAlign w:val="superscript"/>
    </w:rPr>
  </w:style>
  <w:style w:type="paragraph" w:styleId="ListBullet">
    <w:name w:val="List Bullet"/>
    <w:basedOn w:val="Normal"/>
    <w:uiPriority w:val="99"/>
    <w:unhideWhenUsed/>
    <w:rsid w:val="00212F2F"/>
    <w:pPr>
      <w:numPr>
        <w:numId w:val="2"/>
      </w:numPr>
      <w:contextualSpacing/>
    </w:pPr>
  </w:style>
  <w:style w:type="character" w:styleId="Hyperlink">
    <w:name w:val="Hyperlink"/>
    <w:basedOn w:val="DefaultParagraphFont"/>
    <w:uiPriority w:val="99"/>
    <w:unhideWhenUsed/>
    <w:rsid w:val="002F6638"/>
    <w:rPr>
      <w:color w:val="0563C1" w:themeColor="hyperlink"/>
      <w:u w:val="single"/>
    </w:rPr>
  </w:style>
  <w:style w:type="character" w:customStyle="1" w:styleId="Heading1Char">
    <w:name w:val="Heading 1 Char"/>
    <w:basedOn w:val="DefaultParagraphFont"/>
    <w:link w:val="Heading1"/>
    <w:uiPriority w:val="9"/>
    <w:rsid w:val="00FD0786"/>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FD0786"/>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semiHidden/>
    <w:rsid w:val="00FD0786"/>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semiHidden/>
    <w:rsid w:val="00FD0786"/>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FD0786"/>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semiHidden/>
    <w:rsid w:val="00FD0786"/>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FD078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D0786"/>
    <w:rPr>
      <w:rFonts w:asciiTheme="majorHAnsi" w:eastAsiaTheme="majorEastAsia" w:hAnsiTheme="majorHAnsi" w:cstheme="majorBidi"/>
      <w:color w:val="5B9BD5" w:themeColor="accent1"/>
      <w:sz w:val="20"/>
      <w:szCs w:val="20"/>
    </w:rPr>
  </w:style>
  <w:style w:type="character" w:customStyle="1" w:styleId="Heading9Char">
    <w:name w:val="Heading 9 Char"/>
    <w:basedOn w:val="DefaultParagraphFont"/>
    <w:link w:val="Heading9"/>
    <w:uiPriority w:val="9"/>
    <w:semiHidden/>
    <w:rsid w:val="00FD078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D0786"/>
    <w:pPr>
      <w:spacing w:line="240" w:lineRule="auto"/>
    </w:pPr>
    <w:rPr>
      <w:b/>
      <w:bCs/>
      <w:color w:val="5B9BD5" w:themeColor="accent1"/>
      <w:sz w:val="18"/>
      <w:szCs w:val="18"/>
    </w:rPr>
  </w:style>
  <w:style w:type="paragraph" w:styleId="Title">
    <w:name w:val="Title"/>
    <w:basedOn w:val="Normal"/>
    <w:next w:val="Normal"/>
    <w:link w:val="TitleChar"/>
    <w:uiPriority w:val="10"/>
    <w:qFormat/>
    <w:rsid w:val="00FD0786"/>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FD0786"/>
    <w:rPr>
      <w:rFonts w:asciiTheme="majorHAnsi" w:eastAsiaTheme="majorEastAsia" w:hAnsiTheme="majorHAnsi" w:cstheme="majorBidi"/>
      <w:color w:val="323E4F" w:themeColor="text2" w:themeShade="BF"/>
      <w:spacing w:val="5"/>
      <w:kern w:val="28"/>
      <w:sz w:val="52"/>
      <w:szCs w:val="52"/>
    </w:rPr>
  </w:style>
  <w:style w:type="paragraph" w:styleId="Subtitle">
    <w:name w:val="Subtitle"/>
    <w:basedOn w:val="Normal"/>
    <w:next w:val="Normal"/>
    <w:link w:val="SubtitleChar"/>
    <w:uiPriority w:val="11"/>
    <w:qFormat/>
    <w:rsid w:val="00FD0786"/>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FD0786"/>
    <w:rPr>
      <w:rFonts w:asciiTheme="majorHAnsi" w:eastAsiaTheme="majorEastAsia" w:hAnsiTheme="majorHAnsi" w:cstheme="majorBidi"/>
      <w:i/>
      <w:iCs/>
      <w:color w:val="5B9BD5" w:themeColor="accent1"/>
      <w:spacing w:val="15"/>
      <w:sz w:val="24"/>
      <w:szCs w:val="24"/>
    </w:rPr>
  </w:style>
  <w:style w:type="character" w:styleId="Strong">
    <w:name w:val="Strong"/>
    <w:basedOn w:val="DefaultParagraphFont"/>
    <w:uiPriority w:val="22"/>
    <w:qFormat/>
    <w:rsid w:val="00FD0786"/>
    <w:rPr>
      <w:b/>
      <w:bCs/>
    </w:rPr>
  </w:style>
  <w:style w:type="character" w:styleId="Emphasis">
    <w:name w:val="Emphasis"/>
    <w:basedOn w:val="DefaultParagraphFont"/>
    <w:uiPriority w:val="20"/>
    <w:qFormat/>
    <w:rsid w:val="00FD0786"/>
    <w:rPr>
      <w:i/>
      <w:iCs/>
    </w:rPr>
  </w:style>
  <w:style w:type="paragraph" w:styleId="NoSpacing">
    <w:name w:val="No Spacing"/>
    <w:uiPriority w:val="1"/>
    <w:qFormat/>
    <w:rsid w:val="00FD0786"/>
    <w:pPr>
      <w:spacing w:after="0" w:line="240" w:lineRule="auto"/>
    </w:pPr>
  </w:style>
  <w:style w:type="paragraph" w:styleId="Quote">
    <w:name w:val="Quote"/>
    <w:basedOn w:val="Normal"/>
    <w:next w:val="Normal"/>
    <w:link w:val="QuoteChar"/>
    <w:uiPriority w:val="29"/>
    <w:qFormat/>
    <w:rsid w:val="00FD0786"/>
    <w:rPr>
      <w:i/>
      <w:iCs/>
      <w:color w:val="000000" w:themeColor="text1"/>
    </w:rPr>
  </w:style>
  <w:style w:type="character" w:customStyle="1" w:styleId="QuoteChar">
    <w:name w:val="Quote Char"/>
    <w:basedOn w:val="DefaultParagraphFont"/>
    <w:link w:val="Quote"/>
    <w:uiPriority w:val="29"/>
    <w:rsid w:val="00FD0786"/>
    <w:rPr>
      <w:i/>
      <w:iCs/>
      <w:color w:val="000000" w:themeColor="text1"/>
    </w:rPr>
  </w:style>
  <w:style w:type="paragraph" w:styleId="IntenseQuote">
    <w:name w:val="Intense Quote"/>
    <w:basedOn w:val="Normal"/>
    <w:next w:val="Normal"/>
    <w:link w:val="IntenseQuoteChar"/>
    <w:uiPriority w:val="30"/>
    <w:qFormat/>
    <w:rsid w:val="00FD0786"/>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FD0786"/>
    <w:rPr>
      <w:b/>
      <w:bCs/>
      <w:i/>
      <w:iCs/>
      <w:color w:val="5B9BD5" w:themeColor="accent1"/>
    </w:rPr>
  </w:style>
  <w:style w:type="character" w:styleId="SubtleEmphasis">
    <w:name w:val="Subtle Emphasis"/>
    <w:basedOn w:val="DefaultParagraphFont"/>
    <w:uiPriority w:val="19"/>
    <w:qFormat/>
    <w:rsid w:val="00FD0786"/>
    <w:rPr>
      <w:i/>
      <w:iCs/>
      <w:color w:val="808080" w:themeColor="text1" w:themeTint="7F"/>
    </w:rPr>
  </w:style>
  <w:style w:type="character" w:styleId="IntenseEmphasis">
    <w:name w:val="Intense Emphasis"/>
    <w:basedOn w:val="DefaultParagraphFont"/>
    <w:uiPriority w:val="21"/>
    <w:qFormat/>
    <w:rsid w:val="00FD0786"/>
    <w:rPr>
      <w:b/>
      <w:bCs/>
      <w:i/>
      <w:iCs/>
      <w:color w:val="5B9BD5" w:themeColor="accent1"/>
    </w:rPr>
  </w:style>
  <w:style w:type="character" w:styleId="SubtleReference">
    <w:name w:val="Subtle Reference"/>
    <w:basedOn w:val="DefaultParagraphFont"/>
    <w:uiPriority w:val="31"/>
    <w:qFormat/>
    <w:rsid w:val="00FD0786"/>
    <w:rPr>
      <w:smallCaps/>
      <w:color w:val="ED7D31" w:themeColor="accent2"/>
      <w:u w:val="single"/>
    </w:rPr>
  </w:style>
  <w:style w:type="character" w:styleId="IntenseReference">
    <w:name w:val="Intense Reference"/>
    <w:basedOn w:val="DefaultParagraphFont"/>
    <w:uiPriority w:val="32"/>
    <w:qFormat/>
    <w:rsid w:val="00FD0786"/>
    <w:rPr>
      <w:b/>
      <w:bCs/>
      <w:smallCaps/>
      <w:color w:val="ED7D31" w:themeColor="accent2"/>
      <w:spacing w:val="5"/>
      <w:u w:val="single"/>
    </w:rPr>
  </w:style>
  <w:style w:type="character" w:styleId="BookTitle">
    <w:name w:val="Book Title"/>
    <w:basedOn w:val="DefaultParagraphFont"/>
    <w:uiPriority w:val="33"/>
    <w:qFormat/>
    <w:rsid w:val="00FD0786"/>
    <w:rPr>
      <w:b/>
      <w:bCs/>
      <w:smallCaps/>
      <w:spacing w:val="5"/>
    </w:rPr>
  </w:style>
  <w:style w:type="paragraph" w:styleId="TOCHeading">
    <w:name w:val="TOC Heading"/>
    <w:basedOn w:val="Heading1"/>
    <w:next w:val="Normal"/>
    <w:uiPriority w:val="39"/>
    <w:semiHidden/>
    <w:unhideWhenUsed/>
    <w:qFormat/>
    <w:rsid w:val="00FD0786"/>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hpcuserforum.com/presentations/korea2013/IDCSeoulDayOnePresentation.pdf" TargetMode="External"/><Relationship Id="rId2" Type="http://schemas.openxmlformats.org/officeDocument/2006/relationships/hyperlink" Target="http://www.nap.edu/catalog/18972/future-directions-for-nsf-advanced-computing-infrastructure-to-support-us-science-and-engineering-in-20172020" TargetMode="External"/><Relationship Id="rId1" Type="http://schemas.openxmlformats.org/officeDocument/2006/relationships/hyperlink" Target="http://energy.gov/sites/prod/files/2014/08/f18/SEAB%20HPC%20Task%20Force%20Final%20Report%2008-10-2014_1.pdf" TargetMode="External"/><Relationship Id="rId4" Type="http://schemas.openxmlformats.org/officeDocument/2006/relationships/hyperlink" Target="http://www.forbes.com/2009/05/22/high-performance-computing-leadership-managing-hpc.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532659050105A4BB64EC7FE4940F188" ma:contentTypeVersion="6" ma:contentTypeDescription="Create a new document." ma:contentTypeScope="" ma:versionID="30af37d55298fa54ee7cc145298a8809">
  <xsd:schema xmlns:xsd="http://www.w3.org/2001/XMLSchema" xmlns:xs="http://www.w3.org/2001/XMLSchema" xmlns:p="http://schemas.microsoft.com/office/2006/metadata/properties" xmlns:ns2="ed110c73-9675-4a40-bedd-85eaf2417466" targetNamespace="http://schemas.microsoft.com/office/2006/metadata/properties" ma:root="true" ma:fieldsID="91248dea6c99aebf2c8210347db92905" ns2:_="">
    <xsd:import namespace="ed110c73-9675-4a40-bedd-85eaf2417466"/>
    <xsd:element name="properties">
      <xsd:complexType>
        <xsd:sequence>
          <xsd:element name="documentManagement">
            <xsd:complexType>
              <xsd:all>
                <xsd:element ref="ns2:SubmissionID"/>
                <xsd:element ref="ns2:DocumentType"/>
                <xsd:element ref="ns2:DocumentStatus"/>
                <xsd:element ref="ns2:DocumentVisibility"/>
                <xsd:element ref="ns2:ApproverNotes" minOccurs="0"/>
                <xsd:element ref="ns2:Original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110c73-9675-4a40-bedd-85eaf2417466" elementFormDefault="qualified">
    <xsd:import namespace="http://schemas.microsoft.com/office/2006/documentManagement/types"/>
    <xsd:import namespace="http://schemas.microsoft.com/office/infopath/2007/PartnerControls"/>
    <xsd:element name="SubmissionID" ma:index="8" ma:displayName="SubmissionID" ma:description="The matching SubmissionID for this document. Internal use only." ma:indexed="true" ma:internalName="SubmissionID">
      <xsd:simpleType>
        <xsd:restriction base="dms:Text"/>
      </xsd:simpleType>
    </xsd:element>
    <xsd:element name="DocumentType" ma:index="9" ma:displayName="DocumentType" ma:description="Indicates the document type." ma:internalName="DocumentType">
      <xsd:simpleType>
        <xsd:restriction base="dms:Choice">
          <xsd:enumeration value="SubmissionDoc"/>
          <xsd:enumeration value="AppendixDoc"/>
          <xsd:enumeration value="OtherDoc"/>
        </xsd:restriction>
      </xsd:simpleType>
    </xsd:element>
    <xsd:element name="DocumentStatus" ma:index="10" ma:displayName="DocumentStatus" ma:description="Indicates if the document is currently being processed or completed (accessible or not accessible or exempt)" ma:indexed="true" ma:internalName="DocumentStatus">
      <xsd:simpleType>
        <xsd:restriction base="dms:Choice">
          <xsd:enumeration value="Submitted"/>
          <xsd:enumeration value="Processing"/>
          <xsd:enumeration value="CompletedAccessible"/>
          <xsd:enumeration value="CompletedNotAccessible"/>
          <xsd:enumeration value="CompletedNotAccessibleExempt"/>
          <xsd:enumeration value="CompletedPrivate"/>
          <xsd:enumeration value="Declined"/>
          <xsd:enumeration value="Withdrawn"/>
        </xsd:restriction>
      </xsd:simpleType>
    </xsd:element>
    <xsd:element name="DocumentVisibility" ma:index="11" ma:displayName="DocumentVisibility" ma:description="Indicates whether the document can be seen publically. Internal use only." ma:internalName="DocumentVisibility">
      <xsd:simpleType>
        <xsd:restriction base="dms:Choice">
          <xsd:enumeration value="Public"/>
          <xsd:enumeration value="Hidden"/>
        </xsd:restriction>
      </xsd:simpleType>
    </xsd:element>
    <xsd:element name="ApproverNotes" ma:index="12" nillable="true" ma:displayName="ApproverNotes" ma:description="For adhoc comments by Approvers as required" ma:internalName="ApproverNotes">
      <xsd:simpleType>
        <xsd:restriction base="dms:Note">
          <xsd:maxLength value="255"/>
        </xsd:restriction>
      </xsd:simpleType>
    </xsd:element>
    <xsd:element name="OriginalFileName" ma:index="13" nillable="true" ma:displayName="OriginalFileName" ma:description="The original uploaded filename. Internal use only." ma:internalName="OriginalFileNam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Visibility xmlns="ed110c73-9675-4a40-bedd-85eaf2417466">Public</DocumentVisibility>
    <ApproverNotes xmlns="ed110c73-9675-4a40-bedd-85eaf2417466" xsi:nil="true"/>
    <DocumentStatus xmlns="ed110c73-9675-4a40-bedd-85eaf2417466">CompletedAccessible</DocumentStatus>
    <DocumentType xmlns="ed110c73-9675-4a40-bedd-85eaf2417466">SubmissionDoc</DocumentType>
    <SubmissionID xmlns="ed110c73-9675-4a40-bedd-85eaf2417466">BCR1400068</SubmissionID>
    <OriginalFileName xmlns="ed110c73-9675-4a40-bedd-85eaf241746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86E0F7-5A6F-4930-8857-CBC1489E9E60}"/>
</file>

<file path=customXml/itemProps2.xml><?xml version="1.0" encoding="utf-8"?>
<ds:datastoreItem xmlns:ds="http://schemas.openxmlformats.org/officeDocument/2006/customXml" ds:itemID="{C103B3BC-AB6D-49D3-8DF5-813AACF3A758}"/>
</file>

<file path=customXml/itemProps3.xml><?xml version="1.0" encoding="utf-8"?>
<ds:datastoreItem xmlns:ds="http://schemas.openxmlformats.org/officeDocument/2006/customXml" ds:itemID="{C4420111-2585-4619-A707-2CC343F63FB5}"/>
</file>

<file path=customXml/itemProps4.xml><?xml version="1.0" encoding="utf-8"?>
<ds:datastoreItem xmlns:ds="http://schemas.openxmlformats.org/officeDocument/2006/customXml" ds:itemID="{8214B319-CE01-434F-B60F-6F290B9B1ED4}"/>
</file>

<file path=docProps/app.xml><?xml version="1.0" encoding="utf-8"?>
<Properties xmlns="http://schemas.openxmlformats.org/officeDocument/2006/extended-properties" xmlns:vt="http://schemas.openxmlformats.org/officeDocument/2006/docPropsVTypes">
  <Template>4B3FD5CB.dotm</Template>
  <TotalTime>2</TotalTime>
  <Pages>9</Pages>
  <Words>4906</Words>
  <Characters>27969</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The Australian National University</Company>
  <LinksUpToDate>false</LinksUpToDate>
  <CharactersWithSpaces>32810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Lindsay Botten</dc:creator>
  <cp:lastModifiedBy>Drew Menzies-McVey</cp:lastModifiedBy>
  <cp:revision>3</cp:revision>
  <cp:lastPrinted>2014-11-28T04:26:00Z</cp:lastPrinted>
  <dcterms:created xsi:type="dcterms:W3CDTF">2015-02-23T03:26:00Z</dcterms:created>
  <dcterms:modified xsi:type="dcterms:W3CDTF">2015-02-23T03:27:00Z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0x0101009532659050105A4BB64EC7FE4940F188</vt:lpwstr>
  </property>
</Properties>
</file>