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C00E9" w14:textId="77777777" w:rsidR="00A754CF" w:rsidRDefault="00A754CF" w:rsidP="00A754CF">
      <w:pPr>
        <w:rPr>
          <w:rFonts w:ascii="Arial" w:hAnsi="Arial" w:cs="Arial"/>
        </w:rPr>
      </w:pPr>
      <w:r>
        <w:rPr>
          <w:noProof/>
          <w:lang w:eastAsia="en-AU"/>
        </w:rPr>
        <w:drawing>
          <wp:anchor distT="0" distB="0" distL="114300" distR="114300" simplePos="0" relativeHeight="251659264" behindDoc="0" locked="0" layoutInCell="1" allowOverlap="1" wp14:anchorId="66DC0141" wp14:editId="06E48E69">
            <wp:simplePos x="0" y="0"/>
            <wp:positionH relativeFrom="column">
              <wp:posOffset>2286000</wp:posOffset>
            </wp:positionH>
            <wp:positionV relativeFrom="paragraph">
              <wp:posOffset>-620395</wp:posOffset>
            </wp:positionV>
            <wp:extent cx="1038225" cy="923925"/>
            <wp:effectExtent l="0" t="0" r="9525" b="9525"/>
            <wp:wrapNone/>
            <wp:docPr id="3" name="Picture 3" descr="Logo of University of South Australia in blue" title="Letterhead University of South Australia"/>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C00EA" w14:textId="2036EA92" w:rsidR="00A754CF" w:rsidRDefault="00BB5604" w:rsidP="006C1BF3">
      <w:pPr>
        <w:pStyle w:val="Title"/>
      </w:pPr>
      <w:r>
        <w:br/>
      </w:r>
      <w:r w:rsidR="00A754CF" w:rsidRPr="00A754CF">
        <w:t>UNIVERSITY OF SOUTH AUSTRALIA RESPONSE</w:t>
      </w:r>
      <w:r w:rsidR="00A754CF">
        <w:t xml:space="preserve"> TO</w:t>
      </w:r>
      <w:r w:rsidR="00A754CF" w:rsidRPr="00A754CF">
        <w:t xml:space="preserve"> </w:t>
      </w:r>
      <w:r w:rsidR="00A754CF">
        <w:br/>
      </w:r>
      <w:r w:rsidR="00A754CF" w:rsidRPr="00A754CF">
        <w:t xml:space="preserve">‘BOOSTING THE COMMERCIAL RETURNS FROM </w:t>
      </w:r>
      <w:r w:rsidR="00A754CF">
        <w:br/>
      </w:r>
      <w:r w:rsidR="00A754CF" w:rsidRPr="00A754CF">
        <w:t>RESEARCH’</w:t>
      </w:r>
      <w:r w:rsidR="00A754CF">
        <w:t xml:space="preserve"> </w:t>
      </w:r>
      <w:r w:rsidR="00A754CF" w:rsidRPr="00A754CF">
        <w:t>REPORT</w:t>
      </w:r>
    </w:p>
    <w:p w14:paraId="2EFFBA4B" w14:textId="77777777" w:rsidR="006C1BF3" w:rsidRDefault="00A754CF" w:rsidP="006C1BF3">
      <w:pPr>
        <w:jc w:val="right"/>
        <w:rPr>
          <w:rFonts w:ascii="Arial" w:hAnsi="Arial" w:cs="Arial"/>
          <w:color w:val="0070C0"/>
          <w:sz w:val="24"/>
          <w:szCs w:val="24"/>
        </w:rPr>
      </w:pPr>
      <w:r w:rsidRPr="00A754CF">
        <w:rPr>
          <w:rFonts w:ascii="Arial" w:hAnsi="Arial" w:cs="Arial"/>
          <w:color w:val="0070C0"/>
          <w:sz w:val="24"/>
          <w:szCs w:val="24"/>
        </w:rPr>
        <w:t>November 2014</w:t>
      </w:r>
    </w:p>
    <w:p w14:paraId="66DC00EC" w14:textId="7C2DC700" w:rsidR="00A754CF" w:rsidRDefault="00A754CF" w:rsidP="006C1BF3">
      <w:pPr>
        <w:rPr>
          <w:rFonts w:ascii="Arial" w:hAnsi="Arial" w:cs="Arial"/>
        </w:rPr>
      </w:pPr>
      <w:r w:rsidRPr="00F57639">
        <w:rPr>
          <w:rFonts w:ascii="Arial" w:hAnsi="Arial" w:cs="Arial"/>
        </w:rPr>
        <w:t>The University of South Australia</w:t>
      </w:r>
      <w:r>
        <w:rPr>
          <w:rFonts w:ascii="Arial" w:hAnsi="Arial" w:cs="Arial"/>
        </w:rPr>
        <w:t xml:space="preserve"> (UniSA)</w:t>
      </w:r>
      <w:r w:rsidRPr="00F57639">
        <w:rPr>
          <w:rFonts w:ascii="Arial" w:hAnsi="Arial" w:cs="Arial"/>
        </w:rPr>
        <w:t xml:space="preserve"> is pleased to provid</w:t>
      </w:r>
      <w:r>
        <w:rPr>
          <w:rFonts w:ascii="Arial" w:hAnsi="Arial" w:cs="Arial"/>
        </w:rPr>
        <w:t>e</w:t>
      </w:r>
      <w:r w:rsidRPr="00F57639">
        <w:rPr>
          <w:rFonts w:ascii="Arial" w:hAnsi="Arial" w:cs="Arial"/>
        </w:rPr>
        <w:t xml:space="preserve"> </w:t>
      </w:r>
      <w:r>
        <w:rPr>
          <w:rFonts w:ascii="Arial" w:hAnsi="Arial" w:cs="Arial"/>
        </w:rPr>
        <w:t>a</w:t>
      </w:r>
      <w:r w:rsidRPr="00F57639">
        <w:rPr>
          <w:rFonts w:ascii="Arial" w:hAnsi="Arial" w:cs="Arial"/>
        </w:rPr>
        <w:t xml:space="preserve"> respon</w:t>
      </w:r>
      <w:r>
        <w:rPr>
          <w:rFonts w:ascii="Arial" w:hAnsi="Arial" w:cs="Arial"/>
        </w:rPr>
        <w:t>se</w:t>
      </w:r>
      <w:r w:rsidRPr="00F57639">
        <w:rPr>
          <w:rFonts w:ascii="Arial" w:hAnsi="Arial" w:cs="Arial"/>
        </w:rPr>
        <w:t xml:space="preserve"> to the </w:t>
      </w:r>
      <w:r>
        <w:rPr>
          <w:rFonts w:ascii="Arial" w:hAnsi="Arial" w:cs="Arial"/>
        </w:rPr>
        <w:t>consultation paper</w:t>
      </w:r>
      <w:r w:rsidRPr="00F57639">
        <w:rPr>
          <w:rFonts w:ascii="Arial" w:hAnsi="Arial" w:cs="Arial"/>
        </w:rPr>
        <w:t xml:space="preserve"> titled ‘</w:t>
      </w:r>
      <w:r w:rsidRPr="00F57639">
        <w:rPr>
          <w:rFonts w:ascii="Arial" w:hAnsi="Arial" w:cs="Arial"/>
          <w:i/>
        </w:rPr>
        <w:t>Boosting the Commercial Returns from Research</w:t>
      </w:r>
      <w:r w:rsidRPr="00F57639">
        <w:rPr>
          <w:rFonts w:ascii="Arial" w:hAnsi="Arial" w:cs="Arial"/>
        </w:rPr>
        <w:t>’ and commends the Department of Industry and</w:t>
      </w:r>
      <w:r>
        <w:rPr>
          <w:rFonts w:ascii="Arial" w:hAnsi="Arial" w:cs="Arial"/>
        </w:rPr>
        <w:t xml:space="preserve"> Education for</w:t>
      </w:r>
      <w:r w:rsidRPr="00F57639">
        <w:rPr>
          <w:rFonts w:ascii="Arial" w:hAnsi="Arial" w:cs="Arial"/>
        </w:rPr>
        <w:t xml:space="preserve"> focusing on this key area which is vital to improving the economy and competitiveness of Australia. </w:t>
      </w:r>
    </w:p>
    <w:p w14:paraId="66DC00ED" w14:textId="75D19982" w:rsidR="00A754CF" w:rsidRPr="00F57639" w:rsidRDefault="00A754CF" w:rsidP="006C1BF3">
      <w:pPr>
        <w:pStyle w:val="Heading1"/>
      </w:pPr>
      <w:r w:rsidRPr="00F57639">
        <w:t>About the University of South Australia</w:t>
      </w:r>
    </w:p>
    <w:p w14:paraId="66DC00EE" w14:textId="77777777" w:rsidR="00A754CF" w:rsidRPr="00F57639" w:rsidRDefault="00A754CF" w:rsidP="00A754CF">
      <w:pPr>
        <w:spacing w:after="120" w:line="264" w:lineRule="auto"/>
        <w:rPr>
          <w:rFonts w:ascii="Arial" w:hAnsi="Arial" w:cs="Arial"/>
          <w:iCs/>
        </w:rPr>
      </w:pPr>
      <w:r>
        <w:rPr>
          <w:rFonts w:ascii="Arial" w:hAnsi="Arial" w:cs="Arial"/>
          <w:iCs/>
        </w:rPr>
        <w:t>UniSA</w:t>
      </w:r>
      <w:r w:rsidRPr="00F57639">
        <w:rPr>
          <w:rFonts w:ascii="Arial" w:hAnsi="Arial" w:cs="Arial"/>
          <w:iCs/>
        </w:rPr>
        <w:t xml:space="preserve"> is the largest of the three universities in South Australia and operates </w:t>
      </w:r>
      <w:r>
        <w:rPr>
          <w:rFonts w:ascii="Arial" w:hAnsi="Arial" w:cs="Arial"/>
          <w:iCs/>
        </w:rPr>
        <w:t>across five campuses. In 2014 the</w:t>
      </w:r>
      <w:r w:rsidRPr="00F57639">
        <w:rPr>
          <w:rFonts w:ascii="Arial" w:hAnsi="Arial" w:cs="Arial"/>
          <w:iCs/>
        </w:rPr>
        <w:t xml:space="preserve"> Univers</w:t>
      </w:r>
      <w:r>
        <w:rPr>
          <w:rFonts w:ascii="Arial" w:hAnsi="Arial" w:cs="Arial"/>
          <w:iCs/>
        </w:rPr>
        <w:t xml:space="preserve">ity’s operating budget </w:t>
      </w:r>
      <w:r w:rsidRPr="00F57639">
        <w:rPr>
          <w:rFonts w:ascii="Arial" w:hAnsi="Arial" w:cs="Arial"/>
          <w:iCs/>
        </w:rPr>
        <w:t xml:space="preserve">is </w:t>
      </w:r>
      <w:r>
        <w:rPr>
          <w:rFonts w:ascii="Arial" w:hAnsi="Arial" w:cs="Arial"/>
          <w:iCs/>
        </w:rPr>
        <w:t xml:space="preserve">more </w:t>
      </w:r>
      <w:r w:rsidRPr="00F57639">
        <w:rPr>
          <w:rFonts w:ascii="Arial" w:hAnsi="Arial" w:cs="Arial"/>
          <w:iCs/>
        </w:rPr>
        <w:t>than $600</w:t>
      </w:r>
      <w:r>
        <w:rPr>
          <w:rFonts w:ascii="Arial" w:hAnsi="Arial" w:cs="Arial"/>
          <w:iCs/>
        </w:rPr>
        <w:t xml:space="preserve"> million – currently, the University has 34,500 students, including over </w:t>
      </w:r>
      <w:r w:rsidRPr="00F57639">
        <w:rPr>
          <w:rFonts w:ascii="Arial" w:hAnsi="Arial" w:cs="Arial"/>
          <w:iCs/>
        </w:rPr>
        <w:t>4,000</w:t>
      </w:r>
      <w:r>
        <w:rPr>
          <w:rFonts w:ascii="Arial" w:hAnsi="Arial" w:cs="Arial"/>
          <w:iCs/>
        </w:rPr>
        <w:t xml:space="preserve"> students who study</w:t>
      </w:r>
      <w:r w:rsidRPr="00F57639">
        <w:rPr>
          <w:rFonts w:ascii="Arial" w:hAnsi="Arial" w:cs="Arial"/>
          <w:iCs/>
        </w:rPr>
        <w:t xml:space="preserve"> </w:t>
      </w:r>
      <w:r>
        <w:rPr>
          <w:rFonts w:ascii="Arial" w:hAnsi="Arial" w:cs="Arial"/>
          <w:iCs/>
        </w:rPr>
        <w:t xml:space="preserve">overseas. </w:t>
      </w:r>
      <w:r w:rsidRPr="00F57639">
        <w:rPr>
          <w:rFonts w:ascii="Arial" w:hAnsi="Arial" w:cs="Arial"/>
          <w:iCs/>
        </w:rPr>
        <w:t>With over 3,000 staff, the University is a major employer within South Australia. The University offers approximately 400 undergraduate and postgraduate programs, both on and off campus.  There are four academic D</w:t>
      </w:r>
      <w:r>
        <w:rPr>
          <w:rFonts w:ascii="Arial" w:hAnsi="Arial" w:cs="Arial"/>
          <w:iCs/>
        </w:rPr>
        <w:t xml:space="preserve">ivisions: Business; </w:t>
      </w:r>
      <w:r w:rsidRPr="00F57639">
        <w:rPr>
          <w:rFonts w:ascii="Arial" w:hAnsi="Arial" w:cs="Arial"/>
          <w:iCs/>
        </w:rPr>
        <w:t xml:space="preserve">Education, Arts </w:t>
      </w:r>
      <w:r>
        <w:rPr>
          <w:rFonts w:ascii="Arial" w:hAnsi="Arial" w:cs="Arial"/>
          <w:iCs/>
        </w:rPr>
        <w:t>and</w:t>
      </w:r>
      <w:r w:rsidRPr="00F57639">
        <w:rPr>
          <w:rFonts w:ascii="Arial" w:hAnsi="Arial" w:cs="Arial"/>
          <w:iCs/>
        </w:rPr>
        <w:t xml:space="preserve"> Social Sciences; Information Technology, Engineering </w:t>
      </w:r>
      <w:r>
        <w:rPr>
          <w:rFonts w:ascii="Arial" w:hAnsi="Arial" w:cs="Arial"/>
          <w:iCs/>
        </w:rPr>
        <w:t>and</w:t>
      </w:r>
      <w:r w:rsidRPr="00F57639">
        <w:rPr>
          <w:rFonts w:ascii="Arial" w:hAnsi="Arial" w:cs="Arial"/>
          <w:iCs/>
        </w:rPr>
        <w:t xml:space="preserve"> the Environment; and Health Sciences.</w:t>
      </w:r>
    </w:p>
    <w:p w14:paraId="66DC00EF" w14:textId="77777777" w:rsidR="00A754CF" w:rsidRDefault="00A754CF" w:rsidP="00A754CF">
      <w:pPr>
        <w:rPr>
          <w:rFonts w:ascii="Arial" w:hAnsi="Arial" w:cs="Arial"/>
        </w:rPr>
      </w:pPr>
      <w:r>
        <w:rPr>
          <w:rFonts w:ascii="Arial" w:hAnsi="Arial" w:cs="Arial"/>
        </w:rPr>
        <w:t>UniSA</w:t>
      </w:r>
      <w:r w:rsidRPr="00F57639">
        <w:rPr>
          <w:rFonts w:ascii="Arial" w:hAnsi="Arial" w:cs="Arial"/>
        </w:rPr>
        <w:t xml:space="preserve"> is Austral</w:t>
      </w:r>
      <w:r>
        <w:rPr>
          <w:rFonts w:ascii="Arial" w:hAnsi="Arial" w:cs="Arial"/>
        </w:rPr>
        <w:t>ia’s University of Enterprise – o</w:t>
      </w:r>
      <w:r w:rsidRPr="00F57639">
        <w:rPr>
          <w:rFonts w:ascii="Arial" w:hAnsi="Arial" w:cs="Arial"/>
        </w:rPr>
        <w:t>ur focus is on end-user inspired research and industr</w:t>
      </w:r>
      <w:r>
        <w:rPr>
          <w:rFonts w:ascii="Arial" w:hAnsi="Arial" w:cs="Arial"/>
        </w:rPr>
        <w:t xml:space="preserve">y-informed teaching and learning.  </w:t>
      </w:r>
      <w:r w:rsidRPr="006C1BF3">
        <w:rPr>
          <w:rStyle w:val="Emphasis"/>
        </w:rPr>
        <w:t xml:space="preserve">This is evidenced through our strong engagement with the Cooperative Research Centre (CRC) program. </w:t>
      </w:r>
      <w:proofErr w:type="spellStart"/>
      <w:r w:rsidRPr="006C1BF3">
        <w:rPr>
          <w:rStyle w:val="Emphasis"/>
        </w:rPr>
        <w:t>UniSA</w:t>
      </w:r>
      <w:proofErr w:type="spellEnd"/>
      <w:r w:rsidRPr="006C1BF3">
        <w:rPr>
          <w:rStyle w:val="Emphasis"/>
        </w:rPr>
        <w:t xml:space="preserve"> currently participates in 11 CRCs and is fourth in Australia for Commonwealth funding to CRCs.</w:t>
      </w:r>
      <w:r>
        <w:rPr>
          <w:rFonts w:ascii="Arial" w:hAnsi="Arial" w:cs="Arial"/>
        </w:rPr>
        <w:t xml:space="preserve"> Importantly, t</w:t>
      </w:r>
      <w:r w:rsidRPr="00F57639">
        <w:rPr>
          <w:rFonts w:ascii="Arial" w:hAnsi="Arial" w:cs="Arial"/>
        </w:rPr>
        <w:t>he intellectual capital we creat</w:t>
      </w:r>
      <w:r>
        <w:rPr>
          <w:rFonts w:ascii="Arial" w:hAnsi="Arial" w:cs="Arial"/>
        </w:rPr>
        <w:t xml:space="preserve">e, the professionals we educate, </w:t>
      </w:r>
      <w:r w:rsidRPr="00F57639">
        <w:rPr>
          <w:rFonts w:ascii="Arial" w:hAnsi="Arial" w:cs="Arial"/>
        </w:rPr>
        <w:t>and the research we conduct is integral</w:t>
      </w:r>
      <w:r>
        <w:rPr>
          <w:rFonts w:ascii="Arial" w:hAnsi="Arial" w:cs="Arial"/>
        </w:rPr>
        <w:t>,</w:t>
      </w:r>
      <w:r w:rsidRPr="00F57639">
        <w:rPr>
          <w:rFonts w:ascii="Arial" w:hAnsi="Arial" w:cs="Arial"/>
        </w:rPr>
        <w:t xml:space="preserve"> </w:t>
      </w:r>
      <w:r>
        <w:rPr>
          <w:rFonts w:ascii="Arial" w:hAnsi="Arial" w:cs="Arial"/>
        </w:rPr>
        <w:t xml:space="preserve">and contributes, </w:t>
      </w:r>
      <w:r w:rsidRPr="00F57639">
        <w:rPr>
          <w:rFonts w:ascii="Arial" w:hAnsi="Arial" w:cs="Arial"/>
        </w:rPr>
        <w:t xml:space="preserve">to the economic and social wellbeing of the </w:t>
      </w:r>
      <w:r>
        <w:rPr>
          <w:rFonts w:ascii="Arial" w:hAnsi="Arial" w:cs="Arial"/>
        </w:rPr>
        <w:t xml:space="preserve">state and the </w:t>
      </w:r>
      <w:r w:rsidRPr="00F57639">
        <w:rPr>
          <w:rFonts w:ascii="Arial" w:hAnsi="Arial" w:cs="Arial"/>
        </w:rPr>
        <w:t>nation.</w:t>
      </w:r>
    </w:p>
    <w:p w14:paraId="66DC00F0" w14:textId="77777777" w:rsidR="00A754CF" w:rsidRDefault="00A754CF" w:rsidP="00A754CF">
      <w:pPr>
        <w:tabs>
          <w:tab w:val="left" w:pos="567"/>
          <w:tab w:val="left" w:pos="1134"/>
        </w:tabs>
        <w:spacing w:after="0" w:line="240" w:lineRule="auto"/>
        <w:rPr>
          <w:rFonts w:ascii="Arial" w:eastAsia="Times New Roman" w:hAnsi="Arial" w:cs="Arial"/>
          <w:iCs/>
          <w:snapToGrid w:val="0"/>
          <w:lang w:eastAsia="en-AU"/>
        </w:rPr>
      </w:pPr>
      <w:r w:rsidRPr="00362DFB">
        <w:rPr>
          <w:rFonts w:ascii="Arial" w:hAnsi="Arial" w:cs="Arial"/>
        </w:rPr>
        <w:t xml:space="preserve">At UniSA we are working with </w:t>
      </w:r>
      <w:r w:rsidRPr="00362DFB">
        <w:rPr>
          <w:rFonts w:ascii="Arial" w:eastAsia="Times New Roman" w:hAnsi="Arial" w:cs="Arial"/>
          <w:iCs/>
          <w:snapToGrid w:val="0"/>
          <w:lang w:eastAsia="en-AU"/>
        </w:rPr>
        <w:t xml:space="preserve">ITEK Ventures Pty Ltd, our technology commercialisation company, to deliver and support an enterprise-wide business development and industry engagement strategy for the University.  </w:t>
      </w:r>
    </w:p>
    <w:p w14:paraId="66DC00F1" w14:textId="77777777" w:rsidR="00A754CF" w:rsidRDefault="00A754CF" w:rsidP="00A754CF">
      <w:pPr>
        <w:tabs>
          <w:tab w:val="left" w:pos="567"/>
          <w:tab w:val="left" w:pos="1134"/>
        </w:tabs>
        <w:spacing w:after="0" w:line="240" w:lineRule="auto"/>
        <w:rPr>
          <w:rFonts w:ascii="Arial" w:eastAsia="Times New Roman" w:hAnsi="Arial" w:cs="Arial"/>
          <w:iCs/>
          <w:snapToGrid w:val="0"/>
          <w:lang w:eastAsia="en-AU"/>
        </w:rPr>
      </w:pPr>
    </w:p>
    <w:p w14:paraId="66DC00F2" w14:textId="77777777" w:rsidR="00A754CF" w:rsidRPr="00362DFB" w:rsidRDefault="00A754CF" w:rsidP="00A754CF">
      <w:pPr>
        <w:tabs>
          <w:tab w:val="left" w:pos="567"/>
          <w:tab w:val="left" w:pos="1134"/>
        </w:tabs>
        <w:spacing w:after="0" w:line="240" w:lineRule="auto"/>
        <w:rPr>
          <w:rFonts w:ascii="Arial" w:eastAsia="Times New Roman" w:hAnsi="Arial" w:cs="Arial"/>
          <w:iCs/>
          <w:snapToGrid w:val="0"/>
          <w:lang w:eastAsia="en-AU"/>
        </w:rPr>
      </w:pPr>
      <w:r>
        <w:rPr>
          <w:rFonts w:ascii="Arial" w:hAnsi="Arial" w:cs="Arial"/>
        </w:rPr>
        <w:t>Our unique</w:t>
      </w:r>
      <w:r w:rsidRPr="00F57639">
        <w:rPr>
          <w:rFonts w:ascii="Arial" w:hAnsi="Arial" w:cs="Arial"/>
        </w:rPr>
        <w:t xml:space="preserve"> </w:t>
      </w:r>
      <w:r>
        <w:rPr>
          <w:rFonts w:ascii="Arial" w:hAnsi="Arial" w:cs="Arial"/>
        </w:rPr>
        <w:t>and</w:t>
      </w:r>
      <w:r w:rsidRPr="00F57639">
        <w:rPr>
          <w:rFonts w:ascii="Arial" w:hAnsi="Arial" w:cs="Arial"/>
        </w:rPr>
        <w:t xml:space="preserve"> responsive approach to engagement has resulted in the development of distinctive programs and partnerships with external partners, locally, nationally and internationally. </w:t>
      </w:r>
      <w:r>
        <w:rPr>
          <w:rFonts w:ascii="Arial" w:hAnsi="Arial" w:cs="Arial"/>
        </w:rPr>
        <w:t xml:space="preserve"> </w:t>
      </w:r>
      <w:r w:rsidRPr="00F57639">
        <w:rPr>
          <w:rFonts w:ascii="Arial" w:hAnsi="Arial" w:cs="Arial"/>
        </w:rPr>
        <w:t>Current examples include:</w:t>
      </w:r>
    </w:p>
    <w:p w14:paraId="66DC00F3" w14:textId="77777777" w:rsidR="00A754CF" w:rsidRPr="00F57639" w:rsidRDefault="00A754CF" w:rsidP="00A754CF">
      <w:pPr>
        <w:pStyle w:val="ListParagraph"/>
        <w:numPr>
          <w:ilvl w:val="0"/>
          <w:numId w:val="1"/>
        </w:numPr>
        <w:rPr>
          <w:rFonts w:ascii="Arial" w:hAnsi="Arial" w:cs="Arial"/>
        </w:rPr>
      </w:pPr>
      <w:r w:rsidRPr="00F57639">
        <w:rPr>
          <w:rFonts w:ascii="Arial" w:hAnsi="Arial" w:cs="Arial"/>
        </w:rPr>
        <w:t xml:space="preserve">Partnerships with local governments to transform regional economic profiles </w:t>
      </w:r>
      <w:r>
        <w:rPr>
          <w:rFonts w:ascii="Arial" w:hAnsi="Arial" w:cs="Arial"/>
          <w:iCs/>
        </w:rPr>
        <w:t>–</w:t>
      </w:r>
      <w:r w:rsidRPr="00F57639">
        <w:rPr>
          <w:rFonts w:ascii="Arial" w:hAnsi="Arial" w:cs="Arial"/>
        </w:rPr>
        <w:t xml:space="preserve"> connecting UniSA knowledge, research and skills with individual </w:t>
      </w:r>
      <w:r>
        <w:rPr>
          <w:rFonts w:ascii="Arial" w:hAnsi="Arial" w:cs="Arial"/>
        </w:rPr>
        <w:t xml:space="preserve">companies </w:t>
      </w:r>
      <w:r w:rsidRPr="00F57639">
        <w:rPr>
          <w:rFonts w:ascii="Arial" w:hAnsi="Arial" w:cs="Arial"/>
        </w:rPr>
        <w:t>and collections of organisations in the region.</w:t>
      </w:r>
    </w:p>
    <w:p w14:paraId="66DC00F4" w14:textId="77777777" w:rsidR="00A754CF" w:rsidRPr="00F57639" w:rsidRDefault="00A754CF" w:rsidP="00A754CF">
      <w:pPr>
        <w:pStyle w:val="ListParagraph"/>
        <w:numPr>
          <w:ilvl w:val="0"/>
          <w:numId w:val="1"/>
        </w:numPr>
        <w:rPr>
          <w:rFonts w:ascii="Arial" w:hAnsi="Arial" w:cs="Arial"/>
        </w:rPr>
      </w:pPr>
      <w:r w:rsidRPr="00F57639">
        <w:rPr>
          <w:rFonts w:ascii="Arial" w:hAnsi="Arial" w:cs="Arial"/>
        </w:rPr>
        <w:lastRenderedPageBreak/>
        <w:t>Co-investment models focused on developing new research relationships between UniSA and industry</w:t>
      </w:r>
      <w:r>
        <w:rPr>
          <w:rFonts w:ascii="Arial" w:hAnsi="Arial" w:cs="Arial"/>
        </w:rPr>
        <w:t>.</w:t>
      </w:r>
    </w:p>
    <w:p w14:paraId="66DC00F5" w14:textId="77777777" w:rsidR="00A754CF" w:rsidRDefault="00A754CF" w:rsidP="00A754CF">
      <w:pPr>
        <w:pStyle w:val="ListParagraph"/>
        <w:numPr>
          <w:ilvl w:val="0"/>
          <w:numId w:val="1"/>
        </w:numPr>
        <w:rPr>
          <w:rFonts w:ascii="Arial" w:hAnsi="Arial" w:cs="Arial"/>
        </w:rPr>
      </w:pPr>
      <w:r w:rsidRPr="00F57639">
        <w:rPr>
          <w:rFonts w:ascii="Arial" w:hAnsi="Arial" w:cs="Arial"/>
        </w:rPr>
        <w:t>Corporate partnerships between UniSA and individual companies that focus on leveraging a wide range of UniSA assets for the benefit of the partner, including student placements, research programs and projects, and knowledge partnerships</w:t>
      </w:r>
      <w:r>
        <w:rPr>
          <w:rFonts w:ascii="Arial" w:hAnsi="Arial" w:cs="Arial"/>
        </w:rPr>
        <w:t xml:space="preserve"> </w:t>
      </w:r>
      <w:r w:rsidRPr="00F57639">
        <w:rPr>
          <w:rFonts w:ascii="Arial" w:hAnsi="Arial" w:cs="Arial"/>
        </w:rPr>
        <w:t xml:space="preserve">– </w:t>
      </w:r>
      <w:r>
        <w:rPr>
          <w:rFonts w:ascii="Arial" w:hAnsi="Arial" w:cs="Arial"/>
        </w:rPr>
        <w:t xml:space="preserve">creating a </w:t>
      </w:r>
      <w:r w:rsidRPr="00F57639">
        <w:rPr>
          <w:rFonts w:ascii="Arial" w:hAnsi="Arial" w:cs="Arial"/>
        </w:rPr>
        <w:t>fluid exchange of people betwe</w:t>
      </w:r>
      <w:r>
        <w:rPr>
          <w:rFonts w:ascii="Arial" w:hAnsi="Arial" w:cs="Arial"/>
        </w:rPr>
        <w:t>en UniSA and the partner organis</w:t>
      </w:r>
      <w:r w:rsidRPr="00F57639">
        <w:rPr>
          <w:rFonts w:ascii="Arial" w:hAnsi="Arial" w:cs="Arial"/>
        </w:rPr>
        <w:t>ation</w:t>
      </w:r>
      <w:r>
        <w:rPr>
          <w:rFonts w:ascii="Arial" w:hAnsi="Arial" w:cs="Arial"/>
        </w:rPr>
        <w:t>.</w:t>
      </w:r>
    </w:p>
    <w:p w14:paraId="66DC00F6" w14:textId="77777777" w:rsidR="00A754CF" w:rsidRDefault="00A754CF" w:rsidP="00A754CF">
      <w:pPr>
        <w:pStyle w:val="ListParagraph"/>
        <w:numPr>
          <w:ilvl w:val="0"/>
          <w:numId w:val="1"/>
        </w:numPr>
        <w:rPr>
          <w:rFonts w:ascii="Arial" w:hAnsi="Arial" w:cs="Arial"/>
        </w:rPr>
      </w:pPr>
      <w:r w:rsidRPr="002033D1">
        <w:rPr>
          <w:rFonts w:ascii="Arial" w:hAnsi="Arial" w:cs="Arial"/>
        </w:rPr>
        <w:t xml:space="preserve">Community and stakeholder engagement programs that connect UniSA with priority issues of social and community importance in contemporary areas. </w:t>
      </w:r>
    </w:p>
    <w:p w14:paraId="66DC00F7" w14:textId="77777777" w:rsidR="00A754CF" w:rsidRPr="002033D1" w:rsidRDefault="00A754CF" w:rsidP="00A754CF">
      <w:pPr>
        <w:pStyle w:val="ListParagraph"/>
        <w:numPr>
          <w:ilvl w:val="0"/>
          <w:numId w:val="1"/>
        </w:numPr>
        <w:rPr>
          <w:rFonts w:ascii="Arial" w:hAnsi="Arial" w:cs="Arial"/>
        </w:rPr>
      </w:pPr>
      <w:r>
        <w:rPr>
          <w:rFonts w:ascii="Arial" w:hAnsi="Arial" w:cs="Arial"/>
        </w:rPr>
        <w:t>Establishing consortiums with Small-and-Medium sized Enterprises (SMEs) to establish technology start-ups, and taking an equity position within these consortiums as to make the capabilities of UniSA available to local business.</w:t>
      </w:r>
    </w:p>
    <w:p w14:paraId="66DC00FA" w14:textId="77777777" w:rsidR="00A754CF" w:rsidRPr="00F57639" w:rsidRDefault="00A754CF" w:rsidP="006C1BF3">
      <w:pPr>
        <w:pStyle w:val="Heading1"/>
      </w:pPr>
      <w:r w:rsidRPr="00F57639">
        <w:t xml:space="preserve">Boosting the Commercial Returns from Research </w:t>
      </w:r>
    </w:p>
    <w:p w14:paraId="66DC00FB" w14:textId="77777777" w:rsidR="00A754CF" w:rsidRPr="00F57639" w:rsidRDefault="00A754CF" w:rsidP="00A754CF">
      <w:pPr>
        <w:rPr>
          <w:rFonts w:ascii="Arial" w:hAnsi="Arial" w:cs="Arial"/>
        </w:rPr>
      </w:pPr>
      <w:r w:rsidRPr="00F57639">
        <w:rPr>
          <w:rFonts w:ascii="Arial" w:hAnsi="Arial" w:cs="Arial"/>
        </w:rPr>
        <w:t xml:space="preserve">The Australian Government is to be commended for addressing this important contributor to economic growth. Specific comments on the key issues and options raised in the discussion paper are provided as follows. </w:t>
      </w:r>
    </w:p>
    <w:p w14:paraId="66DC00FC" w14:textId="77777777" w:rsidR="00A754CF" w:rsidRPr="00F57639" w:rsidRDefault="00A754CF" w:rsidP="006C1BF3">
      <w:pPr>
        <w:pStyle w:val="Heading2"/>
      </w:pPr>
      <w:r w:rsidRPr="00F57639">
        <w:t>Improving Australia’s economic performance through better translation of research into commercial outcomes</w:t>
      </w:r>
    </w:p>
    <w:p w14:paraId="66DC00FD" w14:textId="77777777" w:rsidR="00A754CF" w:rsidRPr="00F57639" w:rsidRDefault="00A754CF" w:rsidP="00A754CF">
      <w:pPr>
        <w:rPr>
          <w:rFonts w:ascii="Arial" w:hAnsi="Arial" w:cs="Arial"/>
        </w:rPr>
      </w:pPr>
      <w:r w:rsidRPr="00F57639">
        <w:rPr>
          <w:rFonts w:ascii="Arial" w:hAnsi="Arial" w:cs="Arial"/>
        </w:rPr>
        <w:t xml:space="preserve">The report seeks views on how to better translate research into commercial outcomes.  </w:t>
      </w:r>
      <w:r>
        <w:rPr>
          <w:rFonts w:ascii="Arial" w:hAnsi="Arial" w:cs="Arial"/>
        </w:rPr>
        <w:t>UniSA suggest that a greater emphasis should be placed on</w:t>
      </w:r>
      <w:r w:rsidRPr="00F57639">
        <w:rPr>
          <w:rFonts w:ascii="Arial" w:hAnsi="Arial" w:cs="Arial"/>
        </w:rPr>
        <w:t xml:space="preserve"> facilitating </w:t>
      </w:r>
      <w:r>
        <w:rPr>
          <w:rFonts w:ascii="Arial" w:hAnsi="Arial" w:cs="Arial"/>
        </w:rPr>
        <w:t>and producing</w:t>
      </w:r>
      <w:r w:rsidRPr="00F57639">
        <w:rPr>
          <w:rFonts w:ascii="Arial" w:hAnsi="Arial" w:cs="Arial"/>
        </w:rPr>
        <w:t xml:space="preserve"> end-user-led research proposals</w:t>
      </w:r>
      <w:r>
        <w:rPr>
          <w:rFonts w:ascii="Arial" w:hAnsi="Arial" w:cs="Arial"/>
        </w:rPr>
        <w:t xml:space="preserve"> from</w:t>
      </w:r>
      <w:r w:rsidRPr="00F57639">
        <w:rPr>
          <w:rFonts w:ascii="Arial" w:hAnsi="Arial" w:cs="Arial"/>
        </w:rPr>
        <w:t xml:space="preserve"> </w:t>
      </w:r>
      <w:r>
        <w:rPr>
          <w:rFonts w:ascii="Arial" w:hAnsi="Arial" w:cs="Arial"/>
        </w:rPr>
        <w:t xml:space="preserve">the outset.  </w:t>
      </w:r>
      <w:r w:rsidRPr="00F57639">
        <w:rPr>
          <w:rFonts w:ascii="Arial" w:hAnsi="Arial" w:cs="Arial"/>
        </w:rPr>
        <w:t xml:space="preserve">Enabling the input of end-users from the start of </w:t>
      </w:r>
      <w:r>
        <w:rPr>
          <w:rFonts w:ascii="Arial" w:hAnsi="Arial" w:cs="Arial"/>
        </w:rPr>
        <w:t>a</w:t>
      </w:r>
      <w:r w:rsidRPr="00F57639">
        <w:rPr>
          <w:rFonts w:ascii="Arial" w:hAnsi="Arial" w:cs="Arial"/>
        </w:rPr>
        <w:t xml:space="preserve"> research </w:t>
      </w:r>
      <w:r>
        <w:rPr>
          <w:rFonts w:ascii="Arial" w:hAnsi="Arial" w:cs="Arial"/>
        </w:rPr>
        <w:t>program can</w:t>
      </w:r>
      <w:r w:rsidRPr="00F57639">
        <w:rPr>
          <w:rFonts w:ascii="Arial" w:hAnsi="Arial" w:cs="Arial"/>
        </w:rPr>
        <w:t xml:space="preserve"> e</w:t>
      </w:r>
      <w:r>
        <w:rPr>
          <w:rFonts w:ascii="Arial" w:hAnsi="Arial" w:cs="Arial"/>
        </w:rPr>
        <w:t>nsure that research is industry-</w:t>
      </w:r>
      <w:r w:rsidRPr="00F57639">
        <w:rPr>
          <w:rFonts w:ascii="Arial" w:hAnsi="Arial" w:cs="Arial"/>
        </w:rPr>
        <w:t xml:space="preserve">driven and </w:t>
      </w:r>
      <w:r>
        <w:rPr>
          <w:rFonts w:ascii="Arial" w:hAnsi="Arial" w:cs="Arial"/>
        </w:rPr>
        <w:t xml:space="preserve">industry-relevant and </w:t>
      </w:r>
      <w:r w:rsidRPr="00F57639">
        <w:rPr>
          <w:rFonts w:ascii="Arial" w:hAnsi="Arial" w:cs="Arial"/>
        </w:rPr>
        <w:t>focused from</w:t>
      </w:r>
      <w:r>
        <w:rPr>
          <w:rFonts w:ascii="Arial" w:hAnsi="Arial" w:cs="Arial"/>
        </w:rPr>
        <w:t xml:space="preserve"> the early stages of development, i.e.</w:t>
      </w:r>
      <w:r w:rsidRPr="00F57639">
        <w:rPr>
          <w:rFonts w:ascii="Arial" w:hAnsi="Arial" w:cs="Arial"/>
        </w:rPr>
        <w:t xml:space="preserve"> the likelihood that mature research will </w:t>
      </w:r>
      <w:r>
        <w:rPr>
          <w:rFonts w:ascii="Arial" w:hAnsi="Arial" w:cs="Arial"/>
        </w:rPr>
        <w:t>necessarily align with market-</w:t>
      </w:r>
      <w:r w:rsidRPr="00F57639">
        <w:rPr>
          <w:rFonts w:ascii="Arial" w:hAnsi="Arial" w:cs="Arial"/>
        </w:rPr>
        <w:t xml:space="preserve">need is low. </w:t>
      </w:r>
      <w:r>
        <w:rPr>
          <w:rFonts w:ascii="Arial" w:hAnsi="Arial" w:cs="Arial"/>
        </w:rPr>
        <w:t xml:space="preserve"> In tandem, we also need to identify areas of research excellence with critical mass that compete in both the national and international context, and build robust business development and industry engagement capacity around those priority activities.</w:t>
      </w:r>
    </w:p>
    <w:p w14:paraId="66DC00FE" w14:textId="77777777" w:rsidR="00A754CF" w:rsidRDefault="00A754CF" w:rsidP="00A754CF">
      <w:pPr>
        <w:rPr>
          <w:rFonts w:ascii="Arial" w:hAnsi="Arial" w:cs="Arial"/>
        </w:rPr>
      </w:pPr>
      <w:r w:rsidRPr="00F57639">
        <w:rPr>
          <w:rFonts w:ascii="Arial" w:hAnsi="Arial" w:cs="Arial"/>
        </w:rPr>
        <w:t>The report notes that Australia ranks secon</w:t>
      </w:r>
      <w:r>
        <w:rPr>
          <w:rFonts w:ascii="Arial" w:hAnsi="Arial" w:cs="Arial"/>
        </w:rPr>
        <w:t>d to</w:t>
      </w:r>
      <w:r w:rsidRPr="00F57639">
        <w:rPr>
          <w:rFonts w:ascii="Arial" w:hAnsi="Arial" w:cs="Arial"/>
        </w:rPr>
        <w:t xml:space="preserve"> last </w:t>
      </w:r>
      <w:r>
        <w:rPr>
          <w:rFonts w:ascii="Arial" w:hAnsi="Arial" w:cs="Arial"/>
        </w:rPr>
        <w:t xml:space="preserve">out </w:t>
      </w:r>
      <w:r w:rsidRPr="00F57639">
        <w:rPr>
          <w:rFonts w:ascii="Arial" w:hAnsi="Arial" w:cs="Arial"/>
        </w:rPr>
        <w:t xml:space="preserve">of </w:t>
      </w:r>
      <w:r>
        <w:rPr>
          <w:rFonts w:ascii="Arial" w:hAnsi="Arial" w:cs="Arial"/>
        </w:rPr>
        <w:t xml:space="preserve">the </w:t>
      </w:r>
      <w:r w:rsidRPr="00F57639">
        <w:rPr>
          <w:rFonts w:ascii="Arial" w:hAnsi="Arial" w:cs="Arial"/>
        </w:rPr>
        <w:t xml:space="preserve">17 OECD countries on </w:t>
      </w:r>
      <w:r>
        <w:rPr>
          <w:rFonts w:ascii="Arial" w:hAnsi="Arial" w:cs="Arial"/>
        </w:rPr>
        <w:t>‘</w:t>
      </w:r>
      <w:r w:rsidRPr="00F57639">
        <w:rPr>
          <w:rFonts w:ascii="Arial" w:hAnsi="Arial" w:cs="Arial"/>
        </w:rPr>
        <w:t>new to the world</w:t>
      </w:r>
      <w:r>
        <w:rPr>
          <w:rFonts w:ascii="Arial" w:hAnsi="Arial" w:cs="Arial"/>
        </w:rPr>
        <w:t>’</w:t>
      </w:r>
      <w:r w:rsidRPr="00F57639">
        <w:rPr>
          <w:rFonts w:ascii="Arial" w:hAnsi="Arial" w:cs="Arial"/>
        </w:rPr>
        <w:t xml:space="preserve"> innovation, which is partly attributed to Australian businesses’ preferences to i</w:t>
      </w:r>
      <w:r>
        <w:rPr>
          <w:rFonts w:ascii="Arial" w:hAnsi="Arial" w:cs="Arial"/>
        </w:rPr>
        <w:t>nvest</w:t>
      </w:r>
      <w:r w:rsidRPr="00F57639">
        <w:rPr>
          <w:rFonts w:ascii="Arial" w:hAnsi="Arial" w:cs="Arial"/>
        </w:rPr>
        <w:t xml:space="preserve"> or modif</w:t>
      </w:r>
      <w:r>
        <w:rPr>
          <w:rFonts w:ascii="Arial" w:hAnsi="Arial" w:cs="Arial"/>
        </w:rPr>
        <w:t>y existing innovations. T</w:t>
      </w:r>
      <w:r w:rsidRPr="00F57639">
        <w:rPr>
          <w:rFonts w:ascii="Arial" w:hAnsi="Arial" w:cs="Arial"/>
        </w:rPr>
        <w:t>his may be perceived as</w:t>
      </w:r>
      <w:r>
        <w:rPr>
          <w:rFonts w:ascii="Arial" w:hAnsi="Arial" w:cs="Arial"/>
        </w:rPr>
        <w:t xml:space="preserve"> a</w:t>
      </w:r>
      <w:r w:rsidRPr="00F57639">
        <w:rPr>
          <w:rFonts w:ascii="Arial" w:hAnsi="Arial" w:cs="Arial"/>
        </w:rPr>
        <w:t xml:space="preserve"> reluctance for businesses to </w:t>
      </w:r>
      <w:r>
        <w:rPr>
          <w:rFonts w:ascii="Arial" w:hAnsi="Arial" w:cs="Arial"/>
        </w:rPr>
        <w:t xml:space="preserve">support </w:t>
      </w:r>
      <w:r w:rsidRPr="00F57639">
        <w:rPr>
          <w:rFonts w:ascii="Arial" w:hAnsi="Arial" w:cs="Arial"/>
        </w:rPr>
        <w:t xml:space="preserve">and invest in innovation, however, our experience </w:t>
      </w:r>
      <w:r>
        <w:rPr>
          <w:rFonts w:ascii="Arial" w:hAnsi="Arial" w:cs="Arial"/>
        </w:rPr>
        <w:t xml:space="preserve">from </w:t>
      </w:r>
      <w:r w:rsidRPr="00F57639">
        <w:rPr>
          <w:rFonts w:ascii="Arial" w:hAnsi="Arial" w:cs="Arial"/>
        </w:rPr>
        <w:t xml:space="preserve">working with industry suggests that in </w:t>
      </w:r>
      <w:r>
        <w:rPr>
          <w:rFonts w:ascii="Arial" w:hAnsi="Arial" w:cs="Arial"/>
        </w:rPr>
        <w:t xml:space="preserve">most cases businesses are focused on </w:t>
      </w:r>
      <w:r w:rsidRPr="00955EAF">
        <w:rPr>
          <w:rFonts w:ascii="Arial" w:hAnsi="Arial" w:cs="Arial"/>
        </w:rPr>
        <w:t>minimising</w:t>
      </w:r>
      <w:r>
        <w:rPr>
          <w:rFonts w:ascii="Arial" w:hAnsi="Arial" w:cs="Arial"/>
        </w:rPr>
        <w:t xml:space="preserve"> financial risks</w:t>
      </w:r>
      <w:r w:rsidRPr="00F57639">
        <w:rPr>
          <w:rFonts w:ascii="Arial" w:hAnsi="Arial" w:cs="Arial"/>
        </w:rPr>
        <w:t xml:space="preserve"> and are</w:t>
      </w:r>
      <w:r>
        <w:rPr>
          <w:rFonts w:ascii="Arial" w:hAnsi="Arial" w:cs="Arial"/>
        </w:rPr>
        <w:t>, therefore,</w:t>
      </w:r>
      <w:r w:rsidRPr="00F57639">
        <w:rPr>
          <w:rFonts w:ascii="Arial" w:hAnsi="Arial" w:cs="Arial"/>
        </w:rPr>
        <w:t xml:space="preserve"> more willing to invest in </w:t>
      </w:r>
      <w:r>
        <w:rPr>
          <w:rFonts w:ascii="Arial" w:hAnsi="Arial" w:cs="Arial"/>
        </w:rPr>
        <w:t>a research program that clearly articulates milestones and timelines that align with industry decision points and opportunities</w:t>
      </w:r>
      <w:r w:rsidRPr="00F57639">
        <w:rPr>
          <w:rFonts w:ascii="Arial" w:hAnsi="Arial" w:cs="Arial"/>
        </w:rPr>
        <w:t xml:space="preserve">. </w:t>
      </w:r>
      <w:r>
        <w:rPr>
          <w:rFonts w:ascii="Arial" w:hAnsi="Arial" w:cs="Arial"/>
        </w:rPr>
        <w:t xml:space="preserve">Australia is predominantly an </w:t>
      </w:r>
      <w:r w:rsidRPr="00F57639">
        <w:rPr>
          <w:rFonts w:ascii="Arial" w:hAnsi="Arial" w:cs="Arial"/>
        </w:rPr>
        <w:t xml:space="preserve">SME economy </w:t>
      </w:r>
      <w:r>
        <w:rPr>
          <w:rFonts w:ascii="Arial" w:hAnsi="Arial" w:cs="Arial"/>
        </w:rPr>
        <w:t>-</w:t>
      </w:r>
      <w:r w:rsidRPr="00F57639">
        <w:rPr>
          <w:rFonts w:ascii="Arial" w:hAnsi="Arial" w:cs="Arial"/>
        </w:rPr>
        <w:t xml:space="preserve"> </w:t>
      </w:r>
      <w:r>
        <w:rPr>
          <w:rFonts w:ascii="Arial" w:hAnsi="Arial" w:cs="Arial"/>
        </w:rPr>
        <w:t xml:space="preserve">often </w:t>
      </w:r>
      <w:r w:rsidRPr="00F57639">
        <w:rPr>
          <w:rFonts w:ascii="Arial" w:hAnsi="Arial" w:cs="Arial"/>
        </w:rPr>
        <w:t xml:space="preserve">there is </w:t>
      </w:r>
      <w:r>
        <w:rPr>
          <w:rFonts w:ascii="Arial" w:hAnsi="Arial" w:cs="Arial"/>
        </w:rPr>
        <w:t xml:space="preserve">a </w:t>
      </w:r>
      <w:r w:rsidRPr="00F57639">
        <w:rPr>
          <w:rFonts w:ascii="Arial" w:hAnsi="Arial" w:cs="Arial"/>
        </w:rPr>
        <w:t xml:space="preserve">need to </w:t>
      </w:r>
      <w:r>
        <w:rPr>
          <w:rFonts w:ascii="Arial" w:hAnsi="Arial" w:cs="Arial"/>
        </w:rPr>
        <w:t>develop</w:t>
      </w:r>
      <w:r w:rsidRPr="00F57639">
        <w:rPr>
          <w:rFonts w:ascii="Arial" w:hAnsi="Arial" w:cs="Arial"/>
        </w:rPr>
        <w:t xml:space="preserve"> </w:t>
      </w:r>
      <w:r>
        <w:rPr>
          <w:rFonts w:ascii="Arial" w:hAnsi="Arial" w:cs="Arial"/>
        </w:rPr>
        <w:t>a broader</w:t>
      </w:r>
      <w:r w:rsidRPr="00F57639">
        <w:rPr>
          <w:rFonts w:ascii="Arial" w:hAnsi="Arial" w:cs="Arial"/>
        </w:rPr>
        <w:t xml:space="preserve"> appreciation for what innov</w:t>
      </w:r>
      <w:r>
        <w:rPr>
          <w:rFonts w:ascii="Arial" w:hAnsi="Arial" w:cs="Arial"/>
        </w:rPr>
        <w:t xml:space="preserve">ation, </w:t>
      </w:r>
      <w:r w:rsidRPr="00F57639">
        <w:rPr>
          <w:rFonts w:ascii="Arial" w:hAnsi="Arial" w:cs="Arial"/>
        </w:rPr>
        <w:t xml:space="preserve">and </w:t>
      </w:r>
      <w:r>
        <w:rPr>
          <w:rFonts w:ascii="Arial" w:hAnsi="Arial" w:cs="Arial"/>
        </w:rPr>
        <w:t>Research and Development (R&amp;D),</w:t>
      </w:r>
      <w:r w:rsidRPr="00F57639">
        <w:rPr>
          <w:rFonts w:ascii="Arial" w:hAnsi="Arial" w:cs="Arial"/>
        </w:rPr>
        <w:t xml:space="preserve"> can do to improve or </w:t>
      </w:r>
      <w:r>
        <w:rPr>
          <w:rFonts w:ascii="Arial" w:hAnsi="Arial" w:cs="Arial"/>
        </w:rPr>
        <w:t xml:space="preserve">enhance a business’ operations, </w:t>
      </w:r>
      <w:r w:rsidRPr="00F57639">
        <w:rPr>
          <w:rFonts w:ascii="Arial" w:hAnsi="Arial" w:cs="Arial"/>
        </w:rPr>
        <w:t xml:space="preserve">or to provide a competitive advantage </w:t>
      </w:r>
      <w:r>
        <w:rPr>
          <w:rFonts w:ascii="Arial" w:hAnsi="Arial" w:cs="Arial"/>
        </w:rPr>
        <w:t>and/</w:t>
      </w:r>
      <w:r w:rsidRPr="00F57639">
        <w:rPr>
          <w:rFonts w:ascii="Arial" w:hAnsi="Arial" w:cs="Arial"/>
        </w:rPr>
        <w:t xml:space="preserve">or new products. This is especially true for the traditional manufacturing industry which may view investment in innovation as </w:t>
      </w:r>
      <w:r>
        <w:rPr>
          <w:rFonts w:ascii="Arial" w:hAnsi="Arial" w:cs="Arial"/>
        </w:rPr>
        <w:t xml:space="preserve">high </w:t>
      </w:r>
      <w:r w:rsidRPr="00F57639">
        <w:rPr>
          <w:rFonts w:ascii="Arial" w:hAnsi="Arial" w:cs="Arial"/>
        </w:rPr>
        <w:t>r</w:t>
      </w:r>
      <w:r>
        <w:rPr>
          <w:rFonts w:ascii="Arial" w:hAnsi="Arial" w:cs="Arial"/>
        </w:rPr>
        <w:t>isk</w:t>
      </w:r>
      <w:r w:rsidRPr="00F57639">
        <w:rPr>
          <w:rFonts w:ascii="Arial" w:hAnsi="Arial" w:cs="Arial"/>
        </w:rPr>
        <w:t xml:space="preserve">. </w:t>
      </w:r>
    </w:p>
    <w:p w14:paraId="66DC00FF" w14:textId="77777777" w:rsidR="00397582" w:rsidRDefault="00A754CF" w:rsidP="00A754CF">
      <w:pPr>
        <w:rPr>
          <w:rFonts w:ascii="Arial" w:hAnsi="Arial" w:cs="Arial"/>
        </w:rPr>
      </w:pPr>
      <w:r>
        <w:rPr>
          <w:rFonts w:ascii="Arial" w:hAnsi="Arial" w:cs="Arial"/>
        </w:rPr>
        <w:t xml:space="preserve">Currently in Australia, the development of many novel technologies often starts by aiming for smaller-scale results, as the cost associated with larger programs are prohibitive in an industry context.   This results in programs frequently taking a long time to demonstrate credible progress or sufficient technological maturity to interest potential investors or </w:t>
      </w:r>
      <w:r>
        <w:rPr>
          <w:rFonts w:ascii="Arial" w:hAnsi="Arial" w:cs="Arial"/>
        </w:rPr>
        <w:lastRenderedPageBreak/>
        <w:t>sponsors – particularly against the backdrop of a strong and innovative international competition.  Furthermore, ‘disruptive innovation’, which can include transformational technologies, are often derived from research occurring at the boundaries of individual disciplines.  This can create tension between the existing structures of a company or university, which reflect current core-market or discipline-specific capabilities, and the future investment and resource priorities required to realise the full commercial outcomes of a transformational idea/product.</w:t>
      </w:r>
    </w:p>
    <w:p w14:paraId="66DC0100" w14:textId="77777777" w:rsidR="00A754CF" w:rsidRPr="00F57639" w:rsidRDefault="00A754CF" w:rsidP="00A754CF">
      <w:pPr>
        <w:rPr>
          <w:rFonts w:ascii="Arial" w:hAnsi="Arial" w:cs="Arial"/>
        </w:rPr>
      </w:pPr>
      <w:r>
        <w:rPr>
          <w:rFonts w:ascii="Arial" w:hAnsi="Arial" w:cs="Arial"/>
        </w:rPr>
        <w:t xml:space="preserve">To facilitate and build scale, depth and focus of its multi-disciplinary capacity UniSA is currently leading the amalgamation of some of its existing research structures, including the formation of a new Future Industry flagship institute which will incorporate research strands from minerals and resources, environmental remediation engineering, bioengineering and </w:t>
      </w:r>
      <w:proofErr w:type="spellStart"/>
      <w:r>
        <w:rPr>
          <w:rFonts w:ascii="Arial" w:hAnsi="Arial" w:cs="Arial"/>
        </w:rPr>
        <w:t>nanomedicine</w:t>
      </w:r>
      <w:proofErr w:type="spellEnd"/>
      <w:r>
        <w:rPr>
          <w:rFonts w:ascii="Arial" w:hAnsi="Arial" w:cs="Arial"/>
        </w:rPr>
        <w:t xml:space="preserve">, and advanced manufacturing. </w:t>
      </w:r>
    </w:p>
    <w:p w14:paraId="66DC0101" w14:textId="77777777" w:rsidR="00A754CF" w:rsidRDefault="00A754CF" w:rsidP="00A754CF">
      <w:pPr>
        <w:rPr>
          <w:rFonts w:ascii="Arial" w:hAnsi="Arial" w:cs="Arial"/>
        </w:rPr>
      </w:pPr>
      <w:r w:rsidRPr="00F57639">
        <w:rPr>
          <w:rFonts w:ascii="Arial" w:hAnsi="Arial" w:cs="Arial"/>
        </w:rPr>
        <w:t xml:space="preserve">The development of a </w:t>
      </w:r>
      <w:r>
        <w:rPr>
          <w:rFonts w:ascii="Arial" w:hAnsi="Arial" w:cs="Arial"/>
        </w:rPr>
        <w:t xml:space="preserve">productive research </w:t>
      </w:r>
      <w:r w:rsidRPr="00F57639">
        <w:rPr>
          <w:rFonts w:ascii="Arial" w:hAnsi="Arial" w:cs="Arial"/>
        </w:rPr>
        <w:t xml:space="preserve">relationship needs to be based on trust and </w:t>
      </w:r>
      <w:r>
        <w:rPr>
          <w:rFonts w:ascii="Arial" w:hAnsi="Arial" w:cs="Arial"/>
        </w:rPr>
        <w:t>with the</w:t>
      </w:r>
      <w:r w:rsidRPr="00F57639">
        <w:rPr>
          <w:rFonts w:ascii="Arial" w:hAnsi="Arial" w:cs="Arial"/>
        </w:rPr>
        <w:t xml:space="preserve"> appropriate level</w:t>
      </w:r>
      <w:r>
        <w:rPr>
          <w:rFonts w:ascii="Arial" w:hAnsi="Arial" w:cs="Arial"/>
        </w:rPr>
        <w:t>s</w:t>
      </w:r>
      <w:r w:rsidRPr="00F57639">
        <w:rPr>
          <w:rFonts w:ascii="Arial" w:hAnsi="Arial" w:cs="Arial"/>
        </w:rPr>
        <w:t xml:space="preserve"> of maturity and willingness to engage from both sides.  End-users of research must see</w:t>
      </w:r>
      <w:r>
        <w:rPr>
          <w:rFonts w:ascii="Arial" w:hAnsi="Arial" w:cs="Arial"/>
        </w:rPr>
        <w:t xml:space="preserve"> inherent</w:t>
      </w:r>
      <w:r w:rsidRPr="00F57639">
        <w:rPr>
          <w:rFonts w:ascii="Arial" w:hAnsi="Arial" w:cs="Arial"/>
        </w:rPr>
        <w:t xml:space="preserve"> value in the interaction, and</w:t>
      </w:r>
      <w:r>
        <w:rPr>
          <w:rFonts w:ascii="Arial" w:hAnsi="Arial" w:cs="Arial"/>
        </w:rPr>
        <w:t xml:space="preserve"> incentives and rewards for researchers much recognise and promote successful end-user engagement</w:t>
      </w:r>
      <w:r w:rsidRPr="00F57639">
        <w:rPr>
          <w:rFonts w:ascii="Arial" w:hAnsi="Arial" w:cs="Arial"/>
        </w:rPr>
        <w:t xml:space="preserve">. </w:t>
      </w:r>
      <w:r>
        <w:rPr>
          <w:rFonts w:ascii="Arial" w:hAnsi="Arial" w:cs="Arial"/>
        </w:rPr>
        <w:t xml:space="preserve"> </w:t>
      </w:r>
    </w:p>
    <w:p w14:paraId="333A206E" w14:textId="77777777" w:rsidR="006C1BF3" w:rsidRDefault="006C1BF3" w:rsidP="00A754CF">
      <w:pPr>
        <w:rPr>
          <w:rFonts w:ascii="Arial" w:hAnsi="Arial" w:cs="Arial"/>
        </w:rPr>
      </w:pPr>
    </w:p>
    <w:p w14:paraId="66DC0103" w14:textId="77777777" w:rsidR="00A754CF" w:rsidRPr="00F57639" w:rsidRDefault="00A754CF" w:rsidP="006C1BF3">
      <w:pPr>
        <w:pStyle w:val="Heading2"/>
      </w:pPr>
      <w:r w:rsidRPr="00F57639">
        <w:t>Factors that support the translation of public research into commercial outcomes</w:t>
      </w:r>
    </w:p>
    <w:p w14:paraId="66DC0104" w14:textId="77777777" w:rsidR="00A754CF" w:rsidRDefault="00A754CF" w:rsidP="006C1BF3">
      <w:pPr>
        <w:pStyle w:val="Heading3"/>
      </w:pPr>
      <w:r>
        <w:t>A. Research excellence</w:t>
      </w:r>
    </w:p>
    <w:p w14:paraId="66DC0105" w14:textId="77777777" w:rsidR="00A754CF" w:rsidRPr="00B03DD0" w:rsidRDefault="00A754CF" w:rsidP="00A754CF">
      <w:pPr>
        <w:rPr>
          <w:rFonts w:ascii="Arial" w:hAnsi="Arial" w:cs="Arial"/>
        </w:rPr>
      </w:pPr>
      <w:r>
        <w:rPr>
          <w:rFonts w:ascii="Arial" w:hAnsi="Arial" w:cs="Arial"/>
        </w:rPr>
        <w:t>UniSA is supportive of a focus on research excellence – high quality research across all disciplines is the primary driver of innovation, end user engagement and tangible outcomes.  Excellence is, and must remain, an expected feature of both fundamental and applied research, and should not be comprised in the pursuit of industry-relevant outcomes.  It should be noted, however, that different disciplines utilise varying definitions for the assessment of research excellence, i.e. mean citation rates in quality journals may be suitable in the assessment of science-based research, but will not necessarily reflect the quality of creative work.  Driving research excellence is critical for the continued growth of Australia’s international reputation in higher education, which in turn, drives the ongoing attraction of a sustainable international student market.</w:t>
      </w:r>
    </w:p>
    <w:p w14:paraId="66DC0106" w14:textId="77777777" w:rsidR="00A754CF" w:rsidRPr="00F57639" w:rsidRDefault="00A754CF" w:rsidP="006C1BF3">
      <w:pPr>
        <w:pStyle w:val="Heading3"/>
      </w:pPr>
      <w:r w:rsidRPr="00F57639">
        <w:t>B. Targ</w:t>
      </w:r>
      <w:r>
        <w:t>eting r</w:t>
      </w:r>
      <w:r w:rsidRPr="00F57639">
        <w:t xml:space="preserve">esearch </w:t>
      </w:r>
      <w:r>
        <w:t>e</w:t>
      </w:r>
      <w:r w:rsidRPr="00F57639">
        <w:t>ffort</w:t>
      </w:r>
    </w:p>
    <w:p w14:paraId="66DC0107" w14:textId="77777777" w:rsidR="00A754CF" w:rsidRPr="00F57639" w:rsidRDefault="00A754CF" w:rsidP="00A754CF">
      <w:pPr>
        <w:rPr>
          <w:rFonts w:ascii="Arial" w:hAnsi="Arial" w:cs="Arial"/>
        </w:rPr>
      </w:pPr>
      <w:r>
        <w:rPr>
          <w:rFonts w:ascii="Arial" w:hAnsi="Arial" w:cs="Arial"/>
        </w:rPr>
        <w:t>UniSA</w:t>
      </w:r>
      <w:r w:rsidRPr="00F57639">
        <w:rPr>
          <w:rFonts w:ascii="Arial" w:hAnsi="Arial" w:cs="Arial"/>
        </w:rPr>
        <w:t xml:space="preserve"> supports the targeting of research effort </w:t>
      </w:r>
      <w:r>
        <w:rPr>
          <w:rFonts w:ascii="Arial" w:hAnsi="Arial" w:cs="Arial"/>
        </w:rPr>
        <w:t>around the</w:t>
      </w:r>
      <w:r w:rsidRPr="00F57639">
        <w:rPr>
          <w:rFonts w:ascii="Arial" w:hAnsi="Arial" w:cs="Arial"/>
        </w:rPr>
        <w:t xml:space="preserve"> emerging areas of national importance.  The notion of supporting research </w:t>
      </w:r>
      <w:r>
        <w:rPr>
          <w:rFonts w:ascii="Arial" w:hAnsi="Arial" w:cs="Arial"/>
        </w:rPr>
        <w:t>priorities which will endeavour to provide solutions for</w:t>
      </w:r>
      <w:r w:rsidRPr="00F57639">
        <w:rPr>
          <w:rFonts w:ascii="Arial" w:hAnsi="Arial" w:cs="Arial"/>
        </w:rPr>
        <w:t xml:space="preserve"> </w:t>
      </w:r>
      <w:r>
        <w:rPr>
          <w:rFonts w:ascii="Arial" w:hAnsi="Arial" w:cs="Arial"/>
        </w:rPr>
        <w:t>‘</w:t>
      </w:r>
      <w:r w:rsidRPr="00F57639">
        <w:rPr>
          <w:rFonts w:ascii="Arial" w:hAnsi="Arial" w:cs="Arial"/>
        </w:rPr>
        <w:t>National Grand Challenges</w:t>
      </w:r>
      <w:r>
        <w:rPr>
          <w:rFonts w:ascii="Arial" w:hAnsi="Arial" w:cs="Arial"/>
        </w:rPr>
        <w:t>’</w:t>
      </w:r>
      <w:r w:rsidRPr="00F57639">
        <w:rPr>
          <w:rFonts w:ascii="Arial" w:hAnsi="Arial" w:cs="Arial"/>
        </w:rPr>
        <w:t xml:space="preserve"> should be explored.  </w:t>
      </w:r>
    </w:p>
    <w:p w14:paraId="66DC0108" w14:textId="77777777" w:rsidR="00A754CF" w:rsidRPr="00C973C0" w:rsidRDefault="00A754CF" w:rsidP="00A754CF">
      <w:pPr>
        <w:pStyle w:val="PlainText"/>
        <w:spacing w:after="200" w:line="276" w:lineRule="auto"/>
        <w:rPr>
          <w:rFonts w:ascii="Arial" w:hAnsi="Arial" w:cs="Arial"/>
          <w:szCs w:val="22"/>
        </w:rPr>
      </w:pPr>
      <w:r>
        <w:rPr>
          <w:rFonts w:ascii="Arial" w:hAnsi="Arial" w:cs="Arial"/>
          <w:szCs w:val="22"/>
        </w:rPr>
        <w:t>UniSA</w:t>
      </w:r>
      <w:r w:rsidRPr="00F57639">
        <w:rPr>
          <w:rFonts w:ascii="Arial" w:hAnsi="Arial" w:cs="Arial"/>
          <w:szCs w:val="22"/>
        </w:rPr>
        <w:t xml:space="preserve"> is </w:t>
      </w:r>
      <w:r>
        <w:rPr>
          <w:rFonts w:ascii="Arial" w:hAnsi="Arial" w:cs="Arial"/>
          <w:szCs w:val="22"/>
        </w:rPr>
        <w:t>committed to</w:t>
      </w:r>
      <w:r w:rsidRPr="00F57639">
        <w:rPr>
          <w:rFonts w:ascii="Arial" w:hAnsi="Arial" w:cs="Arial"/>
          <w:szCs w:val="22"/>
        </w:rPr>
        <w:t xml:space="preserve"> this approach by supporting a thematic based research environment to drive internal cross-</w:t>
      </w:r>
      <w:r>
        <w:rPr>
          <w:rFonts w:ascii="Arial" w:hAnsi="Arial" w:cs="Arial"/>
          <w:szCs w:val="22"/>
        </w:rPr>
        <w:t xml:space="preserve"> and trans-disciplinary collaboration. Whole-of-institution </w:t>
      </w:r>
      <w:r w:rsidRPr="00F57639">
        <w:rPr>
          <w:rFonts w:ascii="Arial" w:hAnsi="Arial" w:cs="Arial"/>
          <w:szCs w:val="22"/>
        </w:rPr>
        <w:t>structural changes are currently being implemented to make it easier for researchers to work across boundaries and traditional</w:t>
      </w:r>
      <w:r>
        <w:rPr>
          <w:rFonts w:ascii="Arial" w:hAnsi="Arial" w:cs="Arial"/>
          <w:szCs w:val="22"/>
        </w:rPr>
        <w:t xml:space="preserve"> disciplinary</w:t>
      </w:r>
      <w:r w:rsidRPr="00F57639">
        <w:rPr>
          <w:rFonts w:ascii="Arial" w:hAnsi="Arial" w:cs="Arial"/>
          <w:szCs w:val="22"/>
        </w:rPr>
        <w:t xml:space="preserve"> silos. </w:t>
      </w:r>
      <w:r w:rsidRPr="00C973C0">
        <w:rPr>
          <w:rFonts w:ascii="Arial" w:hAnsi="Arial" w:cs="Arial"/>
          <w:szCs w:val="22"/>
        </w:rPr>
        <w:t>In this context, it is important that the humanities are not alienated from the consultation – there are many opportunities for th</w:t>
      </w:r>
      <w:r>
        <w:rPr>
          <w:rFonts w:ascii="Arial" w:hAnsi="Arial" w:cs="Arial"/>
          <w:szCs w:val="22"/>
        </w:rPr>
        <w:t xml:space="preserve">is discipline </w:t>
      </w:r>
      <w:r w:rsidRPr="00C973C0">
        <w:rPr>
          <w:rFonts w:ascii="Arial" w:hAnsi="Arial" w:cs="Arial"/>
          <w:szCs w:val="22"/>
        </w:rPr>
        <w:t xml:space="preserve">to interface with industry. The intersection of the humanities and sciences facilitates a conduit to </w:t>
      </w:r>
      <w:r>
        <w:rPr>
          <w:rFonts w:ascii="Arial" w:hAnsi="Arial" w:cs="Arial"/>
        </w:rPr>
        <w:t>effectively address ‘Grand C</w:t>
      </w:r>
      <w:r w:rsidRPr="00C973C0">
        <w:rPr>
          <w:rFonts w:ascii="Arial" w:hAnsi="Arial" w:cs="Arial"/>
        </w:rPr>
        <w:t>hallenges</w:t>
      </w:r>
      <w:r>
        <w:rPr>
          <w:rFonts w:ascii="Arial" w:hAnsi="Arial" w:cs="Arial"/>
        </w:rPr>
        <w:t>’</w:t>
      </w:r>
      <w:r w:rsidRPr="00C973C0">
        <w:rPr>
          <w:rFonts w:ascii="Arial" w:hAnsi="Arial" w:cs="Arial"/>
        </w:rPr>
        <w:t xml:space="preserve"> and this approach is embraced by </w:t>
      </w:r>
      <w:r>
        <w:rPr>
          <w:rFonts w:ascii="Arial" w:hAnsi="Arial" w:cs="Arial"/>
        </w:rPr>
        <w:t>UniSA</w:t>
      </w:r>
      <w:r w:rsidRPr="00C973C0">
        <w:rPr>
          <w:rFonts w:ascii="Arial" w:hAnsi="Arial" w:cs="Arial"/>
        </w:rPr>
        <w:t>.</w:t>
      </w:r>
    </w:p>
    <w:p w14:paraId="66DC0109" w14:textId="77777777" w:rsidR="00A754CF" w:rsidRDefault="00A754CF" w:rsidP="00A754CF">
      <w:pPr>
        <w:rPr>
          <w:rFonts w:ascii="Arial" w:hAnsi="Arial" w:cs="Arial"/>
        </w:rPr>
      </w:pPr>
      <w:r w:rsidRPr="00F57639">
        <w:rPr>
          <w:rFonts w:ascii="Arial" w:hAnsi="Arial" w:cs="Arial"/>
        </w:rPr>
        <w:t>The fostering of a collaborative culture</w:t>
      </w:r>
      <w:r>
        <w:rPr>
          <w:rFonts w:ascii="Arial" w:hAnsi="Arial" w:cs="Arial"/>
        </w:rPr>
        <w:t>,</w:t>
      </w:r>
      <w:r w:rsidRPr="00F57639">
        <w:rPr>
          <w:rFonts w:ascii="Arial" w:hAnsi="Arial" w:cs="Arial"/>
        </w:rPr>
        <w:t xml:space="preserve"> as well as the alignment of reward and incentives</w:t>
      </w:r>
      <w:r>
        <w:rPr>
          <w:rFonts w:ascii="Arial" w:hAnsi="Arial" w:cs="Arial"/>
        </w:rPr>
        <w:t>,</w:t>
      </w:r>
      <w:r w:rsidRPr="00F57639">
        <w:rPr>
          <w:rFonts w:ascii="Arial" w:hAnsi="Arial" w:cs="Arial"/>
        </w:rPr>
        <w:t xml:space="preserve"> are additional planks to success in this strategy – </w:t>
      </w:r>
      <w:r>
        <w:rPr>
          <w:rFonts w:ascii="Arial" w:hAnsi="Arial" w:cs="Arial"/>
        </w:rPr>
        <w:t>it is pleasing to see that the G</w:t>
      </w:r>
      <w:r w:rsidRPr="00F57639">
        <w:rPr>
          <w:rFonts w:ascii="Arial" w:hAnsi="Arial" w:cs="Arial"/>
        </w:rPr>
        <w:t xml:space="preserve">overnment is </w:t>
      </w:r>
      <w:r w:rsidRPr="00F57639">
        <w:rPr>
          <w:rFonts w:ascii="Arial" w:hAnsi="Arial" w:cs="Arial"/>
        </w:rPr>
        <w:lastRenderedPageBreak/>
        <w:t>considering how to better align incentives</w:t>
      </w:r>
      <w:r>
        <w:rPr>
          <w:rFonts w:ascii="Arial" w:hAnsi="Arial" w:cs="Arial"/>
        </w:rPr>
        <w:t>,</w:t>
      </w:r>
      <w:r w:rsidRPr="00F57639">
        <w:rPr>
          <w:rFonts w:ascii="Arial" w:hAnsi="Arial" w:cs="Arial"/>
        </w:rPr>
        <w:t xml:space="preserve"> in particular, with research that leads to industry impact and benefit.</w:t>
      </w:r>
    </w:p>
    <w:p w14:paraId="66DC010A" w14:textId="77777777" w:rsidR="00A754CF" w:rsidRPr="00B03DD0" w:rsidRDefault="00A754CF" w:rsidP="006C1BF3">
      <w:pPr>
        <w:pStyle w:val="Heading3"/>
      </w:pPr>
      <w:r w:rsidRPr="00F57639">
        <w:t>C. Cooperation between researchers and industry</w:t>
      </w:r>
    </w:p>
    <w:p w14:paraId="66DC010B" w14:textId="77777777" w:rsidR="00A754CF" w:rsidRDefault="00A754CF" w:rsidP="00A754CF">
      <w:pPr>
        <w:rPr>
          <w:rFonts w:ascii="Arial" w:hAnsi="Arial" w:cs="Arial"/>
        </w:rPr>
      </w:pPr>
      <w:r w:rsidRPr="00F57639">
        <w:rPr>
          <w:rFonts w:ascii="Arial" w:hAnsi="Arial" w:cs="Arial"/>
        </w:rPr>
        <w:t xml:space="preserve">Many countries have adopted </w:t>
      </w:r>
      <w:r>
        <w:rPr>
          <w:rFonts w:ascii="Arial" w:hAnsi="Arial" w:cs="Arial"/>
        </w:rPr>
        <w:t>schemes</w:t>
      </w:r>
      <w:r w:rsidRPr="00F57639">
        <w:rPr>
          <w:rFonts w:ascii="Arial" w:hAnsi="Arial" w:cs="Arial"/>
        </w:rPr>
        <w:t xml:space="preserve"> which support programs for intermediaries to facilitate the connections between research and business. The report recognises that these services may be provided by universities, publicly funded research agencies, research infrastructure providers or third parties.  </w:t>
      </w:r>
      <w:r>
        <w:rPr>
          <w:rFonts w:ascii="Arial" w:hAnsi="Arial" w:cs="Arial"/>
        </w:rPr>
        <w:t>UniSA</w:t>
      </w:r>
      <w:r w:rsidRPr="00F57639">
        <w:rPr>
          <w:rFonts w:ascii="Arial" w:hAnsi="Arial" w:cs="Arial"/>
        </w:rPr>
        <w:t xml:space="preserve"> supports the view that these programs are best placed to be delivered by universities</w:t>
      </w:r>
      <w:r>
        <w:rPr>
          <w:rFonts w:ascii="Arial" w:hAnsi="Arial" w:cs="Arial"/>
        </w:rPr>
        <w:t>,</w:t>
      </w:r>
      <w:r w:rsidRPr="00F57639">
        <w:rPr>
          <w:rFonts w:ascii="Arial" w:hAnsi="Arial" w:cs="Arial"/>
        </w:rPr>
        <w:t xml:space="preserve"> which have the in-depth understanding of their research capability and capacity across areas of industry need. </w:t>
      </w:r>
    </w:p>
    <w:p w14:paraId="66DC010C" w14:textId="77777777" w:rsidR="00A754CF" w:rsidRPr="00F57639" w:rsidRDefault="00A754CF" w:rsidP="00A754CF">
      <w:pPr>
        <w:rPr>
          <w:rFonts w:ascii="Arial" w:hAnsi="Arial" w:cs="Arial"/>
        </w:rPr>
      </w:pPr>
      <w:r w:rsidRPr="00F57639">
        <w:rPr>
          <w:rFonts w:ascii="Arial" w:hAnsi="Arial" w:cs="Arial"/>
        </w:rPr>
        <w:t xml:space="preserve">It is acknowledged </w:t>
      </w:r>
      <w:r>
        <w:rPr>
          <w:rFonts w:ascii="Arial" w:hAnsi="Arial" w:cs="Arial"/>
        </w:rPr>
        <w:t xml:space="preserve">in Australia </w:t>
      </w:r>
      <w:r w:rsidRPr="00F57639">
        <w:rPr>
          <w:rFonts w:ascii="Arial" w:hAnsi="Arial" w:cs="Arial"/>
        </w:rPr>
        <w:t>that one of the contributing factors to poor collaboration</w:t>
      </w:r>
      <w:r>
        <w:rPr>
          <w:rFonts w:ascii="Arial" w:hAnsi="Arial" w:cs="Arial"/>
        </w:rPr>
        <w:t xml:space="preserve"> between universities and industry</w:t>
      </w:r>
      <w:r w:rsidRPr="00F57639">
        <w:rPr>
          <w:rFonts w:ascii="Arial" w:hAnsi="Arial" w:cs="Arial"/>
        </w:rPr>
        <w:t xml:space="preserve"> is the higher proportion of academics working outside of business </w:t>
      </w:r>
      <w:r>
        <w:rPr>
          <w:rFonts w:ascii="Arial" w:hAnsi="Arial" w:cs="Arial"/>
        </w:rPr>
        <w:t xml:space="preserve">when </w:t>
      </w:r>
      <w:r w:rsidRPr="00F57639">
        <w:rPr>
          <w:rFonts w:ascii="Arial" w:hAnsi="Arial" w:cs="Arial"/>
        </w:rPr>
        <w:t xml:space="preserve">compared </w:t>
      </w:r>
      <w:r>
        <w:rPr>
          <w:rFonts w:ascii="Arial" w:hAnsi="Arial" w:cs="Arial"/>
        </w:rPr>
        <w:t>with other countries.  For example</w:t>
      </w:r>
      <w:r w:rsidRPr="00F57639">
        <w:rPr>
          <w:rFonts w:ascii="Arial" w:hAnsi="Arial" w:cs="Arial"/>
        </w:rPr>
        <w:t xml:space="preserve"> sixty per cent of Australian researchers</w:t>
      </w:r>
      <w:r>
        <w:rPr>
          <w:rFonts w:ascii="Arial" w:hAnsi="Arial" w:cs="Arial"/>
        </w:rPr>
        <w:t xml:space="preserve"> are currently employed by the Higher E</w:t>
      </w:r>
      <w:r w:rsidRPr="00F57639">
        <w:rPr>
          <w:rFonts w:ascii="Arial" w:hAnsi="Arial" w:cs="Arial"/>
        </w:rPr>
        <w:t xml:space="preserve">ducation sector, compared </w:t>
      </w:r>
      <w:r>
        <w:rPr>
          <w:rFonts w:ascii="Arial" w:hAnsi="Arial" w:cs="Arial"/>
        </w:rPr>
        <w:t xml:space="preserve">with approximately thirty per cent in Germany, </w:t>
      </w:r>
      <w:r w:rsidRPr="00F57639">
        <w:rPr>
          <w:rFonts w:ascii="Arial" w:hAnsi="Arial" w:cs="Arial"/>
        </w:rPr>
        <w:t>Canada and Sweden.  While the UK has a similar mix to Australia, it achieves far better results on measures of collaboration and innovation.  A contrib</w:t>
      </w:r>
      <w:r>
        <w:rPr>
          <w:rFonts w:ascii="Arial" w:hAnsi="Arial" w:cs="Arial"/>
        </w:rPr>
        <w:t>uting factor to this disparity</w:t>
      </w:r>
      <w:r w:rsidRPr="00F57639">
        <w:rPr>
          <w:rFonts w:ascii="Arial" w:hAnsi="Arial" w:cs="Arial"/>
        </w:rPr>
        <w:t xml:space="preserve"> could be the successful operation of the </w:t>
      </w:r>
      <w:r w:rsidRPr="00F57639">
        <w:rPr>
          <w:rFonts w:ascii="Arial" w:hAnsi="Arial" w:cs="Arial"/>
          <w:i/>
        </w:rPr>
        <w:t>Knowledge Transfer Partnerships</w:t>
      </w:r>
      <w:r>
        <w:rPr>
          <w:rFonts w:ascii="Arial" w:hAnsi="Arial" w:cs="Arial"/>
        </w:rPr>
        <w:t xml:space="preserve"> program</w:t>
      </w:r>
      <w:r w:rsidRPr="00F57639">
        <w:rPr>
          <w:rFonts w:ascii="Arial" w:hAnsi="Arial" w:cs="Arial"/>
        </w:rPr>
        <w:t xml:space="preserve"> in the UK</w:t>
      </w:r>
      <w:r>
        <w:rPr>
          <w:rFonts w:ascii="Arial" w:hAnsi="Arial" w:cs="Arial"/>
        </w:rPr>
        <w:t>, which is</w:t>
      </w:r>
      <w:r w:rsidRPr="00F57639">
        <w:rPr>
          <w:rFonts w:ascii="Arial" w:hAnsi="Arial" w:cs="Arial"/>
        </w:rPr>
        <w:t xml:space="preserve"> supported by the Technology Transfer Board; a body consisting of an amalgamation of an independent </w:t>
      </w:r>
      <w:r>
        <w:rPr>
          <w:rFonts w:ascii="Arial" w:hAnsi="Arial" w:cs="Arial"/>
        </w:rPr>
        <w:t>industry b</w:t>
      </w:r>
      <w:r w:rsidRPr="00F57639">
        <w:rPr>
          <w:rFonts w:ascii="Arial" w:hAnsi="Arial" w:cs="Arial"/>
        </w:rPr>
        <w:t xml:space="preserve">oard and a government </w:t>
      </w:r>
      <w:r>
        <w:rPr>
          <w:rFonts w:ascii="Arial" w:hAnsi="Arial" w:cs="Arial"/>
        </w:rPr>
        <w:t xml:space="preserve">agency. </w:t>
      </w:r>
      <w:r w:rsidRPr="00F57639">
        <w:rPr>
          <w:rFonts w:ascii="Arial" w:hAnsi="Arial" w:cs="Arial"/>
        </w:rPr>
        <w:t xml:space="preserve">Consideration should be given to exploring the delivery of a similar program in Australia, which allows industry to employ a research graduate in varied scenarios and </w:t>
      </w:r>
      <w:r>
        <w:rPr>
          <w:rFonts w:ascii="Arial" w:hAnsi="Arial" w:cs="Arial"/>
        </w:rPr>
        <w:t>to gain</w:t>
      </w:r>
      <w:r w:rsidRPr="00F57639">
        <w:rPr>
          <w:rFonts w:ascii="Arial" w:hAnsi="Arial" w:cs="Arial"/>
        </w:rPr>
        <w:t xml:space="preserve"> access to the expertise of the student’s supervisor. There is a knowledge gap amongst Australian companies about how a </w:t>
      </w:r>
      <w:r>
        <w:rPr>
          <w:rFonts w:ascii="Arial" w:hAnsi="Arial" w:cs="Arial"/>
        </w:rPr>
        <w:t xml:space="preserve">PhD </w:t>
      </w:r>
      <w:r w:rsidRPr="00F57639">
        <w:rPr>
          <w:rFonts w:ascii="Arial" w:hAnsi="Arial" w:cs="Arial"/>
        </w:rPr>
        <w:t xml:space="preserve">qualified workforce can </w:t>
      </w:r>
      <w:r>
        <w:rPr>
          <w:rFonts w:ascii="Arial" w:hAnsi="Arial" w:cs="Arial"/>
        </w:rPr>
        <w:t>add value to</w:t>
      </w:r>
      <w:r w:rsidRPr="00F57639">
        <w:rPr>
          <w:rFonts w:ascii="Arial" w:hAnsi="Arial" w:cs="Arial"/>
        </w:rPr>
        <w:t xml:space="preserve"> </w:t>
      </w:r>
      <w:r>
        <w:rPr>
          <w:rFonts w:ascii="Arial" w:hAnsi="Arial" w:cs="Arial"/>
        </w:rPr>
        <w:t>a</w:t>
      </w:r>
      <w:r w:rsidRPr="00F57639">
        <w:rPr>
          <w:rFonts w:ascii="Arial" w:hAnsi="Arial" w:cs="Arial"/>
        </w:rPr>
        <w:t xml:space="preserve"> business, so it is as important to construct </w:t>
      </w:r>
      <w:r>
        <w:rPr>
          <w:rFonts w:ascii="Arial" w:hAnsi="Arial" w:cs="Arial"/>
        </w:rPr>
        <w:t>path</w:t>
      </w:r>
      <w:r w:rsidRPr="00F57639">
        <w:rPr>
          <w:rFonts w:ascii="Arial" w:hAnsi="Arial" w:cs="Arial"/>
        </w:rPr>
        <w:t>ways for PhD students to work within an industrial context, as well as encouraging</w:t>
      </w:r>
      <w:r>
        <w:rPr>
          <w:rFonts w:ascii="Arial" w:hAnsi="Arial" w:cs="Arial"/>
        </w:rPr>
        <w:t xml:space="preserve"> and making it easier for</w:t>
      </w:r>
      <w:r w:rsidRPr="00F57639">
        <w:rPr>
          <w:rFonts w:ascii="Arial" w:hAnsi="Arial" w:cs="Arial"/>
        </w:rPr>
        <w:t xml:space="preserve"> industr</w:t>
      </w:r>
      <w:r>
        <w:rPr>
          <w:rFonts w:ascii="Arial" w:hAnsi="Arial" w:cs="Arial"/>
        </w:rPr>
        <w:t>y to engage more directly with u</w:t>
      </w:r>
      <w:r w:rsidRPr="00F57639">
        <w:rPr>
          <w:rFonts w:ascii="Arial" w:hAnsi="Arial" w:cs="Arial"/>
        </w:rPr>
        <w:t>niversities.</w:t>
      </w:r>
    </w:p>
    <w:p w14:paraId="66DC010D" w14:textId="77777777" w:rsidR="00A754CF" w:rsidRDefault="00A754CF" w:rsidP="00A754CF">
      <w:pPr>
        <w:rPr>
          <w:rFonts w:ascii="Arial" w:hAnsi="Arial" w:cs="Arial"/>
        </w:rPr>
      </w:pPr>
      <w:r w:rsidRPr="00FF1F31">
        <w:rPr>
          <w:rFonts w:ascii="Arial" w:hAnsi="Arial" w:cs="Arial"/>
        </w:rPr>
        <w:t xml:space="preserve">In examining ways in which research could work better with industry, discussion has often centred on the development of relationships between research organisations with individual </w:t>
      </w:r>
      <w:r>
        <w:rPr>
          <w:rFonts w:ascii="Arial" w:hAnsi="Arial" w:cs="Arial"/>
        </w:rPr>
        <w:t>SME</w:t>
      </w:r>
      <w:r w:rsidRPr="00FF1F31">
        <w:rPr>
          <w:rFonts w:ascii="Arial" w:hAnsi="Arial" w:cs="Arial"/>
        </w:rPr>
        <w:t>s</w:t>
      </w:r>
      <w:r>
        <w:rPr>
          <w:rFonts w:ascii="Arial" w:hAnsi="Arial" w:cs="Arial"/>
        </w:rPr>
        <w:t xml:space="preserve">. </w:t>
      </w:r>
      <w:r w:rsidRPr="00FF1F31">
        <w:rPr>
          <w:rFonts w:ascii="Arial" w:hAnsi="Arial" w:cs="Arial"/>
        </w:rPr>
        <w:t>This is often difficult, because research is a high risk activity that requires often an investment of cash – competing with other calls on company resource</w:t>
      </w:r>
      <w:r>
        <w:rPr>
          <w:rFonts w:ascii="Arial" w:hAnsi="Arial" w:cs="Arial"/>
        </w:rPr>
        <w:t xml:space="preserve">s. </w:t>
      </w:r>
      <w:r w:rsidRPr="00FF1F31">
        <w:rPr>
          <w:rFonts w:ascii="Arial" w:hAnsi="Arial" w:cs="Arial"/>
        </w:rPr>
        <w:t xml:space="preserve">Careful consideration should be given </w:t>
      </w:r>
      <w:r>
        <w:rPr>
          <w:rFonts w:ascii="Arial" w:hAnsi="Arial" w:cs="Arial"/>
        </w:rPr>
        <w:t>to</w:t>
      </w:r>
      <w:r w:rsidRPr="00FF1F31">
        <w:rPr>
          <w:rFonts w:ascii="Arial" w:hAnsi="Arial" w:cs="Arial"/>
        </w:rPr>
        <w:t xml:space="preserve"> how universities are currently supported to work with industry sectors as a whole, as opposed to individual, smaller</w:t>
      </w:r>
      <w:r>
        <w:rPr>
          <w:rFonts w:ascii="Arial" w:hAnsi="Arial" w:cs="Arial"/>
        </w:rPr>
        <w:t xml:space="preserve"> organisation</w:t>
      </w:r>
      <w:r w:rsidRPr="00FF1F31">
        <w:rPr>
          <w:rFonts w:ascii="Arial" w:hAnsi="Arial" w:cs="Arial"/>
        </w:rPr>
        <w:t>. While the focus of this consultation is centred on the integration of university research activities into industry the reversal of this connectivity</w:t>
      </w:r>
      <w:r>
        <w:rPr>
          <w:rFonts w:ascii="Arial" w:hAnsi="Arial" w:cs="Arial"/>
        </w:rPr>
        <w:t xml:space="preserve"> is just as imperative</w:t>
      </w:r>
      <w:r w:rsidRPr="00FF1F31">
        <w:rPr>
          <w:rFonts w:ascii="Arial" w:hAnsi="Arial" w:cs="Arial"/>
        </w:rPr>
        <w:t xml:space="preserve"> - Governm</w:t>
      </w:r>
      <w:r>
        <w:rPr>
          <w:rFonts w:ascii="Arial" w:hAnsi="Arial" w:cs="Arial"/>
        </w:rPr>
        <w:t xml:space="preserve">ent incentives/schemes/enablers </w:t>
      </w:r>
      <w:r w:rsidRPr="00FF1F31">
        <w:rPr>
          <w:rFonts w:ascii="Arial" w:hAnsi="Arial" w:cs="Arial"/>
        </w:rPr>
        <w:t>must also incentivise industry to work with universities</w:t>
      </w:r>
      <w:r>
        <w:rPr>
          <w:rFonts w:ascii="Arial" w:hAnsi="Arial" w:cs="Arial"/>
        </w:rPr>
        <w:t>.</w:t>
      </w:r>
    </w:p>
    <w:p w14:paraId="66DC010E" w14:textId="77777777" w:rsidR="00A754CF" w:rsidRPr="00C05B85" w:rsidRDefault="00A754CF" w:rsidP="00C05B85">
      <w:pPr>
        <w:rPr>
          <w:color w:val="1F497D"/>
        </w:rPr>
      </w:pPr>
      <w:r>
        <w:rPr>
          <w:rFonts w:ascii="Arial" w:hAnsi="Arial" w:cs="Arial"/>
        </w:rPr>
        <w:t xml:space="preserve">Currently, the Australian Research Council Linkage Project scheme is an excellent vehicle with which to bolster the commercial return on research – and is one area where the Government might consider increasing funding in support of industry-university collaboration.  A successful Linkage project establishes trust between researchers and end-users, and encourages future, non-government sponsored industry engagement in university research, and develops the interest of academic researchers in the challenges faced by industry.  The flow-on effects can include PhD supervision and the establishment of </w:t>
      </w:r>
      <w:r w:rsidRPr="00C05B85">
        <w:rPr>
          <w:rFonts w:ascii="Arial" w:hAnsi="Arial" w:cs="Arial"/>
        </w:rPr>
        <w:t xml:space="preserve">a conduit through which PhD graduates can transition from academics to industry, and vice versa.  </w:t>
      </w:r>
      <w:r w:rsidR="00C05B85" w:rsidRPr="00C05B85">
        <w:rPr>
          <w:rFonts w:ascii="Arial" w:hAnsi="Arial" w:cs="Arial"/>
        </w:rPr>
        <w:t>National success rates in the Linkage Project scheme have dropped dramatically from</w:t>
      </w:r>
      <w:r w:rsidR="00C05B85">
        <w:rPr>
          <w:rFonts w:ascii="Arial" w:hAnsi="Arial" w:cs="Arial"/>
        </w:rPr>
        <w:t xml:space="preserve"> 47.4% in 2009 to 35.9% in 2014</w:t>
      </w:r>
      <w:r w:rsidR="00C05B85" w:rsidRPr="00C05B85">
        <w:rPr>
          <w:rFonts w:ascii="Arial" w:hAnsi="Arial" w:cs="Arial"/>
        </w:rPr>
        <w:t xml:space="preserve">.  Across the same period, applications to this scheme have </w:t>
      </w:r>
      <w:r w:rsidR="00C05B85">
        <w:rPr>
          <w:rFonts w:ascii="Arial" w:hAnsi="Arial" w:cs="Arial"/>
        </w:rPr>
        <w:t>remained high (</w:t>
      </w:r>
      <w:r w:rsidR="00C05B85" w:rsidRPr="00C05B85">
        <w:rPr>
          <w:rFonts w:ascii="Arial" w:hAnsi="Arial" w:cs="Arial"/>
        </w:rPr>
        <w:t>963 in 2009</w:t>
      </w:r>
      <w:r w:rsidR="00C05B85">
        <w:rPr>
          <w:rFonts w:ascii="Arial" w:hAnsi="Arial" w:cs="Arial"/>
        </w:rPr>
        <w:t xml:space="preserve"> (two applications rounds were offered in 2009),</w:t>
      </w:r>
      <w:r w:rsidR="00C05B85" w:rsidRPr="00C05B85">
        <w:rPr>
          <w:rFonts w:ascii="Arial" w:hAnsi="Arial" w:cs="Arial"/>
        </w:rPr>
        <w:t xml:space="preserve"> 785 in 2013 and 698 in 2014</w:t>
      </w:r>
      <w:r w:rsidR="00C05B85">
        <w:rPr>
          <w:rFonts w:ascii="Arial" w:hAnsi="Arial" w:cs="Arial"/>
        </w:rPr>
        <w:t>)</w:t>
      </w:r>
      <w:r w:rsidR="00C05B85" w:rsidRPr="00C05B85">
        <w:rPr>
          <w:rFonts w:ascii="Arial" w:hAnsi="Arial" w:cs="Arial"/>
        </w:rPr>
        <w:t xml:space="preserve"> </w:t>
      </w:r>
      <w:r w:rsidRPr="00C05B85">
        <w:rPr>
          <w:rFonts w:ascii="Arial" w:hAnsi="Arial" w:cs="Arial"/>
        </w:rPr>
        <w:t xml:space="preserve">– </w:t>
      </w:r>
      <w:r w:rsidRPr="00C05B85">
        <w:rPr>
          <w:rFonts w:ascii="Arial" w:hAnsi="Arial" w:cs="Arial"/>
        </w:rPr>
        <w:lastRenderedPageBreak/>
        <w:t xml:space="preserve">two conclusions can be drawn from these figures.  Firstly, Australian industries </w:t>
      </w:r>
      <w:r w:rsidR="00C05B85">
        <w:rPr>
          <w:rFonts w:ascii="Arial" w:hAnsi="Arial" w:cs="Arial"/>
        </w:rPr>
        <w:t xml:space="preserve">continue to </w:t>
      </w:r>
      <w:r w:rsidRPr="00C05B85">
        <w:rPr>
          <w:rFonts w:ascii="Arial" w:hAnsi="Arial" w:cs="Arial"/>
        </w:rPr>
        <w:t xml:space="preserve">consider this vehicle to be a viable and successful way of engaging with academics to advance industry performance.  Secondly, a significant number </w:t>
      </w:r>
      <w:r>
        <w:rPr>
          <w:rFonts w:ascii="Arial" w:hAnsi="Arial" w:cs="Arial"/>
        </w:rPr>
        <w:t>of opportunities for improving the performance of Australian industries, and realising the full potential of university research to drive this activity, have been lost.</w:t>
      </w:r>
    </w:p>
    <w:p w14:paraId="66DC010F" w14:textId="77777777" w:rsidR="00A754CF" w:rsidRPr="00F57639" w:rsidRDefault="00A754CF" w:rsidP="006C1BF3">
      <w:pPr>
        <w:pStyle w:val="Heading3"/>
      </w:pPr>
      <w:r w:rsidRPr="00F57639">
        <w:t xml:space="preserve">D. Entrepreneurship  </w:t>
      </w:r>
    </w:p>
    <w:p w14:paraId="66DC0110" w14:textId="77777777" w:rsidR="00A754CF" w:rsidRPr="00F57639" w:rsidRDefault="00A754CF" w:rsidP="00A754CF">
      <w:pPr>
        <w:rPr>
          <w:rFonts w:ascii="Arial" w:hAnsi="Arial" w:cs="Arial"/>
        </w:rPr>
      </w:pPr>
      <w:r w:rsidRPr="00F57639">
        <w:rPr>
          <w:rFonts w:ascii="Arial" w:hAnsi="Arial" w:cs="Arial"/>
        </w:rPr>
        <w:t>The report outlines the incentives provided in countries such as the US, UK and Sweden</w:t>
      </w:r>
      <w:r>
        <w:rPr>
          <w:rFonts w:ascii="Arial" w:hAnsi="Arial" w:cs="Arial"/>
        </w:rPr>
        <w:t>,</w:t>
      </w:r>
      <w:r w:rsidRPr="00F57639">
        <w:rPr>
          <w:rFonts w:ascii="Arial" w:hAnsi="Arial" w:cs="Arial"/>
        </w:rPr>
        <w:t xml:space="preserve"> which support start-ups and entrepreneurial risk-taking, i</w:t>
      </w:r>
      <w:r>
        <w:rPr>
          <w:rFonts w:ascii="Arial" w:hAnsi="Arial" w:cs="Arial"/>
        </w:rPr>
        <w:t>ncluding taxation arrangements. UniSA</w:t>
      </w:r>
      <w:r w:rsidRPr="00F57639">
        <w:rPr>
          <w:rFonts w:ascii="Arial" w:hAnsi="Arial" w:cs="Arial"/>
        </w:rPr>
        <w:t xml:space="preserve"> is supportive of providing taxation benefits to encourage more investment in </w:t>
      </w:r>
      <w:r>
        <w:rPr>
          <w:rFonts w:ascii="Arial" w:hAnsi="Arial" w:cs="Arial"/>
        </w:rPr>
        <w:t xml:space="preserve">start-up and spin-off companies which emanate from research outcomes. </w:t>
      </w:r>
      <w:r w:rsidRPr="00F57639">
        <w:rPr>
          <w:rFonts w:ascii="Arial" w:hAnsi="Arial" w:cs="Arial"/>
        </w:rPr>
        <w:t>The Government</w:t>
      </w:r>
      <w:r>
        <w:rPr>
          <w:rFonts w:ascii="Arial" w:hAnsi="Arial" w:cs="Arial"/>
        </w:rPr>
        <w:t>’</w:t>
      </w:r>
      <w:r w:rsidRPr="00F57639">
        <w:rPr>
          <w:rFonts w:ascii="Arial" w:hAnsi="Arial" w:cs="Arial"/>
        </w:rPr>
        <w:t xml:space="preserve">s recent </w:t>
      </w:r>
      <w:r>
        <w:rPr>
          <w:rFonts w:ascii="Arial" w:hAnsi="Arial" w:cs="Arial"/>
        </w:rPr>
        <w:t>amendments to</w:t>
      </w:r>
      <w:r w:rsidRPr="00F57639">
        <w:rPr>
          <w:rFonts w:ascii="Arial" w:hAnsi="Arial" w:cs="Arial"/>
        </w:rPr>
        <w:t xml:space="preserve"> the Employee Share Option Scheme (ESOP) is commended, however, these incentives could go further to retain our technical talent</w:t>
      </w:r>
      <w:r>
        <w:rPr>
          <w:rFonts w:ascii="Arial" w:hAnsi="Arial" w:cs="Arial"/>
        </w:rPr>
        <w:t xml:space="preserve"> and expertise </w:t>
      </w:r>
      <w:r w:rsidRPr="00F57639">
        <w:rPr>
          <w:rFonts w:ascii="Arial" w:hAnsi="Arial" w:cs="Arial"/>
        </w:rPr>
        <w:t>in Austral</w:t>
      </w:r>
      <w:r>
        <w:rPr>
          <w:rFonts w:ascii="Arial" w:hAnsi="Arial" w:cs="Arial"/>
        </w:rPr>
        <w:t xml:space="preserve">ia, rather than losing them to </w:t>
      </w:r>
      <w:r w:rsidRPr="00F57639">
        <w:rPr>
          <w:rFonts w:ascii="Arial" w:hAnsi="Arial" w:cs="Arial"/>
        </w:rPr>
        <w:t xml:space="preserve">companies </w:t>
      </w:r>
      <w:r>
        <w:rPr>
          <w:rFonts w:ascii="Arial" w:hAnsi="Arial" w:cs="Arial"/>
        </w:rPr>
        <w:t>abroad</w:t>
      </w:r>
      <w:r w:rsidRPr="00F57639">
        <w:rPr>
          <w:rFonts w:ascii="Arial" w:hAnsi="Arial" w:cs="Arial"/>
        </w:rPr>
        <w:t xml:space="preserve">. </w:t>
      </w:r>
    </w:p>
    <w:p w14:paraId="66DC0111" w14:textId="77777777" w:rsidR="00A754CF" w:rsidRDefault="00A754CF" w:rsidP="00A754CF">
      <w:pPr>
        <w:rPr>
          <w:rFonts w:ascii="Arial" w:hAnsi="Arial" w:cs="Arial"/>
        </w:rPr>
      </w:pPr>
      <w:r w:rsidRPr="00F57639">
        <w:rPr>
          <w:rFonts w:ascii="Arial" w:hAnsi="Arial" w:cs="Arial"/>
        </w:rPr>
        <w:t xml:space="preserve">In recognition of the gap in programs which provide </w:t>
      </w:r>
      <w:r>
        <w:rPr>
          <w:rFonts w:ascii="Arial" w:hAnsi="Arial" w:cs="Arial"/>
        </w:rPr>
        <w:t>capital for start-up initiatives, the G</w:t>
      </w:r>
      <w:r w:rsidRPr="00F57639">
        <w:rPr>
          <w:rFonts w:ascii="Arial" w:hAnsi="Arial" w:cs="Arial"/>
        </w:rPr>
        <w:t xml:space="preserve">overnment of South Australia has partnered with </w:t>
      </w:r>
      <w:r>
        <w:rPr>
          <w:rFonts w:ascii="Arial" w:hAnsi="Arial" w:cs="Arial"/>
        </w:rPr>
        <w:t>UniSA</w:t>
      </w:r>
      <w:r w:rsidRPr="00F57639">
        <w:rPr>
          <w:rFonts w:ascii="Arial" w:hAnsi="Arial" w:cs="Arial"/>
        </w:rPr>
        <w:t xml:space="preserve"> to deliver a new prog</w:t>
      </w:r>
      <w:r>
        <w:rPr>
          <w:rFonts w:ascii="Arial" w:hAnsi="Arial" w:cs="Arial"/>
        </w:rPr>
        <w:t xml:space="preserve">ram supporting student start-up activities. </w:t>
      </w:r>
      <w:r w:rsidRPr="00F57639">
        <w:rPr>
          <w:rFonts w:ascii="Arial" w:hAnsi="Arial" w:cs="Arial"/>
        </w:rPr>
        <w:t>The Venture Catalyst program is the only funded program fo</w:t>
      </w:r>
      <w:r>
        <w:rPr>
          <w:rFonts w:ascii="Arial" w:hAnsi="Arial" w:cs="Arial"/>
        </w:rPr>
        <w:t>r start-up initiatives</w:t>
      </w:r>
      <w:r w:rsidRPr="00F57639">
        <w:rPr>
          <w:rFonts w:ascii="Arial" w:hAnsi="Arial" w:cs="Arial"/>
        </w:rPr>
        <w:t xml:space="preserve"> in South Australia</w:t>
      </w:r>
      <w:r>
        <w:rPr>
          <w:rFonts w:ascii="Arial" w:hAnsi="Arial" w:cs="Arial"/>
        </w:rPr>
        <w:t>,</w:t>
      </w:r>
      <w:r w:rsidRPr="00F57639">
        <w:rPr>
          <w:rFonts w:ascii="Arial" w:hAnsi="Arial" w:cs="Arial"/>
        </w:rPr>
        <w:t xml:space="preserve"> and enables students to fast track their venture by providing </w:t>
      </w:r>
      <w:r>
        <w:rPr>
          <w:rFonts w:ascii="Arial" w:hAnsi="Arial" w:cs="Arial"/>
        </w:rPr>
        <w:t xml:space="preserve">a </w:t>
      </w:r>
      <w:r w:rsidRPr="00F57639">
        <w:rPr>
          <w:rFonts w:ascii="Arial" w:hAnsi="Arial" w:cs="Arial"/>
        </w:rPr>
        <w:t xml:space="preserve">much needed cash </w:t>
      </w:r>
      <w:r>
        <w:rPr>
          <w:rFonts w:ascii="Arial" w:hAnsi="Arial" w:cs="Arial"/>
        </w:rPr>
        <w:t xml:space="preserve">injection </w:t>
      </w:r>
      <w:r w:rsidRPr="00F57639">
        <w:rPr>
          <w:rFonts w:ascii="Arial" w:hAnsi="Arial" w:cs="Arial"/>
        </w:rPr>
        <w:t>at the early stages</w:t>
      </w:r>
      <w:r>
        <w:rPr>
          <w:rFonts w:ascii="Arial" w:hAnsi="Arial" w:cs="Arial"/>
        </w:rPr>
        <w:t>,</w:t>
      </w:r>
      <w:r w:rsidRPr="00F57639">
        <w:rPr>
          <w:rFonts w:ascii="Arial" w:hAnsi="Arial" w:cs="Arial"/>
        </w:rPr>
        <w:t xml:space="preserve"> as well as support through mentoring, introductions to key industry partners and temporary office space. Recent strategic partnerships and alliances</w:t>
      </w:r>
      <w:r>
        <w:rPr>
          <w:rFonts w:ascii="Arial" w:hAnsi="Arial" w:cs="Arial"/>
        </w:rPr>
        <w:t xml:space="preserve"> between UniSA and </w:t>
      </w:r>
      <w:r w:rsidRPr="00F57639">
        <w:rPr>
          <w:rFonts w:ascii="Arial" w:hAnsi="Arial" w:cs="Arial"/>
        </w:rPr>
        <w:t xml:space="preserve">key industry players such as Hills </w:t>
      </w:r>
      <w:r>
        <w:rPr>
          <w:rFonts w:ascii="Arial" w:hAnsi="Arial" w:cs="Arial"/>
        </w:rPr>
        <w:t xml:space="preserve">Limited </w:t>
      </w:r>
      <w:r w:rsidRPr="00F57639">
        <w:rPr>
          <w:rFonts w:ascii="Arial" w:hAnsi="Arial" w:cs="Arial"/>
        </w:rPr>
        <w:t xml:space="preserve">and Hewlett Packard, have been instrumental in developing students </w:t>
      </w:r>
      <w:r>
        <w:rPr>
          <w:rFonts w:ascii="Arial" w:hAnsi="Arial" w:cs="Arial"/>
        </w:rPr>
        <w:t xml:space="preserve">which </w:t>
      </w:r>
      <w:r w:rsidRPr="00F57639">
        <w:rPr>
          <w:rFonts w:ascii="Arial" w:hAnsi="Arial" w:cs="Arial"/>
        </w:rPr>
        <w:t>have industry relevance and increasing user-driven research projects</w:t>
      </w:r>
      <w:r>
        <w:rPr>
          <w:rFonts w:ascii="Arial" w:hAnsi="Arial" w:cs="Arial"/>
        </w:rPr>
        <w:t>,</w:t>
      </w:r>
      <w:r w:rsidRPr="00F57639">
        <w:rPr>
          <w:rFonts w:ascii="Arial" w:hAnsi="Arial" w:cs="Arial"/>
        </w:rPr>
        <w:t xml:space="preserve"> e.g. prototyping new products for market. </w:t>
      </w:r>
    </w:p>
    <w:p w14:paraId="66DC0113" w14:textId="77777777" w:rsidR="00A754CF" w:rsidRPr="00F57639" w:rsidRDefault="00A754CF" w:rsidP="006C1BF3">
      <w:pPr>
        <w:pStyle w:val="Heading1"/>
      </w:pPr>
      <w:r w:rsidRPr="00F57639">
        <w:t xml:space="preserve">Comments on </w:t>
      </w:r>
      <w:r>
        <w:t>the strategy to increase the translation of research into commercial outcomes</w:t>
      </w:r>
    </w:p>
    <w:p w14:paraId="66DC0114" w14:textId="77777777" w:rsidR="00A754CF" w:rsidRPr="00F57639" w:rsidRDefault="00A754CF" w:rsidP="006C1BF3">
      <w:pPr>
        <w:pStyle w:val="Heading2"/>
        <w:rPr>
          <w:lang w:val="en"/>
        </w:rPr>
      </w:pPr>
      <w:r w:rsidRPr="00F57639">
        <w:rPr>
          <w:lang w:val="en"/>
        </w:rPr>
        <w:t>Creating stronger incentives for research-industry collaboration</w:t>
      </w:r>
    </w:p>
    <w:p w14:paraId="66DC0115" w14:textId="77777777" w:rsidR="00A754CF" w:rsidRPr="00F57639" w:rsidRDefault="00A754CF" w:rsidP="00A754CF">
      <w:pPr>
        <w:spacing w:before="100" w:beforeAutospacing="1" w:after="100" w:afterAutospacing="1" w:line="252" w:lineRule="auto"/>
        <w:rPr>
          <w:rFonts w:ascii="Arial" w:hAnsi="Arial" w:cs="Arial"/>
          <w:lang w:val="en"/>
        </w:rPr>
      </w:pPr>
      <w:r>
        <w:rPr>
          <w:rFonts w:ascii="Arial" w:hAnsi="Arial" w:cs="Arial"/>
          <w:lang w:val="en"/>
        </w:rPr>
        <w:t>UniSA</w:t>
      </w:r>
      <w:r w:rsidRPr="00F57639">
        <w:rPr>
          <w:rFonts w:ascii="Arial" w:hAnsi="Arial" w:cs="Arial"/>
          <w:lang w:val="en"/>
        </w:rPr>
        <w:t xml:space="preserve"> is supportive of creating stronger incentives for research-industry collaboration.  Investment in programs and resources which identify industry requirements and </w:t>
      </w:r>
      <w:r>
        <w:rPr>
          <w:rFonts w:ascii="Arial" w:hAnsi="Arial" w:cs="Arial"/>
          <w:lang w:val="en"/>
        </w:rPr>
        <w:t xml:space="preserve">are </w:t>
      </w:r>
      <w:r w:rsidRPr="00F57639">
        <w:rPr>
          <w:rFonts w:ascii="Arial" w:hAnsi="Arial" w:cs="Arial"/>
          <w:lang w:val="en"/>
        </w:rPr>
        <w:t>match</w:t>
      </w:r>
      <w:r>
        <w:rPr>
          <w:rFonts w:ascii="Arial" w:hAnsi="Arial" w:cs="Arial"/>
          <w:lang w:val="en"/>
        </w:rPr>
        <w:t>ed with</w:t>
      </w:r>
      <w:r w:rsidRPr="00F57639">
        <w:rPr>
          <w:rFonts w:ascii="Arial" w:hAnsi="Arial" w:cs="Arial"/>
          <w:lang w:val="en"/>
        </w:rPr>
        <w:t xml:space="preserve"> the appropriate expertise is key to ensuring that</w:t>
      </w:r>
      <w:r>
        <w:rPr>
          <w:rFonts w:ascii="Arial" w:hAnsi="Arial" w:cs="Arial"/>
          <w:lang w:val="en"/>
        </w:rPr>
        <w:t xml:space="preserve"> the</w:t>
      </w:r>
      <w:r w:rsidRPr="00F57639">
        <w:rPr>
          <w:rFonts w:ascii="Arial" w:hAnsi="Arial" w:cs="Arial"/>
          <w:lang w:val="en"/>
        </w:rPr>
        <w:t xml:space="preserve"> research undertaken is in response to end-user need</w:t>
      </w:r>
      <w:r>
        <w:rPr>
          <w:rFonts w:ascii="Arial" w:hAnsi="Arial" w:cs="Arial"/>
          <w:lang w:val="en"/>
        </w:rPr>
        <w:t xml:space="preserve">s. </w:t>
      </w:r>
      <w:r w:rsidRPr="00F57639">
        <w:rPr>
          <w:rFonts w:ascii="Arial" w:hAnsi="Arial" w:cs="Arial"/>
          <w:lang w:val="en"/>
        </w:rPr>
        <w:t xml:space="preserve">Support for researchers to invest time in building relationships with industry and understanding their needs is vital.  </w:t>
      </w:r>
      <w:r>
        <w:rPr>
          <w:rFonts w:ascii="Arial" w:hAnsi="Arial" w:cs="Arial"/>
          <w:lang w:val="en"/>
        </w:rPr>
        <w:t xml:space="preserve">It is equally vital that research funding be made available for employing high quality researchers/engineers from the private sector into academia to lead industry engaged projects.  Skilled individuals with expertise in project management are an essential ingredient for successful industry engagement – a factor often overlooked when project teams are established. Industry </w:t>
      </w:r>
      <w:r w:rsidRPr="00C31F78">
        <w:rPr>
          <w:rFonts w:ascii="Arial" w:hAnsi="Arial" w:cs="Arial"/>
        </w:rPr>
        <w:t>recognises</w:t>
      </w:r>
      <w:r>
        <w:rPr>
          <w:rFonts w:ascii="Arial" w:hAnsi="Arial" w:cs="Arial"/>
          <w:lang w:val="en"/>
        </w:rPr>
        <w:t xml:space="preserve"> and appreciates such skill sets.   Furthermore, diversifying the academic workforce provides an excellent way of introducing new industry relevant expertise within the academic environment, exposing academics to alternative thinking and cultures such as those that exist within the private sector.  If implemented, these factors can only lead to enhanced research-industry collaboration   </w:t>
      </w:r>
      <w:r w:rsidRPr="00F57639">
        <w:rPr>
          <w:rFonts w:ascii="Arial" w:hAnsi="Arial" w:cs="Arial"/>
          <w:lang w:val="en"/>
        </w:rPr>
        <w:t xml:space="preserve"> </w:t>
      </w:r>
    </w:p>
    <w:p w14:paraId="66DC0116" w14:textId="77777777" w:rsidR="00A754CF" w:rsidRPr="00F57639" w:rsidRDefault="00A754CF" w:rsidP="00A754CF">
      <w:pPr>
        <w:spacing w:before="100" w:beforeAutospacing="1" w:after="100" w:afterAutospacing="1" w:line="252" w:lineRule="auto"/>
        <w:rPr>
          <w:rFonts w:ascii="Arial" w:hAnsi="Arial" w:cs="Arial"/>
          <w:lang w:val="en"/>
        </w:rPr>
      </w:pPr>
      <w:r w:rsidRPr="00F57639">
        <w:rPr>
          <w:rFonts w:ascii="Arial" w:hAnsi="Arial" w:cs="Arial"/>
          <w:lang w:val="en"/>
        </w:rPr>
        <w:t xml:space="preserve">Specific comments </w:t>
      </w:r>
      <w:r>
        <w:rPr>
          <w:rFonts w:ascii="Arial" w:hAnsi="Arial" w:cs="Arial"/>
          <w:lang w:val="en"/>
        </w:rPr>
        <w:t>regarding each proposed initiative:</w:t>
      </w:r>
      <w:r w:rsidRPr="00F57639">
        <w:rPr>
          <w:rFonts w:ascii="Arial" w:hAnsi="Arial" w:cs="Arial"/>
          <w:lang w:val="en"/>
        </w:rPr>
        <w:t xml:space="preserve"> </w:t>
      </w:r>
    </w:p>
    <w:p w14:paraId="66DC0117" w14:textId="77777777" w:rsidR="00A754CF" w:rsidRPr="00910A71" w:rsidRDefault="00A754CF" w:rsidP="00A754CF">
      <w:pPr>
        <w:pStyle w:val="ListParagraph"/>
        <w:numPr>
          <w:ilvl w:val="0"/>
          <w:numId w:val="3"/>
        </w:numPr>
        <w:spacing w:before="100" w:beforeAutospacing="1" w:after="100" w:afterAutospacing="1" w:line="252" w:lineRule="auto"/>
        <w:rPr>
          <w:rFonts w:ascii="Arial" w:hAnsi="Arial" w:cs="Arial"/>
          <w:lang w:val="en"/>
        </w:rPr>
      </w:pPr>
      <w:r w:rsidRPr="00910A71">
        <w:rPr>
          <w:rFonts w:ascii="Arial" w:hAnsi="Arial" w:cs="Arial"/>
          <w:lang w:val="en"/>
        </w:rPr>
        <w:lastRenderedPageBreak/>
        <w:t xml:space="preserve">UniSA agrees with this suggestion – there needs to be appropriate recognition </w:t>
      </w:r>
      <w:r>
        <w:rPr>
          <w:rFonts w:ascii="Arial" w:hAnsi="Arial" w:cs="Arial"/>
          <w:lang w:val="en"/>
        </w:rPr>
        <w:t xml:space="preserve">for industry experience. </w:t>
      </w:r>
      <w:r w:rsidRPr="00910A71">
        <w:rPr>
          <w:rFonts w:ascii="Arial" w:hAnsi="Arial" w:cs="Arial"/>
          <w:lang w:val="en"/>
        </w:rPr>
        <w:t>It is vital there is a system that encourages and provides pathways for the exchange of individuals between the academy and industry. This will provide greater facilitation of kno</w:t>
      </w:r>
      <w:r>
        <w:rPr>
          <w:rFonts w:ascii="Arial" w:hAnsi="Arial" w:cs="Arial"/>
          <w:lang w:val="en"/>
        </w:rPr>
        <w:t xml:space="preserve">wledge transfer and innovation. </w:t>
      </w:r>
      <w:r w:rsidRPr="00910A71">
        <w:rPr>
          <w:rFonts w:ascii="Arial" w:hAnsi="Arial" w:cs="Arial"/>
          <w:lang w:val="en"/>
        </w:rPr>
        <w:t>With regards to measures, weighting</w:t>
      </w:r>
      <w:r>
        <w:rPr>
          <w:rFonts w:ascii="Arial" w:hAnsi="Arial" w:cs="Arial"/>
          <w:lang w:val="en"/>
        </w:rPr>
        <w:t>s</w:t>
      </w:r>
      <w:r w:rsidRPr="00910A71">
        <w:rPr>
          <w:rFonts w:ascii="Arial" w:hAnsi="Arial" w:cs="Arial"/>
          <w:lang w:val="en"/>
        </w:rPr>
        <w:t xml:space="preserve"> </w:t>
      </w:r>
      <w:r>
        <w:rPr>
          <w:rFonts w:ascii="Arial" w:hAnsi="Arial" w:cs="Arial"/>
          <w:lang w:val="en"/>
        </w:rPr>
        <w:t>that</w:t>
      </w:r>
      <w:r w:rsidRPr="00910A71">
        <w:rPr>
          <w:rFonts w:ascii="Arial" w:hAnsi="Arial" w:cs="Arial"/>
          <w:lang w:val="en"/>
        </w:rPr>
        <w:t xml:space="preserve"> demonstrate</w:t>
      </w:r>
      <w:r>
        <w:rPr>
          <w:rFonts w:ascii="Arial" w:hAnsi="Arial" w:cs="Arial"/>
          <w:lang w:val="en"/>
        </w:rPr>
        <w:t xml:space="preserve"> a</w:t>
      </w:r>
      <w:r w:rsidRPr="00910A71">
        <w:rPr>
          <w:rFonts w:ascii="Arial" w:hAnsi="Arial" w:cs="Arial"/>
          <w:lang w:val="en"/>
        </w:rPr>
        <w:t xml:space="preserve"> track record in the generation of tangible research outcomes for end-users</w:t>
      </w:r>
      <w:r>
        <w:rPr>
          <w:rFonts w:ascii="Arial" w:hAnsi="Arial" w:cs="Arial"/>
          <w:lang w:val="en"/>
        </w:rPr>
        <w:t xml:space="preserve"> (</w:t>
      </w:r>
      <w:r w:rsidRPr="00910A71">
        <w:rPr>
          <w:rFonts w:ascii="Arial" w:hAnsi="Arial" w:cs="Arial"/>
          <w:lang w:val="en"/>
        </w:rPr>
        <w:t>includ</w:t>
      </w:r>
      <w:r>
        <w:rPr>
          <w:rFonts w:ascii="Arial" w:hAnsi="Arial" w:cs="Arial"/>
          <w:lang w:val="en"/>
        </w:rPr>
        <w:t xml:space="preserve">ing </w:t>
      </w:r>
      <w:r w:rsidRPr="00910A71">
        <w:rPr>
          <w:rFonts w:ascii="Arial" w:hAnsi="Arial" w:cs="Arial"/>
          <w:lang w:val="en"/>
        </w:rPr>
        <w:t>a range of m</w:t>
      </w:r>
      <w:r>
        <w:rPr>
          <w:rFonts w:ascii="Arial" w:hAnsi="Arial" w:cs="Arial"/>
          <w:lang w:val="en"/>
        </w:rPr>
        <w:t xml:space="preserve">etrics beyond number of patents, </w:t>
      </w:r>
      <w:r w:rsidRPr="00910A71">
        <w:rPr>
          <w:rFonts w:ascii="Arial" w:hAnsi="Arial" w:cs="Arial"/>
          <w:lang w:val="en"/>
        </w:rPr>
        <w:t>etc</w:t>
      </w:r>
      <w:r>
        <w:rPr>
          <w:rFonts w:ascii="Arial" w:hAnsi="Arial" w:cs="Arial"/>
          <w:lang w:val="en"/>
        </w:rPr>
        <w:t>. or the dollar value of an IP license) should be considered</w:t>
      </w:r>
      <w:r w:rsidRPr="00910A71">
        <w:rPr>
          <w:rFonts w:ascii="Arial" w:hAnsi="Arial" w:cs="Arial"/>
          <w:lang w:val="en"/>
        </w:rPr>
        <w:t xml:space="preserve">. </w:t>
      </w:r>
    </w:p>
    <w:p w14:paraId="66DC0118" w14:textId="77777777" w:rsidR="00A754CF" w:rsidRPr="00F57639" w:rsidRDefault="00A754CF" w:rsidP="00A754CF">
      <w:pPr>
        <w:pStyle w:val="ListParagraph"/>
        <w:spacing w:before="100" w:beforeAutospacing="1" w:after="100" w:afterAutospacing="1" w:line="252" w:lineRule="auto"/>
        <w:rPr>
          <w:rFonts w:ascii="Arial" w:hAnsi="Arial" w:cs="Arial"/>
          <w:lang w:val="en"/>
        </w:rPr>
      </w:pPr>
    </w:p>
    <w:p w14:paraId="66DC0119" w14:textId="77777777" w:rsidR="00A754CF" w:rsidRPr="00F57639" w:rsidRDefault="00A754CF" w:rsidP="00A754CF">
      <w:pPr>
        <w:pStyle w:val="ListParagraph"/>
        <w:numPr>
          <w:ilvl w:val="0"/>
          <w:numId w:val="3"/>
        </w:numPr>
        <w:spacing w:before="100" w:beforeAutospacing="1" w:after="100" w:afterAutospacing="1" w:line="252" w:lineRule="auto"/>
        <w:rPr>
          <w:rFonts w:ascii="Arial" w:hAnsi="Arial" w:cs="Arial"/>
          <w:lang w:val="en"/>
        </w:rPr>
      </w:pPr>
      <w:r w:rsidRPr="00F57639">
        <w:rPr>
          <w:rFonts w:ascii="Arial" w:hAnsi="Arial" w:cs="Arial"/>
          <w:lang w:val="en"/>
        </w:rPr>
        <w:t>Block grant income is pivotal for universities to build and maintain capacity and capability</w:t>
      </w:r>
      <w:r>
        <w:rPr>
          <w:rFonts w:ascii="Arial" w:hAnsi="Arial" w:cs="Arial"/>
          <w:lang w:val="en"/>
        </w:rPr>
        <w:t>,</w:t>
      </w:r>
      <w:r w:rsidRPr="00F57639">
        <w:rPr>
          <w:rFonts w:ascii="Arial" w:hAnsi="Arial" w:cs="Arial"/>
          <w:lang w:val="en"/>
        </w:rPr>
        <w:t xml:space="preserve"> which in turn contributes to </w:t>
      </w:r>
      <w:r>
        <w:rPr>
          <w:rFonts w:ascii="Arial" w:hAnsi="Arial" w:cs="Arial"/>
          <w:lang w:val="en"/>
        </w:rPr>
        <w:t>an institution’s</w:t>
      </w:r>
      <w:r w:rsidRPr="00F57639">
        <w:rPr>
          <w:rFonts w:ascii="Arial" w:hAnsi="Arial" w:cs="Arial"/>
          <w:lang w:val="en"/>
        </w:rPr>
        <w:t xml:space="preserve"> ability</w:t>
      </w:r>
      <w:r>
        <w:rPr>
          <w:rFonts w:ascii="Arial" w:hAnsi="Arial" w:cs="Arial"/>
          <w:lang w:val="en"/>
        </w:rPr>
        <w:t xml:space="preserve"> </w:t>
      </w:r>
      <w:r w:rsidRPr="00F57639">
        <w:rPr>
          <w:rFonts w:ascii="Arial" w:hAnsi="Arial" w:cs="Arial"/>
          <w:lang w:val="en"/>
        </w:rPr>
        <w:t xml:space="preserve">to engage with industry partners. Until the full costs of research are met, block grant income will remain vital in ensuring research </w:t>
      </w:r>
      <w:r>
        <w:rPr>
          <w:rFonts w:ascii="Arial" w:hAnsi="Arial" w:cs="Arial"/>
          <w:lang w:val="en"/>
        </w:rPr>
        <w:t xml:space="preserve">priorities </w:t>
      </w:r>
      <w:r w:rsidRPr="00F57639">
        <w:rPr>
          <w:rFonts w:ascii="Arial" w:hAnsi="Arial" w:cs="Arial"/>
          <w:lang w:val="en"/>
        </w:rPr>
        <w:t xml:space="preserve">can be supported. </w:t>
      </w:r>
    </w:p>
    <w:p w14:paraId="66DC011A" w14:textId="77777777" w:rsidR="00A754CF" w:rsidRPr="00F57639" w:rsidRDefault="00A754CF" w:rsidP="00A754CF">
      <w:pPr>
        <w:pStyle w:val="ListParagraph"/>
        <w:spacing w:before="100" w:beforeAutospacing="1" w:after="100" w:afterAutospacing="1" w:line="252" w:lineRule="auto"/>
        <w:rPr>
          <w:rFonts w:ascii="Arial" w:hAnsi="Arial" w:cs="Arial"/>
          <w:lang w:val="en"/>
        </w:rPr>
      </w:pPr>
    </w:p>
    <w:p w14:paraId="66DC011B" w14:textId="77777777" w:rsidR="00A754CF" w:rsidRPr="00F57639" w:rsidRDefault="00A754CF" w:rsidP="00A754CF">
      <w:pPr>
        <w:pStyle w:val="ListParagraph"/>
        <w:numPr>
          <w:ilvl w:val="0"/>
          <w:numId w:val="3"/>
        </w:numPr>
        <w:spacing w:before="100" w:beforeAutospacing="1" w:after="100" w:afterAutospacing="1" w:line="252" w:lineRule="auto"/>
        <w:rPr>
          <w:rFonts w:ascii="Arial" w:hAnsi="Arial" w:cs="Arial"/>
          <w:lang w:val="en"/>
        </w:rPr>
      </w:pPr>
      <w:r>
        <w:rPr>
          <w:rFonts w:ascii="Arial" w:hAnsi="Arial" w:cs="Arial"/>
          <w:lang w:val="en"/>
        </w:rPr>
        <w:t>Leveraging collaboration between publically funded research agencies and industry</w:t>
      </w:r>
      <w:r w:rsidRPr="00F57639">
        <w:rPr>
          <w:rFonts w:ascii="Arial" w:hAnsi="Arial" w:cs="Arial"/>
          <w:lang w:val="en"/>
        </w:rPr>
        <w:t xml:space="preserve"> is important, but </w:t>
      </w:r>
      <w:r>
        <w:rPr>
          <w:rFonts w:ascii="Arial" w:hAnsi="Arial" w:cs="Arial"/>
          <w:lang w:val="en"/>
        </w:rPr>
        <w:t xml:space="preserve">often </w:t>
      </w:r>
      <w:r w:rsidRPr="00F57639">
        <w:rPr>
          <w:rFonts w:ascii="Arial" w:hAnsi="Arial" w:cs="Arial"/>
          <w:lang w:val="en"/>
        </w:rPr>
        <w:t xml:space="preserve">industry partners are reluctant to commit large sums of capital in the early stages of </w:t>
      </w:r>
      <w:r>
        <w:rPr>
          <w:rFonts w:ascii="Arial" w:hAnsi="Arial" w:cs="Arial"/>
          <w:lang w:val="en"/>
        </w:rPr>
        <w:t>a</w:t>
      </w:r>
      <w:r w:rsidRPr="00F57639">
        <w:rPr>
          <w:rFonts w:ascii="Arial" w:hAnsi="Arial" w:cs="Arial"/>
          <w:lang w:val="en"/>
        </w:rPr>
        <w:t xml:space="preserve"> collaborative relationship. One option that </w:t>
      </w:r>
      <w:r>
        <w:rPr>
          <w:rFonts w:ascii="Arial" w:hAnsi="Arial" w:cs="Arial"/>
          <w:lang w:val="en"/>
        </w:rPr>
        <w:t>might</w:t>
      </w:r>
      <w:r w:rsidRPr="00F57639">
        <w:rPr>
          <w:rFonts w:ascii="Arial" w:hAnsi="Arial" w:cs="Arial"/>
          <w:lang w:val="en"/>
        </w:rPr>
        <w:t xml:space="preserve"> be considered is to p</w:t>
      </w:r>
      <w:r>
        <w:rPr>
          <w:rFonts w:ascii="Arial" w:hAnsi="Arial" w:cs="Arial"/>
          <w:lang w:val="en"/>
        </w:rPr>
        <w:t xml:space="preserve">rovide a </w:t>
      </w:r>
      <w:r w:rsidRPr="00F57639">
        <w:rPr>
          <w:rFonts w:ascii="Arial" w:hAnsi="Arial" w:cs="Arial"/>
          <w:lang w:val="en"/>
        </w:rPr>
        <w:t xml:space="preserve">series of smaller grants that </w:t>
      </w:r>
      <w:r>
        <w:rPr>
          <w:rFonts w:ascii="Arial" w:hAnsi="Arial" w:cs="Arial"/>
          <w:lang w:val="en"/>
        </w:rPr>
        <w:t>can be</w:t>
      </w:r>
      <w:r w:rsidRPr="00F57639">
        <w:rPr>
          <w:rFonts w:ascii="Arial" w:hAnsi="Arial" w:cs="Arial"/>
          <w:lang w:val="en"/>
        </w:rPr>
        <w:t xml:space="preserve"> leveraged</w:t>
      </w:r>
      <w:r>
        <w:rPr>
          <w:rFonts w:ascii="Arial" w:hAnsi="Arial" w:cs="Arial"/>
          <w:lang w:val="en"/>
        </w:rPr>
        <w:t xml:space="preserve"> to create </w:t>
      </w:r>
      <w:r w:rsidRPr="00F57639">
        <w:rPr>
          <w:rFonts w:ascii="Arial" w:hAnsi="Arial" w:cs="Arial"/>
          <w:lang w:val="en"/>
        </w:rPr>
        <w:t>stepping stone</w:t>
      </w:r>
      <w:r>
        <w:rPr>
          <w:rFonts w:ascii="Arial" w:hAnsi="Arial" w:cs="Arial"/>
          <w:lang w:val="en"/>
        </w:rPr>
        <w:t>s</w:t>
      </w:r>
      <w:r w:rsidRPr="00F57639">
        <w:rPr>
          <w:rFonts w:ascii="Arial" w:hAnsi="Arial" w:cs="Arial"/>
          <w:lang w:val="en"/>
        </w:rPr>
        <w:t xml:space="preserve"> to</w:t>
      </w:r>
      <w:r>
        <w:rPr>
          <w:rFonts w:ascii="Arial" w:hAnsi="Arial" w:cs="Arial"/>
          <w:lang w:val="en"/>
        </w:rPr>
        <w:t>wards</w:t>
      </w:r>
      <w:r w:rsidRPr="00F57639">
        <w:rPr>
          <w:rFonts w:ascii="Arial" w:hAnsi="Arial" w:cs="Arial"/>
          <w:lang w:val="en"/>
        </w:rPr>
        <w:t xml:space="preserve"> </w:t>
      </w:r>
      <w:r>
        <w:rPr>
          <w:rFonts w:ascii="Arial" w:hAnsi="Arial" w:cs="Arial"/>
          <w:lang w:val="en"/>
        </w:rPr>
        <w:t>the development and submissions of</w:t>
      </w:r>
      <w:r w:rsidRPr="00F57639">
        <w:rPr>
          <w:rFonts w:ascii="Arial" w:hAnsi="Arial" w:cs="Arial"/>
          <w:lang w:val="en"/>
        </w:rPr>
        <w:t xml:space="preserve"> larger grant</w:t>
      </w:r>
      <w:r>
        <w:rPr>
          <w:rFonts w:ascii="Arial" w:hAnsi="Arial" w:cs="Arial"/>
          <w:lang w:val="en"/>
        </w:rPr>
        <w:t>s</w:t>
      </w:r>
      <w:r w:rsidRPr="00F57639">
        <w:rPr>
          <w:rFonts w:ascii="Arial" w:hAnsi="Arial" w:cs="Arial"/>
          <w:lang w:val="en"/>
        </w:rPr>
        <w:t xml:space="preserve">. </w:t>
      </w:r>
    </w:p>
    <w:p w14:paraId="66DC011C" w14:textId="77777777" w:rsidR="00A754CF" w:rsidRPr="00F57639" w:rsidRDefault="00A754CF" w:rsidP="00A754CF">
      <w:pPr>
        <w:pStyle w:val="ListParagraph"/>
        <w:spacing w:before="100" w:beforeAutospacing="1" w:after="100" w:afterAutospacing="1" w:line="252" w:lineRule="auto"/>
        <w:rPr>
          <w:rFonts w:ascii="Arial" w:hAnsi="Arial" w:cs="Arial"/>
          <w:lang w:val="en"/>
        </w:rPr>
      </w:pPr>
    </w:p>
    <w:p w14:paraId="66DC011D" w14:textId="77777777" w:rsidR="00A754CF" w:rsidRPr="00F57639" w:rsidRDefault="00A754CF" w:rsidP="00A754CF">
      <w:pPr>
        <w:pStyle w:val="ListParagraph"/>
        <w:spacing w:before="100" w:beforeAutospacing="1" w:after="100" w:afterAutospacing="1" w:line="252" w:lineRule="auto"/>
        <w:rPr>
          <w:rFonts w:ascii="Arial" w:hAnsi="Arial" w:cs="Arial"/>
          <w:lang w:val="en"/>
        </w:rPr>
      </w:pPr>
      <w:r w:rsidRPr="00F57639">
        <w:rPr>
          <w:rFonts w:ascii="Arial" w:hAnsi="Arial" w:cs="Arial"/>
          <w:lang w:val="en"/>
        </w:rPr>
        <w:t xml:space="preserve">Equally as important </w:t>
      </w:r>
      <w:r>
        <w:rPr>
          <w:rFonts w:ascii="Arial" w:hAnsi="Arial" w:cs="Arial"/>
          <w:lang w:val="en"/>
        </w:rPr>
        <w:t>is the time taken to achieve funding</w:t>
      </w:r>
      <w:r w:rsidRPr="00F57639">
        <w:rPr>
          <w:rFonts w:ascii="Arial" w:hAnsi="Arial" w:cs="Arial"/>
          <w:lang w:val="en"/>
        </w:rPr>
        <w:t xml:space="preserve"> outcome</w:t>
      </w:r>
      <w:r>
        <w:rPr>
          <w:rFonts w:ascii="Arial" w:hAnsi="Arial" w:cs="Arial"/>
          <w:lang w:val="en"/>
        </w:rPr>
        <w:t>s</w:t>
      </w:r>
      <w:r w:rsidRPr="00F57639">
        <w:rPr>
          <w:rFonts w:ascii="Arial" w:hAnsi="Arial" w:cs="Arial"/>
          <w:lang w:val="en"/>
        </w:rPr>
        <w:t>. A c</w:t>
      </w:r>
      <w:r>
        <w:rPr>
          <w:rFonts w:ascii="Arial" w:hAnsi="Arial" w:cs="Arial"/>
          <w:lang w:val="en"/>
        </w:rPr>
        <w:t>ommon frustration with industry-</w:t>
      </w:r>
      <w:r w:rsidRPr="00F57639">
        <w:rPr>
          <w:rFonts w:ascii="Arial" w:hAnsi="Arial" w:cs="Arial"/>
          <w:lang w:val="en"/>
        </w:rPr>
        <w:t>linked grant programs is the assessment process</w:t>
      </w:r>
      <w:r>
        <w:rPr>
          <w:rFonts w:ascii="Arial" w:hAnsi="Arial" w:cs="Arial"/>
          <w:lang w:val="en"/>
        </w:rPr>
        <w:t xml:space="preserve"> itself</w:t>
      </w:r>
      <w:r w:rsidRPr="00F57639">
        <w:rPr>
          <w:rFonts w:ascii="Arial" w:hAnsi="Arial" w:cs="Arial"/>
          <w:lang w:val="en"/>
        </w:rPr>
        <w:t>. The time taken from the initial project scoping and submission of an application, to learning if the application has been successful can be between 12-18 months</w:t>
      </w:r>
      <w:r>
        <w:rPr>
          <w:rFonts w:ascii="Arial" w:hAnsi="Arial" w:cs="Arial"/>
          <w:lang w:val="en"/>
        </w:rPr>
        <w:t xml:space="preserve"> – a timeline that is not a complementary fit with the timeframes and business imperatives of many potential industry partners</w:t>
      </w:r>
      <w:r w:rsidRPr="00F57639">
        <w:rPr>
          <w:rFonts w:ascii="Arial" w:hAnsi="Arial" w:cs="Arial"/>
          <w:lang w:val="en"/>
        </w:rPr>
        <w:t>.</w:t>
      </w:r>
    </w:p>
    <w:p w14:paraId="66DC011E" w14:textId="77777777" w:rsidR="00A754CF" w:rsidRPr="00F57639" w:rsidRDefault="00A754CF" w:rsidP="00A754CF">
      <w:pPr>
        <w:pStyle w:val="ListParagraph"/>
        <w:spacing w:before="100" w:beforeAutospacing="1" w:after="100" w:afterAutospacing="1" w:line="252" w:lineRule="auto"/>
        <w:rPr>
          <w:rFonts w:ascii="Arial" w:hAnsi="Arial" w:cs="Arial"/>
          <w:lang w:val="en"/>
        </w:rPr>
      </w:pPr>
    </w:p>
    <w:p w14:paraId="66DC011F" w14:textId="77777777" w:rsidR="00A754CF" w:rsidRPr="00B63949" w:rsidRDefault="00A754CF" w:rsidP="00A754CF">
      <w:pPr>
        <w:pStyle w:val="ListParagraph"/>
        <w:rPr>
          <w:rFonts w:ascii="Arial" w:hAnsi="Arial" w:cs="Arial"/>
          <w:lang w:val="en"/>
        </w:rPr>
      </w:pPr>
      <w:r>
        <w:rPr>
          <w:rFonts w:ascii="Arial" w:hAnsi="Arial" w:cs="Arial"/>
          <w:lang w:val="en"/>
        </w:rPr>
        <w:t>Many c</w:t>
      </w:r>
      <w:r w:rsidRPr="00F57639">
        <w:rPr>
          <w:rFonts w:ascii="Arial" w:hAnsi="Arial" w:cs="Arial"/>
          <w:lang w:val="en"/>
        </w:rPr>
        <w:t xml:space="preserve">ompanies that are serious about innovation cannot afford to wait for this length of time as the window of competitive opportunity </w:t>
      </w:r>
      <w:r>
        <w:rPr>
          <w:rFonts w:ascii="Arial" w:hAnsi="Arial" w:cs="Arial"/>
          <w:lang w:val="en"/>
        </w:rPr>
        <w:t>will pass</w:t>
      </w:r>
      <w:r w:rsidRPr="00F57639">
        <w:rPr>
          <w:rFonts w:ascii="Arial" w:hAnsi="Arial" w:cs="Arial"/>
          <w:lang w:val="en"/>
        </w:rPr>
        <w:t xml:space="preserve">. Innovation moves quickly and </w:t>
      </w:r>
      <w:r>
        <w:rPr>
          <w:rFonts w:ascii="Arial" w:hAnsi="Arial" w:cs="Arial"/>
          <w:lang w:val="en"/>
        </w:rPr>
        <w:t>on a global scale</w:t>
      </w:r>
      <w:r w:rsidRPr="00F57639">
        <w:rPr>
          <w:rFonts w:ascii="Arial" w:hAnsi="Arial" w:cs="Arial"/>
          <w:lang w:val="en"/>
        </w:rPr>
        <w:t>. Government support and leverage lowers the barrier to entry for companies to engage with innovation and R&amp;D, however</w:t>
      </w:r>
      <w:r>
        <w:rPr>
          <w:rFonts w:ascii="Arial" w:hAnsi="Arial" w:cs="Arial"/>
          <w:lang w:val="en"/>
        </w:rPr>
        <w:t>,</w:t>
      </w:r>
      <w:r w:rsidRPr="00F57639">
        <w:rPr>
          <w:rFonts w:ascii="Arial" w:hAnsi="Arial" w:cs="Arial"/>
          <w:lang w:val="en"/>
        </w:rPr>
        <w:t xml:space="preserve"> </w:t>
      </w:r>
      <w:r>
        <w:rPr>
          <w:rFonts w:ascii="Arial" w:hAnsi="Arial" w:cs="Arial"/>
          <w:lang w:val="en"/>
        </w:rPr>
        <w:t xml:space="preserve">lengthy </w:t>
      </w:r>
      <w:r w:rsidRPr="00F57639">
        <w:rPr>
          <w:rFonts w:ascii="Arial" w:hAnsi="Arial" w:cs="Arial"/>
          <w:lang w:val="en"/>
        </w:rPr>
        <w:t xml:space="preserve">timeframes </w:t>
      </w:r>
      <w:r>
        <w:rPr>
          <w:rFonts w:ascii="Arial" w:hAnsi="Arial" w:cs="Arial"/>
          <w:lang w:val="en"/>
        </w:rPr>
        <w:t>can diminish</w:t>
      </w:r>
      <w:r w:rsidRPr="00F57639">
        <w:rPr>
          <w:rFonts w:ascii="Arial" w:hAnsi="Arial" w:cs="Arial"/>
          <w:lang w:val="en"/>
        </w:rPr>
        <w:t xml:space="preserve"> this opportunity, particularly for the Australian</w:t>
      </w:r>
      <w:r>
        <w:rPr>
          <w:rFonts w:ascii="Arial" w:hAnsi="Arial" w:cs="Arial"/>
          <w:lang w:val="en"/>
        </w:rPr>
        <w:t xml:space="preserve"> SME-rich </w:t>
      </w:r>
      <w:r w:rsidRPr="00F57639">
        <w:rPr>
          <w:rFonts w:ascii="Arial" w:hAnsi="Arial" w:cs="Arial"/>
          <w:lang w:val="en"/>
        </w:rPr>
        <w:t xml:space="preserve">economy. It is acknowledged that with tax-payer funds being </w:t>
      </w:r>
      <w:r>
        <w:rPr>
          <w:rFonts w:ascii="Arial" w:hAnsi="Arial" w:cs="Arial"/>
          <w:lang w:val="en"/>
        </w:rPr>
        <w:t>invested in initiatives</w:t>
      </w:r>
      <w:r w:rsidRPr="00F57639">
        <w:rPr>
          <w:rFonts w:ascii="Arial" w:hAnsi="Arial" w:cs="Arial"/>
          <w:lang w:val="en"/>
        </w:rPr>
        <w:t xml:space="preserve">, </w:t>
      </w:r>
      <w:r>
        <w:rPr>
          <w:rFonts w:ascii="Arial" w:hAnsi="Arial" w:cs="Arial"/>
          <w:lang w:val="en"/>
        </w:rPr>
        <w:t>a</w:t>
      </w:r>
      <w:r w:rsidRPr="00F57639">
        <w:rPr>
          <w:rFonts w:ascii="Arial" w:hAnsi="Arial" w:cs="Arial"/>
          <w:lang w:val="en"/>
        </w:rPr>
        <w:t xml:space="preserve"> level of assessment and due diligence needs to be undertaken</w:t>
      </w:r>
      <w:r>
        <w:rPr>
          <w:rFonts w:ascii="Arial" w:hAnsi="Arial" w:cs="Arial"/>
          <w:lang w:val="en"/>
        </w:rPr>
        <w:t xml:space="preserve"> to ensure funding is being appropriately allocated. However, if Australia wishes to</w:t>
      </w:r>
      <w:r w:rsidRPr="00F57639">
        <w:rPr>
          <w:rFonts w:ascii="Arial" w:hAnsi="Arial" w:cs="Arial"/>
          <w:lang w:val="en"/>
        </w:rPr>
        <w:t xml:space="preserve"> seriously </w:t>
      </w:r>
      <w:r>
        <w:rPr>
          <w:rFonts w:ascii="Arial" w:hAnsi="Arial" w:cs="Arial"/>
          <w:lang w:val="en"/>
        </w:rPr>
        <w:t xml:space="preserve">engage in the </w:t>
      </w:r>
      <w:r w:rsidRPr="00F57639">
        <w:rPr>
          <w:rFonts w:ascii="Arial" w:hAnsi="Arial" w:cs="Arial"/>
          <w:lang w:val="en"/>
        </w:rPr>
        <w:t>innovation</w:t>
      </w:r>
      <w:r>
        <w:rPr>
          <w:rFonts w:ascii="Arial" w:hAnsi="Arial" w:cs="Arial"/>
          <w:lang w:val="en"/>
        </w:rPr>
        <w:t xml:space="preserve"> process</w:t>
      </w:r>
      <w:r w:rsidRPr="00F57639">
        <w:rPr>
          <w:rFonts w:ascii="Arial" w:hAnsi="Arial" w:cs="Arial"/>
          <w:lang w:val="en"/>
        </w:rPr>
        <w:t xml:space="preserve"> and </w:t>
      </w:r>
      <w:r>
        <w:rPr>
          <w:rFonts w:ascii="Arial" w:hAnsi="Arial" w:cs="Arial"/>
          <w:lang w:val="en"/>
        </w:rPr>
        <w:t xml:space="preserve">develop </w:t>
      </w:r>
      <w:r w:rsidRPr="00F57639">
        <w:rPr>
          <w:rFonts w:ascii="Arial" w:hAnsi="Arial" w:cs="Arial"/>
          <w:lang w:val="en"/>
        </w:rPr>
        <w:t xml:space="preserve">our competitiveness in the global arena to </w:t>
      </w:r>
      <w:r>
        <w:rPr>
          <w:rFonts w:ascii="Arial" w:hAnsi="Arial" w:cs="Arial"/>
          <w:lang w:val="en"/>
        </w:rPr>
        <w:t xml:space="preserve">start and </w:t>
      </w:r>
      <w:r w:rsidRPr="00F57639">
        <w:rPr>
          <w:rFonts w:ascii="Arial" w:hAnsi="Arial" w:cs="Arial"/>
          <w:lang w:val="en"/>
        </w:rPr>
        <w:t xml:space="preserve">grow companies, decisions </w:t>
      </w:r>
      <w:r>
        <w:rPr>
          <w:rFonts w:ascii="Arial" w:hAnsi="Arial" w:cs="Arial"/>
          <w:lang w:val="en"/>
        </w:rPr>
        <w:t xml:space="preserve">and outcomes </w:t>
      </w:r>
      <w:r w:rsidRPr="00F57639">
        <w:rPr>
          <w:rFonts w:ascii="Arial" w:hAnsi="Arial" w:cs="Arial"/>
          <w:lang w:val="en"/>
        </w:rPr>
        <w:t xml:space="preserve">need to be made </w:t>
      </w:r>
      <w:r>
        <w:rPr>
          <w:rFonts w:ascii="Arial" w:hAnsi="Arial" w:cs="Arial"/>
          <w:lang w:val="en"/>
        </w:rPr>
        <w:t>in a timely fashion</w:t>
      </w:r>
      <w:r w:rsidRPr="00F57639">
        <w:rPr>
          <w:rFonts w:ascii="Arial" w:hAnsi="Arial" w:cs="Arial"/>
          <w:lang w:val="en"/>
        </w:rPr>
        <w:t xml:space="preserve"> and</w:t>
      </w:r>
      <w:r>
        <w:rPr>
          <w:rFonts w:ascii="Arial" w:hAnsi="Arial" w:cs="Arial"/>
          <w:lang w:val="en"/>
        </w:rPr>
        <w:t xml:space="preserve"> with a</w:t>
      </w:r>
      <w:r w:rsidRPr="00F57639">
        <w:rPr>
          <w:rFonts w:ascii="Arial" w:hAnsi="Arial" w:cs="Arial"/>
          <w:lang w:val="en"/>
        </w:rPr>
        <w:t xml:space="preserve"> commitment for funds to flow with a minimum of bureaucracy, where</w:t>
      </w:r>
      <w:r>
        <w:rPr>
          <w:rFonts w:ascii="Arial" w:hAnsi="Arial" w:cs="Arial"/>
          <w:lang w:val="en"/>
        </w:rPr>
        <w:t>ver</w:t>
      </w:r>
      <w:r w:rsidRPr="00F57639">
        <w:rPr>
          <w:rFonts w:ascii="Arial" w:hAnsi="Arial" w:cs="Arial"/>
          <w:lang w:val="en"/>
        </w:rPr>
        <w:t xml:space="preserve"> possible.  </w:t>
      </w:r>
      <w:r>
        <w:rPr>
          <w:rFonts w:ascii="Arial" w:hAnsi="Arial" w:cs="Arial"/>
          <w:lang w:val="en"/>
        </w:rPr>
        <w:br/>
      </w:r>
    </w:p>
    <w:p w14:paraId="66DC0120" w14:textId="77777777" w:rsidR="00A754CF" w:rsidRPr="00F57639" w:rsidRDefault="00A754CF" w:rsidP="006C1BF3">
      <w:pPr>
        <w:pStyle w:val="Heading2"/>
        <w:rPr>
          <w:lang w:val="en"/>
        </w:rPr>
      </w:pPr>
      <w:r w:rsidRPr="00F57639">
        <w:rPr>
          <w:lang w:val="en"/>
        </w:rPr>
        <w:t>Supporting research infrastructure</w:t>
      </w:r>
    </w:p>
    <w:p w14:paraId="66DC0121" w14:textId="77777777" w:rsidR="00A754CF" w:rsidRDefault="00A754CF" w:rsidP="00A754CF">
      <w:pPr>
        <w:spacing w:before="100" w:beforeAutospacing="1" w:after="100" w:afterAutospacing="1" w:line="252" w:lineRule="auto"/>
        <w:rPr>
          <w:rFonts w:ascii="Arial" w:hAnsi="Arial" w:cs="Arial"/>
          <w:lang w:val="en"/>
        </w:rPr>
      </w:pPr>
      <w:r>
        <w:rPr>
          <w:rFonts w:ascii="Arial" w:hAnsi="Arial" w:cs="Arial"/>
          <w:lang w:val="en"/>
        </w:rPr>
        <w:t>UniSA</w:t>
      </w:r>
      <w:r w:rsidRPr="00F57639">
        <w:rPr>
          <w:rFonts w:ascii="Arial" w:hAnsi="Arial" w:cs="Arial"/>
          <w:lang w:val="en"/>
        </w:rPr>
        <w:t xml:space="preserve"> agrees with the comments in the paper</w:t>
      </w:r>
      <w:r>
        <w:rPr>
          <w:rFonts w:ascii="Arial" w:hAnsi="Arial" w:cs="Arial"/>
          <w:lang w:val="en"/>
        </w:rPr>
        <w:t xml:space="preserve"> – investment in research i</w:t>
      </w:r>
      <w:r w:rsidRPr="00F57639">
        <w:rPr>
          <w:rFonts w:ascii="Arial" w:hAnsi="Arial" w:cs="Arial"/>
          <w:lang w:val="en"/>
        </w:rPr>
        <w:t xml:space="preserve">nfrastructure </w:t>
      </w:r>
      <w:r>
        <w:rPr>
          <w:rFonts w:ascii="Arial" w:hAnsi="Arial" w:cs="Arial"/>
          <w:lang w:val="en"/>
        </w:rPr>
        <w:t xml:space="preserve">must </w:t>
      </w:r>
      <w:r w:rsidRPr="00F57639">
        <w:rPr>
          <w:rFonts w:ascii="Arial" w:hAnsi="Arial" w:cs="Arial"/>
          <w:lang w:val="en"/>
        </w:rPr>
        <w:t xml:space="preserve">align with national priorities. </w:t>
      </w:r>
      <w:r>
        <w:rPr>
          <w:rFonts w:ascii="Arial" w:hAnsi="Arial" w:cs="Arial"/>
          <w:lang w:val="en"/>
        </w:rPr>
        <w:t xml:space="preserve">The National Collaborative Research Infrastructure Scheme (NCRIS) supports facilities that are now critical infrastructure for major national research projects that will generate tangible societal improvements. UniSA is a partner in a number of NCRIS programs, including the Australian National Fabrication Facility (ANFF), the Australian National Data Service (ANDS), and the Population Health Research Network, which will generate improvements and efficiencies in our health systems and services.  UniSA advocates the Governments continued support of NCRIS, which provides the foundation for the infrastructure required to facilitate the translation of research outcomes.  In </w:t>
      </w:r>
      <w:r>
        <w:rPr>
          <w:rFonts w:ascii="Arial" w:hAnsi="Arial" w:cs="Arial"/>
          <w:lang w:val="en"/>
        </w:rPr>
        <w:lastRenderedPageBreak/>
        <w:t>addition</w:t>
      </w:r>
      <w:r w:rsidRPr="00F57639">
        <w:rPr>
          <w:rFonts w:ascii="Arial" w:hAnsi="Arial" w:cs="Arial"/>
          <w:lang w:val="en"/>
        </w:rPr>
        <w:t xml:space="preserve">, </w:t>
      </w:r>
      <w:r>
        <w:rPr>
          <w:rFonts w:ascii="Arial" w:hAnsi="Arial" w:cs="Arial"/>
          <w:lang w:val="en"/>
        </w:rPr>
        <w:t xml:space="preserve">areas where infrastructure </w:t>
      </w:r>
      <w:r w:rsidRPr="00F57639">
        <w:rPr>
          <w:rFonts w:ascii="Arial" w:hAnsi="Arial" w:cs="Arial"/>
          <w:lang w:val="en"/>
        </w:rPr>
        <w:t xml:space="preserve">investments </w:t>
      </w:r>
      <w:r>
        <w:rPr>
          <w:rFonts w:ascii="Arial" w:hAnsi="Arial" w:cs="Arial"/>
          <w:lang w:val="en"/>
        </w:rPr>
        <w:t xml:space="preserve">have been made need to be in alignment </w:t>
      </w:r>
      <w:r w:rsidRPr="00F57639">
        <w:rPr>
          <w:rFonts w:ascii="Arial" w:hAnsi="Arial" w:cs="Arial"/>
          <w:lang w:val="en"/>
        </w:rPr>
        <w:t xml:space="preserve">with the distribution of expertise and capability of the region.  </w:t>
      </w:r>
      <w:r>
        <w:rPr>
          <w:rFonts w:ascii="Arial" w:hAnsi="Arial" w:cs="Arial"/>
          <w:lang w:val="en"/>
        </w:rPr>
        <w:t>A fitting example is the Go</w:t>
      </w:r>
      <w:r w:rsidRPr="00F57639">
        <w:rPr>
          <w:rFonts w:ascii="Arial" w:hAnsi="Arial" w:cs="Arial"/>
          <w:lang w:val="en"/>
        </w:rPr>
        <w:t>vernment</w:t>
      </w:r>
      <w:r>
        <w:rPr>
          <w:rFonts w:ascii="Arial" w:hAnsi="Arial" w:cs="Arial"/>
          <w:lang w:val="en"/>
        </w:rPr>
        <w:t>’s</w:t>
      </w:r>
      <w:r w:rsidRPr="00F57639">
        <w:rPr>
          <w:rFonts w:ascii="Arial" w:hAnsi="Arial" w:cs="Arial"/>
          <w:lang w:val="en"/>
        </w:rPr>
        <w:t xml:space="preserve"> </w:t>
      </w:r>
      <w:r>
        <w:rPr>
          <w:rFonts w:ascii="Arial" w:hAnsi="Arial" w:cs="Arial"/>
          <w:lang w:val="en"/>
        </w:rPr>
        <w:t>funding</w:t>
      </w:r>
      <w:r w:rsidRPr="00F57639">
        <w:rPr>
          <w:rFonts w:ascii="Arial" w:hAnsi="Arial" w:cs="Arial"/>
          <w:lang w:val="en"/>
        </w:rPr>
        <w:t xml:space="preserve"> provided to Victoria and South Australia to support the realignment of the car manufacturing industry.  </w:t>
      </w:r>
    </w:p>
    <w:p w14:paraId="66DC0122" w14:textId="77777777" w:rsidR="00A754CF" w:rsidRPr="00F57639" w:rsidRDefault="00A754CF" w:rsidP="006C1BF3">
      <w:pPr>
        <w:pStyle w:val="Heading2"/>
        <w:rPr>
          <w:lang w:val="en"/>
        </w:rPr>
      </w:pPr>
      <w:r w:rsidRPr="00F57639">
        <w:rPr>
          <w:lang w:val="en"/>
        </w:rPr>
        <w:t>Providing better access to research  </w:t>
      </w:r>
    </w:p>
    <w:p w14:paraId="66DC0123" w14:textId="77777777" w:rsidR="00A754CF" w:rsidRPr="00F57639" w:rsidRDefault="00A754CF" w:rsidP="00A754CF">
      <w:pPr>
        <w:spacing w:before="100" w:beforeAutospacing="1" w:after="100" w:afterAutospacing="1" w:line="252" w:lineRule="auto"/>
        <w:rPr>
          <w:rFonts w:ascii="Arial" w:hAnsi="Arial" w:cs="Arial"/>
          <w:lang w:val="en"/>
        </w:rPr>
      </w:pPr>
      <w:r>
        <w:rPr>
          <w:rFonts w:ascii="Arial" w:hAnsi="Arial" w:cs="Arial"/>
          <w:lang w:val="en"/>
        </w:rPr>
        <w:t>UniSA</w:t>
      </w:r>
      <w:r w:rsidRPr="00F57639">
        <w:rPr>
          <w:rFonts w:ascii="Arial" w:hAnsi="Arial" w:cs="Arial"/>
          <w:lang w:val="en"/>
        </w:rPr>
        <w:t xml:space="preserve"> strongly supports the proposal to provide better access to research. Consideration should also be given to include access to ‘expertise’ within research </w:t>
      </w:r>
      <w:proofErr w:type="spellStart"/>
      <w:r w:rsidRPr="00F57639">
        <w:rPr>
          <w:rFonts w:ascii="Arial" w:hAnsi="Arial" w:cs="Arial"/>
          <w:lang w:val="en"/>
        </w:rPr>
        <w:t>organisations</w:t>
      </w:r>
      <w:proofErr w:type="spellEnd"/>
      <w:r w:rsidRPr="00F57639">
        <w:rPr>
          <w:rFonts w:ascii="Arial" w:hAnsi="Arial" w:cs="Arial"/>
          <w:lang w:val="en"/>
        </w:rPr>
        <w:t xml:space="preserve">, rather than just research outcomes. </w:t>
      </w:r>
    </w:p>
    <w:p w14:paraId="66DC0124" w14:textId="77777777" w:rsidR="00A754CF" w:rsidRPr="00F57639" w:rsidRDefault="00A754CF" w:rsidP="00A754CF">
      <w:pPr>
        <w:spacing w:before="100" w:beforeAutospacing="1" w:after="100" w:afterAutospacing="1" w:line="252" w:lineRule="auto"/>
        <w:rPr>
          <w:rFonts w:ascii="Arial" w:hAnsi="Arial" w:cs="Arial"/>
          <w:lang w:val="en"/>
        </w:rPr>
      </w:pPr>
      <w:r w:rsidRPr="00F57639">
        <w:rPr>
          <w:rFonts w:ascii="Arial" w:hAnsi="Arial" w:cs="Arial"/>
          <w:lang w:val="en"/>
        </w:rPr>
        <w:t xml:space="preserve">While </w:t>
      </w:r>
      <w:r>
        <w:rPr>
          <w:rFonts w:ascii="Arial" w:hAnsi="Arial" w:cs="Arial"/>
          <w:lang w:val="en"/>
        </w:rPr>
        <w:t>UniSA</w:t>
      </w:r>
      <w:r w:rsidRPr="00F57639">
        <w:rPr>
          <w:rFonts w:ascii="Arial" w:hAnsi="Arial" w:cs="Arial"/>
          <w:lang w:val="en"/>
        </w:rPr>
        <w:t>, supports the introduction of incentives for increased rates of</w:t>
      </w:r>
      <w:r w:rsidRPr="003E3D29">
        <w:rPr>
          <w:rFonts w:ascii="Arial" w:hAnsi="Arial" w:cs="Arial"/>
        </w:rPr>
        <w:t xml:space="preserve"> commercialisation</w:t>
      </w:r>
      <w:r>
        <w:rPr>
          <w:rFonts w:ascii="Arial" w:hAnsi="Arial" w:cs="Arial"/>
          <w:lang w:val="en"/>
        </w:rPr>
        <w:t xml:space="preserve">, consideration should be made </w:t>
      </w:r>
      <w:r w:rsidRPr="00F57639">
        <w:rPr>
          <w:rFonts w:ascii="Arial" w:hAnsi="Arial" w:cs="Arial"/>
          <w:lang w:val="en"/>
        </w:rPr>
        <w:t xml:space="preserve">not to regulate or mandate university dealings </w:t>
      </w:r>
      <w:r>
        <w:rPr>
          <w:rFonts w:ascii="Arial" w:hAnsi="Arial" w:cs="Arial"/>
          <w:lang w:val="en"/>
        </w:rPr>
        <w:t>around</w:t>
      </w:r>
      <w:r w:rsidRPr="00F57639">
        <w:rPr>
          <w:rFonts w:ascii="Arial" w:hAnsi="Arial" w:cs="Arial"/>
          <w:lang w:val="en"/>
        </w:rPr>
        <w:t xml:space="preserve"> </w:t>
      </w:r>
      <w:r>
        <w:rPr>
          <w:rFonts w:ascii="Arial" w:hAnsi="Arial" w:cs="Arial"/>
          <w:lang w:val="en"/>
        </w:rPr>
        <w:t>IP</w:t>
      </w:r>
      <w:r w:rsidRPr="00F57639">
        <w:rPr>
          <w:rFonts w:ascii="Arial" w:hAnsi="Arial" w:cs="Arial"/>
          <w:lang w:val="en"/>
        </w:rPr>
        <w:t xml:space="preserve">. A </w:t>
      </w:r>
      <w:r>
        <w:rPr>
          <w:rFonts w:ascii="Arial" w:hAnsi="Arial" w:cs="Arial"/>
          <w:lang w:val="en"/>
        </w:rPr>
        <w:t>one-size-fits-all</w:t>
      </w:r>
      <w:r w:rsidRPr="00F57639">
        <w:rPr>
          <w:rFonts w:ascii="Arial" w:hAnsi="Arial" w:cs="Arial"/>
          <w:lang w:val="en"/>
        </w:rPr>
        <w:t xml:space="preserve"> approach is not recommended and </w:t>
      </w:r>
      <w:r>
        <w:rPr>
          <w:rFonts w:ascii="Arial" w:hAnsi="Arial" w:cs="Arial"/>
          <w:lang w:val="en"/>
        </w:rPr>
        <w:t>from</w:t>
      </w:r>
      <w:r w:rsidRPr="00F57639">
        <w:rPr>
          <w:rFonts w:ascii="Arial" w:hAnsi="Arial" w:cs="Arial"/>
          <w:lang w:val="en"/>
        </w:rPr>
        <w:t xml:space="preserve"> our </w:t>
      </w:r>
      <w:r>
        <w:rPr>
          <w:rFonts w:ascii="Arial" w:hAnsi="Arial" w:cs="Arial"/>
          <w:lang w:val="en"/>
        </w:rPr>
        <w:t>experience there needs to be a degree of flexibility afforded to institutions to engage with companies in a manner appropriate for specific negotiations</w:t>
      </w:r>
      <w:r w:rsidRPr="00F57639">
        <w:rPr>
          <w:rFonts w:ascii="Arial" w:hAnsi="Arial" w:cs="Arial"/>
          <w:lang w:val="en"/>
        </w:rPr>
        <w:t xml:space="preserve">. </w:t>
      </w:r>
      <w:r>
        <w:rPr>
          <w:rFonts w:ascii="Arial" w:hAnsi="Arial" w:cs="Arial"/>
          <w:lang w:val="en"/>
        </w:rPr>
        <w:t>Metrics applied to measuring success should focus on the number of IP licenses and other agreements (contracts, partnerships and consultancies etc.) with research end-users as a means to demonstrate efficiency and productivity in this endeavor and should not simply be limited to the dollar value of individual IP license agreements or the total value of</w:t>
      </w:r>
      <w:r w:rsidRPr="003E3D29">
        <w:rPr>
          <w:rFonts w:ascii="Arial" w:hAnsi="Arial" w:cs="Arial"/>
        </w:rPr>
        <w:t xml:space="preserve"> commercialisation</w:t>
      </w:r>
      <w:r>
        <w:rPr>
          <w:rFonts w:ascii="Arial" w:hAnsi="Arial" w:cs="Arial"/>
          <w:lang w:val="en"/>
        </w:rPr>
        <w:t xml:space="preserve"> income, which may be skewed as a result of one or two single transactions. </w:t>
      </w:r>
      <w:r w:rsidRPr="00F57639">
        <w:rPr>
          <w:rFonts w:ascii="Arial" w:hAnsi="Arial" w:cs="Arial"/>
          <w:lang w:val="en"/>
        </w:rPr>
        <w:t xml:space="preserve"> </w:t>
      </w:r>
      <w:r>
        <w:rPr>
          <w:rFonts w:ascii="Arial" w:hAnsi="Arial" w:cs="Arial"/>
          <w:lang w:val="en"/>
        </w:rPr>
        <w:t xml:space="preserve"> </w:t>
      </w:r>
    </w:p>
    <w:p w14:paraId="66DC0125" w14:textId="77777777" w:rsidR="00A754CF" w:rsidRPr="00F57639" w:rsidRDefault="00A754CF" w:rsidP="00A754CF">
      <w:pPr>
        <w:spacing w:before="100" w:beforeAutospacing="1" w:after="100" w:afterAutospacing="1" w:line="252" w:lineRule="auto"/>
        <w:rPr>
          <w:rFonts w:ascii="Arial" w:hAnsi="Arial" w:cs="Arial"/>
          <w:lang w:val="en"/>
        </w:rPr>
      </w:pPr>
      <w:r>
        <w:rPr>
          <w:rFonts w:ascii="Arial" w:hAnsi="Arial" w:cs="Arial"/>
          <w:lang w:val="en"/>
        </w:rPr>
        <w:t>Many u</w:t>
      </w:r>
      <w:r w:rsidRPr="00F57639">
        <w:rPr>
          <w:rFonts w:ascii="Arial" w:hAnsi="Arial" w:cs="Arial"/>
          <w:lang w:val="en"/>
        </w:rPr>
        <w:t>niversities in their own right are undertaking exercises to map and outline their expertise and capability. Government could play a key role in supporting t</w:t>
      </w:r>
      <w:r>
        <w:rPr>
          <w:rFonts w:ascii="Arial" w:hAnsi="Arial" w:cs="Arial"/>
          <w:lang w:val="en"/>
        </w:rPr>
        <w:t>hese exercises and draw from this information. It may be that an</w:t>
      </w:r>
      <w:r w:rsidRPr="00F57639">
        <w:rPr>
          <w:rFonts w:ascii="Arial" w:hAnsi="Arial" w:cs="Arial"/>
          <w:lang w:val="en"/>
        </w:rPr>
        <w:t xml:space="preserve"> online point of access for commercially relevant research for business</w:t>
      </w:r>
      <w:r>
        <w:rPr>
          <w:rFonts w:ascii="Arial" w:hAnsi="Arial" w:cs="Arial"/>
          <w:lang w:val="en"/>
        </w:rPr>
        <w:t xml:space="preserve"> could be established with the key relevant areas of information captured, including detail regarding the e</w:t>
      </w:r>
      <w:r w:rsidRPr="006475A1">
        <w:rPr>
          <w:rFonts w:ascii="Arial" w:hAnsi="Arial" w:cs="Arial"/>
          <w:lang w:val="en"/>
        </w:rPr>
        <w:t>xpertise</w:t>
      </w:r>
      <w:r>
        <w:rPr>
          <w:rFonts w:ascii="Arial" w:hAnsi="Arial" w:cs="Arial"/>
          <w:lang w:val="en"/>
        </w:rPr>
        <w:t>, c</w:t>
      </w:r>
      <w:r w:rsidRPr="006475A1">
        <w:rPr>
          <w:rFonts w:ascii="Arial" w:hAnsi="Arial" w:cs="Arial"/>
          <w:lang w:val="en"/>
        </w:rPr>
        <w:t>apability and</w:t>
      </w:r>
      <w:r>
        <w:rPr>
          <w:rFonts w:ascii="Arial" w:hAnsi="Arial" w:cs="Arial"/>
          <w:lang w:val="en"/>
        </w:rPr>
        <w:t xml:space="preserve"> e</w:t>
      </w:r>
      <w:r w:rsidRPr="006475A1">
        <w:rPr>
          <w:rFonts w:ascii="Arial" w:hAnsi="Arial" w:cs="Arial"/>
          <w:lang w:val="en"/>
        </w:rPr>
        <w:t>xisting IP</w:t>
      </w:r>
      <w:r>
        <w:rPr>
          <w:rFonts w:ascii="Arial" w:hAnsi="Arial" w:cs="Arial"/>
          <w:lang w:val="en"/>
        </w:rPr>
        <w:t xml:space="preserve">. </w:t>
      </w:r>
      <w:r w:rsidRPr="00F57639">
        <w:rPr>
          <w:rFonts w:ascii="Arial" w:hAnsi="Arial" w:cs="Arial"/>
          <w:lang w:val="en"/>
        </w:rPr>
        <w:t xml:space="preserve">The portal could also be used to market </w:t>
      </w:r>
      <w:r>
        <w:rPr>
          <w:rFonts w:ascii="Arial" w:hAnsi="Arial" w:cs="Arial"/>
          <w:lang w:val="en"/>
        </w:rPr>
        <w:t xml:space="preserve">and promote </w:t>
      </w:r>
      <w:r w:rsidRPr="00F57639">
        <w:rPr>
          <w:rFonts w:ascii="Arial" w:hAnsi="Arial" w:cs="Arial"/>
          <w:lang w:val="en"/>
        </w:rPr>
        <w:t>success stories nationally and internationally. Further</w:t>
      </w:r>
      <w:r>
        <w:rPr>
          <w:rFonts w:ascii="Arial" w:hAnsi="Arial" w:cs="Arial"/>
          <w:lang w:val="en"/>
        </w:rPr>
        <w:t>, G</w:t>
      </w:r>
      <w:r w:rsidRPr="00F57639">
        <w:rPr>
          <w:rFonts w:ascii="Arial" w:hAnsi="Arial" w:cs="Arial"/>
          <w:lang w:val="en"/>
        </w:rPr>
        <w:t xml:space="preserve">overnment can play a key role in increasing the linkages across government agencies to facilitate greater engagement with international partners between research and industry. </w:t>
      </w:r>
    </w:p>
    <w:p w14:paraId="66DC0126" w14:textId="77777777" w:rsidR="00A754CF" w:rsidRPr="00397582" w:rsidRDefault="00A754CF" w:rsidP="00A754CF">
      <w:pPr>
        <w:spacing w:before="100" w:beforeAutospacing="1" w:after="100" w:afterAutospacing="1" w:line="252" w:lineRule="auto"/>
        <w:rPr>
          <w:rFonts w:ascii="Arial" w:hAnsi="Arial" w:cs="Arial"/>
          <w:lang w:val="en"/>
        </w:rPr>
      </w:pPr>
      <w:r>
        <w:rPr>
          <w:rFonts w:ascii="Arial" w:hAnsi="Arial" w:cs="Arial"/>
          <w:lang w:val="en"/>
        </w:rPr>
        <w:t xml:space="preserve">UniSA </w:t>
      </w:r>
      <w:r w:rsidRPr="00F57639">
        <w:rPr>
          <w:rFonts w:ascii="Arial" w:hAnsi="Arial" w:cs="Arial"/>
          <w:lang w:val="en"/>
        </w:rPr>
        <w:t>supports the release of an IP toolkit to support the above initiatives.</w:t>
      </w:r>
      <w:r w:rsidR="00397582">
        <w:rPr>
          <w:rFonts w:ascii="Arial" w:hAnsi="Arial" w:cs="Arial"/>
          <w:lang w:val="en"/>
        </w:rPr>
        <w:br/>
      </w:r>
    </w:p>
    <w:p w14:paraId="66DC0127" w14:textId="77777777" w:rsidR="00A754CF" w:rsidRDefault="00A754CF" w:rsidP="006C1BF3">
      <w:pPr>
        <w:pStyle w:val="Heading2"/>
        <w:rPr>
          <w:lang w:val="en"/>
        </w:rPr>
      </w:pPr>
      <w:r w:rsidRPr="00F57639">
        <w:rPr>
          <w:lang w:val="en"/>
        </w:rPr>
        <w:t>Increasing industry relevant research training</w:t>
      </w:r>
    </w:p>
    <w:p w14:paraId="66DC0128" w14:textId="77777777" w:rsidR="00A754CF" w:rsidRPr="00142BA7" w:rsidRDefault="00A754CF" w:rsidP="00A754CF">
      <w:pPr>
        <w:pStyle w:val="Body1"/>
        <w:rPr>
          <w:sz w:val="22"/>
          <w:szCs w:val="22"/>
          <w:lang w:val="en-US"/>
        </w:rPr>
      </w:pPr>
      <w:r w:rsidRPr="001602E4">
        <w:rPr>
          <w:rFonts w:ascii="Arial" w:hAnsi="Arial" w:cs="Arial"/>
          <w:sz w:val="22"/>
          <w:szCs w:val="22"/>
        </w:rPr>
        <w:t>It is encouraging to see research training prioritised in th</w:t>
      </w:r>
      <w:r>
        <w:rPr>
          <w:rFonts w:ascii="Arial" w:hAnsi="Arial" w:cs="Arial"/>
          <w:sz w:val="22"/>
          <w:szCs w:val="22"/>
        </w:rPr>
        <w:t>e</w:t>
      </w:r>
      <w:r w:rsidRPr="001602E4">
        <w:rPr>
          <w:rFonts w:ascii="Arial" w:hAnsi="Arial" w:cs="Arial"/>
          <w:sz w:val="22"/>
          <w:szCs w:val="22"/>
        </w:rPr>
        <w:t xml:space="preserve"> discussion paper. As identified, the Australian system provides a </w:t>
      </w:r>
      <w:r>
        <w:rPr>
          <w:rFonts w:ascii="Arial" w:hAnsi="Arial" w:cs="Arial"/>
          <w:sz w:val="22"/>
          <w:szCs w:val="22"/>
        </w:rPr>
        <w:t>sound</w:t>
      </w:r>
      <w:r w:rsidRPr="001602E4">
        <w:rPr>
          <w:rFonts w:ascii="Arial" w:hAnsi="Arial" w:cs="Arial"/>
          <w:sz w:val="22"/>
          <w:szCs w:val="22"/>
        </w:rPr>
        <w:t xml:space="preserve"> researcher </w:t>
      </w:r>
      <w:r w:rsidRPr="00142BA7">
        <w:rPr>
          <w:rFonts w:ascii="Arial" w:hAnsi="Arial" w:cs="Arial"/>
          <w:sz w:val="22"/>
          <w:szCs w:val="22"/>
        </w:rPr>
        <w:t>training experience, but is less effective at systematically developing career and industry skills.</w:t>
      </w:r>
      <w:r w:rsidRPr="00142BA7">
        <w:rPr>
          <w:rFonts w:ascii="Arial" w:hAnsi="Arial" w:cs="Arial"/>
          <w:sz w:val="22"/>
          <w:szCs w:val="22"/>
          <w:lang w:val="en-US"/>
        </w:rPr>
        <w:t xml:space="preserve"> </w:t>
      </w:r>
      <w:r w:rsidRPr="00142BA7">
        <w:rPr>
          <w:rFonts w:hAnsi="Arial Unicode MS"/>
          <w:sz w:val="22"/>
          <w:szCs w:val="22"/>
        </w:rPr>
        <w:t xml:space="preserve">And, with </w:t>
      </w:r>
      <w:r w:rsidRPr="00142BA7">
        <w:rPr>
          <w:rFonts w:hAnsi="Arial Unicode MS"/>
          <w:sz w:val="22"/>
          <w:szCs w:val="22"/>
          <w:lang w:val="en-US"/>
        </w:rPr>
        <w:t xml:space="preserve">just over 3 researchers in business per 1000 workers in Australia, there is also cultural resistance to employing PhD graduates. </w:t>
      </w:r>
      <w:r>
        <w:rPr>
          <w:sz w:val="22"/>
          <w:szCs w:val="22"/>
          <w:lang w:val="en-US"/>
        </w:rPr>
        <w:br/>
      </w:r>
    </w:p>
    <w:p w14:paraId="66DC0129" w14:textId="77777777" w:rsidR="00A754CF" w:rsidRPr="000D3639" w:rsidRDefault="00A754CF" w:rsidP="00A754CF">
      <w:pPr>
        <w:pStyle w:val="Body1"/>
        <w:spacing w:after="200" w:line="276" w:lineRule="auto"/>
        <w:outlineLvl w:val="0"/>
        <w:rPr>
          <w:rFonts w:ascii="Arial" w:hAnsi="Arial" w:cs="Arial"/>
          <w:sz w:val="22"/>
          <w:szCs w:val="22"/>
        </w:rPr>
      </w:pPr>
      <w:r>
        <w:rPr>
          <w:rFonts w:ascii="Arial" w:hAnsi="Arial" w:cs="Arial"/>
          <w:sz w:val="22"/>
          <w:szCs w:val="22"/>
        </w:rPr>
        <w:t>UniSA</w:t>
      </w:r>
      <w:r w:rsidRPr="001602E4">
        <w:rPr>
          <w:rFonts w:ascii="Arial" w:hAnsi="Arial" w:cs="Arial"/>
          <w:sz w:val="22"/>
          <w:szCs w:val="22"/>
        </w:rPr>
        <w:t xml:space="preserve"> has identified a transformation of the PhD in its strategic action plan, </w:t>
      </w:r>
      <w:proofErr w:type="gramStart"/>
      <w:r w:rsidRPr="001602E4">
        <w:rPr>
          <w:rFonts w:ascii="Arial" w:hAnsi="Arial" w:cs="Arial"/>
          <w:i/>
          <w:sz w:val="22"/>
          <w:szCs w:val="22"/>
        </w:rPr>
        <w:t>Crossing</w:t>
      </w:r>
      <w:proofErr w:type="gramEnd"/>
      <w:r w:rsidRPr="001602E4">
        <w:rPr>
          <w:rFonts w:ascii="Arial" w:hAnsi="Arial" w:cs="Arial"/>
          <w:i/>
          <w:sz w:val="22"/>
          <w:szCs w:val="22"/>
        </w:rPr>
        <w:t xml:space="preserve"> the Horizon 2013-2018</w:t>
      </w:r>
      <w:r w:rsidRPr="001602E4">
        <w:rPr>
          <w:rFonts w:ascii="Arial" w:hAnsi="Arial" w:cs="Arial"/>
          <w:sz w:val="22"/>
          <w:szCs w:val="22"/>
        </w:rPr>
        <w:t>. The philosophy behind th</w:t>
      </w:r>
      <w:r>
        <w:rPr>
          <w:rFonts w:ascii="Arial" w:hAnsi="Arial" w:cs="Arial"/>
          <w:sz w:val="22"/>
          <w:szCs w:val="22"/>
        </w:rPr>
        <w:t>e T</w:t>
      </w:r>
      <w:r w:rsidRPr="001602E4">
        <w:rPr>
          <w:rFonts w:ascii="Arial" w:hAnsi="Arial" w:cs="Arial"/>
          <w:sz w:val="22"/>
          <w:szCs w:val="22"/>
        </w:rPr>
        <w:t xml:space="preserve">ransformed PhD is centred on increasing graduate researchers’ capabilities to work collaboratively and productively with end-users, and in multidisciplinary </w:t>
      </w:r>
      <w:r>
        <w:rPr>
          <w:rFonts w:ascii="Arial" w:hAnsi="Arial" w:cs="Arial"/>
          <w:sz w:val="22"/>
          <w:szCs w:val="22"/>
        </w:rPr>
        <w:t>and</w:t>
      </w:r>
      <w:r w:rsidRPr="001602E4">
        <w:rPr>
          <w:rFonts w:ascii="Arial" w:hAnsi="Arial" w:cs="Arial"/>
          <w:sz w:val="22"/>
          <w:szCs w:val="22"/>
        </w:rPr>
        <w:t xml:space="preserve"> multi</w:t>
      </w:r>
      <w:r>
        <w:rPr>
          <w:rFonts w:ascii="Arial" w:hAnsi="Arial" w:cs="Arial"/>
          <w:sz w:val="22"/>
          <w:szCs w:val="22"/>
        </w:rPr>
        <w:t>-</w:t>
      </w:r>
      <w:r w:rsidRPr="001602E4">
        <w:rPr>
          <w:rFonts w:ascii="Arial" w:hAnsi="Arial" w:cs="Arial"/>
          <w:sz w:val="22"/>
          <w:szCs w:val="22"/>
        </w:rPr>
        <w:t>sectoral research ventures.</w:t>
      </w:r>
      <w:r>
        <w:rPr>
          <w:rFonts w:ascii="Arial" w:hAnsi="Arial" w:cs="Arial"/>
          <w:sz w:val="22"/>
          <w:szCs w:val="22"/>
        </w:rPr>
        <w:t xml:space="preserve">  </w:t>
      </w:r>
      <w:r w:rsidRPr="001602E4">
        <w:rPr>
          <w:rFonts w:ascii="Arial" w:hAnsi="Arial" w:cs="Arial"/>
          <w:sz w:val="22"/>
          <w:szCs w:val="22"/>
          <w:lang w:val="en-US"/>
        </w:rPr>
        <w:t>Th</w:t>
      </w:r>
      <w:r>
        <w:rPr>
          <w:rFonts w:ascii="Arial" w:hAnsi="Arial" w:cs="Arial"/>
          <w:sz w:val="22"/>
          <w:szCs w:val="22"/>
          <w:lang w:val="en-US"/>
        </w:rPr>
        <w:t>e Transformed PhD incorporates</w:t>
      </w:r>
      <w:r w:rsidRPr="001602E4">
        <w:rPr>
          <w:rFonts w:ascii="Arial" w:hAnsi="Arial" w:cs="Arial"/>
          <w:sz w:val="22"/>
          <w:szCs w:val="22"/>
          <w:lang w:val="en-US"/>
        </w:rPr>
        <w:t xml:space="preserve"> a coordinated suite of activities and exposures to achieve</w:t>
      </w:r>
      <w:r>
        <w:rPr>
          <w:rFonts w:ascii="Arial" w:hAnsi="Arial" w:cs="Arial"/>
          <w:sz w:val="22"/>
          <w:szCs w:val="22"/>
          <w:lang w:val="en-US"/>
        </w:rPr>
        <w:t xml:space="preserve"> the:</w:t>
      </w:r>
    </w:p>
    <w:p w14:paraId="66DC012A" w14:textId="77777777" w:rsidR="00A754CF" w:rsidRDefault="00A754CF" w:rsidP="00A754CF">
      <w:pPr>
        <w:numPr>
          <w:ilvl w:val="0"/>
          <w:numId w:val="6"/>
        </w:numPr>
        <w:tabs>
          <w:tab w:val="clear" w:pos="393"/>
          <w:tab w:val="num" w:pos="753"/>
          <w:tab w:val="right" w:pos="8920"/>
        </w:tabs>
        <w:ind w:left="753" w:hanging="393"/>
        <w:outlineLvl w:val="0"/>
        <w:rPr>
          <w:rFonts w:ascii="Arial" w:eastAsia="Arial Unicode MS" w:hAnsi="Arial" w:cs="Arial"/>
          <w:color w:val="000000"/>
        </w:rPr>
      </w:pPr>
      <w:r w:rsidRPr="000D3639">
        <w:rPr>
          <w:rFonts w:ascii="Arial" w:eastAsia="Arial Unicode MS" w:hAnsi="Arial" w:cs="Arial"/>
          <w:color w:val="000000"/>
        </w:rPr>
        <w:t>integration of end-users into the PhD machinery to assist with scoping research projects, supervision and mentoring;</w:t>
      </w:r>
    </w:p>
    <w:p w14:paraId="66DC012B" w14:textId="77777777" w:rsidR="00A754CF" w:rsidRPr="000D3639" w:rsidRDefault="00A754CF" w:rsidP="00A754CF">
      <w:pPr>
        <w:numPr>
          <w:ilvl w:val="0"/>
          <w:numId w:val="6"/>
        </w:numPr>
        <w:tabs>
          <w:tab w:val="clear" w:pos="393"/>
          <w:tab w:val="num" w:pos="753"/>
          <w:tab w:val="right" w:pos="8920"/>
        </w:tabs>
        <w:ind w:left="753" w:hanging="393"/>
        <w:outlineLvl w:val="0"/>
        <w:rPr>
          <w:rFonts w:ascii="Arial" w:eastAsia="Arial Unicode MS" w:hAnsi="Arial" w:cs="Arial"/>
          <w:color w:val="000000"/>
        </w:rPr>
      </w:pPr>
      <w:r w:rsidRPr="000D3639">
        <w:rPr>
          <w:rFonts w:ascii="Arial" w:eastAsia="Arial Unicode MS" w:hAnsi="Arial" w:cs="Arial"/>
          <w:color w:val="000000"/>
        </w:rPr>
        <w:lastRenderedPageBreak/>
        <w:t>development of relevant transferable skills to our knowledge-based enterprise economy;</w:t>
      </w:r>
    </w:p>
    <w:p w14:paraId="66DC012C" w14:textId="77777777" w:rsidR="00A754CF" w:rsidRPr="001602E4" w:rsidRDefault="00A754CF" w:rsidP="00A754CF">
      <w:pPr>
        <w:numPr>
          <w:ilvl w:val="0"/>
          <w:numId w:val="7"/>
        </w:numPr>
        <w:tabs>
          <w:tab w:val="clear" w:pos="393"/>
          <w:tab w:val="num" w:pos="753"/>
          <w:tab w:val="right" w:pos="8920"/>
        </w:tabs>
        <w:ind w:left="753" w:hanging="393"/>
        <w:outlineLvl w:val="0"/>
        <w:rPr>
          <w:rFonts w:ascii="Arial" w:eastAsia="Arial Unicode MS" w:hAnsi="Arial" w:cs="Arial"/>
          <w:color w:val="000000"/>
        </w:rPr>
      </w:pPr>
      <w:r w:rsidRPr="001602E4">
        <w:rPr>
          <w:rFonts w:ascii="Arial" w:eastAsia="Arial Unicode MS" w:hAnsi="Arial" w:cs="Arial"/>
          <w:color w:val="000000"/>
        </w:rPr>
        <w:t xml:space="preserve">particular focus, in science, technology </w:t>
      </w:r>
      <w:r>
        <w:rPr>
          <w:rFonts w:ascii="Arial" w:eastAsia="Arial Unicode MS" w:hAnsi="Arial" w:cs="Arial"/>
          <w:color w:val="000000"/>
        </w:rPr>
        <w:t>and</w:t>
      </w:r>
      <w:r w:rsidRPr="001602E4">
        <w:rPr>
          <w:rFonts w:ascii="Arial" w:eastAsia="Arial Unicode MS" w:hAnsi="Arial" w:cs="Arial"/>
          <w:color w:val="000000"/>
        </w:rPr>
        <w:t xml:space="preserve"> engineering, on entrepreneurship and innovation</w:t>
      </w:r>
      <w:r>
        <w:rPr>
          <w:rFonts w:ascii="Arial" w:eastAsia="Arial Unicode MS" w:hAnsi="Arial" w:cs="Arial"/>
          <w:color w:val="000000"/>
        </w:rPr>
        <w:t>; and</w:t>
      </w:r>
    </w:p>
    <w:p w14:paraId="66DC012D" w14:textId="77777777" w:rsidR="00A754CF" w:rsidRDefault="00A754CF" w:rsidP="00A754CF">
      <w:pPr>
        <w:numPr>
          <w:ilvl w:val="0"/>
          <w:numId w:val="8"/>
        </w:numPr>
        <w:tabs>
          <w:tab w:val="clear" w:pos="393"/>
          <w:tab w:val="num" w:pos="753"/>
          <w:tab w:val="right" w:pos="8920"/>
        </w:tabs>
        <w:ind w:left="753" w:hanging="393"/>
        <w:outlineLvl w:val="0"/>
        <w:rPr>
          <w:rFonts w:ascii="Arial" w:eastAsia="Arial Unicode MS" w:hAnsi="Arial" w:cs="Arial"/>
          <w:color w:val="000000"/>
        </w:rPr>
      </w:pPr>
      <w:proofErr w:type="gramStart"/>
      <w:r w:rsidRPr="001602E4">
        <w:rPr>
          <w:rFonts w:ascii="Arial" w:eastAsia="Arial Unicode MS" w:hAnsi="Arial" w:cs="Arial"/>
          <w:color w:val="000000"/>
        </w:rPr>
        <w:t>deliberate</w:t>
      </w:r>
      <w:proofErr w:type="gramEnd"/>
      <w:r w:rsidRPr="001602E4">
        <w:rPr>
          <w:rFonts w:ascii="Arial" w:eastAsia="Arial Unicode MS" w:hAnsi="Arial" w:cs="Arial"/>
          <w:color w:val="000000"/>
        </w:rPr>
        <w:t xml:space="preserve"> aggregation of research students into research themes which </w:t>
      </w:r>
      <w:r>
        <w:rPr>
          <w:rFonts w:ascii="Arial" w:eastAsia="Arial Unicode MS" w:hAnsi="Arial" w:cs="Arial"/>
          <w:color w:val="000000"/>
        </w:rPr>
        <w:t>align to</w:t>
      </w:r>
      <w:r w:rsidRPr="001602E4">
        <w:rPr>
          <w:rFonts w:ascii="Arial" w:eastAsia="Arial Unicode MS" w:hAnsi="Arial" w:cs="Arial"/>
          <w:color w:val="000000"/>
        </w:rPr>
        <w:t xml:space="preserve"> national priorities and global challenges</w:t>
      </w:r>
      <w:r>
        <w:rPr>
          <w:rFonts w:ascii="Arial" w:eastAsia="Arial Unicode MS" w:hAnsi="Arial" w:cs="Arial"/>
          <w:color w:val="000000"/>
        </w:rPr>
        <w:t>.</w:t>
      </w:r>
      <w:r w:rsidRPr="001602E4">
        <w:rPr>
          <w:rFonts w:ascii="Arial" w:eastAsia="Arial Unicode MS" w:hAnsi="Arial" w:cs="Arial"/>
          <w:color w:val="000000"/>
        </w:rPr>
        <w:t xml:space="preserve"> </w:t>
      </w:r>
    </w:p>
    <w:p w14:paraId="66DC012F" w14:textId="77777777" w:rsidR="00A754CF" w:rsidRPr="001602E4" w:rsidRDefault="00A754CF" w:rsidP="00A754CF">
      <w:pPr>
        <w:tabs>
          <w:tab w:val="right" w:pos="8920"/>
        </w:tabs>
        <w:ind w:left="45" w:hanging="45"/>
        <w:outlineLvl w:val="0"/>
        <w:rPr>
          <w:rFonts w:ascii="Arial" w:eastAsia="Arial Unicode MS" w:hAnsi="Arial" w:cs="Arial"/>
          <w:color w:val="000000"/>
        </w:rPr>
      </w:pPr>
      <w:r w:rsidRPr="001602E4">
        <w:rPr>
          <w:rFonts w:ascii="Arial" w:eastAsia="Arial Unicode MS" w:hAnsi="Arial" w:cs="Arial"/>
          <w:color w:val="000000"/>
        </w:rPr>
        <w:t>The proposed review of research training arrangements should focus on national and sector-based mechanisms that will achieve these outcomes</w:t>
      </w:r>
      <w:r>
        <w:rPr>
          <w:rFonts w:ascii="Arial" w:eastAsia="Arial Unicode MS" w:hAnsi="Arial" w:cs="Arial"/>
          <w:color w:val="000000"/>
        </w:rPr>
        <w:t>. These mechanisms</w:t>
      </w:r>
      <w:r w:rsidRPr="001602E4">
        <w:rPr>
          <w:rFonts w:ascii="Arial" w:eastAsia="Arial Unicode MS" w:hAnsi="Arial" w:cs="Arial"/>
          <w:color w:val="000000"/>
        </w:rPr>
        <w:t xml:space="preserve"> </w:t>
      </w:r>
      <w:r>
        <w:rPr>
          <w:rFonts w:ascii="Arial" w:eastAsia="Arial Unicode MS" w:hAnsi="Arial" w:cs="Arial"/>
          <w:color w:val="000000"/>
        </w:rPr>
        <w:t>must</w:t>
      </w:r>
      <w:r w:rsidRPr="001602E4">
        <w:rPr>
          <w:rFonts w:ascii="Arial" w:eastAsia="Arial Unicode MS" w:hAnsi="Arial" w:cs="Arial"/>
          <w:color w:val="000000"/>
        </w:rPr>
        <w:t xml:space="preserve"> optimise and ex</w:t>
      </w:r>
      <w:r>
        <w:rPr>
          <w:rFonts w:ascii="Arial" w:eastAsia="Arial Unicode MS" w:hAnsi="Arial" w:cs="Arial"/>
          <w:color w:val="000000"/>
        </w:rPr>
        <w:t>tend targeted national schemes, including</w:t>
      </w:r>
      <w:r w:rsidRPr="001602E4">
        <w:rPr>
          <w:rFonts w:ascii="Arial" w:eastAsia="Arial Unicode MS" w:hAnsi="Arial" w:cs="Arial"/>
          <w:color w:val="000000"/>
        </w:rPr>
        <w:t xml:space="preserve"> Industrial T</w:t>
      </w:r>
      <w:r>
        <w:rPr>
          <w:rFonts w:ascii="Arial" w:eastAsia="Arial Unicode MS" w:hAnsi="Arial" w:cs="Arial"/>
          <w:color w:val="000000"/>
        </w:rPr>
        <w:t>ransformation Training Centres, as well as</w:t>
      </w:r>
      <w:r w:rsidRPr="001602E4">
        <w:rPr>
          <w:rFonts w:ascii="Arial" w:eastAsia="Arial Unicode MS" w:hAnsi="Arial" w:cs="Arial"/>
          <w:color w:val="000000"/>
        </w:rPr>
        <w:t xml:space="preserve"> existing university initiatives. Examples of the latter at </w:t>
      </w:r>
      <w:r>
        <w:rPr>
          <w:rFonts w:ascii="Arial" w:eastAsia="Arial Unicode MS" w:hAnsi="Arial" w:cs="Arial"/>
          <w:color w:val="000000"/>
        </w:rPr>
        <w:t>UniSA</w:t>
      </w:r>
      <w:r w:rsidRPr="001602E4">
        <w:rPr>
          <w:rFonts w:ascii="Arial" w:eastAsia="Arial Unicode MS" w:hAnsi="Arial" w:cs="Arial"/>
          <w:color w:val="000000"/>
        </w:rPr>
        <w:t xml:space="preserve"> include: embedding Hewlett Packard on-campus to increase the industry capability of undergraduate students (the pipeline to research students); the Industry Partnership Initiative Scheme, designed to supp</w:t>
      </w:r>
      <w:r>
        <w:rPr>
          <w:rFonts w:ascii="Arial" w:eastAsia="Arial Unicode MS" w:hAnsi="Arial" w:cs="Arial"/>
          <w:color w:val="000000"/>
        </w:rPr>
        <w:t>ort industry employees undertaking</w:t>
      </w:r>
      <w:r w:rsidRPr="001602E4">
        <w:rPr>
          <w:rFonts w:ascii="Arial" w:eastAsia="Arial Unicode MS" w:hAnsi="Arial" w:cs="Arial"/>
          <w:color w:val="000000"/>
        </w:rPr>
        <w:t xml:space="preserve"> PhDs; and the Venture </w:t>
      </w:r>
      <w:r>
        <w:rPr>
          <w:rFonts w:ascii="Arial" w:eastAsia="Arial Unicode MS" w:hAnsi="Arial" w:cs="Arial"/>
          <w:color w:val="000000"/>
        </w:rPr>
        <w:t>Catalyst Initiative with State G</w:t>
      </w:r>
      <w:r w:rsidRPr="001602E4">
        <w:rPr>
          <w:rFonts w:ascii="Arial" w:eastAsia="Arial Unicode MS" w:hAnsi="Arial" w:cs="Arial"/>
          <w:color w:val="000000"/>
        </w:rPr>
        <w:t xml:space="preserve">overnment, aimed at building students' practical entrepreneurship. </w:t>
      </w:r>
    </w:p>
    <w:p w14:paraId="66DC0130" w14:textId="77777777" w:rsidR="00A754CF" w:rsidRPr="00DD3EB5" w:rsidRDefault="00A754CF" w:rsidP="006C1BF3">
      <w:pPr>
        <w:pStyle w:val="Heading2"/>
        <w:rPr>
          <w:lang w:val="en"/>
        </w:rPr>
      </w:pPr>
      <w:r w:rsidRPr="00DD3EB5">
        <w:rPr>
          <w:lang w:val="en"/>
        </w:rPr>
        <w:t xml:space="preserve">Measurement of outcomes </w:t>
      </w:r>
      <w:bookmarkStart w:id="0" w:name="_GoBack"/>
      <w:bookmarkEnd w:id="0"/>
    </w:p>
    <w:p w14:paraId="66DC0131" w14:textId="77777777" w:rsidR="00A754CF" w:rsidRPr="00DD3EB5" w:rsidRDefault="00A754CF" w:rsidP="00A754CF">
      <w:pPr>
        <w:spacing w:before="100" w:beforeAutospacing="1" w:after="100" w:afterAutospacing="1" w:line="252" w:lineRule="auto"/>
        <w:rPr>
          <w:rFonts w:ascii="Arial" w:hAnsi="Arial" w:cs="Arial"/>
          <w:lang w:val="en"/>
        </w:rPr>
      </w:pPr>
      <w:r w:rsidRPr="00DD3EB5">
        <w:rPr>
          <w:rFonts w:ascii="Arial" w:hAnsi="Arial" w:cs="Arial"/>
          <w:lang w:val="en"/>
        </w:rPr>
        <w:t xml:space="preserve">UniSA welcomes measures to improve the measurement of research outcomes and impact.  In developing improvements to the current process, consideration should be given to the following: </w:t>
      </w:r>
    </w:p>
    <w:p w14:paraId="66DC0132" w14:textId="77777777" w:rsidR="00A754CF" w:rsidRPr="00DD3EB5" w:rsidRDefault="00A754CF" w:rsidP="00A754CF">
      <w:pPr>
        <w:pStyle w:val="ListParagraph"/>
        <w:numPr>
          <w:ilvl w:val="0"/>
          <w:numId w:val="4"/>
        </w:numPr>
        <w:spacing w:before="100" w:beforeAutospacing="1" w:after="100" w:afterAutospacing="1" w:line="252" w:lineRule="auto"/>
        <w:rPr>
          <w:rFonts w:ascii="Arial" w:hAnsi="Arial" w:cs="Arial"/>
          <w:lang w:val="en"/>
        </w:rPr>
      </w:pPr>
      <w:r>
        <w:rPr>
          <w:rFonts w:ascii="Arial" w:hAnsi="Arial" w:cs="Arial"/>
          <w:lang w:val="en"/>
        </w:rPr>
        <w:t>Ensuring that any process leverages</w:t>
      </w:r>
      <w:r w:rsidRPr="00DD3EB5">
        <w:rPr>
          <w:rFonts w:ascii="Arial" w:hAnsi="Arial" w:cs="Arial"/>
          <w:lang w:val="en"/>
        </w:rPr>
        <w:t xml:space="preserve"> information already collected from universities through various government departments, including the Australian Bureau of Statistics</w:t>
      </w:r>
      <w:r>
        <w:rPr>
          <w:rFonts w:ascii="Arial" w:hAnsi="Arial" w:cs="Arial"/>
          <w:lang w:val="en"/>
        </w:rPr>
        <w:t>;</w:t>
      </w:r>
      <w:r w:rsidRPr="00DD3EB5">
        <w:rPr>
          <w:rFonts w:ascii="Arial" w:hAnsi="Arial" w:cs="Arial"/>
          <w:lang w:val="en"/>
        </w:rPr>
        <w:t xml:space="preserve"> </w:t>
      </w:r>
      <w:r w:rsidRPr="00DD3EB5">
        <w:rPr>
          <w:rFonts w:ascii="Arial" w:hAnsi="Arial" w:cs="Arial"/>
          <w:lang w:val="en"/>
        </w:rPr>
        <w:tab/>
      </w:r>
    </w:p>
    <w:p w14:paraId="66DC0133" w14:textId="77777777" w:rsidR="00A754CF" w:rsidRDefault="00A754CF" w:rsidP="00A754CF">
      <w:pPr>
        <w:pStyle w:val="ListParagraph"/>
        <w:numPr>
          <w:ilvl w:val="0"/>
          <w:numId w:val="4"/>
        </w:numPr>
        <w:spacing w:before="100" w:beforeAutospacing="1" w:after="100" w:afterAutospacing="1" w:line="252" w:lineRule="auto"/>
        <w:rPr>
          <w:rFonts w:ascii="Arial" w:hAnsi="Arial" w:cs="Arial"/>
          <w:lang w:val="en"/>
        </w:rPr>
      </w:pPr>
      <w:r>
        <w:rPr>
          <w:rFonts w:ascii="Arial" w:hAnsi="Arial" w:cs="Arial"/>
          <w:lang w:val="en"/>
        </w:rPr>
        <w:t>It is important to acknowledge</w:t>
      </w:r>
      <w:r w:rsidRPr="00DD3EB5">
        <w:rPr>
          <w:rFonts w:ascii="Arial" w:hAnsi="Arial" w:cs="Arial"/>
          <w:lang w:val="en"/>
        </w:rPr>
        <w:t xml:space="preserve"> that difficulty exists when measuring outcomes and </w:t>
      </w:r>
      <w:r>
        <w:rPr>
          <w:rFonts w:ascii="Arial" w:hAnsi="Arial" w:cs="Arial"/>
          <w:lang w:val="en"/>
        </w:rPr>
        <w:t xml:space="preserve">that this further enforces why it is </w:t>
      </w:r>
      <w:r w:rsidRPr="00DD3EB5">
        <w:rPr>
          <w:rFonts w:ascii="Arial" w:hAnsi="Arial" w:cs="Arial"/>
          <w:lang w:val="en"/>
        </w:rPr>
        <w:t xml:space="preserve">important that existing data collections are used alongside clear objectives and purposeful measures; </w:t>
      </w:r>
    </w:p>
    <w:p w14:paraId="66DC0134" w14:textId="77777777" w:rsidR="00A754CF" w:rsidRPr="0009488B" w:rsidRDefault="00A754CF" w:rsidP="00A754CF">
      <w:pPr>
        <w:pStyle w:val="ListParagraph"/>
        <w:numPr>
          <w:ilvl w:val="0"/>
          <w:numId w:val="4"/>
        </w:numPr>
        <w:ind w:right="283"/>
        <w:rPr>
          <w:rFonts w:ascii="Arial" w:hAnsi="Arial" w:cs="Arial"/>
          <w:lang w:val="en"/>
        </w:rPr>
      </w:pPr>
      <w:r w:rsidRPr="0009488B">
        <w:rPr>
          <w:rFonts w:ascii="Arial" w:hAnsi="Arial" w:cs="Arial"/>
          <w:lang w:val="en"/>
        </w:rPr>
        <w:t>‘Research impact’ should be an indicator of success</w:t>
      </w:r>
      <w:r>
        <w:rPr>
          <w:rFonts w:ascii="Arial" w:hAnsi="Arial" w:cs="Arial"/>
          <w:lang w:val="en"/>
        </w:rPr>
        <w:t xml:space="preserve"> with significant consideration given to </w:t>
      </w:r>
      <w:r w:rsidRPr="0009488B">
        <w:rPr>
          <w:rFonts w:ascii="Arial" w:hAnsi="Arial" w:cs="Arial"/>
          <w:lang w:val="en"/>
        </w:rPr>
        <w:t xml:space="preserve"> how ‘research impact’ will be measured so as to avoid perception-based measures; ‘research impact’ should be measu</w:t>
      </w:r>
      <w:r>
        <w:rPr>
          <w:rFonts w:ascii="Arial" w:hAnsi="Arial" w:cs="Arial"/>
          <w:lang w:val="en"/>
        </w:rPr>
        <w:t xml:space="preserve">red by factual/tangible metrics, </w:t>
      </w:r>
      <w:r w:rsidRPr="0009488B">
        <w:rPr>
          <w:rFonts w:ascii="Arial" w:hAnsi="Arial" w:cs="Arial"/>
          <w:lang w:val="en"/>
        </w:rPr>
        <w:t>as per the current ATSE trial</w:t>
      </w:r>
      <w:r>
        <w:rPr>
          <w:rFonts w:ascii="Arial" w:hAnsi="Arial" w:cs="Arial"/>
          <w:lang w:val="en"/>
        </w:rPr>
        <w:t>; and</w:t>
      </w:r>
    </w:p>
    <w:p w14:paraId="66DC0135" w14:textId="77777777" w:rsidR="00A754CF" w:rsidRDefault="00A754CF" w:rsidP="00A754CF">
      <w:pPr>
        <w:pStyle w:val="ListParagraph"/>
        <w:numPr>
          <w:ilvl w:val="0"/>
          <w:numId w:val="4"/>
        </w:numPr>
        <w:spacing w:before="100" w:beforeAutospacing="1" w:after="100" w:afterAutospacing="1" w:line="252" w:lineRule="auto"/>
        <w:rPr>
          <w:rFonts w:ascii="Arial" w:hAnsi="Arial" w:cs="Arial"/>
          <w:lang w:val="en"/>
        </w:rPr>
      </w:pPr>
      <w:r w:rsidRPr="00DD3EB5">
        <w:rPr>
          <w:rFonts w:ascii="Arial" w:hAnsi="Arial" w:cs="Arial"/>
          <w:lang w:val="en"/>
        </w:rPr>
        <w:t>Case studies are important to highlight achievements, but should not be used as part of a formal assessment process. Rather, they should be used for promotional purposes, both nationally and</w:t>
      </w:r>
      <w:r>
        <w:rPr>
          <w:rFonts w:ascii="Arial" w:hAnsi="Arial" w:cs="Arial"/>
          <w:lang w:val="en"/>
        </w:rPr>
        <w:t xml:space="preserve"> internationally.</w:t>
      </w:r>
    </w:p>
    <w:p w14:paraId="66DC0136" w14:textId="77777777" w:rsidR="00A754CF" w:rsidRPr="00AB16FC" w:rsidRDefault="00A754CF" w:rsidP="00A754CF">
      <w:pPr>
        <w:spacing w:before="100" w:beforeAutospacing="1" w:after="100" w:afterAutospacing="1" w:line="252" w:lineRule="auto"/>
        <w:rPr>
          <w:rFonts w:ascii="Arial" w:hAnsi="Arial" w:cs="Arial"/>
          <w:lang w:val="en"/>
        </w:rPr>
      </w:pPr>
      <w:r w:rsidRPr="00AB16FC">
        <w:rPr>
          <w:rFonts w:ascii="Arial" w:hAnsi="Arial" w:cs="Arial"/>
          <w:lang w:val="en"/>
        </w:rPr>
        <w:t xml:space="preserve">Through refining the measurement of outcomes </w:t>
      </w:r>
      <w:r>
        <w:rPr>
          <w:rFonts w:ascii="Arial" w:hAnsi="Arial" w:cs="Arial"/>
          <w:lang w:val="en"/>
        </w:rPr>
        <w:t>Australia</w:t>
      </w:r>
      <w:r w:rsidRPr="00AB16FC">
        <w:rPr>
          <w:rFonts w:ascii="Arial" w:hAnsi="Arial" w:cs="Arial"/>
          <w:lang w:val="en"/>
        </w:rPr>
        <w:t xml:space="preserve"> will </w:t>
      </w:r>
      <w:r>
        <w:rPr>
          <w:rFonts w:ascii="Arial" w:hAnsi="Arial" w:cs="Arial"/>
          <w:lang w:val="en"/>
        </w:rPr>
        <w:t xml:space="preserve">experience a fundamental </w:t>
      </w:r>
      <w:r w:rsidRPr="00AB16FC">
        <w:rPr>
          <w:rFonts w:ascii="Arial" w:hAnsi="Arial" w:cs="Arial"/>
          <w:lang w:val="en"/>
        </w:rPr>
        <w:t>shift away from an outdated outputs model to one that is balanced and focused on relevant outcomes.</w:t>
      </w:r>
      <w:r>
        <w:rPr>
          <w:rFonts w:ascii="Arial" w:hAnsi="Arial" w:cs="Arial"/>
          <w:lang w:val="en"/>
        </w:rPr>
        <w:t xml:space="preserve">  Academics of the 21</w:t>
      </w:r>
      <w:r w:rsidRPr="00C31F78">
        <w:rPr>
          <w:rFonts w:ascii="Arial" w:hAnsi="Arial" w:cs="Arial"/>
          <w:vertAlign w:val="superscript"/>
          <w:lang w:val="en"/>
        </w:rPr>
        <w:t>st</w:t>
      </w:r>
      <w:r>
        <w:rPr>
          <w:rFonts w:ascii="Arial" w:hAnsi="Arial" w:cs="Arial"/>
          <w:lang w:val="en"/>
        </w:rPr>
        <w:t xml:space="preserve"> century need to live by the mantra of ‘patents, publications and products’, and view these activities as standard practice within the profession.  Such a culture will produce high impact, industry relevant outcomes.</w:t>
      </w:r>
    </w:p>
    <w:p w14:paraId="66DC0137" w14:textId="77777777" w:rsidR="00A754CF" w:rsidRPr="003E3D29" w:rsidRDefault="00A754CF" w:rsidP="00A754CF">
      <w:pPr>
        <w:spacing w:before="100" w:beforeAutospacing="1" w:after="100" w:afterAutospacing="1" w:line="252" w:lineRule="auto"/>
        <w:rPr>
          <w:rFonts w:ascii="Arial" w:hAnsi="Arial" w:cs="Arial"/>
        </w:rPr>
      </w:pPr>
      <w:r>
        <w:rPr>
          <w:rFonts w:ascii="Arial" w:hAnsi="Arial" w:cs="Arial"/>
          <w:lang w:val="en"/>
        </w:rPr>
        <w:t>T</w:t>
      </w:r>
      <w:r w:rsidRPr="0009488B">
        <w:rPr>
          <w:rFonts w:ascii="Arial" w:hAnsi="Arial" w:cs="Arial"/>
          <w:lang w:val="en"/>
        </w:rPr>
        <w:t>he measures associated with licenses and IP are appropriate, however, it important to</w:t>
      </w:r>
      <w:r w:rsidRPr="003E3D29">
        <w:rPr>
          <w:rFonts w:ascii="Arial" w:hAnsi="Arial" w:cs="Arial"/>
        </w:rPr>
        <w:t xml:space="preserve"> recognise</w:t>
      </w:r>
      <w:r w:rsidRPr="0009488B">
        <w:rPr>
          <w:rFonts w:ascii="Arial" w:hAnsi="Arial" w:cs="Arial"/>
          <w:lang w:val="en"/>
        </w:rPr>
        <w:t xml:space="preserve"> that other measures exists which </w:t>
      </w:r>
      <w:r>
        <w:rPr>
          <w:rFonts w:ascii="Arial" w:hAnsi="Arial" w:cs="Arial"/>
          <w:lang w:val="en"/>
        </w:rPr>
        <w:t xml:space="preserve">highlight beneficial </w:t>
      </w:r>
      <w:r w:rsidRPr="0009488B">
        <w:rPr>
          <w:rFonts w:ascii="Arial" w:hAnsi="Arial" w:cs="Arial"/>
          <w:lang w:val="en"/>
        </w:rPr>
        <w:t>collaboration</w:t>
      </w:r>
      <w:r>
        <w:rPr>
          <w:rFonts w:ascii="Arial" w:hAnsi="Arial" w:cs="Arial"/>
          <w:lang w:val="en"/>
        </w:rPr>
        <w:t>s</w:t>
      </w:r>
      <w:r w:rsidRPr="0009488B">
        <w:rPr>
          <w:rFonts w:ascii="Arial" w:hAnsi="Arial" w:cs="Arial"/>
          <w:lang w:val="en"/>
        </w:rPr>
        <w:t xml:space="preserve"> </w:t>
      </w:r>
      <w:r>
        <w:rPr>
          <w:rFonts w:ascii="Arial" w:hAnsi="Arial" w:cs="Arial"/>
          <w:lang w:val="en"/>
        </w:rPr>
        <w:t xml:space="preserve">that deliver </w:t>
      </w:r>
      <w:r w:rsidRPr="0009488B">
        <w:rPr>
          <w:rFonts w:ascii="Arial" w:hAnsi="Arial" w:cs="Arial"/>
          <w:lang w:val="en"/>
        </w:rPr>
        <w:t>impact</w:t>
      </w:r>
      <w:r>
        <w:rPr>
          <w:rFonts w:ascii="Arial" w:hAnsi="Arial" w:cs="Arial"/>
          <w:lang w:val="en"/>
        </w:rPr>
        <w:t xml:space="preserve">. For example, </w:t>
      </w:r>
      <w:r w:rsidRPr="0009488B">
        <w:rPr>
          <w:rFonts w:ascii="Arial" w:hAnsi="Arial" w:cs="Arial"/>
          <w:lang w:val="en"/>
        </w:rPr>
        <w:t>business innovation is a key area of strength in the Australian economy</w:t>
      </w:r>
      <w:r>
        <w:rPr>
          <w:rFonts w:ascii="Arial" w:hAnsi="Arial" w:cs="Arial"/>
          <w:lang w:val="en"/>
        </w:rPr>
        <w:t xml:space="preserve">. This innovation </w:t>
      </w:r>
      <w:r w:rsidRPr="0009488B">
        <w:rPr>
          <w:rFonts w:ascii="Arial" w:hAnsi="Arial" w:cs="Arial"/>
          <w:lang w:val="en"/>
        </w:rPr>
        <w:t xml:space="preserve">is often triggered </w:t>
      </w:r>
      <w:r>
        <w:rPr>
          <w:rFonts w:ascii="Arial" w:hAnsi="Arial" w:cs="Arial"/>
          <w:lang w:val="en"/>
        </w:rPr>
        <w:t>through</w:t>
      </w:r>
      <w:r w:rsidRPr="0009488B">
        <w:rPr>
          <w:rFonts w:ascii="Arial" w:hAnsi="Arial" w:cs="Arial"/>
          <w:lang w:val="en"/>
        </w:rPr>
        <w:t xml:space="preserve"> exposure to</w:t>
      </w:r>
      <w:r>
        <w:rPr>
          <w:rFonts w:ascii="Arial" w:hAnsi="Arial" w:cs="Arial"/>
          <w:lang w:val="en"/>
        </w:rPr>
        <w:t xml:space="preserve"> universities who have distinct expertise which are not necessarily available to industry on a regular basis. Through </w:t>
      </w:r>
      <w:r>
        <w:rPr>
          <w:rFonts w:ascii="Arial" w:hAnsi="Arial" w:cs="Arial"/>
          <w:lang w:val="en"/>
        </w:rPr>
        <w:lastRenderedPageBreak/>
        <w:t>these partnerships,</w:t>
      </w:r>
      <w:r w:rsidRPr="003E3D29">
        <w:rPr>
          <w:rFonts w:ascii="Arial" w:hAnsi="Arial" w:cs="Arial"/>
        </w:rPr>
        <w:t xml:space="preserve"> organisations</w:t>
      </w:r>
      <w:r>
        <w:rPr>
          <w:rFonts w:ascii="Arial" w:hAnsi="Arial" w:cs="Arial"/>
          <w:lang w:val="en"/>
        </w:rPr>
        <w:t xml:space="preserve"> are able to increase the viability of their technologies via a unique knowledge exchange.    </w:t>
      </w:r>
    </w:p>
    <w:p w14:paraId="66DC0138" w14:textId="77777777" w:rsidR="00A754CF" w:rsidRPr="00F57639" w:rsidRDefault="00A754CF" w:rsidP="006C1BF3">
      <w:pPr>
        <w:pStyle w:val="Heading2"/>
        <w:rPr>
          <w:lang w:val="en"/>
        </w:rPr>
      </w:pPr>
      <w:r w:rsidRPr="003E3D29">
        <w:t>Capitalising</w:t>
      </w:r>
      <w:r w:rsidRPr="00F57639">
        <w:rPr>
          <w:lang w:val="en"/>
        </w:rPr>
        <w:t xml:space="preserve"> on the Medical Research Future Fund</w:t>
      </w:r>
      <w:r>
        <w:rPr>
          <w:lang w:val="en"/>
        </w:rPr>
        <w:t xml:space="preserve"> (MRFF)</w:t>
      </w:r>
    </w:p>
    <w:p w14:paraId="66DC0139" w14:textId="77777777" w:rsidR="00A754CF" w:rsidRPr="00F57639" w:rsidRDefault="00A754CF" w:rsidP="00A754CF">
      <w:pPr>
        <w:spacing w:before="100" w:beforeAutospacing="1" w:after="100" w:afterAutospacing="1" w:line="252" w:lineRule="auto"/>
        <w:rPr>
          <w:rFonts w:ascii="Arial" w:hAnsi="Arial" w:cs="Arial"/>
          <w:lang w:val="en"/>
        </w:rPr>
      </w:pPr>
      <w:r>
        <w:rPr>
          <w:rFonts w:ascii="Arial" w:hAnsi="Arial" w:cs="Arial"/>
          <w:lang w:val="en"/>
        </w:rPr>
        <w:t>UniSA</w:t>
      </w:r>
      <w:r w:rsidRPr="00F57639">
        <w:rPr>
          <w:rFonts w:ascii="Arial" w:hAnsi="Arial" w:cs="Arial"/>
          <w:lang w:val="en"/>
        </w:rPr>
        <w:t xml:space="preserve"> supports the establishment of the Medical Research Future Fund and sees it as an important initiative. </w:t>
      </w:r>
    </w:p>
    <w:p w14:paraId="66DC013A" w14:textId="77777777" w:rsidR="00A754CF" w:rsidRPr="00F57639" w:rsidRDefault="00A754CF" w:rsidP="00A754CF">
      <w:pPr>
        <w:spacing w:before="100" w:beforeAutospacing="1" w:after="100" w:afterAutospacing="1" w:line="252" w:lineRule="auto"/>
        <w:rPr>
          <w:rFonts w:ascii="Arial" w:hAnsi="Arial" w:cs="Arial"/>
          <w:lang w:val="en"/>
        </w:rPr>
      </w:pPr>
      <w:r w:rsidRPr="00F57639">
        <w:rPr>
          <w:rFonts w:ascii="Arial" w:hAnsi="Arial" w:cs="Arial"/>
          <w:lang w:val="en"/>
        </w:rPr>
        <w:t>With increasing demand on the health system, it is important that the fund is structured in such a way that it does not become a subsidy for the current NHMRC budget.  Consideration should also be given to how fun</w:t>
      </w:r>
      <w:r>
        <w:rPr>
          <w:rFonts w:ascii="Arial" w:hAnsi="Arial" w:cs="Arial"/>
          <w:lang w:val="en"/>
        </w:rPr>
        <w:t xml:space="preserve">ding is allocated from the MRFF, </w:t>
      </w:r>
      <w:r w:rsidRPr="00F57639">
        <w:rPr>
          <w:rFonts w:ascii="Arial" w:hAnsi="Arial" w:cs="Arial"/>
          <w:lang w:val="en"/>
        </w:rPr>
        <w:t xml:space="preserve">which could be spread across the full spectrum of activity to support research and its translation.  For example, funding could be allocated to support: </w:t>
      </w:r>
    </w:p>
    <w:p w14:paraId="66DC013B" w14:textId="77777777" w:rsidR="00A754CF" w:rsidRPr="00142BA7" w:rsidDel="00B71DCF" w:rsidRDefault="00A754CF" w:rsidP="00A754CF">
      <w:pPr>
        <w:pStyle w:val="ListParagraph"/>
        <w:numPr>
          <w:ilvl w:val="0"/>
          <w:numId w:val="5"/>
        </w:numPr>
        <w:spacing w:before="100" w:beforeAutospacing="1" w:after="100" w:afterAutospacing="1" w:line="252" w:lineRule="auto"/>
        <w:rPr>
          <w:rFonts w:ascii="Arial" w:hAnsi="Arial" w:cs="Arial"/>
          <w:lang w:val="en"/>
        </w:rPr>
      </w:pPr>
      <w:r>
        <w:rPr>
          <w:rFonts w:ascii="Arial" w:hAnsi="Arial" w:cs="Arial"/>
          <w:lang w:val="en"/>
        </w:rPr>
        <w:t xml:space="preserve">Research and development activities in non-medical </w:t>
      </w:r>
      <w:proofErr w:type="spellStart"/>
      <w:r>
        <w:rPr>
          <w:rFonts w:ascii="Arial" w:hAnsi="Arial" w:cs="Arial"/>
          <w:lang w:val="en"/>
        </w:rPr>
        <w:t>disciplinles</w:t>
      </w:r>
      <w:proofErr w:type="spellEnd"/>
      <w:r>
        <w:rPr>
          <w:rFonts w:ascii="Arial" w:hAnsi="Arial" w:cs="Arial"/>
          <w:lang w:val="en"/>
        </w:rPr>
        <w:t xml:space="preserve"> with the potential to create new tools for medical research</w:t>
      </w:r>
      <w:r w:rsidRPr="00F57639">
        <w:rPr>
          <w:rFonts w:ascii="Arial" w:hAnsi="Arial" w:cs="Arial"/>
          <w:lang w:val="en"/>
        </w:rPr>
        <w:t xml:space="preserve">; </w:t>
      </w:r>
    </w:p>
    <w:p w14:paraId="66DC013C" w14:textId="77777777" w:rsidR="00A754CF" w:rsidRPr="003E3D29" w:rsidRDefault="00A754CF" w:rsidP="00A754CF">
      <w:pPr>
        <w:pStyle w:val="ListParagraph"/>
        <w:numPr>
          <w:ilvl w:val="0"/>
          <w:numId w:val="5"/>
        </w:numPr>
        <w:spacing w:before="100" w:beforeAutospacing="1" w:after="100" w:afterAutospacing="1" w:line="252" w:lineRule="auto"/>
        <w:rPr>
          <w:rFonts w:ascii="Arial" w:hAnsi="Arial" w:cs="Arial"/>
        </w:rPr>
      </w:pPr>
      <w:r w:rsidRPr="00F57639">
        <w:rPr>
          <w:rFonts w:ascii="Arial" w:hAnsi="Arial" w:cs="Arial"/>
          <w:lang w:val="en"/>
        </w:rPr>
        <w:t>Clinical trials;</w:t>
      </w:r>
    </w:p>
    <w:p w14:paraId="66DC013D" w14:textId="77777777" w:rsidR="00A754CF" w:rsidRPr="00F57639" w:rsidRDefault="00A754CF" w:rsidP="00A754CF">
      <w:pPr>
        <w:pStyle w:val="ListParagraph"/>
        <w:numPr>
          <w:ilvl w:val="0"/>
          <w:numId w:val="5"/>
        </w:numPr>
        <w:spacing w:before="100" w:beforeAutospacing="1" w:after="100" w:afterAutospacing="1" w:line="252" w:lineRule="auto"/>
        <w:rPr>
          <w:rFonts w:ascii="Arial" w:hAnsi="Arial" w:cs="Arial"/>
          <w:lang w:val="en"/>
        </w:rPr>
      </w:pPr>
      <w:r w:rsidRPr="003E3D29">
        <w:rPr>
          <w:rFonts w:ascii="Arial" w:hAnsi="Arial" w:cs="Arial"/>
        </w:rPr>
        <w:t>Commercialisation</w:t>
      </w:r>
      <w:r w:rsidRPr="00F57639">
        <w:rPr>
          <w:rFonts w:ascii="Arial" w:hAnsi="Arial" w:cs="Arial"/>
          <w:lang w:val="en"/>
        </w:rPr>
        <w:t xml:space="preserve"> (new spinouts, executive skills)</w:t>
      </w:r>
      <w:r>
        <w:rPr>
          <w:rFonts w:ascii="Arial" w:hAnsi="Arial" w:cs="Arial"/>
          <w:lang w:val="en"/>
        </w:rPr>
        <w:t>; and</w:t>
      </w:r>
    </w:p>
    <w:p w14:paraId="66DC013E" w14:textId="77777777" w:rsidR="00A754CF" w:rsidRDefault="00A754CF" w:rsidP="00A754CF">
      <w:pPr>
        <w:pStyle w:val="ListParagraph"/>
        <w:numPr>
          <w:ilvl w:val="0"/>
          <w:numId w:val="5"/>
        </w:numPr>
        <w:spacing w:before="100" w:beforeAutospacing="1" w:after="100" w:afterAutospacing="1" w:line="252" w:lineRule="auto"/>
        <w:rPr>
          <w:rFonts w:ascii="Arial" w:hAnsi="Arial" w:cs="Arial"/>
          <w:lang w:val="en"/>
        </w:rPr>
      </w:pPr>
      <w:r w:rsidRPr="00F57639">
        <w:rPr>
          <w:rFonts w:ascii="Arial" w:hAnsi="Arial" w:cs="Arial"/>
          <w:lang w:val="en"/>
        </w:rPr>
        <w:t>Risk capital to leverage venture capital, angel, and high net worth investment</w:t>
      </w:r>
      <w:r>
        <w:rPr>
          <w:rFonts w:ascii="Arial" w:hAnsi="Arial" w:cs="Arial"/>
          <w:lang w:val="en"/>
        </w:rPr>
        <w:t>;</w:t>
      </w:r>
    </w:p>
    <w:p w14:paraId="66DC013F" w14:textId="77777777" w:rsidR="00A754CF" w:rsidRPr="006475A1" w:rsidRDefault="00A754CF" w:rsidP="00A754CF">
      <w:pPr>
        <w:spacing w:before="100" w:beforeAutospacing="1" w:after="100" w:afterAutospacing="1" w:line="252" w:lineRule="auto"/>
        <w:rPr>
          <w:rFonts w:ascii="Arial" w:hAnsi="Arial" w:cs="Arial"/>
          <w:lang w:val="en"/>
        </w:rPr>
      </w:pPr>
      <w:proofErr w:type="gramStart"/>
      <w:r>
        <w:rPr>
          <w:rFonts w:ascii="Arial" w:hAnsi="Arial" w:cs="Arial"/>
          <w:lang w:val="en"/>
        </w:rPr>
        <w:t>in</w:t>
      </w:r>
      <w:proofErr w:type="gramEnd"/>
      <w:r>
        <w:rPr>
          <w:rFonts w:ascii="Arial" w:hAnsi="Arial" w:cs="Arial"/>
          <w:lang w:val="en"/>
        </w:rPr>
        <w:t xml:space="preserve"> such a way to ensure alignment between basic/fundamental research and its clinical application and path to market.</w:t>
      </w:r>
    </w:p>
    <w:p w14:paraId="66DC0140" w14:textId="77777777" w:rsidR="00C215F5" w:rsidRDefault="00A754CF" w:rsidP="00A754CF">
      <w:r>
        <w:rPr>
          <w:rFonts w:ascii="Arial" w:hAnsi="Arial" w:cs="Arial"/>
          <w:lang w:val="en"/>
        </w:rPr>
        <w:t>Value should also be placed upon supporting allied and preventative medical research in addition to patient care, where success in these fields can have a tremendous impact on reducing the number of patients in the health care system and/or significant reductions in the time that patients are in care, and hence generating cost savings in health budgets nationally.</w:t>
      </w:r>
    </w:p>
    <w:sectPr w:rsidR="00C215F5" w:rsidSect="00465EC5">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C0145" w14:textId="77777777" w:rsidR="00954675" w:rsidRDefault="00954675" w:rsidP="00954675">
      <w:pPr>
        <w:spacing w:after="0" w:line="240" w:lineRule="auto"/>
      </w:pPr>
      <w:r>
        <w:separator/>
      </w:r>
    </w:p>
  </w:endnote>
  <w:endnote w:type="continuationSeparator" w:id="0">
    <w:p w14:paraId="66DC0146" w14:textId="77777777" w:rsidR="00954675" w:rsidRDefault="00954675" w:rsidP="00954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052394"/>
      <w:docPartObj>
        <w:docPartGallery w:val="Page Numbers (Bottom of Page)"/>
        <w:docPartUnique/>
      </w:docPartObj>
    </w:sdtPr>
    <w:sdtEndPr>
      <w:rPr>
        <w:rFonts w:ascii="Arial" w:hAnsi="Arial" w:cs="Arial"/>
        <w:noProof/>
        <w:sz w:val="16"/>
        <w:szCs w:val="16"/>
      </w:rPr>
    </w:sdtEndPr>
    <w:sdtContent>
      <w:p w14:paraId="66DC0147" w14:textId="77777777" w:rsidR="00954675" w:rsidRPr="00954675" w:rsidRDefault="00954675">
        <w:pPr>
          <w:pStyle w:val="Footer"/>
          <w:jc w:val="right"/>
          <w:rPr>
            <w:rFonts w:ascii="Arial" w:hAnsi="Arial" w:cs="Arial"/>
            <w:sz w:val="16"/>
            <w:szCs w:val="16"/>
          </w:rPr>
        </w:pPr>
        <w:r w:rsidRPr="00954675">
          <w:rPr>
            <w:rFonts w:ascii="Arial" w:hAnsi="Arial" w:cs="Arial"/>
            <w:sz w:val="16"/>
            <w:szCs w:val="16"/>
          </w:rPr>
          <w:fldChar w:fldCharType="begin"/>
        </w:r>
        <w:r w:rsidRPr="00954675">
          <w:rPr>
            <w:rFonts w:ascii="Arial" w:hAnsi="Arial" w:cs="Arial"/>
            <w:sz w:val="16"/>
            <w:szCs w:val="16"/>
          </w:rPr>
          <w:instrText xml:space="preserve"> PAGE   \* MERGEFORMAT </w:instrText>
        </w:r>
        <w:r w:rsidRPr="00954675">
          <w:rPr>
            <w:rFonts w:ascii="Arial" w:hAnsi="Arial" w:cs="Arial"/>
            <w:sz w:val="16"/>
            <w:szCs w:val="16"/>
          </w:rPr>
          <w:fldChar w:fldCharType="separate"/>
        </w:r>
        <w:r w:rsidR="00381E6D">
          <w:rPr>
            <w:rFonts w:ascii="Arial" w:hAnsi="Arial" w:cs="Arial"/>
            <w:noProof/>
            <w:sz w:val="16"/>
            <w:szCs w:val="16"/>
          </w:rPr>
          <w:t>9</w:t>
        </w:r>
        <w:r w:rsidRPr="00954675">
          <w:rPr>
            <w:rFonts w:ascii="Arial" w:hAnsi="Arial" w:cs="Arial"/>
            <w:noProof/>
            <w:sz w:val="16"/>
            <w:szCs w:val="16"/>
          </w:rPr>
          <w:fldChar w:fldCharType="end"/>
        </w:r>
      </w:p>
    </w:sdtContent>
  </w:sdt>
  <w:p w14:paraId="66DC0148" w14:textId="77777777" w:rsidR="00954675" w:rsidRDefault="009546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DC0143" w14:textId="77777777" w:rsidR="00954675" w:rsidRDefault="00954675" w:rsidP="00954675">
      <w:pPr>
        <w:spacing w:after="0" w:line="240" w:lineRule="auto"/>
      </w:pPr>
      <w:r>
        <w:separator/>
      </w:r>
    </w:p>
  </w:footnote>
  <w:footnote w:type="continuationSeparator" w:id="0">
    <w:p w14:paraId="66DC0144" w14:textId="77777777" w:rsidR="00954675" w:rsidRDefault="00954675" w:rsidP="00954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894EE876"/>
    <w:lvl w:ilvl="0">
      <w:start w:val="1"/>
      <w:numFmt w:val="bullet"/>
      <w:lvlText w:val="-"/>
      <w:lvlJc w:val="left"/>
      <w:pPr>
        <w:tabs>
          <w:tab w:val="num" w:pos="393"/>
        </w:tabs>
        <w:ind w:left="393" w:firstLine="360"/>
      </w:pPr>
      <w:rPr>
        <w:rFonts w:ascii="Helvetica" w:eastAsia="Arial Unicode MS" w:hAnsi="Helvetica" w:cs="Times New Roman" w:hint="default"/>
        <w:b w:val="0"/>
        <w:position w:val="0"/>
        <w:sz w:val="24"/>
        <w:u w:color="000000"/>
        <w:lang w:val="en-US"/>
      </w:rPr>
    </w:lvl>
    <w:lvl w:ilvl="1">
      <w:start w:val="1"/>
      <w:numFmt w:val="bullet"/>
      <w:lvlText w:val="o"/>
      <w:lvlJc w:val="left"/>
      <w:pPr>
        <w:tabs>
          <w:tab w:val="num" w:pos="360"/>
        </w:tabs>
        <w:ind w:left="360" w:firstLine="1080"/>
      </w:pPr>
      <w:rPr>
        <w:rFonts w:ascii="Helvetica" w:eastAsia="Arial Unicode MS" w:hAnsi="Helvetica" w:cs="Times New Roman" w:hint="default"/>
        <w:b w:val="0"/>
        <w:position w:val="0"/>
        <w:sz w:val="24"/>
        <w:u w:color="000000"/>
        <w:lang w:val="en-US"/>
      </w:rPr>
    </w:lvl>
    <w:lvl w:ilvl="2">
      <w:start w:val="1"/>
      <w:numFmt w:val="bullet"/>
      <w:lvlText w:val="•"/>
      <w:lvlJc w:val="left"/>
      <w:pPr>
        <w:tabs>
          <w:tab w:val="num" w:pos="360"/>
        </w:tabs>
        <w:ind w:left="360" w:firstLine="1800"/>
      </w:pPr>
      <w:rPr>
        <w:rFonts w:ascii="Helvetica" w:eastAsia="Arial Unicode MS" w:hAnsi="Helvetica" w:cs="Times New Roman" w:hint="default"/>
        <w:b w:val="0"/>
        <w:position w:val="0"/>
        <w:sz w:val="24"/>
        <w:u w:color="000000"/>
        <w:lang w:val="en-US"/>
      </w:rPr>
    </w:lvl>
    <w:lvl w:ilvl="3">
      <w:start w:val="1"/>
      <w:numFmt w:val="bullet"/>
      <w:lvlText w:val="•"/>
      <w:lvlJc w:val="left"/>
      <w:pPr>
        <w:tabs>
          <w:tab w:val="num" w:pos="360"/>
        </w:tabs>
        <w:ind w:left="360" w:firstLine="2520"/>
      </w:pPr>
      <w:rPr>
        <w:rFonts w:ascii="Helvetica" w:eastAsia="Arial Unicode MS" w:hAnsi="Helvetica" w:cs="Times New Roman" w:hint="default"/>
        <w:b w:val="0"/>
        <w:position w:val="0"/>
        <w:sz w:val="24"/>
        <w:u w:color="000000"/>
        <w:lang w:val="en-US"/>
      </w:rPr>
    </w:lvl>
    <w:lvl w:ilvl="4">
      <w:start w:val="1"/>
      <w:numFmt w:val="bullet"/>
      <w:lvlText w:val="o"/>
      <w:lvlJc w:val="left"/>
      <w:pPr>
        <w:tabs>
          <w:tab w:val="num" w:pos="360"/>
        </w:tabs>
        <w:ind w:left="360" w:firstLine="3240"/>
      </w:pPr>
      <w:rPr>
        <w:rFonts w:ascii="Helvetica" w:eastAsia="Arial Unicode MS" w:hAnsi="Helvetica" w:cs="Times New Roman" w:hint="default"/>
        <w:b w:val="0"/>
        <w:position w:val="0"/>
        <w:sz w:val="24"/>
        <w:u w:color="000000"/>
        <w:lang w:val="en-US"/>
      </w:rPr>
    </w:lvl>
    <w:lvl w:ilvl="5">
      <w:start w:val="1"/>
      <w:numFmt w:val="bullet"/>
      <w:lvlText w:val="•"/>
      <w:lvlJc w:val="left"/>
      <w:pPr>
        <w:tabs>
          <w:tab w:val="num" w:pos="360"/>
        </w:tabs>
        <w:ind w:left="360" w:firstLine="3960"/>
      </w:pPr>
      <w:rPr>
        <w:rFonts w:ascii="Helvetica" w:eastAsia="Arial Unicode MS" w:hAnsi="Helvetica" w:cs="Times New Roman" w:hint="default"/>
        <w:b w:val="0"/>
        <w:position w:val="0"/>
        <w:sz w:val="24"/>
        <w:u w:color="000000"/>
        <w:lang w:val="en-US"/>
      </w:rPr>
    </w:lvl>
    <w:lvl w:ilvl="6">
      <w:start w:val="1"/>
      <w:numFmt w:val="bullet"/>
      <w:lvlText w:val="•"/>
      <w:lvlJc w:val="left"/>
      <w:pPr>
        <w:tabs>
          <w:tab w:val="num" w:pos="360"/>
        </w:tabs>
        <w:ind w:left="360" w:firstLine="4680"/>
      </w:pPr>
      <w:rPr>
        <w:rFonts w:ascii="Helvetica" w:eastAsia="Arial Unicode MS" w:hAnsi="Helvetica" w:cs="Times New Roman" w:hint="default"/>
        <w:b w:val="0"/>
        <w:position w:val="0"/>
        <w:sz w:val="24"/>
        <w:u w:color="000000"/>
        <w:lang w:val="en-US"/>
      </w:rPr>
    </w:lvl>
    <w:lvl w:ilvl="7">
      <w:start w:val="1"/>
      <w:numFmt w:val="bullet"/>
      <w:lvlText w:val="o"/>
      <w:lvlJc w:val="left"/>
      <w:pPr>
        <w:tabs>
          <w:tab w:val="num" w:pos="360"/>
        </w:tabs>
        <w:ind w:left="360" w:firstLine="5400"/>
      </w:pPr>
      <w:rPr>
        <w:rFonts w:ascii="Helvetica" w:eastAsia="Arial Unicode MS" w:hAnsi="Helvetica" w:cs="Times New Roman" w:hint="default"/>
        <w:b w:val="0"/>
        <w:position w:val="0"/>
        <w:sz w:val="24"/>
        <w:u w:color="000000"/>
        <w:lang w:val="en-US"/>
      </w:rPr>
    </w:lvl>
    <w:lvl w:ilvl="8">
      <w:start w:val="1"/>
      <w:numFmt w:val="bullet"/>
      <w:lvlText w:val="•"/>
      <w:lvlJc w:val="left"/>
      <w:pPr>
        <w:tabs>
          <w:tab w:val="num" w:pos="360"/>
        </w:tabs>
        <w:ind w:left="360" w:firstLine="6120"/>
      </w:pPr>
      <w:rPr>
        <w:rFonts w:ascii="Helvetica" w:eastAsia="Arial Unicode MS" w:hAnsi="Helvetica" w:cs="Times New Roman" w:hint="default"/>
        <w:b w:val="0"/>
        <w:position w:val="0"/>
        <w:sz w:val="24"/>
        <w:u w:color="000000"/>
        <w:lang w:val="en-US"/>
      </w:rPr>
    </w:lvl>
  </w:abstractNum>
  <w:abstractNum w:abstractNumId="1">
    <w:nsid w:val="00000005"/>
    <w:multiLevelType w:val="multilevel"/>
    <w:tmpl w:val="894EE877"/>
    <w:lvl w:ilvl="0">
      <w:start w:val="1"/>
      <w:numFmt w:val="bullet"/>
      <w:lvlText w:val="-"/>
      <w:lvlJc w:val="left"/>
      <w:pPr>
        <w:tabs>
          <w:tab w:val="num" w:pos="393"/>
        </w:tabs>
        <w:ind w:left="393" w:firstLine="360"/>
      </w:pPr>
      <w:rPr>
        <w:rFonts w:ascii="Helvetica" w:eastAsia="Arial Unicode MS" w:hAnsi="Helvetica" w:cs="Times New Roman" w:hint="default"/>
        <w:b w:val="0"/>
        <w:position w:val="0"/>
        <w:sz w:val="24"/>
        <w:u w:color="000000"/>
        <w:lang w:val="en-US"/>
      </w:rPr>
    </w:lvl>
    <w:lvl w:ilvl="1">
      <w:start w:val="1"/>
      <w:numFmt w:val="bullet"/>
      <w:lvlText w:val="o"/>
      <w:lvlJc w:val="left"/>
      <w:pPr>
        <w:tabs>
          <w:tab w:val="num" w:pos="360"/>
        </w:tabs>
        <w:ind w:left="360" w:firstLine="1080"/>
      </w:pPr>
      <w:rPr>
        <w:rFonts w:ascii="Helvetica" w:eastAsia="Arial Unicode MS" w:hAnsi="Helvetica" w:cs="Times New Roman" w:hint="default"/>
        <w:b w:val="0"/>
        <w:position w:val="0"/>
        <w:sz w:val="24"/>
        <w:u w:color="000000"/>
        <w:lang w:val="en-US"/>
      </w:rPr>
    </w:lvl>
    <w:lvl w:ilvl="2">
      <w:start w:val="1"/>
      <w:numFmt w:val="bullet"/>
      <w:lvlText w:val="•"/>
      <w:lvlJc w:val="left"/>
      <w:pPr>
        <w:tabs>
          <w:tab w:val="num" w:pos="360"/>
        </w:tabs>
        <w:ind w:left="360" w:firstLine="1800"/>
      </w:pPr>
      <w:rPr>
        <w:rFonts w:ascii="Helvetica" w:eastAsia="Arial Unicode MS" w:hAnsi="Helvetica" w:cs="Times New Roman" w:hint="default"/>
        <w:b w:val="0"/>
        <w:position w:val="0"/>
        <w:sz w:val="24"/>
        <w:u w:color="000000"/>
        <w:lang w:val="en-US"/>
      </w:rPr>
    </w:lvl>
    <w:lvl w:ilvl="3">
      <w:start w:val="1"/>
      <w:numFmt w:val="bullet"/>
      <w:lvlText w:val="•"/>
      <w:lvlJc w:val="left"/>
      <w:pPr>
        <w:tabs>
          <w:tab w:val="num" w:pos="360"/>
        </w:tabs>
        <w:ind w:left="360" w:firstLine="2520"/>
      </w:pPr>
      <w:rPr>
        <w:rFonts w:ascii="Helvetica" w:eastAsia="Arial Unicode MS" w:hAnsi="Helvetica" w:cs="Times New Roman" w:hint="default"/>
        <w:b w:val="0"/>
        <w:position w:val="0"/>
        <w:sz w:val="24"/>
        <w:u w:color="000000"/>
        <w:lang w:val="en-US"/>
      </w:rPr>
    </w:lvl>
    <w:lvl w:ilvl="4">
      <w:start w:val="1"/>
      <w:numFmt w:val="bullet"/>
      <w:lvlText w:val="o"/>
      <w:lvlJc w:val="left"/>
      <w:pPr>
        <w:tabs>
          <w:tab w:val="num" w:pos="360"/>
        </w:tabs>
        <w:ind w:left="360" w:firstLine="3240"/>
      </w:pPr>
      <w:rPr>
        <w:rFonts w:ascii="Helvetica" w:eastAsia="Arial Unicode MS" w:hAnsi="Helvetica" w:cs="Times New Roman" w:hint="default"/>
        <w:b w:val="0"/>
        <w:position w:val="0"/>
        <w:sz w:val="24"/>
        <w:u w:color="000000"/>
        <w:lang w:val="en-US"/>
      </w:rPr>
    </w:lvl>
    <w:lvl w:ilvl="5">
      <w:start w:val="1"/>
      <w:numFmt w:val="bullet"/>
      <w:lvlText w:val="•"/>
      <w:lvlJc w:val="left"/>
      <w:pPr>
        <w:tabs>
          <w:tab w:val="num" w:pos="360"/>
        </w:tabs>
        <w:ind w:left="360" w:firstLine="3960"/>
      </w:pPr>
      <w:rPr>
        <w:rFonts w:ascii="Helvetica" w:eastAsia="Arial Unicode MS" w:hAnsi="Helvetica" w:cs="Times New Roman" w:hint="default"/>
        <w:b w:val="0"/>
        <w:position w:val="0"/>
        <w:sz w:val="24"/>
        <w:u w:color="000000"/>
        <w:lang w:val="en-US"/>
      </w:rPr>
    </w:lvl>
    <w:lvl w:ilvl="6">
      <w:start w:val="1"/>
      <w:numFmt w:val="bullet"/>
      <w:lvlText w:val="•"/>
      <w:lvlJc w:val="left"/>
      <w:pPr>
        <w:tabs>
          <w:tab w:val="num" w:pos="360"/>
        </w:tabs>
        <w:ind w:left="360" w:firstLine="4680"/>
      </w:pPr>
      <w:rPr>
        <w:rFonts w:ascii="Helvetica" w:eastAsia="Arial Unicode MS" w:hAnsi="Helvetica" w:cs="Times New Roman" w:hint="default"/>
        <w:b w:val="0"/>
        <w:position w:val="0"/>
        <w:sz w:val="24"/>
        <w:u w:color="000000"/>
        <w:lang w:val="en-US"/>
      </w:rPr>
    </w:lvl>
    <w:lvl w:ilvl="7">
      <w:start w:val="1"/>
      <w:numFmt w:val="bullet"/>
      <w:lvlText w:val="o"/>
      <w:lvlJc w:val="left"/>
      <w:pPr>
        <w:tabs>
          <w:tab w:val="num" w:pos="360"/>
        </w:tabs>
        <w:ind w:left="360" w:firstLine="5400"/>
      </w:pPr>
      <w:rPr>
        <w:rFonts w:ascii="Helvetica" w:eastAsia="Arial Unicode MS" w:hAnsi="Helvetica" w:cs="Times New Roman" w:hint="default"/>
        <w:b w:val="0"/>
        <w:position w:val="0"/>
        <w:sz w:val="24"/>
        <w:u w:color="000000"/>
        <w:lang w:val="en-US"/>
      </w:rPr>
    </w:lvl>
    <w:lvl w:ilvl="8">
      <w:start w:val="1"/>
      <w:numFmt w:val="bullet"/>
      <w:lvlText w:val="•"/>
      <w:lvlJc w:val="left"/>
      <w:pPr>
        <w:tabs>
          <w:tab w:val="num" w:pos="360"/>
        </w:tabs>
        <w:ind w:left="360" w:firstLine="6120"/>
      </w:pPr>
      <w:rPr>
        <w:rFonts w:ascii="Helvetica" w:eastAsia="Arial Unicode MS" w:hAnsi="Helvetica" w:cs="Times New Roman" w:hint="default"/>
        <w:b w:val="0"/>
        <w:position w:val="0"/>
        <w:sz w:val="24"/>
        <w:u w:color="000000"/>
        <w:lang w:val="en-US"/>
      </w:rPr>
    </w:lvl>
  </w:abstractNum>
  <w:abstractNum w:abstractNumId="2">
    <w:nsid w:val="00000006"/>
    <w:multiLevelType w:val="multilevel"/>
    <w:tmpl w:val="894EE878"/>
    <w:lvl w:ilvl="0">
      <w:start w:val="1"/>
      <w:numFmt w:val="bullet"/>
      <w:lvlText w:val="-"/>
      <w:lvlJc w:val="left"/>
      <w:pPr>
        <w:tabs>
          <w:tab w:val="num" w:pos="393"/>
        </w:tabs>
        <w:ind w:left="393" w:firstLine="360"/>
      </w:pPr>
      <w:rPr>
        <w:rFonts w:ascii="Helvetica" w:eastAsia="Arial Unicode MS" w:hAnsi="Helvetica" w:cs="Times New Roman" w:hint="default"/>
        <w:b w:val="0"/>
        <w:position w:val="0"/>
        <w:sz w:val="24"/>
        <w:u w:color="000000"/>
        <w:lang w:val="en-US"/>
      </w:rPr>
    </w:lvl>
    <w:lvl w:ilvl="1">
      <w:start w:val="1"/>
      <w:numFmt w:val="bullet"/>
      <w:lvlText w:val="o"/>
      <w:lvlJc w:val="left"/>
      <w:pPr>
        <w:tabs>
          <w:tab w:val="num" w:pos="360"/>
        </w:tabs>
        <w:ind w:left="360" w:firstLine="1080"/>
      </w:pPr>
      <w:rPr>
        <w:rFonts w:ascii="Helvetica" w:eastAsia="Arial Unicode MS" w:hAnsi="Helvetica" w:cs="Times New Roman" w:hint="default"/>
        <w:b w:val="0"/>
        <w:position w:val="0"/>
        <w:sz w:val="24"/>
        <w:u w:color="000000"/>
        <w:lang w:val="en-US"/>
      </w:rPr>
    </w:lvl>
    <w:lvl w:ilvl="2">
      <w:start w:val="1"/>
      <w:numFmt w:val="bullet"/>
      <w:lvlText w:val="•"/>
      <w:lvlJc w:val="left"/>
      <w:pPr>
        <w:tabs>
          <w:tab w:val="num" w:pos="360"/>
        </w:tabs>
        <w:ind w:left="360" w:firstLine="1800"/>
      </w:pPr>
      <w:rPr>
        <w:rFonts w:ascii="Helvetica" w:eastAsia="Arial Unicode MS" w:hAnsi="Helvetica" w:cs="Times New Roman" w:hint="default"/>
        <w:b w:val="0"/>
        <w:position w:val="0"/>
        <w:sz w:val="24"/>
        <w:u w:color="000000"/>
        <w:lang w:val="en-US"/>
      </w:rPr>
    </w:lvl>
    <w:lvl w:ilvl="3">
      <w:start w:val="1"/>
      <w:numFmt w:val="bullet"/>
      <w:lvlText w:val="•"/>
      <w:lvlJc w:val="left"/>
      <w:pPr>
        <w:tabs>
          <w:tab w:val="num" w:pos="360"/>
        </w:tabs>
        <w:ind w:left="360" w:firstLine="2520"/>
      </w:pPr>
      <w:rPr>
        <w:rFonts w:ascii="Helvetica" w:eastAsia="Arial Unicode MS" w:hAnsi="Helvetica" w:cs="Times New Roman" w:hint="default"/>
        <w:b w:val="0"/>
        <w:position w:val="0"/>
        <w:sz w:val="24"/>
        <w:u w:color="000000"/>
        <w:lang w:val="en-US"/>
      </w:rPr>
    </w:lvl>
    <w:lvl w:ilvl="4">
      <w:start w:val="1"/>
      <w:numFmt w:val="bullet"/>
      <w:lvlText w:val="o"/>
      <w:lvlJc w:val="left"/>
      <w:pPr>
        <w:tabs>
          <w:tab w:val="num" w:pos="360"/>
        </w:tabs>
        <w:ind w:left="360" w:firstLine="3240"/>
      </w:pPr>
      <w:rPr>
        <w:rFonts w:ascii="Helvetica" w:eastAsia="Arial Unicode MS" w:hAnsi="Helvetica" w:cs="Times New Roman" w:hint="default"/>
        <w:b w:val="0"/>
        <w:position w:val="0"/>
        <w:sz w:val="24"/>
        <w:u w:color="000000"/>
        <w:lang w:val="en-US"/>
      </w:rPr>
    </w:lvl>
    <w:lvl w:ilvl="5">
      <w:start w:val="1"/>
      <w:numFmt w:val="bullet"/>
      <w:lvlText w:val="•"/>
      <w:lvlJc w:val="left"/>
      <w:pPr>
        <w:tabs>
          <w:tab w:val="num" w:pos="360"/>
        </w:tabs>
        <w:ind w:left="360" w:firstLine="3960"/>
      </w:pPr>
      <w:rPr>
        <w:rFonts w:ascii="Helvetica" w:eastAsia="Arial Unicode MS" w:hAnsi="Helvetica" w:cs="Times New Roman" w:hint="default"/>
        <w:b w:val="0"/>
        <w:position w:val="0"/>
        <w:sz w:val="24"/>
        <w:u w:color="000000"/>
        <w:lang w:val="en-US"/>
      </w:rPr>
    </w:lvl>
    <w:lvl w:ilvl="6">
      <w:start w:val="1"/>
      <w:numFmt w:val="bullet"/>
      <w:lvlText w:val="•"/>
      <w:lvlJc w:val="left"/>
      <w:pPr>
        <w:tabs>
          <w:tab w:val="num" w:pos="360"/>
        </w:tabs>
        <w:ind w:left="360" w:firstLine="4680"/>
      </w:pPr>
      <w:rPr>
        <w:rFonts w:ascii="Helvetica" w:eastAsia="Arial Unicode MS" w:hAnsi="Helvetica" w:cs="Times New Roman" w:hint="default"/>
        <w:b w:val="0"/>
        <w:position w:val="0"/>
        <w:sz w:val="24"/>
        <w:u w:color="000000"/>
        <w:lang w:val="en-US"/>
      </w:rPr>
    </w:lvl>
    <w:lvl w:ilvl="7">
      <w:start w:val="1"/>
      <w:numFmt w:val="bullet"/>
      <w:lvlText w:val="o"/>
      <w:lvlJc w:val="left"/>
      <w:pPr>
        <w:tabs>
          <w:tab w:val="num" w:pos="360"/>
        </w:tabs>
        <w:ind w:left="360" w:firstLine="5400"/>
      </w:pPr>
      <w:rPr>
        <w:rFonts w:ascii="Helvetica" w:eastAsia="Arial Unicode MS" w:hAnsi="Helvetica" w:cs="Times New Roman" w:hint="default"/>
        <w:b w:val="0"/>
        <w:position w:val="0"/>
        <w:sz w:val="24"/>
        <w:u w:color="000000"/>
        <w:lang w:val="en-US"/>
      </w:rPr>
    </w:lvl>
    <w:lvl w:ilvl="8">
      <w:start w:val="1"/>
      <w:numFmt w:val="bullet"/>
      <w:lvlText w:val="•"/>
      <w:lvlJc w:val="left"/>
      <w:pPr>
        <w:tabs>
          <w:tab w:val="num" w:pos="360"/>
        </w:tabs>
        <w:ind w:left="360" w:firstLine="6120"/>
      </w:pPr>
      <w:rPr>
        <w:rFonts w:ascii="Helvetica" w:eastAsia="Arial Unicode MS" w:hAnsi="Helvetica" w:cs="Times New Roman" w:hint="default"/>
        <w:b w:val="0"/>
        <w:position w:val="0"/>
        <w:sz w:val="24"/>
        <w:u w:color="000000"/>
        <w:lang w:val="en-US"/>
      </w:rPr>
    </w:lvl>
  </w:abstractNum>
  <w:abstractNum w:abstractNumId="3">
    <w:nsid w:val="019B4403"/>
    <w:multiLevelType w:val="hybridMultilevel"/>
    <w:tmpl w:val="BC34BCC2"/>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4">
    <w:nsid w:val="10BF15C6"/>
    <w:multiLevelType w:val="hybridMultilevel"/>
    <w:tmpl w:val="DC38E5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81D397E"/>
    <w:multiLevelType w:val="hybridMultilevel"/>
    <w:tmpl w:val="A0CC5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CE75F0B"/>
    <w:multiLevelType w:val="hybridMultilevel"/>
    <w:tmpl w:val="F03E389C"/>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7">
    <w:nsid w:val="61375710"/>
    <w:multiLevelType w:val="hybridMultilevel"/>
    <w:tmpl w:val="006C82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3"/>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CF"/>
    <w:rsid w:val="00381E6D"/>
    <w:rsid w:val="00397582"/>
    <w:rsid w:val="00465EC5"/>
    <w:rsid w:val="006C1BF3"/>
    <w:rsid w:val="00954675"/>
    <w:rsid w:val="00A754CF"/>
    <w:rsid w:val="00BB5604"/>
    <w:rsid w:val="00C05B85"/>
    <w:rsid w:val="00C21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F3"/>
  </w:style>
  <w:style w:type="paragraph" w:styleId="Heading1">
    <w:name w:val="heading 1"/>
    <w:basedOn w:val="Normal"/>
    <w:next w:val="Normal"/>
    <w:link w:val="Heading1Char"/>
    <w:uiPriority w:val="9"/>
    <w:qFormat/>
    <w:rsid w:val="006C1BF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C1BF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C1BF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C1BF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C1BF3"/>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C1BF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C1B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1BF3"/>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6C1B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bullet point list,NAST Quote,Bullets,Dot point 1.5 line spacing,List Paragraph - bullets,Bullet point,DDM Gen Text,NFP GP Bulleted List,List Paragraph Number,Content descriptions"/>
    <w:basedOn w:val="Normal"/>
    <w:link w:val="ListParagraphChar"/>
    <w:uiPriority w:val="34"/>
    <w:qFormat/>
    <w:rsid w:val="006C1BF3"/>
    <w:pPr>
      <w:ind w:left="720"/>
      <w:contextualSpacing/>
    </w:pPr>
  </w:style>
  <w:style w:type="character" w:customStyle="1" w:styleId="ListParagraphChar">
    <w:name w:val="List Paragraph Char"/>
    <w:aliases w:val="L Char,List Paragraph1 Char,List Paragraph11 Char,Recommendation Char,bullet point list Char,NAST Quote Char,Bullets Char,Dot point 1.5 line spacing Char,List Paragraph - bullets Char,Bullet point Char,DDM Gen Text Char"/>
    <w:basedOn w:val="DefaultParagraphFont"/>
    <w:link w:val="ListParagraph"/>
    <w:uiPriority w:val="34"/>
    <w:locked/>
    <w:rsid w:val="00A754CF"/>
  </w:style>
  <w:style w:type="paragraph" w:customStyle="1" w:styleId="Body1">
    <w:name w:val="Body 1"/>
    <w:rsid w:val="00A754CF"/>
    <w:pPr>
      <w:spacing w:after="0" w:line="240" w:lineRule="auto"/>
    </w:pPr>
    <w:rPr>
      <w:rFonts w:ascii="Helvetica" w:eastAsia="Arial Unicode MS" w:hAnsi="Helvetica" w:cs="Times New Roman"/>
      <w:color w:val="000000"/>
      <w:sz w:val="24"/>
      <w:szCs w:val="20"/>
      <w:lang w:eastAsia="en-AU"/>
    </w:rPr>
  </w:style>
  <w:style w:type="paragraph" w:styleId="PlainText">
    <w:name w:val="Plain Text"/>
    <w:basedOn w:val="Normal"/>
    <w:link w:val="PlainTextChar"/>
    <w:uiPriority w:val="99"/>
    <w:semiHidden/>
    <w:unhideWhenUsed/>
    <w:rsid w:val="00A754C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754CF"/>
    <w:rPr>
      <w:rFonts w:ascii="Calibri" w:hAnsi="Calibri"/>
      <w:szCs w:val="21"/>
    </w:rPr>
  </w:style>
  <w:style w:type="paragraph" w:styleId="Header">
    <w:name w:val="header"/>
    <w:basedOn w:val="Normal"/>
    <w:link w:val="HeaderChar"/>
    <w:uiPriority w:val="99"/>
    <w:unhideWhenUsed/>
    <w:rsid w:val="00954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675"/>
  </w:style>
  <w:style w:type="paragraph" w:styleId="Footer">
    <w:name w:val="footer"/>
    <w:basedOn w:val="Normal"/>
    <w:link w:val="FooterChar"/>
    <w:uiPriority w:val="99"/>
    <w:unhideWhenUsed/>
    <w:rsid w:val="00954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675"/>
  </w:style>
  <w:style w:type="character" w:customStyle="1" w:styleId="Heading1Char">
    <w:name w:val="Heading 1 Char"/>
    <w:basedOn w:val="DefaultParagraphFont"/>
    <w:link w:val="Heading1"/>
    <w:uiPriority w:val="9"/>
    <w:rsid w:val="006C1BF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C1BF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C1BF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6C1BF3"/>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6C1BF3"/>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6C1BF3"/>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6C1B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1BF3"/>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6C1BF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C1BF3"/>
    <w:pPr>
      <w:spacing w:line="240" w:lineRule="auto"/>
    </w:pPr>
    <w:rPr>
      <w:b/>
      <w:bCs/>
      <w:color w:val="5B9BD5" w:themeColor="accent1"/>
      <w:sz w:val="18"/>
      <w:szCs w:val="18"/>
    </w:rPr>
  </w:style>
  <w:style w:type="paragraph" w:styleId="Title">
    <w:name w:val="Title"/>
    <w:basedOn w:val="Normal"/>
    <w:next w:val="Normal"/>
    <w:link w:val="TitleChar"/>
    <w:uiPriority w:val="10"/>
    <w:qFormat/>
    <w:rsid w:val="006C1BF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C1BF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6C1BF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C1BF3"/>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6C1BF3"/>
    <w:rPr>
      <w:b/>
      <w:bCs/>
    </w:rPr>
  </w:style>
  <w:style w:type="character" w:styleId="Emphasis">
    <w:name w:val="Emphasis"/>
    <w:basedOn w:val="DefaultParagraphFont"/>
    <w:uiPriority w:val="20"/>
    <w:qFormat/>
    <w:rsid w:val="006C1BF3"/>
    <w:rPr>
      <w:i/>
      <w:iCs/>
    </w:rPr>
  </w:style>
  <w:style w:type="paragraph" w:styleId="NoSpacing">
    <w:name w:val="No Spacing"/>
    <w:uiPriority w:val="1"/>
    <w:qFormat/>
    <w:rsid w:val="006C1BF3"/>
    <w:pPr>
      <w:spacing w:after="0" w:line="240" w:lineRule="auto"/>
    </w:pPr>
  </w:style>
  <w:style w:type="paragraph" w:styleId="Quote">
    <w:name w:val="Quote"/>
    <w:basedOn w:val="Normal"/>
    <w:next w:val="Normal"/>
    <w:link w:val="QuoteChar"/>
    <w:uiPriority w:val="29"/>
    <w:qFormat/>
    <w:rsid w:val="006C1BF3"/>
    <w:rPr>
      <w:i/>
      <w:iCs/>
      <w:color w:val="000000" w:themeColor="text1"/>
    </w:rPr>
  </w:style>
  <w:style w:type="character" w:customStyle="1" w:styleId="QuoteChar">
    <w:name w:val="Quote Char"/>
    <w:basedOn w:val="DefaultParagraphFont"/>
    <w:link w:val="Quote"/>
    <w:uiPriority w:val="29"/>
    <w:rsid w:val="006C1BF3"/>
    <w:rPr>
      <w:i/>
      <w:iCs/>
      <w:color w:val="000000" w:themeColor="text1"/>
    </w:rPr>
  </w:style>
  <w:style w:type="paragraph" w:styleId="IntenseQuote">
    <w:name w:val="Intense Quote"/>
    <w:basedOn w:val="Normal"/>
    <w:next w:val="Normal"/>
    <w:link w:val="IntenseQuoteChar"/>
    <w:uiPriority w:val="30"/>
    <w:qFormat/>
    <w:rsid w:val="006C1BF3"/>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6C1BF3"/>
    <w:rPr>
      <w:b/>
      <w:bCs/>
      <w:i/>
      <w:iCs/>
      <w:color w:val="5B9BD5" w:themeColor="accent1"/>
    </w:rPr>
  </w:style>
  <w:style w:type="character" w:styleId="SubtleEmphasis">
    <w:name w:val="Subtle Emphasis"/>
    <w:basedOn w:val="DefaultParagraphFont"/>
    <w:uiPriority w:val="19"/>
    <w:qFormat/>
    <w:rsid w:val="006C1BF3"/>
    <w:rPr>
      <w:i/>
      <w:iCs/>
      <w:color w:val="808080" w:themeColor="text1" w:themeTint="7F"/>
    </w:rPr>
  </w:style>
  <w:style w:type="character" w:styleId="IntenseEmphasis">
    <w:name w:val="Intense Emphasis"/>
    <w:basedOn w:val="DefaultParagraphFont"/>
    <w:uiPriority w:val="21"/>
    <w:qFormat/>
    <w:rsid w:val="006C1BF3"/>
    <w:rPr>
      <w:b/>
      <w:bCs/>
      <w:i/>
      <w:iCs/>
      <w:color w:val="5B9BD5" w:themeColor="accent1"/>
    </w:rPr>
  </w:style>
  <w:style w:type="character" w:styleId="SubtleReference">
    <w:name w:val="Subtle Reference"/>
    <w:basedOn w:val="DefaultParagraphFont"/>
    <w:uiPriority w:val="31"/>
    <w:qFormat/>
    <w:rsid w:val="006C1BF3"/>
    <w:rPr>
      <w:smallCaps/>
      <w:color w:val="ED7D31" w:themeColor="accent2"/>
      <w:u w:val="single"/>
    </w:rPr>
  </w:style>
  <w:style w:type="character" w:styleId="IntenseReference">
    <w:name w:val="Intense Reference"/>
    <w:basedOn w:val="DefaultParagraphFont"/>
    <w:uiPriority w:val="32"/>
    <w:qFormat/>
    <w:rsid w:val="006C1BF3"/>
    <w:rPr>
      <w:b/>
      <w:bCs/>
      <w:smallCaps/>
      <w:color w:val="ED7D31" w:themeColor="accent2"/>
      <w:spacing w:val="5"/>
      <w:u w:val="single"/>
    </w:rPr>
  </w:style>
  <w:style w:type="character" w:styleId="BookTitle">
    <w:name w:val="Book Title"/>
    <w:basedOn w:val="DefaultParagraphFont"/>
    <w:uiPriority w:val="33"/>
    <w:qFormat/>
    <w:rsid w:val="006C1BF3"/>
    <w:rPr>
      <w:b/>
      <w:bCs/>
      <w:smallCaps/>
      <w:spacing w:val="5"/>
    </w:rPr>
  </w:style>
  <w:style w:type="paragraph" w:styleId="TOCHeading">
    <w:name w:val="TOC Heading"/>
    <w:basedOn w:val="Heading1"/>
    <w:next w:val="Normal"/>
    <w:uiPriority w:val="39"/>
    <w:semiHidden/>
    <w:unhideWhenUsed/>
    <w:qFormat/>
    <w:rsid w:val="006C1BF3"/>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BF3"/>
  </w:style>
  <w:style w:type="paragraph" w:styleId="Heading1">
    <w:name w:val="heading 1"/>
    <w:basedOn w:val="Normal"/>
    <w:next w:val="Normal"/>
    <w:link w:val="Heading1Char"/>
    <w:uiPriority w:val="9"/>
    <w:qFormat/>
    <w:rsid w:val="006C1BF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C1BF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C1BF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C1BF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C1BF3"/>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C1BF3"/>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C1B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1BF3"/>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6C1B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List Paragraph11,Recommendation,bullet point list,NAST Quote,Bullets,Dot point 1.5 line spacing,List Paragraph - bullets,Bullet point,DDM Gen Text,NFP GP Bulleted List,List Paragraph Number,Content descriptions"/>
    <w:basedOn w:val="Normal"/>
    <w:link w:val="ListParagraphChar"/>
    <w:uiPriority w:val="34"/>
    <w:qFormat/>
    <w:rsid w:val="006C1BF3"/>
    <w:pPr>
      <w:ind w:left="720"/>
      <w:contextualSpacing/>
    </w:pPr>
  </w:style>
  <w:style w:type="character" w:customStyle="1" w:styleId="ListParagraphChar">
    <w:name w:val="List Paragraph Char"/>
    <w:aliases w:val="L Char,List Paragraph1 Char,List Paragraph11 Char,Recommendation Char,bullet point list Char,NAST Quote Char,Bullets Char,Dot point 1.5 line spacing Char,List Paragraph - bullets Char,Bullet point Char,DDM Gen Text Char"/>
    <w:basedOn w:val="DefaultParagraphFont"/>
    <w:link w:val="ListParagraph"/>
    <w:uiPriority w:val="34"/>
    <w:locked/>
    <w:rsid w:val="00A754CF"/>
  </w:style>
  <w:style w:type="paragraph" w:customStyle="1" w:styleId="Body1">
    <w:name w:val="Body 1"/>
    <w:rsid w:val="00A754CF"/>
    <w:pPr>
      <w:spacing w:after="0" w:line="240" w:lineRule="auto"/>
    </w:pPr>
    <w:rPr>
      <w:rFonts w:ascii="Helvetica" w:eastAsia="Arial Unicode MS" w:hAnsi="Helvetica" w:cs="Times New Roman"/>
      <w:color w:val="000000"/>
      <w:sz w:val="24"/>
      <w:szCs w:val="20"/>
      <w:lang w:eastAsia="en-AU"/>
    </w:rPr>
  </w:style>
  <w:style w:type="paragraph" w:styleId="PlainText">
    <w:name w:val="Plain Text"/>
    <w:basedOn w:val="Normal"/>
    <w:link w:val="PlainTextChar"/>
    <w:uiPriority w:val="99"/>
    <w:semiHidden/>
    <w:unhideWhenUsed/>
    <w:rsid w:val="00A754C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754CF"/>
    <w:rPr>
      <w:rFonts w:ascii="Calibri" w:hAnsi="Calibri"/>
      <w:szCs w:val="21"/>
    </w:rPr>
  </w:style>
  <w:style w:type="paragraph" w:styleId="Header">
    <w:name w:val="header"/>
    <w:basedOn w:val="Normal"/>
    <w:link w:val="HeaderChar"/>
    <w:uiPriority w:val="99"/>
    <w:unhideWhenUsed/>
    <w:rsid w:val="00954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675"/>
  </w:style>
  <w:style w:type="paragraph" w:styleId="Footer">
    <w:name w:val="footer"/>
    <w:basedOn w:val="Normal"/>
    <w:link w:val="FooterChar"/>
    <w:uiPriority w:val="99"/>
    <w:unhideWhenUsed/>
    <w:rsid w:val="00954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675"/>
  </w:style>
  <w:style w:type="character" w:customStyle="1" w:styleId="Heading1Char">
    <w:name w:val="Heading 1 Char"/>
    <w:basedOn w:val="DefaultParagraphFont"/>
    <w:link w:val="Heading1"/>
    <w:uiPriority w:val="9"/>
    <w:rsid w:val="006C1BF3"/>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6C1BF3"/>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6C1BF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6C1BF3"/>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6C1BF3"/>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6C1BF3"/>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6C1B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1BF3"/>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6C1BF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C1BF3"/>
    <w:pPr>
      <w:spacing w:line="240" w:lineRule="auto"/>
    </w:pPr>
    <w:rPr>
      <w:b/>
      <w:bCs/>
      <w:color w:val="5B9BD5" w:themeColor="accent1"/>
      <w:sz w:val="18"/>
      <w:szCs w:val="18"/>
    </w:rPr>
  </w:style>
  <w:style w:type="paragraph" w:styleId="Title">
    <w:name w:val="Title"/>
    <w:basedOn w:val="Normal"/>
    <w:next w:val="Normal"/>
    <w:link w:val="TitleChar"/>
    <w:uiPriority w:val="10"/>
    <w:qFormat/>
    <w:rsid w:val="006C1BF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C1BF3"/>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6C1BF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C1BF3"/>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6C1BF3"/>
    <w:rPr>
      <w:b/>
      <w:bCs/>
    </w:rPr>
  </w:style>
  <w:style w:type="character" w:styleId="Emphasis">
    <w:name w:val="Emphasis"/>
    <w:basedOn w:val="DefaultParagraphFont"/>
    <w:uiPriority w:val="20"/>
    <w:qFormat/>
    <w:rsid w:val="006C1BF3"/>
    <w:rPr>
      <w:i/>
      <w:iCs/>
    </w:rPr>
  </w:style>
  <w:style w:type="paragraph" w:styleId="NoSpacing">
    <w:name w:val="No Spacing"/>
    <w:uiPriority w:val="1"/>
    <w:qFormat/>
    <w:rsid w:val="006C1BF3"/>
    <w:pPr>
      <w:spacing w:after="0" w:line="240" w:lineRule="auto"/>
    </w:pPr>
  </w:style>
  <w:style w:type="paragraph" w:styleId="Quote">
    <w:name w:val="Quote"/>
    <w:basedOn w:val="Normal"/>
    <w:next w:val="Normal"/>
    <w:link w:val="QuoteChar"/>
    <w:uiPriority w:val="29"/>
    <w:qFormat/>
    <w:rsid w:val="006C1BF3"/>
    <w:rPr>
      <w:i/>
      <w:iCs/>
      <w:color w:val="000000" w:themeColor="text1"/>
    </w:rPr>
  </w:style>
  <w:style w:type="character" w:customStyle="1" w:styleId="QuoteChar">
    <w:name w:val="Quote Char"/>
    <w:basedOn w:val="DefaultParagraphFont"/>
    <w:link w:val="Quote"/>
    <w:uiPriority w:val="29"/>
    <w:rsid w:val="006C1BF3"/>
    <w:rPr>
      <w:i/>
      <w:iCs/>
      <w:color w:val="000000" w:themeColor="text1"/>
    </w:rPr>
  </w:style>
  <w:style w:type="paragraph" w:styleId="IntenseQuote">
    <w:name w:val="Intense Quote"/>
    <w:basedOn w:val="Normal"/>
    <w:next w:val="Normal"/>
    <w:link w:val="IntenseQuoteChar"/>
    <w:uiPriority w:val="30"/>
    <w:qFormat/>
    <w:rsid w:val="006C1BF3"/>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6C1BF3"/>
    <w:rPr>
      <w:b/>
      <w:bCs/>
      <w:i/>
      <w:iCs/>
      <w:color w:val="5B9BD5" w:themeColor="accent1"/>
    </w:rPr>
  </w:style>
  <w:style w:type="character" w:styleId="SubtleEmphasis">
    <w:name w:val="Subtle Emphasis"/>
    <w:basedOn w:val="DefaultParagraphFont"/>
    <w:uiPriority w:val="19"/>
    <w:qFormat/>
    <w:rsid w:val="006C1BF3"/>
    <w:rPr>
      <w:i/>
      <w:iCs/>
      <w:color w:val="808080" w:themeColor="text1" w:themeTint="7F"/>
    </w:rPr>
  </w:style>
  <w:style w:type="character" w:styleId="IntenseEmphasis">
    <w:name w:val="Intense Emphasis"/>
    <w:basedOn w:val="DefaultParagraphFont"/>
    <w:uiPriority w:val="21"/>
    <w:qFormat/>
    <w:rsid w:val="006C1BF3"/>
    <w:rPr>
      <w:b/>
      <w:bCs/>
      <w:i/>
      <w:iCs/>
      <w:color w:val="5B9BD5" w:themeColor="accent1"/>
    </w:rPr>
  </w:style>
  <w:style w:type="character" w:styleId="SubtleReference">
    <w:name w:val="Subtle Reference"/>
    <w:basedOn w:val="DefaultParagraphFont"/>
    <w:uiPriority w:val="31"/>
    <w:qFormat/>
    <w:rsid w:val="006C1BF3"/>
    <w:rPr>
      <w:smallCaps/>
      <w:color w:val="ED7D31" w:themeColor="accent2"/>
      <w:u w:val="single"/>
    </w:rPr>
  </w:style>
  <w:style w:type="character" w:styleId="IntenseReference">
    <w:name w:val="Intense Reference"/>
    <w:basedOn w:val="DefaultParagraphFont"/>
    <w:uiPriority w:val="32"/>
    <w:qFormat/>
    <w:rsid w:val="006C1BF3"/>
    <w:rPr>
      <w:b/>
      <w:bCs/>
      <w:smallCaps/>
      <w:color w:val="ED7D31" w:themeColor="accent2"/>
      <w:spacing w:val="5"/>
      <w:u w:val="single"/>
    </w:rPr>
  </w:style>
  <w:style w:type="character" w:styleId="BookTitle">
    <w:name w:val="Book Title"/>
    <w:basedOn w:val="DefaultParagraphFont"/>
    <w:uiPriority w:val="33"/>
    <w:qFormat/>
    <w:rsid w:val="006C1BF3"/>
    <w:rPr>
      <w:b/>
      <w:bCs/>
      <w:smallCaps/>
      <w:spacing w:val="5"/>
    </w:rPr>
  </w:style>
  <w:style w:type="paragraph" w:styleId="TOCHeading">
    <w:name w:val="TOC Heading"/>
    <w:basedOn w:val="Heading1"/>
    <w:next w:val="Normal"/>
    <w:uiPriority w:val="39"/>
    <w:semiHidden/>
    <w:unhideWhenUsed/>
    <w:qFormat/>
    <w:rsid w:val="006C1BF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6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32659050105A4BB64EC7FE4940F188" ma:contentTypeVersion="6" ma:contentTypeDescription="Create a new document." ma:contentTypeScope="" ma:versionID="30af37d55298fa54ee7cc145298a8809">
  <xsd:schema xmlns:xsd="http://www.w3.org/2001/XMLSchema" xmlns:xs="http://www.w3.org/2001/XMLSchema" xmlns:p="http://schemas.microsoft.com/office/2006/metadata/properties" xmlns:ns2="ed110c73-9675-4a40-bedd-85eaf2417466" targetNamespace="http://schemas.microsoft.com/office/2006/metadata/properties" ma:root="true" ma:fieldsID="91248dea6c99aebf2c8210347db92905" ns2:_="">
    <xsd:import namespace="ed110c73-9675-4a40-bedd-85eaf2417466"/>
    <xsd:element name="properties">
      <xsd:complexType>
        <xsd:sequence>
          <xsd:element name="documentManagement">
            <xsd:complexType>
              <xsd:all>
                <xsd:element ref="ns2:SubmissionID"/>
                <xsd:element ref="ns2:DocumentType"/>
                <xsd:element ref="ns2:DocumentStatus"/>
                <xsd:element ref="ns2:DocumentVisibility"/>
                <xsd:element ref="ns2:ApproverNotes" minOccurs="0"/>
                <xsd:element ref="ns2: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10c73-9675-4a40-bedd-85eaf2417466" elementFormDefault="qualified">
    <xsd:import namespace="http://schemas.microsoft.com/office/2006/documentManagement/types"/>
    <xsd:import namespace="http://schemas.microsoft.com/office/infopath/2007/PartnerControls"/>
    <xsd:element name="SubmissionID" ma:index="8" ma:displayName="SubmissionID" ma:description="The matching SubmissionID for this document. Internal use only." ma:indexed="true" ma:internalName="SubmissionID">
      <xsd:simpleType>
        <xsd:restriction base="dms:Text"/>
      </xsd:simpleType>
    </xsd:element>
    <xsd:element name="DocumentType" ma:index="9" ma:displayName="DocumentType" ma:description="Indicates the document type." ma:internalName="DocumentType">
      <xsd:simpleType>
        <xsd:restriction base="dms:Choice">
          <xsd:enumeration value="SubmissionDoc"/>
          <xsd:enumeration value="AppendixDoc"/>
          <xsd:enumeration value="OtherDoc"/>
        </xsd:restriction>
      </xsd:simpleType>
    </xsd:element>
    <xsd:element name="DocumentStatus" ma:index="10" ma:displayName="DocumentStatus" ma:description="Indicates if the document is currently being processed or completed (accessible or not accessible or exempt)" ma:indexed="true" ma:internalName="DocumentStatus">
      <xsd:simpleType>
        <xsd:restriction base="dms:Choice">
          <xsd:enumeration value="Submitted"/>
          <xsd:enumeration value="Processing"/>
          <xsd:enumeration value="CompletedAccessible"/>
          <xsd:enumeration value="CompletedNotAccessible"/>
          <xsd:enumeration value="CompletedNotAccessibleExempt"/>
          <xsd:enumeration value="CompletedPrivate"/>
          <xsd:enumeration value="Declined"/>
          <xsd:enumeration value="Withdrawn"/>
        </xsd:restriction>
      </xsd:simpleType>
    </xsd:element>
    <xsd:element name="DocumentVisibility" ma:index="11" ma:displayName="DocumentVisibility" ma:description="Indicates whether the document can be seen publically. Internal use only." ma:internalName="DocumentVisibility">
      <xsd:simpleType>
        <xsd:restriction base="dms:Choice">
          <xsd:enumeration value="Public"/>
          <xsd:enumeration value="Hidden"/>
        </xsd:restriction>
      </xsd:simpleType>
    </xsd:element>
    <xsd:element name="ApproverNotes" ma:index="12" nillable="true" ma:displayName="ApproverNotes" ma:description="For adhoc comments by Approvers as required" ma:internalName="ApproverNotes">
      <xsd:simpleType>
        <xsd:restriction base="dms:Note">
          <xsd:maxLength value="255"/>
        </xsd:restriction>
      </xsd:simpleType>
    </xsd:element>
    <xsd:element name="OriginalFileName" ma:index="13" nillable="true" ma:displayName="OriginalFileName" ma:description="The original uploaded filename. Internal use only." ma:internalName="OriginalFile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Visibility xmlns="ed110c73-9675-4a40-bedd-85eaf2417466">Public</DocumentVisibility>
    <ApproverNotes xmlns="ed110c73-9675-4a40-bedd-85eaf2417466" xsi:nil="true"/>
    <DocumentStatus xmlns="ed110c73-9675-4a40-bedd-85eaf2417466">CompletedAccessible</DocumentStatus>
    <DocumentType xmlns="ed110c73-9675-4a40-bedd-85eaf2417466">SubmissionDoc</DocumentType>
    <SubmissionID xmlns="ed110c73-9675-4a40-bedd-85eaf2417466">BCR1400056</SubmissionID>
    <OriginalFileName xmlns="ed110c73-9675-4a40-bedd-85eaf241746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A78D4-B49C-4B91-AC59-EEF774A2DB2D}"/>
</file>

<file path=customXml/itemProps2.xml><?xml version="1.0" encoding="utf-8"?>
<ds:datastoreItem xmlns:ds="http://schemas.openxmlformats.org/officeDocument/2006/customXml" ds:itemID="{B264524B-8A6F-450A-8B16-C805C164DEEB}"/>
</file>

<file path=customXml/itemProps3.xml><?xml version="1.0" encoding="utf-8"?>
<ds:datastoreItem xmlns:ds="http://schemas.openxmlformats.org/officeDocument/2006/customXml" ds:itemID="{7E3A16A1-ABFC-4B89-A527-A6EF061F512F}"/>
</file>

<file path=customXml/itemProps4.xml><?xml version="1.0" encoding="utf-8"?>
<ds:datastoreItem xmlns:ds="http://schemas.openxmlformats.org/officeDocument/2006/customXml" ds:itemID="{B7785E27-26B6-45FA-9873-63E996CD0F0F}"/>
</file>

<file path=docProps/app.xml><?xml version="1.0" encoding="utf-8"?>
<Properties xmlns="http://schemas.openxmlformats.org/officeDocument/2006/extended-properties" xmlns:vt="http://schemas.openxmlformats.org/officeDocument/2006/docPropsVTypes">
  <Template>9CDF53E8.dotm</Template>
  <TotalTime>26</TotalTime>
  <Pages>9</Pages>
  <Words>4035</Words>
  <Characters>23005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26987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Ixchel Brennan</dc:creator>
  <cp:lastModifiedBy>Drew Menzies-McVey</cp:lastModifiedBy>
  <cp:revision>7</cp:revision>
  <cp:lastPrinted>2015-03-10T00:48:00Z</cp:lastPrinted>
  <dcterms:created xsi:type="dcterms:W3CDTF">2014-11-28T03:54:00Z</dcterms:created>
  <dcterms:modified xsi:type="dcterms:W3CDTF">2015-03-10T00:49:00Z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0x0101009532659050105A4BB64EC7FE4940F188</vt:lpwstr>
  </property>
</Properties>
</file>