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1E9F9" w14:textId="77777777" w:rsidR="007B09F0" w:rsidRDefault="003E5792" w:rsidP="001F5FD7">
      <w:pPr>
        <w:pStyle w:val="Heading2"/>
      </w:pPr>
      <w:r>
        <w:rPr>
          <w:noProof/>
          <w:lang w:val="en-AU" w:eastAsia="en-AU"/>
        </w:rPr>
        <mc:AlternateContent>
          <mc:Choice Requires="wps">
            <w:drawing>
              <wp:anchor distT="0" distB="0" distL="114300" distR="114300" simplePos="0" relativeHeight="251662336" behindDoc="0" locked="0" layoutInCell="1" allowOverlap="1" wp14:anchorId="2651EA63" wp14:editId="6C5FD826">
                <wp:simplePos x="0" y="0"/>
                <wp:positionH relativeFrom="column">
                  <wp:posOffset>224790</wp:posOffset>
                </wp:positionH>
                <wp:positionV relativeFrom="page">
                  <wp:posOffset>5581650</wp:posOffset>
                </wp:positionV>
                <wp:extent cx="2971800" cy="3305175"/>
                <wp:effectExtent l="0" t="0" r="0" b="952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33051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651EA7D" w14:textId="77777777" w:rsidR="0073503C" w:rsidRPr="00BF38BE" w:rsidRDefault="0073503C" w:rsidP="00912DF3">
                            <w:pPr>
                              <w:pStyle w:val="CoverFooter"/>
                              <w:spacing w:after="60"/>
                              <w:rPr>
                                <w:rFonts w:ascii="Arial Black" w:hAnsi="Arial Black"/>
                              </w:rPr>
                            </w:pPr>
                            <w:r w:rsidRPr="00BF38BE">
                              <w:rPr>
                                <w:rFonts w:ascii="Arial Black" w:hAnsi="Arial Black"/>
                              </w:rPr>
                              <w:t>Contact:</w:t>
                            </w:r>
                          </w:p>
                          <w:p w14:paraId="2651EA83" w14:textId="77777777" w:rsidR="0073503C" w:rsidRDefault="0073503C" w:rsidP="00912DF3">
                            <w:pPr>
                              <w:pStyle w:val="CoverFooter"/>
                              <w:rPr>
                                <w:color w:val="7E7A7B" w:themeColor="text2"/>
                              </w:rPr>
                            </w:pPr>
                          </w:p>
                          <w:p w14:paraId="2651EA84" w14:textId="77777777" w:rsidR="0073503C" w:rsidRDefault="0073503C" w:rsidP="00912DF3">
                            <w:pPr>
                              <w:pStyle w:val="CoverFooter"/>
                              <w:rPr>
                                <w:color w:val="7E7A7B" w:themeColor="text2"/>
                              </w:rPr>
                            </w:pPr>
                            <w:r>
                              <w:rPr>
                                <w:color w:val="7E7A7B" w:themeColor="text2"/>
                              </w:rPr>
                              <w:t>PO Box 2097</w:t>
                            </w:r>
                          </w:p>
                          <w:p w14:paraId="2651EA85" w14:textId="77777777" w:rsidR="0073503C" w:rsidRPr="00103210" w:rsidRDefault="0073503C" w:rsidP="00912DF3">
                            <w:pPr>
                              <w:pStyle w:val="CoverFooter"/>
                              <w:rPr>
                                <w:color w:val="7E7A7B" w:themeColor="text2"/>
                              </w:rPr>
                            </w:pPr>
                            <w:r w:rsidRPr="00103210">
                              <w:rPr>
                                <w:color w:val="7E7A7B" w:themeColor="text2"/>
                              </w:rPr>
                              <w:t xml:space="preserve">Royal Melbourne Hospital VIC 3050 </w:t>
                            </w:r>
                          </w:p>
                          <w:p w14:paraId="2651EA87" w14:textId="77777777" w:rsidR="0073503C" w:rsidRPr="00103210" w:rsidRDefault="0073503C" w:rsidP="00912DF3">
                            <w:pPr>
                              <w:pStyle w:val="CoverFooter"/>
                              <w:rPr>
                                <w:color w:val="7E7A7B" w:themeColor="text2"/>
                              </w:rPr>
                            </w:pPr>
                            <w:r w:rsidRPr="00103210">
                              <w:rPr>
                                <w:color w:val="7E7A7B" w:themeColor="text2"/>
                              </w:rPr>
                              <w:t>www.aamri.org.au</w:t>
                            </w:r>
                          </w:p>
                          <w:p w14:paraId="2651EA88" w14:textId="77777777" w:rsidR="0073503C" w:rsidRPr="00103210" w:rsidRDefault="0073503C" w:rsidP="00BF38BE">
                            <w:pPr>
                              <w:pStyle w:val="CoverFoote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7.7pt;margin-top:439.5pt;width:234pt;height:26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" filled="f" stroked="f">
                <v:path arrowok="t"/>
                <v:textbox inset=",0">
                  <w:txbxContent>
                    <w:p w14:paraId="2651EA7D" w14:textId="77777777" w:rsidR="0073503C" w:rsidRPr="00BF38BE" w:rsidRDefault="0073503C" w:rsidP="00912DF3">
                      <w:pPr>
                        <w:pStyle w:val="CoverFooter"/>
                        <w:spacing w:after="60"/>
                        <w:rPr>
                          <w:rFonts w:ascii="Arial Black" w:hAnsi="Arial Black"/>
                        </w:rPr>
                      </w:pPr>
                      <w:r w:rsidRPr="00BF38BE">
                        <w:rPr>
                          <w:rFonts w:ascii="Arial Black" w:hAnsi="Arial Black"/>
                        </w:rPr>
                        <w:t>Contact:</w:t>
                      </w:r>
                    </w:p>
                    <w:p w14:paraId="2651EA83" w14:textId="77777777" w:rsidR="0073503C" w:rsidRDefault="0073503C" w:rsidP="00912DF3">
                      <w:pPr>
                        <w:pStyle w:val="CoverFooter"/>
                        <w:rPr>
                          <w:color w:val="7E7A7B" w:themeColor="text2"/>
                        </w:rPr>
                      </w:pPr>
                    </w:p>
                    <w:p w14:paraId="2651EA84" w14:textId="77777777" w:rsidR="0073503C" w:rsidRDefault="0073503C" w:rsidP="00912DF3">
                      <w:pPr>
                        <w:pStyle w:val="CoverFooter"/>
                        <w:rPr>
                          <w:color w:val="7E7A7B" w:themeColor="text2"/>
                        </w:rPr>
                      </w:pPr>
                      <w:r>
                        <w:rPr>
                          <w:color w:val="7E7A7B" w:themeColor="text2"/>
                        </w:rPr>
                        <w:t>PO Box 2097</w:t>
                      </w:r>
                    </w:p>
                    <w:p w14:paraId="2651EA85" w14:textId="77777777" w:rsidR="0073503C" w:rsidRPr="00103210" w:rsidRDefault="0073503C" w:rsidP="00912DF3">
                      <w:pPr>
                        <w:pStyle w:val="CoverFooter"/>
                        <w:rPr>
                          <w:color w:val="7E7A7B" w:themeColor="text2"/>
                        </w:rPr>
                      </w:pPr>
                      <w:r w:rsidRPr="00103210">
                        <w:rPr>
                          <w:color w:val="7E7A7B" w:themeColor="text2"/>
                        </w:rPr>
                        <w:t xml:space="preserve">Royal Melbourne Hospital VIC 3050 </w:t>
                      </w:r>
                    </w:p>
                    <w:p w14:paraId="2651EA87" w14:textId="77777777" w:rsidR="0073503C" w:rsidRPr="00103210" w:rsidRDefault="0073503C" w:rsidP="00912DF3">
                      <w:pPr>
                        <w:pStyle w:val="CoverFooter"/>
                        <w:rPr>
                          <w:color w:val="7E7A7B" w:themeColor="text2"/>
                        </w:rPr>
                      </w:pPr>
                      <w:r w:rsidRPr="00103210">
                        <w:rPr>
                          <w:color w:val="7E7A7B" w:themeColor="text2"/>
                        </w:rPr>
                        <w:t>www.aamri.org.au</w:t>
                      </w:r>
                    </w:p>
                    <w:p w14:paraId="2651EA88" w14:textId="77777777" w:rsidR="0073503C" w:rsidRPr="00103210" w:rsidRDefault="0073503C" w:rsidP="00BF38BE">
                      <w:pPr>
                        <w:pStyle w:val="CoverFooter"/>
                      </w:pPr>
                    </w:p>
                  </w:txbxContent>
                </v:textbox>
                <w10:wrap type="square" anchory="page"/>
              </v:shape>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2651EA65" wp14:editId="2651EA66">
                <wp:simplePos x="0" y="0"/>
                <wp:positionH relativeFrom="column">
                  <wp:posOffset>226695</wp:posOffset>
                </wp:positionH>
                <wp:positionV relativeFrom="page">
                  <wp:posOffset>2854960</wp:posOffset>
                </wp:positionV>
                <wp:extent cx="5906770" cy="266954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6770" cy="26695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651EA89" w14:textId="77777777" w:rsidR="0073503C" w:rsidRPr="001D2BB9" w:rsidRDefault="0073503C" w:rsidP="002A60DA">
                            <w:pPr>
                              <w:pStyle w:val="CoverTitle"/>
                              <w:spacing w:after="120"/>
                              <w:rPr>
                                <w:rFonts w:asciiTheme="majorHAnsi" w:hAnsiTheme="majorHAnsi" w:cstheme="majorHAnsi"/>
                              </w:rPr>
                            </w:pPr>
                            <w:r w:rsidRPr="001D2BB9">
                              <w:rPr>
                                <w:rFonts w:asciiTheme="majorHAnsi" w:hAnsiTheme="majorHAnsi" w:cstheme="majorHAnsi"/>
                              </w:rPr>
                              <w:t>SUBMISSION TO</w:t>
                            </w:r>
                          </w:p>
                          <w:p w14:paraId="2651EA8A" w14:textId="77777777" w:rsidR="0073503C" w:rsidRPr="001D2BB9" w:rsidRDefault="0073503C" w:rsidP="000F186F">
                            <w:pPr>
                              <w:pStyle w:val="CoverTitle"/>
                              <w:rPr>
                                <w:rFonts w:asciiTheme="majorHAnsi" w:hAnsiTheme="majorHAnsi" w:cstheme="majorHAnsi"/>
                                <w:color w:val="CC1F2D" w:themeColor="accent2"/>
                              </w:rPr>
                            </w:pPr>
                            <w:r>
                              <w:rPr>
                                <w:rFonts w:asciiTheme="majorHAnsi" w:hAnsiTheme="majorHAnsi" w:cstheme="majorHAnsi"/>
                                <w:color w:val="CC1F2D" w:themeColor="accent2"/>
                              </w:rPr>
                              <w:t>BOOSTING THE COMMERCIAL RETURNS FROM RESEARCH DISCUSSION PAPER</w:t>
                            </w:r>
                          </w:p>
                          <w:p w14:paraId="2651EA8B" w14:textId="77777777" w:rsidR="0073503C" w:rsidRPr="001D2BB9" w:rsidRDefault="0073503C" w:rsidP="003049CF">
                            <w:pPr>
                              <w:pStyle w:val="CoverTitle"/>
                              <w:spacing w:before="240"/>
                              <w:rPr>
                                <w:rFonts w:asciiTheme="majorHAnsi" w:hAnsiTheme="majorHAnsi" w:cstheme="majorHAnsi"/>
                              </w:rPr>
                            </w:pPr>
                            <w:r>
                              <w:rPr>
                                <w:rFonts w:asciiTheme="majorHAnsi" w:hAnsiTheme="majorHAnsi" w:cstheme="majorHAnsi"/>
                              </w:rPr>
                              <w:t>28 NOVEMBER 2014</w:t>
                            </w:r>
                          </w:p>
                          <w:p w14:paraId="2651EA8C" w14:textId="77777777" w:rsidR="0073503C" w:rsidRPr="00574AC8" w:rsidRDefault="0073503C" w:rsidP="00BF38BE">
                            <w:pPr>
                              <w:pStyle w:val="CoverTitle"/>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5" o:spid="_x0000_s1027" type="#_x0000_t202" style="position:absolute;margin-left:17.85pt;margin-top:224.8pt;width:465.1pt;height:2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" filled="f" stroked="f">
                <v:path arrowok="t"/>
                <v:textbox inset=",0">
                  <w:txbxContent>
                    <w:p w14:paraId="2651EA89" w14:textId="77777777" w:rsidR="0073503C" w:rsidRPr="001D2BB9" w:rsidRDefault="0073503C" w:rsidP="002A60DA">
                      <w:pPr>
                        <w:pStyle w:val="CoverTitle"/>
                        <w:spacing w:after="120"/>
                        <w:rPr>
                          <w:rFonts w:asciiTheme="majorHAnsi" w:hAnsiTheme="majorHAnsi" w:cstheme="majorHAnsi"/>
                        </w:rPr>
                      </w:pPr>
                      <w:r w:rsidRPr="001D2BB9">
                        <w:rPr>
                          <w:rFonts w:asciiTheme="majorHAnsi" w:hAnsiTheme="majorHAnsi" w:cstheme="majorHAnsi"/>
                        </w:rPr>
                        <w:t>SUBMISSION TO</w:t>
                      </w:r>
                    </w:p>
                    <w:p w14:paraId="2651EA8A" w14:textId="77777777" w:rsidR="0073503C" w:rsidRPr="001D2BB9" w:rsidRDefault="0073503C" w:rsidP="000F186F">
                      <w:pPr>
                        <w:pStyle w:val="CoverTitle"/>
                        <w:rPr>
                          <w:rFonts w:asciiTheme="majorHAnsi" w:hAnsiTheme="majorHAnsi" w:cstheme="majorHAnsi"/>
                          <w:color w:val="CC1F2D" w:themeColor="accent2"/>
                        </w:rPr>
                      </w:pPr>
                      <w:r>
                        <w:rPr>
                          <w:rFonts w:asciiTheme="majorHAnsi" w:hAnsiTheme="majorHAnsi" w:cstheme="majorHAnsi"/>
                          <w:color w:val="CC1F2D" w:themeColor="accent2"/>
                        </w:rPr>
                        <w:t>BOOSTING THE COMMERCIAL RETURNS FROM RESEARCH DISCUSSION PAPER</w:t>
                      </w:r>
                    </w:p>
                    <w:p w14:paraId="2651EA8B" w14:textId="77777777" w:rsidR="0073503C" w:rsidRPr="001D2BB9" w:rsidRDefault="0073503C" w:rsidP="003049CF">
                      <w:pPr>
                        <w:pStyle w:val="CoverTitle"/>
                        <w:spacing w:before="240"/>
                        <w:rPr>
                          <w:rFonts w:asciiTheme="majorHAnsi" w:hAnsiTheme="majorHAnsi" w:cstheme="majorHAnsi"/>
                        </w:rPr>
                      </w:pPr>
                      <w:r>
                        <w:rPr>
                          <w:rFonts w:asciiTheme="majorHAnsi" w:hAnsiTheme="majorHAnsi" w:cstheme="majorHAnsi"/>
                        </w:rPr>
                        <w:t>28 NOVEMBER 2014</w:t>
                      </w:r>
                    </w:p>
                    <w:p w14:paraId="2651EA8C" w14:textId="77777777" w:rsidR="0073503C" w:rsidRPr="00574AC8" w:rsidRDefault="0073503C" w:rsidP="00BF38BE">
                      <w:pPr>
                        <w:pStyle w:val="CoverTitle"/>
                      </w:pPr>
                    </w:p>
                  </w:txbxContent>
                </v:textbox>
                <w10:wrap type="square" anchory="page"/>
              </v:shape>
            </w:pict>
          </mc:Fallback>
        </mc:AlternateContent>
      </w:r>
      <w:r>
        <w:rPr>
          <w:noProof/>
          <w:lang w:val="en-AU" w:eastAsia="en-AU"/>
        </w:rPr>
        <mc:AlternateContent>
          <mc:Choice Requires="wps">
            <w:drawing>
              <wp:anchor distT="0" distB="0" distL="114298" distR="114298" simplePos="0" relativeHeight="251659264" behindDoc="0" locked="0" layoutInCell="1" allowOverlap="1" wp14:anchorId="2651EA67" wp14:editId="2651EA68">
                <wp:simplePos x="0" y="0"/>
                <wp:positionH relativeFrom="page">
                  <wp:posOffset>1260474</wp:posOffset>
                </wp:positionH>
                <wp:positionV relativeFrom="page">
                  <wp:posOffset>2854960</wp:posOffset>
                </wp:positionV>
                <wp:extent cx="0" cy="800100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0"/>
                        </a:xfrm>
                        <a:prstGeom prst="line">
                          <a:avLst/>
                        </a:prstGeom>
                        <a:ln w="6350"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3" o:spid="_x0000_s1026" style="position:absolute;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margin" from="99.25pt,224.8pt" to="99.25pt,8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" strokecolor="#7e7a7b [3215]" strokeweight=".5pt">
                <v:stroke endcap="round"/>
                <o:lock v:ext="edit" shapetype="f"/>
                <w10:wrap anchorx="page" anchory="page"/>
              </v:line>
            </w:pict>
          </mc:Fallback>
        </mc:AlternateContent>
      </w:r>
      <w:r w:rsidR="00DF69C3">
        <w:rPr>
          <w:lang w:val="en-AU"/>
        </w:rPr>
        <w:t xml:space="preserve"> </w:t>
      </w:r>
      <w:r w:rsidR="00EB108E">
        <w:br w:type="page"/>
      </w:r>
      <w:r w:rsidR="001855C3">
        <w:lastRenderedPageBreak/>
        <w:t>ABOUT AA</w:t>
      </w:r>
      <w:r w:rsidR="001F5C32">
        <w:t>MRI</w:t>
      </w:r>
    </w:p>
    <w:p w14:paraId="2651E9FA" w14:textId="77777777" w:rsidR="00C36E8C" w:rsidRPr="00912DF3" w:rsidRDefault="001F5C32" w:rsidP="00434147">
      <w:pPr>
        <w:spacing w:line="360" w:lineRule="auto"/>
        <w:rPr>
          <w:color w:val="7E7A7B" w:themeColor="text2"/>
        </w:rPr>
      </w:pPr>
      <w:r w:rsidRPr="00912DF3">
        <w:rPr>
          <w:b/>
          <w:color w:val="7E7A7B" w:themeColor="text2"/>
        </w:rPr>
        <w:t>AAMRI is the peak body representing medical research institutes (MRIs) across Australia.</w:t>
      </w:r>
      <w:r w:rsidRPr="00912DF3">
        <w:rPr>
          <w:color w:val="7E7A7B" w:themeColor="text2"/>
        </w:rPr>
        <w:t xml:space="preserve"> Our 4</w:t>
      </w:r>
      <w:r w:rsidR="003049CF" w:rsidRPr="00912DF3">
        <w:rPr>
          <w:color w:val="7E7A7B" w:themeColor="text2"/>
        </w:rPr>
        <w:t>5</w:t>
      </w:r>
      <w:r w:rsidRPr="00912DF3">
        <w:rPr>
          <w:color w:val="7E7A7B" w:themeColor="text2"/>
        </w:rPr>
        <w:t xml:space="preserve"> member </w:t>
      </w:r>
      <w:r w:rsidR="00DA39D9">
        <w:rPr>
          <w:color w:val="7E7A7B" w:themeColor="text2"/>
        </w:rPr>
        <w:t>institutes</w:t>
      </w:r>
      <w:r w:rsidRPr="00912DF3">
        <w:rPr>
          <w:color w:val="7E7A7B" w:themeColor="text2"/>
        </w:rPr>
        <w:t xml:space="preserve"> </w:t>
      </w:r>
      <w:r w:rsidR="00BF4875" w:rsidRPr="00912DF3">
        <w:rPr>
          <w:color w:val="7E7A7B" w:themeColor="text2"/>
        </w:rPr>
        <w:t>are</w:t>
      </w:r>
      <w:r w:rsidRPr="00912DF3">
        <w:rPr>
          <w:color w:val="7E7A7B" w:themeColor="text2"/>
        </w:rPr>
        <w:t xml:space="preserve"> leaders in health and medical research,</w:t>
      </w:r>
      <w:r w:rsidR="00BF4875" w:rsidRPr="00912DF3">
        <w:rPr>
          <w:color w:val="7E7A7B" w:themeColor="text2"/>
        </w:rPr>
        <w:t xml:space="preserve"> </w:t>
      </w:r>
      <w:r w:rsidR="00C36E8C" w:rsidRPr="00912DF3">
        <w:rPr>
          <w:color w:val="7E7A7B" w:themeColor="text2"/>
        </w:rPr>
        <w:t xml:space="preserve">and collectively </w:t>
      </w:r>
      <w:r w:rsidR="00BF4875" w:rsidRPr="00912DF3">
        <w:rPr>
          <w:color w:val="7E7A7B" w:themeColor="text2"/>
        </w:rPr>
        <w:t xml:space="preserve">represent over 10,000 staff and students and an annual turnover of more than $1 billion. </w:t>
      </w:r>
      <w:r w:rsidRPr="00912DF3">
        <w:rPr>
          <w:color w:val="7E7A7B" w:themeColor="text2"/>
        </w:rPr>
        <w:t>The majority of our member</w:t>
      </w:r>
      <w:r w:rsidR="00BF4875" w:rsidRPr="00912DF3">
        <w:rPr>
          <w:color w:val="7E7A7B" w:themeColor="text2"/>
        </w:rPr>
        <w:t>s</w:t>
      </w:r>
      <w:r w:rsidR="00744E84" w:rsidRPr="00912DF3">
        <w:rPr>
          <w:color w:val="7E7A7B" w:themeColor="text2"/>
        </w:rPr>
        <w:t xml:space="preserve"> </w:t>
      </w:r>
      <w:r w:rsidRPr="00912DF3">
        <w:rPr>
          <w:color w:val="7E7A7B" w:themeColor="text2"/>
        </w:rPr>
        <w:t>are ‘independent’ MRIs</w:t>
      </w:r>
      <w:r w:rsidR="002A60DA" w:rsidRPr="00912DF3">
        <w:rPr>
          <w:color w:val="7E7A7B" w:themeColor="text2"/>
        </w:rPr>
        <w:t xml:space="preserve">, that is, </w:t>
      </w:r>
      <w:r w:rsidRPr="00912DF3">
        <w:rPr>
          <w:color w:val="7E7A7B" w:themeColor="text2"/>
        </w:rPr>
        <w:t xml:space="preserve">mission-driven charities </w:t>
      </w:r>
      <w:r w:rsidR="00744E84" w:rsidRPr="00912DF3">
        <w:rPr>
          <w:color w:val="7E7A7B" w:themeColor="text2"/>
        </w:rPr>
        <w:t>legally independent of</w:t>
      </w:r>
      <w:r w:rsidRPr="00912DF3">
        <w:rPr>
          <w:color w:val="7E7A7B" w:themeColor="text2"/>
        </w:rPr>
        <w:t xml:space="preserve"> a universi</w:t>
      </w:r>
      <w:r w:rsidR="00744E84" w:rsidRPr="00912DF3">
        <w:rPr>
          <w:color w:val="7E7A7B" w:themeColor="text2"/>
        </w:rPr>
        <w:t>ty or hospital,</w:t>
      </w:r>
      <w:r w:rsidR="00AB58DD" w:rsidRPr="00912DF3">
        <w:rPr>
          <w:color w:val="7E7A7B" w:themeColor="text2"/>
        </w:rPr>
        <w:t xml:space="preserve"> and</w:t>
      </w:r>
      <w:r w:rsidR="00744E84" w:rsidRPr="00912DF3">
        <w:rPr>
          <w:color w:val="7E7A7B" w:themeColor="text2"/>
        </w:rPr>
        <w:t xml:space="preserve"> co-located with a hospital</w:t>
      </w:r>
      <w:r w:rsidRPr="00912DF3">
        <w:rPr>
          <w:color w:val="7E7A7B" w:themeColor="text2"/>
        </w:rPr>
        <w:t xml:space="preserve"> </w:t>
      </w:r>
      <w:r w:rsidR="00744E84" w:rsidRPr="00912DF3">
        <w:rPr>
          <w:color w:val="7E7A7B" w:themeColor="text2"/>
        </w:rPr>
        <w:t>or healthcare provider</w:t>
      </w:r>
      <w:r w:rsidR="003049CF" w:rsidRPr="00912DF3">
        <w:rPr>
          <w:color w:val="7E7A7B" w:themeColor="text2"/>
        </w:rPr>
        <w:t>. The remainder of our member</w:t>
      </w:r>
      <w:r w:rsidR="00BF4875" w:rsidRPr="00912DF3">
        <w:rPr>
          <w:color w:val="7E7A7B" w:themeColor="text2"/>
        </w:rPr>
        <w:t>s</w:t>
      </w:r>
      <w:r w:rsidR="00744E84" w:rsidRPr="00912DF3">
        <w:rPr>
          <w:color w:val="7E7A7B" w:themeColor="text2"/>
        </w:rPr>
        <w:t xml:space="preserve"> </w:t>
      </w:r>
      <w:r w:rsidR="003049CF" w:rsidRPr="00912DF3">
        <w:rPr>
          <w:color w:val="7E7A7B" w:themeColor="text2"/>
        </w:rPr>
        <w:t>are universit</w:t>
      </w:r>
      <w:r w:rsidR="00BF4875" w:rsidRPr="00912DF3">
        <w:rPr>
          <w:color w:val="7E7A7B" w:themeColor="text2"/>
        </w:rPr>
        <w:t>y- or hospital-based institutes</w:t>
      </w:r>
      <w:r w:rsidR="00ED5779" w:rsidRPr="00912DF3">
        <w:rPr>
          <w:color w:val="7E7A7B" w:themeColor="text2"/>
        </w:rPr>
        <w:t>, or an alliance of</w:t>
      </w:r>
      <w:r w:rsidR="00C36E8C" w:rsidRPr="00912DF3">
        <w:rPr>
          <w:color w:val="7E7A7B" w:themeColor="text2"/>
        </w:rPr>
        <w:t xml:space="preserve"> research partners</w:t>
      </w:r>
      <w:r w:rsidR="00BF4875" w:rsidRPr="00912DF3">
        <w:rPr>
          <w:color w:val="7E7A7B" w:themeColor="text2"/>
        </w:rPr>
        <w:t xml:space="preserve">. </w:t>
      </w:r>
    </w:p>
    <w:p w14:paraId="2651E9FD" w14:textId="7008EB59" w:rsidR="000025BC" w:rsidRPr="00763311" w:rsidRDefault="00C36E8C" w:rsidP="00763311">
      <w:pPr>
        <w:spacing w:line="360" w:lineRule="auto"/>
        <w:rPr>
          <w:color w:val="7E7A7B" w:themeColor="text2"/>
        </w:rPr>
      </w:pPr>
      <w:r w:rsidRPr="00912DF3">
        <w:rPr>
          <w:color w:val="7E7A7B" w:themeColor="text2"/>
        </w:rPr>
        <w:t xml:space="preserve">Australia’s MRIs work on an extensive range of human health issues, from preventative health and chronic disease, to mental health, Indigenous health and improved health services. Their research ranges from fundamental biomedical discovery through to clinical research and the translation of research findings from bench to bedside. </w:t>
      </w:r>
      <w:r w:rsidR="00ED5779" w:rsidRPr="00912DF3">
        <w:rPr>
          <w:color w:val="7E7A7B" w:themeColor="text2"/>
        </w:rPr>
        <w:t xml:space="preserve">Together, they aim to drive innovation in healthcare to improve the lives and livelihoods of </w:t>
      </w:r>
      <w:r w:rsidR="00DA39D9">
        <w:rPr>
          <w:color w:val="7E7A7B" w:themeColor="text2"/>
        </w:rPr>
        <w:t>people in Australia and world-wide</w:t>
      </w:r>
      <w:r w:rsidR="00ED5779" w:rsidRPr="00912DF3">
        <w:rPr>
          <w:color w:val="7E7A7B" w:themeColor="text2"/>
        </w:rPr>
        <w:t xml:space="preserve">. </w:t>
      </w:r>
      <w:r w:rsidR="000025BC">
        <w:br w:type="page"/>
      </w:r>
      <w:r w:rsidR="00E6404C">
        <w:lastRenderedPageBreak/>
        <w:t>INTRODUCTION</w:t>
      </w:r>
      <w:r w:rsidR="00075028">
        <w:t xml:space="preserve"> </w:t>
      </w:r>
    </w:p>
    <w:p w14:paraId="2651E9FE" w14:textId="77777777" w:rsidR="00F823B6" w:rsidRDefault="00F823B6" w:rsidP="001F5FD7">
      <w:pPr>
        <w:pStyle w:val="ListBullet"/>
        <w:numPr>
          <w:ilvl w:val="0"/>
          <w:numId w:val="0"/>
        </w:numPr>
        <w:spacing w:before="200" w:after="0"/>
        <w:contextualSpacing w:val="0"/>
      </w:pPr>
      <w:r>
        <w:t>AAMRI welcomes the review o</w:t>
      </w:r>
      <w:r w:rsidR="00D21E7C">
        <w:t>f G</w:t>
      </w:r>
      <w:r>
        <w:t>overnment mechanisms to boost the commercial returns from research</w:t>
      </w:r>
      <w:r w:rsidRPr="00606A85">
        <w:t xml:space="preserve">. As outlined in our submission to the </w:t>
      </w:r>
      <w:r w:rsidRPr="00712BA5">
        <w:rPr>
          <w:rStyle w:val="BookTitle"/>
        </w:rPr>
        <w:t>Strategic Review of Health and Medical Research</w:t>
      </w:r>
      <w:r w:rsidRPr="00606A85">
        <w:t xml:space="preserve"> on enhancing the commercial outcomes of health and medical research (</w:t>
      </w:r>
      <w:r w:rsidRPr="00B8037A">
        <w:rPr>
          <w:b/>
        </w:rPr>
        <w:t>Appendix 1</w:t>
      </w:r>
      <w:r w:rsidRPr="00606A85">
        <w:t xml:space="preserve">), </w:t>
      </w:r>
      <w:r w:rsidR="00B8037A">
        <w:t xml:space="preserve">there </w:t>
      </w:r>
      <w:r w:rsidR="00DA39D9">
        <w:t>is</w:t>
      </w:r>
      <w:r w:rsidR="00B8037A">
        <w:t xml:space="preserve"> a range of </w:t>
      </w:r>
      <w:r w:rsidR="00D21E7C">
        <w:t xml:space="preserve">factors contributing to </w:t>
      </w:r>
      <w:r w:rsidR="00B8037A">
        <w:t>Australia</w:t>
      </w:r>
      <w:r w:rsidR="00D21E7C">
        <w:t xml:space="preserve">’s poor track record </w:t>
      </w:r>
      <w:r w:rsidR="00B8037A">
        <w:t xml:space="preserve">in translating research into commercially viable products and services. </w:t>
      </w:r>
    </w:p>
    <w:p w14:paraId="2651E9FF" w14:textId="77777777" w:rsidR="00013961" w:rsidRDefault="00B8037A" w:rsidP="00523377">
      <w:pPr>
        <w:spacing w:before="200" w:after="0"/>
      </w:pPr>
      <w:r w:rsidRPr="00712BA5">
        <w:rPr>
          <w:rStyle w:val="Emphasis"/>
        </w:rPr>
        <w:t>AAMRI sees the Commonwealth Government having a clear role in facilitating</w:t>
      </w:r>
      <w:r w:rsidR="00013961" w:rsidRPr="00712BA5">
        <w:rPr>
          <w:rStyle w:val="Emphasis"/>
        </w:rPr>
        <w:t xml:space="preserve"> </w:t>
      </w:r>
      <w:r w:rsidRPr="00712BA5">
        <w:rPr>
          <w:rStyle w:val="Emphasis"/>
        </w:rPr>
        <w:t xml:space="preserve">the </w:t>
      </w:r>
      <w:r w:rsidR="00013961" w:rsidRPr="00712BA5">
        <w:rPr>
          <w:rStyle w:val="Emphasis"/>
        </w:rPr>
        <w:t>comm</w:t>
      </w:r>
      <w:r w:rsidRPr="00712BA5">
        <w:rPr>
          <w:rStyle w:val="Emphasis"/>
        </w:rPr>
        <w:t>ercial translation of research by</w:t>
      </w:r>
      <w:r w:rsidR="00C75318">
        <w:t>:</w:t>
      </w:r>
    </w:p>
    <w:p w14:paraId="2651EA00" w14:textId="77777777" w:rsidR="00013961" w:rsidRDefault="00B8037A" w:rsidP="001F5FD7">
      <w:pPr>
        <w:pStyle w:val="ListParagraph"/>
        <w:numPr>
          <w:ilvl w:val="0"/>
          <w:numId w:val="24"/>
        </w:numPr>
        <w:spacing w:before="120" w:after="0"/>
        <w:ind w:left="568" w:hanging="284"/>
        <w:rPr>
          <w:sz w:val="20"/>
          <w:szCs w:val="20"/>
        </w:rPr>
      </w:pPr>
      <w:r>
        <w:rPr>
          <w:sz w:val="20"/>
          <w:szCs w:val="20"/>
        </w:rPr>
        <w:t xml:space="preserve">using funding </w:t>
      </w:r>
      <w:r w:rsidR="00F96C36">
        <w:rPr>
          <w:sz w:val="20"/>
          <w:szCs w:val="20"/>
        </w:rPr>
        <w:t xml:space="preserve">and policy </w:t>
      </w:r>
      <w:r>
        <w:rPr>
          <w:sz w:val="20"/>
          <w:szCs w:val="20"/>
        </w:rPr>
        <w:t>levers to</w:t>
      </w:r>
      <w:r w:rsidR="00283B8E">
        <w:rPr>
          <w:sz w:val="20"/>
          <w:szCs w:val="20"/>
        </w:rPr>
        <w:t xml:space="preserve"> motivate</w:t>
      </w:r>
      <w:r w:rsidR="00F96C36" w:rsidRPr="00D21E7C">
        <w:rPr>
          <w:sz w:val="20"/>
          <w:szCs w:val="20"/>
        </w:rPr>
        <w:t>,</w:t>
      </w:r>
      <w:r w:rsidR="00606AB4">
        <w:rPr>
          <w:sz w:val="20"/>
          <w:szCs w:val="20"/>
        </w:rPr>
        <w:t xml:space="preserve"> support and upskill</w:t>
      </w:r>
      <w:r>
        <w:rPr>
          <w:sz w:val="20"/>
          <w:szCs w:val="20"/>
        </w:rPr>
        <w:t xml:space="preserve"> </w:t>
      </w:r>
      <w:r w:rsidR="00E362D8">
        <w:rPr>
          <w:sz w:val="20"/>
          <w:szCs w:val="20"/>
        </w:rPr>
        <w:t>public</w:t>
      </w:r>
      <w:r w:rsidR="00C75318">
        <w:rPr>
          <w:sz w:val="20"/>
          <w:szCs w:val="20"/>
        </w:rPr>
        <w:t>ly-funded research organisations to drive research commercialisation</w:t>
      </w:r>
      <w:r w:rsidR="00086F16">
        <w:rPr>
          <w:sz w:val="20"/>
          <w:szCs w:val="20"/>
        </w:rPr>
        <w:t>;</w:t>
      </w:r>
    </w:p>
    <w:p w14:paraId="2651EA01" w14:textId="77777777" w:rsidR="00B8037A" w:rsidRPr="00B8037A" w:rsidRDefault="00DE3CB1" w:rsidP="00B8037A">
      <w:pPr>
        <w:pStyle w:val="ListParagraph"/>
        <w:numPr>
          <w:ilvl w:val="0"/>
          <w:numId w:val="24"/>
        </w:numPr>
        <w:spacing w:before="120" w:after="0"/>
        <w:ind w:left="568" w:hanging="284"/>
        <w:rPr>
          <w:sz w:val="20"/>
          <w:szCs w:val="20"/>
        </w:rPr>
      </w:pPr>
      <w:r>
        <w:rPr>
          <w:sz w:val="20"/>
          <w:szCs w:val="20"/>
        </w:rPr>
        <w:t>providing targeted financial support to de-risk areas of market failure in the commercialisation pipeline, closing the gap (</w:t>
      </w:r>
      <w:r w:rsidR="00DA39D9">
        <w:rPr>
          <w:sz w:val="20"/>
          <w:szCs w:val="20"/>
        </w:rPr>
        <w:t xml:space="preserve">or </w:t>
      </w:r>
      <w:r>
        <w:rPr>
          <w:sz w:val="20"/>
          <w:szCs w:val="20"/>
        </w:rPr>
        <w:t xml:space="preserve">the ‘valley of death’) between </w:t>
      </w:r>
      <w:r w:rsidR="00F96C36">
        <w:rPr>
          <w:sz w:val="20"/>
          <w:szCs w:val="20"/>
        </w:rPr>
        <w:t xml:space="preserve">research discovery </w:t>
      </w:r>
      <w:r w:rsidR="00DA39D9">
        <w:rPr>
          <w:sz w:val="20"/>
          <w:szCs w:val="20"/>
        </w:rPr>
        <w:t>and investor</w:t>
      </w:r>
      <w:r w:rsidR="00B8037A">
        <w:rPr>
          <w:sz w:val="20"/>
          <w:szCs w:val="20"/>
        </w:rPr>
        <w:t xml:space="preserve"> interest in commercially-relevant intellectual property (IP);</w:t>
      </w:r>
    </w:p>
    <w:p w14:paraId="2651EA02" w14:textId="77777777" w:rsidR="00013961" w:rsidRPr="00C75318" w:rsidRDefault="00D21E7C" w:rsidP="001F5FD7">
      <w:pPr>
        <w:pStyle w:val="ListParagraph"/>
        <w:numPr>
          <w:ilvl w:val="0"/>
          <w:numId w:val="24"/>
        </w:numPr>
        <w:spacing w:before="120" w:after="0"/>
        <w:ind w:left="568" w:hanging="284"/>
        <w:rPr>
          <w:sz w:val="20"/>
          <w:szCs w:val="20"/>
        </w:rPr>
      </w:pPr>
      <w:r>
        <w:rPr>
          <w:sz w:val="20"/>
          <w:szCs w:val="20"/>
        </w:rPr>
        <w:t xml:space="preserve">delivering </w:t>
      </w:r>
      <w:r w:rsidR="00606AB4">
        <w:rPr>
          <w:sz w:val="20"/>
          <w:szCs w:val="20"/>
        </w:rPr>
        <w:t xml:space="preserve">facilities and </w:t>
      </w:r>
      <w:r>
        <w:rPr>
          <w:sz w:val="20"/>
          <w:szCs w:val="20"/>
        </w:rPr>
        <w:t>programs that facilitate</w:t>
      </w:r>
      <w:r w:rsidR="00C75318">
        <w:rPr>
          <w:sz w:val="20"/>
          <w:szCs w:val="20"/>
        </w:rPr>
        <w:t xml:space="preserve"> </w:t>
      </w:r>
      <w:r>
        <w:rPr>
          <w:sz w:val="20"/>
          <w:szCs w:val="20"/>
        </w:rPr>
        <w:t>engagement</w:t>
      </w:r>
      <w:r w:rsidR="00C75318">
        <w:rPr>
          <w:sz w:val="20"/>
          <w:szCs w:val="20"/>
        </w:rPr>
        <w:t xml:space="preserve"> between industry and research organisations</w:t>
      </w:r>
      <w:r w:rsidR="00086F16">
        <w:rPr>
          <w:sz w:val="20"/>
          <w:szCs w:val="20"/>
        </w:rPr>
        <w:t>; and</w:t>
      </w:r>
    </w:p>
    <w:p w14:paraId="2651EA03" w14:textId="77777777" w:rsidR="00013961" w:rsidRPr="00013961" w:rsidRDefault="00D21E7C" w:rsidP="001F5FD7">
      <w:pPr>
        <w:pStyle w:val="ListParagraph"/>
        <w:numPr>
          <w:ilvl w:val="0"/>
          <w:numId w:val="24"/>
        </w:numPr>
        <w:spacing w:before="120" w:after="0"/>
        <w:ind w:left="568" w:hanging="284"/>
        <w:rPr>
          <w:rFonts w:asciiTheme="majorHAnsi" w:eastAsiaTheme="majorEastAsia" w:hAnsiTheme="majorHAnsi" w:cstheme="majorBidi"/>
          <w:bCs/>
          <w:sz w:val="20"/>
          <w:szCs w:val="20"/>
        </w:rPr>
      </w:pPr>
      <w:r>
        <w:rPr>
          <w:sz w:val="20"/>
          <w:szCs w:val="20"/>
        </w:rPr>
        <w:t>p</w:t>
      </w:r>
      <w:r w:rsidR="00C75318">
        <w:rPr>
          <w:sz w:val="20"/>
          <w:szCs w:val="20"/>
        </w:rPr>
        <w:t xml:space="preserve">roviding </w:t>
      </w:r>
      <w:r w:rsidR="00606A85">
        <w:rPr>
          <w:sz w:val="20"/>
          <w:szCs w:val="20"/>
        </w:rPr>
        <w:t xml:space="preserve">a regulatory and policy </w:t>
      </w:r>
      <w:r w:rsidR="00F96C36">
        <w:rPr>
          <w:sz w:val="20"/>
          <w:szCs w:val="20"/>
        </w:rPr>
        <w:t>framework where industry flourishes and commercial investment in research is encouraged</w:t>
      </w:r>
      <w:r w:rsidR="00C75318">
        <w:rPr>
          <w:sz w:val="20"/>
          <w:szCs w:val="20"/>
        </w:rPr>
        <w:t>.</w:t>
      </w:r>
    </w:p>
    <w:p w14:paraId="2651EA04" w14:textId="77777777" w:rsidR="004F50E0" w:rsidRDefault="0009606B" w:rsidP="0009606B">
      <w:pPr>
        <w:spacing w:before="200" w:after="0"/>
        <w:rPr>
          <w:rFonts w:eastAsiaTheme="majorEastAsia" w:cstheme="minorHAnsi"/>
          <w:bCs/>
          <w:szCs w:val="20"/>
        </w:rPr>
      </w:pPr>
      <w:r w:rsidRPr="00712BA5">
        <w:rPr>
          <w:rStyle w:val="Emphasis"/>
        </w:rPr>
        <w:t xml:space="preserve">There </w:t>
      </w:r>
      <w:r w:rsidR="00DA39D9" w:rsidRPr="00712BA5">
        <w:rPr>
          <w:rStyle w:val="Emphasis"/>
        </w:rPr>
        <w:t>is</w:t>
      </w:r>
      <w:r w:rsidRPr="00712BA5">
        <w:rPr>
          <w:rStyle w:val="Emphasis"/>
        </w:rPr>
        <w:t xml:space="preserve"> a concerning </w:t>
      </w:r>
      <w:r w:rsidR="00DA39D9" w:rsidRPr="00712BA5">
        <w:rPr>
          <w:rStyle w:val="Emphasis"/>
        </w:rPr>
        <w:t>focus of</w:t>
      </w:r>
      <w:r w:rsidRPr="00712BA5">
        <w:rPr>
          <w:rStyle w:val="Emphasis"/>
        </w:rPr>
        <w:t xml:space="preserve"> </w:t>
      </w:r>
      <w:r w:rsidR="007377E0" w:rsidRPr="00712BA5">
        <w:rPr>
          <w:rStyle w:val="Emphasis"/>
        </w:rPr>
        <w:t>the</w:t>
      </w:r>
      <w:r w:rsidR="00D21E7C" w:rsidRPr="00712BA5">
        <w:rPr>
          <w:rStyle w:val="Emphasis"/>
        </w:rPr>
        <w:t xml:space="preserve"> Boosting the Commercial Returns from Research</w:t>
      </w:r>
      <w:r w:rsidR="00DA39D9" w:rsidRPr="00712BA5">
        <w:rPr>
          <w:rStyle w:val="Emphasis"/>
        </w:rPr>
        <w:t xml:space="preserve"> discussion</w:t>
      </w:r>
      <w:r w:rsidR="007377E0" w:rsidRPr="00712BA5">
        <w:rPr>
          <w:rStyle w:val="Emphasis"/>
        </w:rPr>
        <w:t xml:space="preserve"> paper </w:t>
      </w:r>
      <w:r w:rsidR="00DE7ADC" w:rsidRPr="00712BA5">
        <w:rPr>
          <w:rStyle w:val="Emphasis"/>
        </w:rPr>
        <w:t xml:space="preserve">on policies </w:t>
      </w:r>
      <w:r w:rsidR="00D21E7C" w:rsidRPr="00712BA5">
        <w:rPr>
          <w:rStyle w:val="Emphasis"/>
        </w:rPr>
        <w:t xml:space="preserve">and schemes </w:t>
      </w:r>
      <w:r w:rsidR="00DE7ADC" w:rsidRPr="00712BA5">
        <w:rPr>
          <w:rStyle w:val="Emphasis"/>
        </w:rPr>
        <w:t>that encourage research</w:t>
      </w:r>
      <w:r w:rsidR="00D21E7C" w:rsidRPr="00712BA5">
        <w:rPr>
          <w:rStyle w:val="Emphasis"/>
        </w:rPr>
        <w:t xml:space="preserve">-industry ‘collaboration’ </w:t>
      </w:r>
      <w:r w:rsidR="00DE7ADC" w:rsidRPr="00712BA5">
        <w:rPr>
          <w:rStyle w:val="Emphasis"/>
        </w:rPr>
        <w:t>as the major</w:t>
      </w:r>
      <w:r w:rsidR="006D2DE1" w:rsidRPr="00712BA5">
        <w:rPr>
          <w:rStyle w:val="Emphasis"/>
        </w:rPr>
        <w:t xml:space="preserve"> Government </w:t>
      </w:r>
      <w:r w:rsidR="00DE7ADC" w:rsidRPr="00712BA5">
        <w:rPr>
          <w:rStyle w:val="Emphasis"/>
        </w:rPr>
        <w:t xml:space="preserve">lever </w:t>
      </w:r>
      <w:r w:rsidR="006D2DE1" w:rsidRPr="00712BA5">
        <w:rPr>
          <w:rStyle w:val="Emphasis"/>
        </w:rPr>
        <w:t>to i</w:t>
      </w:r>
      <w:r w:rsidR="00DA39D9" w:rsidRPr="00712BA5">
        <w:rPr>
          <w:rStyle w:val="Emphasis"/>
        </w:rPr>
        <w:t xml:space="preserve">mprove </w:t>
      </w:r>
      <w:r w:rsidR="00DE7ADC" w:rsidRPr="00712BA5">
        <w:rPr>
          <w:rStyle w:val="Emphasis"/>
        </w:rPr>
        <w:t>research commercialisation</w:t>
      </w:r>
      <w:r w:rsidR="00DE7ADC" w:rsidRPr="008733D7">
        <w:rPr>
          <w:rFonts w:eastAsiaTheme="majorEastAsia" w:cstheme="minorHAnsi"/>
          <w:b/>
          <w:bCs/>
          <w:szCs w:val="20"/>
        </w:rPr>
        <w:t xml:space="preserve">. </w:t>
      </w:r>
      <w:r w:rsidR="00D21E7C">
        <w:rPr>
          <w:rFonts w:eastAsiaTheme="majorEastAsia" w:cstheme="minorHAnsi"/>
          <w:bCs/>
          <w:szCs w:val="20"/>
        </w:rPr>
        <w:t>While we acknowledge that Australia ranks poor</w:t>
      </w:r>
      <w:r>
        <w:rPr>
          <w:rFonts w:eastAsiaTheme="majorEastAsia" w:cstheme="minorHAnsi"/>
          <w:bCs/>
          <w:szCs w:val="20"/>
        </w:rPr>
        <w:t>ly compared with</w:t>
      </w:r>
      <w:r w:rsidR="008733D7">
        <w:rPr>
          <w:rFonts w:eastAsiaTheme="majorEastAsia" w:cstheme="minorHAnsi"/>
          <w:bCs/>
          <w:szCs w:val="20"/>
        </w:rPr>
        <w:t xml:space="preserve"> our OECD counter</w:t>
      </w:r>
      <w:r w:rsidR="00D21E7C">
        <w:rPr>
          <w:rFonts w:eastAsiaTheme="majorEastAsia" w:cstheme="minorHAnsi"/>
          <w:bCs/>
          <w:szCs w:val="20"/>
        </w:rPr>
        <w:t xml:space="preserve">parts in </w:t>
      </w:r>
      <w:r w:rsidR="008733D7">
        <w:rPr>
          <w:rFonts w:eastAsiaTheme="majorEastAsia" w:cstheme="minorHAnsi"/>
          <w:bCs/>
          <w:szCs w:val="20"/>
        </w:rPr>
        <w:t xml:space="preserve">industry-researcher </w:t>
      </w:r>
      <w:r w:rsidR="00D21E7C">
        <w:rPr>
          <w:rFonts w:eastAsiaTheme="majorEastAsia" w:cstheme="minorHAnsi"/>
          <w:bCs/>
          <w:szCs w:val="20"/>
        </w:rPr>
        <w:t>col</w:t>
      </w:r>
      <w:r w:rsidR="008733D7">
        <w:rPr>
          <w:rFonts w:eastAsiaTheme="majorEastAsia" w:cstheme="minorHAnsi"/>
          <w:bCs/>
          <w:szCs w:val="20"/>
        </w:rPr>
        <w:t>laboration</w:t>
      </w:r>
      <w:r w:rsidR="00C673FA">
        <w:rPr>
          <w:rFonts w:eastAsiaTheme="majorEastAsia" w:cstheme="minorHAnsi"/>
          <w:bCs/>
          <w:szCs w:val="20"/>
        </w:rPr>
        <w:t>s</w:t>
      </w:r>
      <w:r w:rsidR="00D21E7C">
        <w:rPr>
          <w:rFonts w:eastAsiaTheme="majorEastAsia" w:cstheme="minorHAnsi"/>
          <w:bCs/>
          <w:szCs w:val="20"/>
        </w:rPr>
        <w:t xml:space="preserve">, we also rank poorly in other </w:t>
      </w:r>
      <w:r w:rsidR="008733D7">
        <w:rPr>
          <w:rFonts w:eastAsiaTheme="majorEastAsia" w:cstheme="minorHAnsi"/>
          <w:bCs/>
          <w:szCs w:val="20"/>
        </w:rPr>
        <w:t xml:space="preserve">innovation </w:t>
      </w:r>
      <w:r w:rsidR="00D21E7C">
        <w:rPr>
          <w:rFonts w:eastAsiaTheme="majorEastAsia" w:cstheme="minorHAnsi"/>
          <w:bCs/>
          <w:szCs w:val="20"/>
        </w:rPr>
        <w:t xml:space="preserve">metrics such as new-to-market and new-to-world patents, and </w:t>
      </w:r>
      <w:r w:rsidR="00DA39D9">
        <w:rPr>
          <w:rFonts w:eastAsiaTheme="majorEastAsia" w:cstheme="minorHAnsi"/>
          <w:bCs/>
          <w:szCs w:val="20"/>
        </w:rPr>
        <w:t xml:space="preserve">high </w:t>
      </w:r>
      <w:r w:rsidR="004F50E0">
        <w:rPr>
          <w:rFonts w:eastAsiaTheme="majorEastAsia" w:cstheme="minorHAnsi"/>
          <w:bCs/>
          <w:szCs w:val="20"/>
        </w:rPr>
        <w:t>tech</w:t>
      </w:r>
      <w:r w:rsidR="00DA39D9">
        <w:rPr>
          <w:rFonts w:eastAsiaTheme="majorEastAsia" w:cstheme="minorHAnsi"/>
          <w:bCs/>
          <w:szCs w:val="20"/>
        </w:rPr>
        <w:t>nology</w:t>
      </w:r>
      <w:r w:rsidR="004F50E0">
        <w:rPr>
          <w:rFonts w:eastAsiaTheme="majorEastAsia" w:cstheme="minorHAnsi"/>
          <w:bCs/>
          <w:szCs w:val="20"/>
        </w:rPr>
        <w:t xml:space="preserve"> / medium</w:t>
      </w:r>
      <w:r w:rsidR="00DA39D9">
        <w:rPr>
          <w:rFonts w:eastAsiaTheme="majorEastAsia" w:cstheme="minorHAnsi"/>
          <w:bCs/>
          <w:szCs w:val="20"/>
        </w:rPr>
        <w:t xml:space="preserve">-to-high </w:t>
      </w:r>
      <w:r w:rsidR="004F50E0">
        <w:rPr>
          <w:rFonts w:eastAsiaTheme="majorEastAsia" w:cstheme="minorHAnsi"/>
          <w:bCs/>
          <w:szCs w:val="20"/>
        </w:rPr>
        <w:t xml:space="preserve">technology exports. The reason for </w:t>
      </w:r>
      <w:r w:rsidR="00330735">
        <w:rPr>
          <w:rFonts w:eastAsiaTheme="majorEastAsia" w:cstheme="minorHAnsi"/>
          <w:bCs/>
          <w:szCs w:val="20"/>
        </w:rPr>
        <w:t xml:space="preserve">the low level of </w:t>
      </w:r>
      <w:r w:rsidR="00DA39D9">
        <w:rPr>
          <w:rFonts w:eastAsiaTheme="majorEastAsia" w:cstheme="minorHAnsi"/>
          <w:bCs/>
          <w:szCs w:val="20"/>
        </w:rPr>
        <w:t xml:space="preserve">engagement </w:t>
      </w:r>
      <w:r w:rsidR="00330735">
        <w:rPr>
          <w:rFonts w:eastAsiaTheme="majorEastAsia" w:cstheme="minorHAnsi"/>
          <w:bCs/>
          <w:szCs w:val="20"/>
        </w:rPr>
        <w:t xml:space="preserve">between </w:t>
      </w:r>
      <w:r w:rsidR="004F50E0">
        <w:rPr>
          <w:rFonts w:eastAsiaTheme="majorEastAsia" w:cstheme="minorHAnsi"/>
          <w:bCs/>
          <w:szCs w:val="20"/>
        </w:rPr>
        <w:t>Australia</w:t>
      </w:r>
      <w:r w:rsidR="00330735">
        <w:rPr>
          <w:rFonts w:eastAsiaTheme="majorEastAsia" w:cstheme="minorHAnsi"/>
          <w:bCs/>
          <w:szCs w:val="20"/>
        </w:rPr>
        <w:t>n business and</w:t>
      </w:r>
      <w:r>
        <w:rPr>
          <w:rFonts w:eastAsiaTheme="majorEastAsia" w:cstheme="minorHAnsi"/>
          <w:bCs/>
          <w:szCs w:val="20"/>
        </w:rPr>
        <w:t xml:space="preserve"> research organisations</w:t>
      </w:r>
      <w:r w:rsidR="004F50E0">
        <w:rPr>
          <w:rFonts w:eastAsiaTheme="majorEastAsia" w:cstheme="minorHAnsi"/>
          <w:bCs/>
          <w:szCs w:val="20"/>
        </w:rPr>
        <w:t xml:space="preserve"> is not </w:t>
      </w:r>
      <w:r w:rsidR="008733D7">
        <w:rPr>
          <w:rFonts w:eastAsiaTheme="majorEastAsia" w:cstheme="minorHAnsi"/>
          <w:bCs/>
          <w:szCs w:val="20"/>
        </w:rPr>
        <w:t>simply the result of in</w:t>
      </w:r>
      <w:r w:rsidR="004F50E0">
        <w:rPr>
          <w:rFonts w:eastAsiaTheme="majorEastAsia" w:cstheme="minorHAnsi"/>
          <w:bCs/>
          <w:szCs w:val="20"/>
        </w:rPr>
        <w:t xml:space="preserve">sufficient Government funding or incentives </w:t>
      </w:r>
      <w:r>
        <w:rPr>
          <w:rFonts w:eastAsiaTheme="majorEastAsia" w:cstheme="minorHAnsi"/>
          <w:bCs/>
          <w:szCs w:val="20"/>
        </w:rPr>
        <w:t xml:space="preserve">to </w:t>
      </w:r>
      <w:r w:rsidR="00DA39D9">
        <w:rPr>
          <w:rFonts w:eastAsiaTheme="majorEastAsia" w:cstheme="minorHAnsi"/>
          <w:bCs/>
          <w:szCs w:val="20"/>
        </w:rPr>
        <w:t xml:space="preserve">directly </w:t>
      </w:r>
      <w:r>
        <w:rPr>
          <w:rFonts w:eastAsiaTheme="majorEastAsia" w:cstheme="minorHAnsi"/>
          <w:bCs/>
          <w:szCs w:val="20"/>
        </w:rPr>
        <w:t xml:space="preserve">encourage </w:t>
      </w:r>
      <w:r w:rsidR="00DA39D9">
        <w:rPr>
          <w:rFonts w:eastAsiaTheme="majorEastAsia" w:cstheme="minorHAnsi"/>
          <w:bCs/>
          <w:szCs w:val="20"/>
        </w:rPr>
        <w:t>this</w:t>
      </w:r>
      <w:r w:rsidR="004F50E0">
        <w:rPr>
          <w:rFonts w:eastAsiaTheme="majorEastAsia" w:cstheme="minorHAnsi"/>
          <w:bCs/>
          <w:szCs w:val="20"/>
        </w:rPr>
        <w:t>. It is an indicator of a much</w:t>
      </w:r>
      <w:r w:rsidR="008733D7">
        <w:rPr>
          <w:rFonts w:eastAsiaTheme="majorEastAsia" w:cstheme="minorHAnsi"/>
          <w:bCs/>
          <w:szCs w:val="20"/>
        </w:rPr>
        <w:t xml:space="preserve"> more complex system of issues (including a predominantly low-tech </w:t>
      </w:r>
      <w:r w:rsidR="002F0A15">
        <w:rPr>
          <w:rFonts w:eastAsiaTheme="majorEastAsia" w:cstheme="minorHAnsi"/>
          <w:bCs/>
          <w:szCs w:val="20"/>
        </w:rPr>
        <w:t xml:space="preserve">and risk-averse </w:t>
      </w:r>
      <w:r w:rsidR="008733D7">
        <w:rPr>
          <w:rFonts w:eastAsiaTheme="majorEastAsia" w:cstheme="minorHAnsi"/>
          <w:bCs/>
          <w:szCs w:val="20"/>
        </w:rPr>
        <w:t xml:space="preserve">industry base to begin with, </w:t>
      </w:r>
      <w:r w:rsidR="00890E4E">
        <w:rPr>
          <w:rFonts w:eastAsiaTheme="majorEastAsia" w:cstheme="minorHAnsi"/>
          <w:bCs/>
          <w:szCs w:val="20"/>
        </w:rPr>
        <w:t xml:space="preserve">a lack of experts in commercialisation and product development, </w:t>
      </w:r>
      <w:r w:rsidR="008733D7">
        <w:rPr>
          <w:rFonts w:eastAsiaTheme="majorEastAsia" w:cstheme="minorHAnsi"/>
          <w:bCs/>
          <w:szCs w:val="20"/>
        </w:rPr>
        <w:t xml:space="preserve">and a paucity of venture capital funding to </w:t>
      </w:r>
      <w:r>
        <w:rPr>
          <w:rFonts w:eastAsiaTheme="majorEastAsia" w:cstheme="minorHAnsi"/>
          <w:bCs/>
          <w:szCs w:val="20"/>
        </w:rPr>
        <w:t xml:space="preserve">support the </w:t>
      </w:r>
      <w:r w:rsidR="00DA39D9">
        <w:rPr>
          <w:rFonts w:eastAsiaTheme="majorEastAsia" w:cstheme="minorHAnsi"/>
          <w:bCs/>
          <w:szCs w:val="20"/>
        </w:rPr>
        <w:t xml:space="preserve">spin out </w:t>
      </w:r>
      <w:r w:rsidR="008733D7">
        <w:rPr>
          <w:rFonts w:eastAsiaTheme="majorEastAsia" w:cstheme="minorHAnsi"/>
          <w:bCs/>
          <w:szCs w:val="20"/>
        </w:rPr>
        <w:t xml:space="preserve">of new innovative businesses), </w:t>
      </w:r>
      <w:r w:rsidR="004F50E0">
        <w:rPr>
          <w:rFonts w:eastAsiaTheme="majorEastAsia" w:cstheme="minorHAnsi"/>
          <w:bCs/>
          <w:szCs w:val="20"/>
        </w:rPr>
        <w:t xml:space="preserve">all of which must be </w:t>
      </w:r>
      <w:r w:rsidR="00DA39D9">
        <w:rPr>
          <w:rFonts w:eastAsiaTheme="majorEastAsia" w:cstheme="minorHAnsi"/>
          <w:bCs/>
          <w:szCs w:val="20"/>
        </w:rPr>
        <w:t>considered in</w:t>
      </w:r>
      <w:r w:rsidR="004F50E0">
        <w:rPr>
          <w:rFonts w:eastAsiaTheme="majorEastAsia" w:cstheme="minorHAnsi"/>
          <w:bCs/>
          <w:szCs w:val="20"/>
        </w:rPr>
        <w:t xml:space="preserve"> improv</w:t>
      </w:r>
      <w:r w:rsidR="00DA39D9">
        <w:rPr>
          <w:rFonts w:eastAsiaTheme="majorEastAsia" w:cstheme="minorHAnsi"/>
          <w:bCs/>
          <w:szCs w:val="20"/>
        </w:rPr>
        <w:t>ing</w:t>
      </w:r>
      <w:r w:rsidR="004F50E0">
        <w:rPr>
          <w:rFonts w:eastAsiaTheme="majorEastAsia" w:cstheme="minorHAnsi"/>
          <w:bCs/>
          <w:szCs w:val="20"/>
        </w:rPr>
        <w:t xml:space="preserve"> the commercial returns from research.</w:t>
      </w:r>
    </w:p>
    <w:p w14:paraId="2651EA05" w14:textId="77777777" w:rsidR="0009606B" w:rsidRDefault="0009606B" w:rsidP="00523377">
      <w:pPr>
        <w:spacing w:before="200" w:after="0"/>
        <w:rPr>
          <w:rFonts w:eastAsiaTheme="majorEastAsia" w:cstheme="minorHAnsi"/>
          <w:bCs/>
          <w:szCs w:val="20"/>
        </w:rPr>
      </w:pPr>
      <w:r>
        <w:rPr>
          <w:rFonts w:eastAsiaTheme="majorEastAsia" w:cstheme="minorHAnsi"/>
          <w:bCs/>
          <w:szCs w:val="20"/>
        </w:rPr>
        <w:t>R</w:t>
      </w:r>
      <w:r w:rsidR="00DE7ADC" w:rsidRPr="00523377">
        <w:rPr>
          <w:rFonts w:eastAsiaTheme="majorEastAsia" w:cstheme="minorHAnsi"/>
          <w:bCs/>
          <w:szCs w:val="20"/>
        </w:rPr>
        <w:t>ecent</w:t>
      </w:r>
      <w:r w:rsidR="007377E0" w:rsidRPr="00523377">
        <w:rPr>
          <w:rFonts w:eastAsiaTheme="majorEastAsia" w:cstheme="minorHAnsi"/>
          <w:bCs/>
          <w:szCs w:val="20"/>
        </w:rPr>
        <w:t xml:space="preserve"> </w:t>
      </w:r>
      <w:r>
        <w:rPr>
          <w:rFonts w:eastAsiaTheme="majorEastAsia" w:cstheme="minorHAnsi"/>
          <w:bCs/>
          <w:szCs w:val="20"/>
        </w:rPr>
        <w:t>initiatives</w:t>
      </w:r>
      <w:r w:rsidR="007377E0" w:rsidRPr="00523377">
        <w:rPr>
          <w:rFonts w:eastAsiaTheme="majorEastAsia" w:cstheme="minorHAnsi"/>
          <w:bCs/>
          <w:szCs w:val="20"/>
        </w:rPr>
        <w:t xml:space="preserve"> </w:t>
      </w:r>
      <w:r w:rsidR="00C75318" w:rsidRPr="00523377">
        <w:rPr>
          <w:rFonts w:eastAsiaTheme="majorEastAsia" w:cstheme="minorHAnsi"/>
          <w:bCs/>
          <w:szCs w:val="20"/>
        </w:rPr>
        <w:t>in the</w:t>
      </w:r>
      <w:r w:rsidR="00DA39D9">
        <w:rPr>
          <w:rFonts w:eastAsiaTheme="majorEastAsia" w:cstheme="minorHAnsi"/>
          <w:bCs/>
          <w:szCs w:val="20"/>
        </w:rPr>
        <w:t xml:space="preserve"> Commonwealth Government’s</w:t>
      </w:r>
      <w:r w:rsidR="00C75318" w:rsidRPr="00523377">
        <w:rPr>
          <w:rFonts w:eastAsiaTheme="majorEastAsia" w:cstheme="minorHAnsi"/>
          <w:bCs/>
          <w:szCs w:val="20"/>
        </w:rPr>
        <w:t xml:space="preserve"> </w:t>
      </w:r>
      <w:r w:rsidR="00C75318" w:rsidRPr="00712BA5">
        <w:rPr>
          <w:rStyle w:val="BookTitle"/>
        </w:rPr>
        <w:t>Industry Innovation and Competitiveness Agenda</w:t>
      </w:r>
      <w:r w:rsidR="00C75318" w:rsidRPr="00523377">
        <w:rPr>
          <w:rFonts w:eastAsiaTheme="majorEastAsia" w:cstheme="minorHAnsi"/>
          <w:bCs/>
          <w:szCs w:val="20"/>
        </w:rPr>
        <w:t xml:space="preserve">, </w:t>
      </w:r>
      <w:r w:rsidR="00DE7ADC" w:rsidRPr="00523377">
        <w:rPr>
          <w:rFonts w:eastAsiaTheme="majorEastAsia" w:cstheme="minorHAnsi"/>
          <w:bCs/>
          <w:szCs w:val="20"/>
        </w:rPr>
        <w:t xml:space="preserve">such as the </w:t>
      </w:r>
      <w:r w:rsidR="00C25C15" w:rsidRPr="00523377">
        <w:rPr>
          <w:rFonts w:eastAsiaTheme="majorEastAsia" w:cstheme="minorHAnsi"/>
          <w:bCs/>
          <w:szCs w:val="20"/>
        </w:rPr>
        <w:t xml:space="preserve">proposed </w:t>
      </w:r>
      <w:r w:rsidR="00DA39D9">
        <w:rPr>
          <w:rFonts w:eastAsiaTheme="majorEastAsia" w:cstheme="minorHAnsi"/>
          <w:bCs/>
          <w:szCs w:val="20"/>
        </w:rPr>
        <w:t xml:space="preserve">regulatory </w:t>
      </w:r>
      <w:r w:rsidR="00C75318" w:rsidRPr="00523377">
        <w:rPr>
          <w:rFonts w:eastAsiaTheme="majorEastAsia" w:cstheme="minorHAnsi"/>
          <w:bCs/>
          <w:szCs w:val="20"/>
        </w:rPr>
        <w:t xml:space="preserve">changes </w:t>
      </w:r>
      <w:r w:rsidR="00DA39D9">
        <w:rPr>
          <w:rFonts w:eastAsiaTheme="majorEastAsia" w:cstheme="minorHAnsi"/>
          <w:bCs/>
          <w:szCs w:val="20"/>
        </w:rPr>
        <w:t>for</w:t>
      </w:r>
      <w:r w:rsidR="000E7C1F">
        <w:rPr>
          <w:rFonts w:eastAsiaTheme="majorEastAsia" w:cstheme="minorHAnsi"/>
          <w:bCs/>
          <w:szCs w:val="20"/>
        </w:rPr>
        <w:t xml:space="preserve"> Employee Share S</w:t>
      </w:r>
      <w:r w:rsidR="00C75318" w:rsidRPr="00523377">
        <w:rPr>
          <w:rFonts w:eastAsiaTheme="majorEastAsia" w:cstheme="minorHAnsi"/>
          <w:bCs/>
          <w:szCs w:val="20"/>
        </w:rPr>
        <w:t xml:space="preserve">chemes </w:t>
      </w:r>
      <w:r w:rsidR="00C25C15" w:rsidRPr="00523377">
        <w:rPr>
          <w:rFonts w:eastAsiaTheme="majorEastAsia" w:cstheme="minorHAnsi"/>
          <w:bCs/>
          <w:szCs w:val="20"/>
        </w:rPr>
        <w:t xml:space="preserve">and </w:t>
      </w:r>
      <w:r w:rsidR="00C673FA">
        <w:rPr>
          <w:rFonts w:eastAsiaTheme="majorEastAsia" w:cstheme="minorHAnsi"/>
          <w:bCs/>
          <w:szCs w:val="20"/>
        </w:rPr>
        <w:t xml:space="preserve">for </w:t>
      </w:r>
      <w:r w:rsidR="000E7C1F">
        <w:rPr>
          <w:rFonts w:eastAsiaTheme="majorEastAsia" w:cstheme="minorHAnsi"/>
          <w:bCs/>
          <w:szCs w:val="20"/>
        </w:rPr>
        <w:t xml:space="preserve">the approval of medical devices by the </w:t>
      </w:r>
      <w:r w:rsidR="000E7C1F" w:rsidRPr="00523377">
        <w:rPr>
          <w:rFonts w:eastAsiaTheme="majorEastAsia" w:cstheme="minorHAnsi"/>
          <w:bCs/>
          <w:szCs w:val="20"/>
        </w:rPr>
        <w:t>T</w:t>
      </w:r>
      <w:r w:rsidR="000E7C1F">
        <w:rPr>
          <w:rFonts w:eastAsiaTheme="majorEastAsia" w:cstheme="minorHAnsi"/>
          <w:bCs/>
          <w:szCs w:val="20"/>
        </w:rPr>
        <w:t>herapeutic</w:t>
      </w:r>
      <w:r w:rsidR="00DA39D9">
        <w:rPr>
          <w:rFonts w:eastAsiaTheme="majorEastAsia" w:cstheme="minorHAnsi"/>
          <w:bCs/>
          <w:szCs w:val="20"/>
        </w:rPr>
        <w:t xml:space="preserve"> Goods</w:t>
      </w:r>
      <w:r w:rsidR="00C25C15" w:rsidRPr="00523377">
        <w:rPr>
          <w:rFonts w:eastAsiaTheme="majorEastAsia" w:cstheme="minorHAnsi"/>
          <w:bCs/>
          <w:szCs w:val="20"/>
        </w:rPr>
        <w:t xml:space="preserve"> </w:t>
      </w:r>
      <w:r w:rsidR="000E7C1F">
        <w:rPr>
          <w:rFonts w:eastAsiaTheme="majorEastAsia" w:cstheme="minorHAnsi"/>
          <w:bCs/>
          <w:szCs w:val="20"/>
        </w:rPr>
        <w:t>Administration</w:t>
      </w:r>
      <w:r w:rsidR="00C25C15" w:rsidRPr="00523377">
        <w:rPr>
          <w:rFonts w:eastAsiaTheme="majorEastAsia" w:cstheme="minorHAnsi"/>
          <w:bCs/>
          <w:szCs w:val="20"/>
        </w:rPr>
        <w:t xml:space="preserve">, are </w:t>
      </w:r>
      <w:r w:rsidR="000E7C1F">
        <w:rPr>
          <w:rFonts w:eastAsiaTheme="majorEastAsia" w:cstheme="minorHAnsi"/>
          <w:bCs/>
          <w:szCs w:val="20"/>
        </w:rPr>
        <w:t>positive developments for</w:t>
      </w:r>
      <w:r>
        <w:rPr>
          <w:rFonts w:eastAsiaTheme="majorEastAsia" w:cstheme="minorHAnsi"/>
          <w:bCs/>
          <w:szCs w:val="20"/>
        </w:rPr>
        <w:t xml:space="preserve"> </w:t>
      </w:r>
      <w:r w:rsidR="000E7C1F">
        <w:rPr>
          <w:rFonts w:eastAsiaTheme="majorEastAsia" w:cstheme="minorHAnsi"/>
          <w:bCs/>
          <w:szCs w:val="20"/>
        </w:rPr>
        <w:t>supporting innovative</w:t>
      </w:r>
      <w:r w:rsidR="00DE7ADC" w:rsidRPr="00523377">
        <w:rPr>
          <w:rFonts w:eastAsiaTheme="majorEastAsia" w:cstheme="minorHAnsi"/>
          <w:bCs/>
          <w:szCs w:val="20"/>
        </w:rPr>
        <w:t xml:space="preserve"> industries </w:t>
      </w:r>
      <w:r w:rsidR="000E7C1F">
        <w:rPr>
          <w:rFonts w:eastAsiaTheme="majorEastAsia" w:cstheme="minorHAnsi"/>
          <w:bCs/>
          <w:szCs w:val="20"/>
        </w:rPr>
        <w:t>in Australia</w:t>
      </w:r>
      <w:r w:rsidR="00DE7ADC" w:rsidRPr="00523377">
        <w:rPr>
          <w:rFonts w:eastAsiaTheme="majorEastAsia" w:cstheme="minorHAnsi"/>
          <w:bCs/>
          <w:szCs w:val="20"/>
        </w:rPr>
        <w:t xml:space="preserve">. </w:t>
      </w:r>
      <w:r>
        <w:rPr>
          <w:rFonts w:eastAsiaTheme="majorEastAsia" w:cstheme="minorHAnsi"/>
          <w:bCs/>
          <w:szCs w:val="20"/>
        </w:rPr>
        <w:t xml:space="preserve">These industries, in turn, are more likely to invest in research, employ researchers, and collaborate with research organisations. </w:t>
      </w:r>
    </w:p>
    <w:p w14:paraId="2651EA06" w14:textId="77777777" w:rsidR="000E7C1F" w:rsidRDefault="00CA45C6" w:rsidP="00523377">
      <w:pPr>
        <w:spacing w:before="200" w:after="0"/>
        <w:rPr>
          <w:rFonts w:eastAsiaTheme="majorEastAsia" w:cstheme="minorHAnsi"/>
          <w:bCs/>
          <w:szCs w:val="20"/>
        </w:rPr>
      </w:pPr>
      <w:r w:rsidRPr="00712BA5">
        <w:rPr>
          <w:rStyle w:val="Emphasis"/>
        </w:rPr>
        <w:t>While the discussion paper</w:t>
      </w:r>
      <w:r w:rsidR="0097487C" w:rsidRPr="00712BA5">
        <w:rPr>
          <w:rStyle w:val="Emphasis"/>
        </w:rPr>
        <w:t>’s</w:t>
      </w:r>
      <w:r w:rsidRPr="00712BA5">
        <w:rPr>
          <w:rStyle w:val="Emphasis"/>
        </w:rPr>
        <w:t xml:space="preserve"> proposals to recognise and reward industry experience, upskill researchers, and increase industry access to research have merit, they do not address the</w:t>
      </w:r>
      <w:r w:rsidR="00C25C15" w:rsidRPr="00712BA5">
        <w:rPr>
          <w:rStyle w:val="Emphasis"/>
        </w:rPr>
        <w:t xml:space="preserve"> </w:t>
      </w:r>
      <w:r w:rsidR="00FA02F3" w:rsidRPr="00712BA5">
        <w:rPr>
          <w:rStyle w:val="Emphasis"/>
        </w:rPr>
        <w:t>key enduring</w:t>
      </w:r>
      <w:r w:rsidR="00C25C15" w:rsidRPr="00712BA5">
        <w:rPr>
          <w:rStyle w:val="Emphasis"/>
        </w:rPr>
        <w:t xml:space="preserve"> barrier to </w:t>
      </w:r>
      <w:r w:rsidR="004B09C7" w:rsidRPr="00712BA5">
        <w:rPr>
          <w:rStyle w:val="Emphasis"/>
        </w:rPr>
        <w:t xml:space="preserve">the </w:t>
      </w:r>
      <w:r w:rsidR="00C25C15" w:rsidRPr="00712BA5">
        <w:rPr>
          <w:rStyle w:val="Emphasis"/>
        </w:rPr>
        <w:t>commercial translation of research</w:t>
      </w:r>
      <w:r w:rsidRPr="00712BA5">
        <w:rPr>
          <w:rStyle w:val="Emphasis"/>
        </w:rPr>
        <w:t xml:space="preserve">: </w:t>
      </w:r>
      <w:r w:rsidR="007377E0" w:rsidRPr="00712BA5">
        <w:rPr>
          <w:rStyle w:val="Emphasis"/>
        </w:rPr>
        <w:t>limited a</w:t>
      </w:r>
      <w:r w:rsidR="00086F16" w:rsidRPr="00712BA5">
        <w:rPr>
          <w:rStyle w:val="Emphasis"/>
        </w:rPr>
        <w:t xml:space="preserve">ccess to finance </w:t>
      </w:r>
      <w:r w:rsidR="000E7C1F" w:rsidRPr="00712BA5">
        <w:rPr>
          <w:rStyle w:val="Emphasis"/>
        </w:rPr>
        <w:t>(</w:t>
      </w:r>
      <w:r w:rsidR="001E0FBF" w:rsidRPr="00712BA5">
        <w:rPr>
          <w:rStyle w:val="Emphasis"/>
        </w:rPr>
        <w:t xml:space="preserve">both </w:t>
      </w:r>
      <w:r w:rsidR="00606A85" w:rsidRPr="00712BA5">
        <w:rPr>
          <w:rStyle w:val="Emphasis"/>
        </w:rPr>
        <w:t>for research organisations and businesses</w:t>
      </w:r>
      <w:r w:rsidR="000E7C1F" w:rsidRPr="00712BA5">
        <w:rPr>
          <w:rStyle w:val="Emphasis"/>
        </w:rPr>
        <w:t>)</w:t>
      </w:r>
      <w:r w:rsidR="00D9097E" w:rsidRPr="00712BA5">
        <w:rPr>
          <w:rStyle w:val="Emphasis"/>
        </w:rPr>
        <w:t xml:space="preserve"> </w:t>
      </w:r>
      <w:r w:rsidR="00330735" w:rsidRPr="00712BA5">
        <w:rPr>
          <w:rStyle w:val="Emphasis"/>
        </w:rPr>
        <w:t>to get potentially valuable research discoveries or IP to a point where there is commercial interest in investing in them</w:t>
      </w:r>
      <w:r w:rsidR="004B09C7" w:rsidRPr="00330735">
        <w:rPr>
          <w:rFonts w:eastAsiaTheme="majorEastAsia" w:cstheme="minorHAnsi"/>
          <w:b/>
          <w:bCs/>
          <w:szCs w:val="20"/>
        </w:rPr>
        <w:t>.</w:t>
      </w:r>
      <w:r w:rsidR="004B09C7">
        <w:rPr>
          <w:rFonts w:eastAsiaTheme="majorEastAsia" w:cstheme="minorHAnsi"/>
          <w:bCs/>
          <w:szCs w:val="20"/>
        </w:rPr>
        <w:t xml:space="preserve"> Th</w:t>
      </w:r>
      <w:r>
        <w:rPr>
          <w:rFonts w:eastAsiaTheme="majorEastAsia" w:cstheme="minorHAnsi"/>
          <w:bCs/>
          <w:szCs w:val="20"/>
        </w:rPr>
        <w:t>is funding bottleneck</w:t>
      </w:r>
      <w:r w:rsidR="004B09C7">
        <w:rPr>
          <w:rFonts w:eastAsiaTheme="majorEastAsia" w:cstheme="minorHAnsi"/>
          <w:bCs/>
          <w:szCs w:val="20"/>
        </w:rPr>
        <w:t xml:space="preserve"> in the commercialisation pipeline ha</w:t>
      </w:r>
      <w:r>
        <w:rPr>
          <w:rFonts w:eastAsiaTheme="majorEastAsia" w:cstheme="minorHAnsi"/>
          <w:bCs/>
          <w:szCs w:val="20"/>
        </w:rPr>
        <w:t>s</w:t>
      </w:r>
      <w:r w:rsidR="004B09C7">
        <w:rPr>
          <w:rFonts w:eastAsiaTheme="majorEastAsia" w:cstheme="minorHAnsi"/>
          <w:bCs/>
          <w:szCs w:val="20"/>
        </w:rPr>
        <w:t xml:space="preserve"> been exacerbated by the </w:t>
      </w:r>
      <w:r w:rsidR="00ED5EB7">
        <w:rPr>
          <w:rFonts w:eastAsiaTheme="majorEastAsia" w:cstheme="minorHAnsi"/>
          <w:bCs/>
          <w:szCs w:val="20"/>
        </w:rPr>
        <w:t xml:space="preserve">recent </w:t>
      </w:r>
      <w:r w:rsidR="004B09C7">
        <w:rPr>
          <w:rFonts w:eastAsiaTheme="majorEastAsia" w:cstheme="minorHAnsi"/>
          <w:bCs/>
          <w:szCs w:val="20"/>
        </w:rPr>
        <w:t>reduction</w:t>
      </w:r>
      <w:r w:rsidR="00330735">
        <w:rPr>
          <w:rFonts w:eastAsiaTheme="majorEastAsia" w:cstheme="minorHAnsi"/>
          <w:bCs/>
          <w:szCs w:val="20"/>
        </w:rPr>
        <w:t xml:space="preserve"> in </w:t>
      </w:r>
      <w:r w:rsidR="000E7C1F">
        <w:rPr>
          <w:rFonts w:eastAsiaTheme="majorEastAsia" w:cstheme="minorHAnsi"/>
          <w:bCs/>
          <w:szCs w:val="20"/>
        </w:rPr>
        <w:t xml:space="preserve">Commonwealth Government </w:t>
      </w:r>
      <w:r w:rsidR="00330735">
        <w:rPr>
          <w:rFonts w:eastAsiaTheme="majorEastAsia" w:cstheme="minorHAnsi"/>
          <w:bCs/>
          <w:szCs w:val="20"/>
        </w:rPr>
        <w:t>funding for research commercialisation activities</w:t>
      </w:r>
      <w:r>
        <w:rPr>
          <w:rFonts w:eastAsiaTheme="majorEastAsia" w:cstheme="minorHAnsi"/>
          <w:bCs/>
          <w:szCs w:val="20"/>
        </w:rPr>
        <w:t>,</w:t>
      </w:r>
      <w:r w:rsidR="00330735">
        <w:rPr>
          <w:rFonts w:eastAsiaTheme="majorEastAsia" w:cstheme="minorHAnsi"/>
          <w:bCs/>
          <w:szCs w:val="20"/>
        </w:rPr>
        <w:t xml:space="preserve"> </w:t>
      </w:r>
      <w:r w:rsidR="004B09C7">
        <w:rPr>
          <w:rFonts w:eastAsiaTheme="majorEastAsia" w:cstheme="minorHAnsi"/>
          <w:bCs/>
          <w:szCs w:val="20"/>
        </w:rPr>
        <w:t xml:space="preserve">and </w:t>
      </w:r>
      <w:r w:rsidR="000E7C1F">
        <w:rPr>
          <w:rFonts w:eastAsiaTheme="majorEastAsia" w:cstheme="minorHAnsi"/>
          <w:bCs/>
          <w:szCs w:val="20"/>
        </w:rPr>
        <w:t xml:space="preserve">the </w:t>
      </w:r>
      <w:r w:rsidR="004B09C7">
        <w:rPr>
          <w:rFonts w:eastAsiaTheme="majorEastAsia" w:cstheme="minorHAnsi"/>
          <w:bCs/>
          <w:szCs w:val="20"/>
        </w:rPr>
        <w:t xml:space="preserve">axing of </w:t>
      </w:r>
      <w:r w:rsidR="00330735">
        <w:rPr>
          <w:rFonts w:eastAsiaTheme="majorEastAsia" w:cstheme="minorHAnsi"/>
          <w:bCs/>
          <w:szCs w:val="20"/>
        </w:rPr>
        <w:t>the Innovation Investment Fund (IIF).</w:t>
      </w:r>
    </w:p>
    <w:p w14:paraId="2651EA07" w14:textId="77777777" w:rsidR="000E7C1F" w:rsidRDefault="000E7C1F">
      <w:pPr>
        <w:spacing w:after="0" w:line="240" w:lineRule="auto"/>
        <w:rPr>
          <w:rFonts w:eastAsiaTheme="majorEastAsia" w:cstheme="minorHAnsi"/>
          <w:bCs/>
          <w:szCs w:val="20"/>
        </w:rPr>
      </w:pPr>
      <w:r>
        <w:rPr>
          <w:rFonts w:eastAsiaTheme="majorEastAsia" w:cstheme="minorHAnsi"/>
          <w:bCs/>
          <w:szCs w:val="20"/>
        </w:rPr>
        <w:br w:type="page"/>
      </w:r>
    </w:p>
    <w:p w14:paraId="2651EA08" w14:textId="77777777" w:rsidR="001A70E5" w:rsidRDefault="001A70E5" w:rsidP="001A70E5">
      <w:pPr>
        <w:shd w:val="clear" w:color="auto" w:fill="E5E4E6" w:themeFill="accent1" w:themeFillTint="33"/>
        <w:spacing w:before="360" w:after="0"/>
        <w:rPr>
          <w:rFonts w:asciiTheme="majorHAnsi" w:eastAsiaTheme="majorEastAsia" w:hAnsiTheme="majorHAnsi" w:cstheme="majorBidi"/>
          <w:bCs/>
          <w:color w:val="CC1F2D" w:themeColor="accent2"/>
          <w:szCs w:val="20"/>
        </w:rPr>
      </w:pPr>
    </w:p>
    <w:p w14:paraId="2651EA09" w14:textId="77777777" w:rsidR="00086F16" w:rsidRPr="002B3C92" w:rsidRDefault="000729A6" w:rsidP="00712BA5">
      <w:pPr>
        <w:pStyle w:val="Heading3"/>
      </w:pPr>
      <w:r w:rsidRPr="002B3C92">
        <w:t>Valley of Death 1:</w:t>
      </w:r>
      <w:r w:rsidR="00086F16" w:rsidRPr="002B3C92">
        <w:t xml:space="preserve"> </w:t>
      </w:r>
      <w:r w:rsidR="00606A85" w:rsidRPr="002B3C92">
        <w:t>Funding for p</w:t>
      </w:r>
      <w:r w:rsidR="00013961" w:rsidRPr="002B3C92">
        <w:t>roof-of-concept</w:t>
      </w:r>
      <w:r w:rsidR="00C25C15" w:rsidRPr="002B3C92">
        <w:t xml:space="preserve"> </w:t>
      </w:r>
      <w:r w:rsidR="00606A85" w:rsidRPr="002B3C92">
        <w:t>experiments</w:t>
      </w:r>
      <w:r w:rsidR="00C25C15" w:rsidRPr="002B3C92">
        <w:t xml:space="preserve"> and early IP protection</w:t>
      </w:r>
    </w:p>
    <w:p w14:paraId="2651EA0A" w14:textId="77777777" w:rsidR="00125C9C" w:rsidRPr="00781424" w:rsidRDefault="001F1945" w:rsidP="001A70E5">
      <w:pPr>
        <w:shd w:val="clear" w:color="auto" w:fill="E5E4E6" w:themeFill="accent1" w:themeFillTint="33"/>
        <w:spacing w:before="200" w:after="0"/>
        <w:rPr>
          <w:rFonts w:cstheme="minorHAnsi"/>
          <w:bCs/>
          <w:szCs w:val="20"/>
        </w:rPr>
      </w:pPr>
      <w:r w:rsidRPr="00125C9C">
        <w:rPr>
          <w:rFonts w:cstheme="minorHAnsi"/>
          <w:szCs w:val="20"/>
        </w:rPr>
        <w:t xml:space="preserve">An early step in research commercialisation is building compelling proof-of-concept data </w:t>
      </w:r>
      <w:r w:rsidR="00781424" w:rsidRPr="00781424">
        <w:rPr>
          <w:rFonts w:cstheme="minorHAnsi"/>
          <w:bCs/>
          <w:szCs w:val="20"/>
        </w:rPr>
        <w:t xml:space="preserve">necessary to prove (or otherwise) that a discovery or concept is commercially viable so that it can </w:t>
      </w:r>
      <w:r w:rsidR="00781424">
        <w:rPr>
          <w:rFonts w:cstheme="minorHAnsi"/>
          <w:bCs/>
          <w:szCs w:val="20"/>
        </w:rPr>
        <w:t xml:space="preserve">then </w:t>
      </w:r>
      <w:r w:rsidR="00781424" w:rsidRPr="00781424">
        <w:rPr>
          <w:rFonts w:cstheme="minorHAnsi"/>
          <w:bCs/>
          <w:szCs w:val="20"/>
        </w:rPr>
        <w:t>attract early-stage private investment</w:t>
      </w:r>
      <w:r w:rsidR="00781424">
        <w:rPr>
          <w:rFonts w:cstheme="minorHAnsi"/>
          <w:bCs/>
          <w:szCs w:val="20"/>
        </w:rPr>
        <w:t xml:space="preserve"> or industry interest</w:t>
      </w:r>
      <w:r w:rsidR="00781424" w:rsidRPr="00781424">
        <w:rPr>
          <w:rFonts w:cstheme="minorHAnsi"/>
          <w:bCs/>
          <w:szCs w:val="20"/>
        </w:rPr>
        <w:t xml:space="preserve">. </w:t>
      </w:r>
    </w:p>
    <w:p w14:paraId="2651EA0B" w14:textId="77777777" w:rsidR="001F1945" w:rsidRPr="00523377" w:rsidRDefault="001F1945" w:rsidP="001A70E5">
      <w:pPr>
        <w:shd w:val="clear" w:color="auto" w:fill="E5E4E6" w:themeFill="accent1" w:themeFillTint="33"/>
        <w:spacing w:before="200" w:after="0"/>
        <w:rPr>
          <w:rFonts w:cstheme="minorHAnsi"/>
          <w:szCs w:val="20"/>
        </w:rPr>
      </w:pPr>
      <w:r w:rsidRPr="00712BA5">
        <w:rPr>
          <w:rStyle w:val="Emphasis"/>
        </w:rPr>
        <w:t>A significant funding gap for proof-of-concept research and early-stage protection of ens</w:t>
      </w:r>
      <w:r w:rsidR="00B202FB" w:rsidRPr="00712BA5">
        <w:rPr>
          <w:rStyle w:val="Emphasis"/>
        </w:rPr>
        <w:t>uing intellectual property (IP)</w:t>
      </w:r>
      <w:r w:rsidRPr="00712BA5">
        <w:rPr>
          <w:rStyle w:val="Emphasis"/>
        </w:rPr>
        <w:t xml:space="preserve"> prevents potentially valuable discoveries from making it out of research </w:t>
      </w:r>
      <w:r w:rsidR="00B202FB" w:rsidRPr="00712BA5">
        <w:rPr>
          <w:rStyle w:val="Emphasis"/>
        </w:rPr>
        <w:t>institutions</w:t>
      </w:r>
      <w:r w:rsidRPr="00712BA5">
        <w:rPr>
          <w:rStyle w:val="Emphasis"/>
        </w:rPr>
        <w:t xml:space="preserve"> and into the market place</w:t>
      </w:r>
      <w:r w:rsidRPr="00523377">
        <w:rPr>
          <w:rFonts w:cstheme="minorHAnsi"/>
          <w:b/>
          <w:szCs w:val="20"/>
        </w:rPr>
        <w:t>.</w:t>
      </w:r>
      <w:r w:rsidRPr="00523377">
        <w:rPr>
          <w:rFonts w:cstheme="minorHAnsi"/>
          <w:szCs w:val="20"/>
        </w:rPr>
        <w:t xml:space="preserve"> While NHMRC Development Grants support proof-of-concept research, this scheme represents less than one per cent of total NHMRC funding</w:t>
      </w:r>
      <w:r w:rsidR="0051672F">
        <w:rPr>
          <w:rFonts w:cstheme="minorHAnsi"/>
          <w:szCs w:val="20"/>
        </w:rPr>
        <w:t xml:space="preserve">. </w:t>
      </w:r>
      <w:r w:rsidR="00B202FB">
        <w:rPr>
          <w:rFonts w:cstheme="minorHAnsi"/>
          <w:szCs w:val="20"/>
        </w:rPr>
        <w:t>Also, m</w:t>
      </w:r>
      <w:r w:rsidR="000E7C1F">
        <w:rPr>
          <w:rFonts w:cstheme="minorHAnsi"/>
          <w:szCs w:val="20"/>
        </w:rPr>
        <w:t xml:space="preserve">edical research institutes (and medical research) are not eligible for </w:t>
      </w:r>
      <w:r w:rsidR="00B202FB">
        <w:rPr>
          <w:rFonts w:cstheme="minorHAnsi"/>
          <w:szCs w:val="20"/>
        </w:rPr>
        <w:t xml:space="preserve">equivalent </w:t>
      </w:r>
      <w:r w:rsidR="000E7C1F">
        <w:rPr>
          <w:rFonts w:cstheme="minorHAnsi"/>
          <w:szCs w:val="20"/>
        </w:rPr>
        <w:t>ARC funding schemes</w:t>
      </w:r>
      <w:r w:rsidRPr="00523377">
        <w:rPr>
          <w:rFonts w:cstheme="minorHAnsi"/>
          <w:szCs w:val="20"/>
        </w:rPr>
        <w:t xml:space="preserve">. </w:t>
      </w:r>
      <w:r w:rsidR="00781424" w:rsidRPr="00781424">
        <w:rPr>
          <w:rFonts w:cstheme="minorHAnsi"/>
          <w:szCs w:val="20"/>
        </w:rPr>
        <w:t xml:space="preserve">There is </w:t>
      </w:r>
      <w:r w:rsidR="00B202FB">
        <w:rPr>
          <w:rFonts w:cstheme="minorHAnsi"/>
          <w:szCs w:val="20"/>
        </w:rPr>
        <w:t>also a</w:t>
      </w:r>
      <w:r w:rsidR="00781424" w:rsidRPr="00781424">
        <w:rPr>
          <w:rFonts w:cstheme="minorHAnsi"/>
          <w:szCs w:val="20"/>
        </w:rPr>
        <w:t xml:space="preserve"> paucity of funding for stage 1 clinical trials, whose successful completion </w:t>
      </w:r>
      <w:r w:rsidR="00781424">
        <w:rPr>
          <w:rFonts w:cstheme="minorHAnsi"/>
          <w:szCs w:val="20"/>
        </w:rPr>
        <w:t>is</w:t>
      </w:r>
      <w:r w:rsidR="00781424" w:rsidRPr="00781424">
        <w:rPr>
          <w:rFonts w:cstheme="minorHAnsi"/>
          <w:szCs w:val="20"/>
        </w:rPr>
        <w:t xml:space="preserve"> often necessary to </w:t>
      </w:r>
      <w:r w:rsidR="00781424">
        <w:rPr>
          <w:rFonts w:cstheme="minorHAnsi"/>
          <w:szCs w:val="20"/>
        </w:rPr>
        <w:t>attract</w:t>
      </w:r>
      <w:r w:rsidR="00781424" w:rsidRPr="00781424">
        <w:rPr>
          <w:rFonts w:cstheme="minorHAnsi"/>
          <w:szCs w:val="20"/>
        </w:rPr>
        <w:t xml:space="preserve"> investor interest. </w:t>
      </w:r>
      <w:r w:rsidRPr="00523377">
        <w:rPr>
          <w:rFonts w:cstheme="minorHAnsi"/>
          <w:szCs w:val="20"/>
        </w:rPr>
        <w:t>The NHMRC and ARC also forbid grant funds from being used to protect IP</w:t>
      </w:r>
      <w:r w:rsidR="00781424">
        <w:rPr>
          <w:rFonts w:cstheme="minorHAnsi"/>
          <w:szCs w:val="20"/>
        </w:rPr>
        <w:t xml:space="preserve">, meaning </w:t>
      </w:r>
      <w:r w:rsidR="0051672F">
        <w:rPr>
          <w:rFonts w:cstheme="minorHAnsi"/>
          <w:szCs w:val="20"/>
        </w:rPr>
        <w:t xml:space="preserve">that </w:t>
      </w:r>
      <w:r w:rsidR="00781424">
        <w:rPr>
          <w:rFonts w:cstheme="minorHAnsi"/>
          <w:szCs w:val="20"/>
        </w:rPr>
        <w:t xml:space="preserve">there are literally no </w:t>
      </w:r>
      <w:r w:rsidR="0051672F">
        <w:rPr>
          <w:rFonts w:cstheme="minorHAnsi"/>
          <w:szCs w:val="20"/>
        </w:rPr>
        <w:t xml:space="preserve">Government </w:t>
      </w:r>
      <w:r w:rsidR="00781424">
        <w:rPr>
          <w:rFonts w:cstheme="minorHAnsi"/>
          <w:szCs w:val="20"/>
        </w:rPr>
        <w:t xml:space="preserve">schemes to protect potentially valuable IP </w:t>
      </w:r>
      <w:r w:rsidR="0051672F">
        <w:rPr>
          <w:rFonts w:cstheme="minorHAnsi"/>
          <w:szCs w:val="20"/>
        </w:rPr>
        <w:t>arising</w:t>
      </w:r>
      <w:r w:rsidR="00781424">
        <w:rPr>
          <w:rFonts w:cstheme="minorHAnsi"/>
          <w:szCs w:val="20"/>
        </w:rPr>
        <w:t xml:space="preserve"> from Government-funded research</w:t>
      </w:r>
      <w:r w:rsidRPr="00523377">
        <w:rPr>
          <w:rFonts w:cstheme="minorHAnsi"/>
          <w:szCs w:val="20"/>
        </w:rPr>
        <w:t>. The result is that most research organisations are unable to adequately test the commercial viability of their work and p</w:t>
      </w:r>
      <w:r w:rsidR="00781424">
        <w:rPr>
          <w:rFonts w:cstheme="minorHAnsi"/>
          <w:szCs w:val="20"/>
        </w:rPr>
        <w:t>rotect potentially valuable IP.</w:t>
      </w:r>
    </w:p>
    <w:p w14:paraId="2651EA0C" w14:textId="77777777" w:rsidR="00292655" w:rsidRPr="00523377" w:rsidRDefault="00292655" w:rsidP="001A70E5">
      <w:pPr>
        <w:pStyle w:val="ListBullet"/>
        <w:numPr>
          <w:ilvl w:val="0"/>
          <w:numId w:val="0"/>
        </w:numPr>
        <w:shd w:val="clear" w:color="auto" w:fill="E5E4E6" w:themeFill="accent1" w:themeFillTint="33"/>
        <w:spacing w:before="200" w:after="0"/>
        <w:rPr>
          <w:rFonts w:cstheme="minorHAnsi"/>
          <w:szCs w:val="20"/>
        </w:rPr>
      </w:pPr>
      <w:r w:rsidRPr="00712BA5">
        <w:rPr>
          <w:rStyle w:val="Emphasis"/>
        </w:rPr>
        <w:t xml:space="preserve">We provide a model </w:t>
      </w:r>
      <w:r w:rsidR="004A3B1D" w:rsidRPr="00712BA5">
        <w:rPr>
          <w:rStyle w:val="Emphasis"/>
        </w:rPr>
        <w:t>at Appendix 1</w:t>
      </w:r>
      <w:r w:rsidRPr="00712BA5">
        <w:rPr>
          <w:rStyle w:val="Emphasis"/>
        </w:rPr>
        <w:t xml:space="preserve"> of</w:t>
      </w:r>
      <w:r w:rsidR="0051672F" w:rsidRPr="00712BA5">
        <w:rPr>
          <w:rStyle w:val="Emphasis"/>
        </w:rPr>
        <w:t xml:space="preserve"> how a scheme for proof-of-concept funding could</w:t>
      </w:r>
      <w:r w:rsidRPr="00712BA5">
        <w:rPr>
          <w:rStyle w:val="Emphasis"/>
        </w:rPr>
        <w:t xml:space="preserve"> be used to bring together sub-critical groups of </w:t>
      </w:r>
      <w:r w:rsidR="00C47C62" w:rsidRPr="00712BA5">
        <w:rPr>
          <w:rStyle w:val="Emphasis"/>
        </w:rPr>
        <w:t>commercialisation</w:t>
      </w:r>
      <w:r w:rsidRPr="00712BA5">
        <w:rPr>
          <w:rStyle w:val="Emphasis"/>
        </w:rPr>
        <w:t xml:space="preserve"> expertise across precincts or ‘catchments’ of research organisations</w:t>
      </w:r>
      <w:r w:rsidR="00C47C62">
        <w:rPr>
          <w:rFonts w:cstheme="minorHAnsi"/>
          <w:szCs w:val="20"/>
        </w:rPr>
        <w:t xml:space="preserve"> (including universities, medical research institutes</w:t>
      </w:r>
      <w:r w:rsidRPr="00523377">
        <w:rPr>
          <w:rFonts w:cstheme="minorHAnsi"/>
          <w:szCs w:val="20"/>
        </w:rPr>
        <w:t xml:space="preserve"> and hospitals) into larger, more viable commercialisation arms. </w:t>
      </w:r>
      <w:r w:rsidR="005859D9" w:rsidRPr="00523377">
        <w:rPr>
          <w:rFonts w:cstheme="minorHAnsi"/>
          <w:szCs w:val="20"/>
        </w:rPr>
        <w:t>These could be modeled on</w:t>
      </w:r>
      <w:r w:rsidR="005859D9" w:rsidRPr="00523377">
        <w:rPr>
          <w:rFonts w:cstheme="minorHAnsi"/>
          <w:color w:val="000000"/>
          <w:szCs w:val="20"/>
        </w:rPr>
        <w:t xml:space="preserve"> the successful Medical Research Commercialisation Fund and UniQuest</w:t>
      </w:r>
      <w:r w:rsidR="00DA448D">
        <w:rPr>
          <w:rFonts w:cstheme="minorHAnsi"/>
          <w:color w:val="000000"/>
          <w:szCs w:val="20"/>
        </w:rPr>
        <w:t xml:space="preserve"> (see Appendix 1)</w:t>
      </w:r>
      <w:r w:rsidR="005859D9" w:rsidRPr="00523377">
        <w:rPr>
          <w:rFonts w:cstheme="minorHAnsi"/>
          <w:color w:val="000000"/>
          <w:szCs w:val="20"/>
        </w:rPr>
        <w:t xml:space="preserve">, which </w:t>
      </w:r>
      <w:r w:rsidR="009C5021">
        <w:rPr>
          <w:rFonts w:cstheme="minorHAnsi"/>
          <w:color w:val="000000"/>
          <w:szCs w:val="20"/>
        </w:rPr>
        <w:t xml:space="preserve">would </w:t>
      </w:r>
      <w:r w:rsidR="005859D9" w:rsidRPr="00523377">
        <w:rPr>
          <w:rFonts w:cstheme="minorHAnsi"/>
          <w:color w:val="000000"/>
          <w:szCs w:val="20"/>
        </w:rPr>
        <w:t>have the expertise and successful governance structures in place to administer new proof-of-concept funding.</w:t>
      </w:r>
    </w:p>
    <w:p w14:paraId="2651EA0D" w14:textId="77777777" w:rsidR="00086F16" w:rsidRPr="002B3C92" w:rsidRDefault="000729A6" w:rsidP="00712BA5">
      <w:pPr>
        <w:pStyle w:val="Heading3"/>
      </w:pPr>
      <w:r w:rsidRPr="002B3C92">
        <w:t>Valley of Death 2:</w:t>
      </w:r>
      <w:r w:rsidR="0073503C" w:rsidRPr="002B3C92">
        <w:t xml:space="preserve"> S</w:t>
      </w:r>
      <w:r w:rsidR="00D9097E" w:rsidRPr="002B3C92">
        <w:t xml:space="preserve">eed </w:t>
      </w:r>
      <w:r w:rsidR="00B202FB">
        <w:t xml:space="preserve">funding </w:t>
      </w:r>
      <w:r w:rsidR="0073503C" w:rsidRPr="002B3C92">
        <w:t xml:space="preserve">and venture capital </w:t>
      </w:r>
    </w:p>
    <w:p w14:paraId="2651EA0E" w14:textId="77777777" w:rsidR="00EC2341" w:rsidRDefault="00A01397" w:rsidP="001A70E5">
      <w:pPr>
        <w:shd w:val="clear" w:color="auto" w:fill="E5E4E6" w:themeFill="accent1" w:themeFillTint="33"/>
        <w:spacing w:before="200" w:after="0"/>
        <w:rPr>
          <w:rFonts w:cstheme="minorHAnsi"/>
          <w:szCs w:val="20"/>
        </w:rPr>
      </w:pPr>
      <w:r w:rsidRPr="00712BA5">
        <w:rPr>
          <w:rStyle w:val="Emphasis"/>
        </w:rPr>
        <w:t>A lack of access to venture capital is a critical issue for Australian innovation</w:t>
      </w:r>
      <w:r w:rsidRPr="0073503C">
        <w:rPr>
          <w:rFonts w:cstheme="minorHAnsi"/>
          <w:b/>
        </w:rPr>
        <w:t>.</w:t>
      </w:r>
      <w:r w:rsidRPr="0073503C">
        <w:rPr>
          <w:rFonts w:cstheme="minorHAnsi"/>
        </w:rPr>
        <w:t xml:space="preserve"> There is an opportunity for the Commonwealth Government to assist in attracting venture capital investments to </w:t>
      </w:r>
      <w:r w:rsidRPr="00FC372E">
        <w:rPr>
          <w:rFonts w:cstheme="minorHAnsi"/>
        </w:rPr>
        <w:t>Australia</w:t>
      </w:r>
      <w:r w:rsidR="00FC372E" w:rsidRPr="00FC372E">
        <w:rPr>
          <w:rFonts w:cstheme="minorHAnsi"/>
        </w:rPr>
        <w:t xml:space="preserve"> </w:t>
      </w:r>
      <w:r w:rsidR="00FC372E">
        <w:rPr>
          <w:rFonts w:cstheme="minorHAnsi"/>
        </w:rPr>
        <w:t xml:space="preserve">by supporting organisations </w:t>
      </w:r>
      <w:r w:rsidR="00B202FB">
        <w:rPr>
          <w:rFonts w:cstheme="minorHAnsi"/>
        </w:rPr>
        <w:t>similar to</w:t>
      </w:r>
      <w:r w:rsidRPr="00FC372E">
        <w:rPr>
          <w:rFonts w:cstheme="minorHAnsi"/>
        </w:rPr>
        <w:t xml:space="preserve"> the Medical Research Com</w:t>
      </w:r>
      <w:r w:rsidR="00FC372E">
        <w:rPr>
          <w:rFonts w:cstheme="minorHAnsi"/>
        </w:rPr>
        <w:t>mercialisation Fund and Uniseed,</w:t>
      </w:r>
      <w:r w:rsidRPr="00FC372E">
        <w:rPr>
          <w:rFonts w:cstheme="minorHAnsi"/>
        </w:rPr>
        <w:t xml:space="preserve"> with a proven track record in attracting national and international third party investment</w:t>
      </w:r>
      <w:r w:rsidR="00B202FB">
        <w:rPr>
          <w:rFonts w:cstheme="minorHAnsi"/>
        </w:rPr>
        <w:t>s</w:t>
      </w:r>
      <w:r w:rsidRPr="00FC372E">
        <w:rPr>
          <w:rFonts w:cstheme="minorHAnsi"/>
        </w:rPr>
        <w:t xml:space="preserve"> by aggregating ideas and ‘deal flow’ into large enough catchments to become noticeab</w:t>
      </w:r>
      <w:r w:rsidR="00FC372E" w:rsidRPr="00FC372E">
        <w:rPr>
          <w:rFonts w:cstheme="minorHAnsi"/>
        </w:rPr>
        <w:t>le to external venture capital (see Appendix 1).</w:t>
      </w:r>
      <w:r w:rsidR="00FC372E">
        <w:rPr>
          <w:rFonts w:cstheme="minorHAnsi"/>
        </w:rPr>
        <w:t xml:space="preserve"> For example, by </w:t>
      </w:r>
      <w:r w:rsidR="00DA448D">
        <w:rPr>
          <w:rFonts w:cstheme="minorHAnsi"/>
        </w:rPr>
        <w:t>subsidis</w:t>
      </w:r>
      <w:r w:rsidR="00FC372E">
        <w:rPr>
          <w:rFonts w:cstheme="minorHAnsi"/>
        </w:rPr>
        <w:t xml:space="preserve">ing administration </w:t>
      </w:r>
      <w:r w:rsidR="004A3B1D" w:rsidRPr="00523377">
        <w:rPr>
          <w:rFonts w:cstheme="minorHAnsi"/>
          <w:szCs w:val="20"/>
        </w:rPr>
        <w:t xml:space="preserve">costs, </w:t>
      </w:r>
      <w:r w:rsidR="00FC372E">
        <w:rPr>
          <w:rFonts w:cstheme="minorHAnsi"/>
          <w:szCs w:val="20"/>
        </w:rPr>
        <w:t>the Government could</w:t>
      </w:r>
      <w:r w:rsidR="004A3B1D" w:rsidRPr="00523377">
        <w:rPr>
          <w:rFonts w:cstheme="minorHAnsi"/>
          <w:szCs w:val="20"/>
        </w:rPr>
        <w:t xml:space="preserve"> enhanc</w:t>
      </w:r>
      <w:r w:rsidR="00FC372E">
        <w:rPr>
          <w:rFonts w:cstheme="minorHAnsi"/>
          <w:szCs w:val="20"/>
        </w:rPr>
        <w:t xml:space="preserve">e </w:t>
      </w:r>
      <w:r w:rsidR="004A3B1D" w:rsidRPr="00523377">
        <w:rPr>
          <w:rFonts w:cstheme="minorHAnsi"/>
          <w:szCs w:val="20"/>
        </w:rPr>
        <w:t xml:space="preserve">the attractiveness </w:t>
      </w:r>
      <w:r w:rsidR="00FC372E">
        <w:rPr>
          <w:rFonts w:cstheme="minorHAnsi"/>
          <w:szCs w:val="20"/>
        </w:rPr>
        <w:t xml:space="preserve">of these organisations </w:t>
      </w:r>
      <w:r w:rsidR="004A3B1D" w:rsidRPr="00523377">
        <w:rPr>
          <w:rFonts w:cstheme="minorHAnsi"/>
          <w:szCs w:val="20"/>
        </w:rPr>
        <w:t xml:space="preserve">as an investment, including for the superannuation industry. </w:t>
      </w:r>
      <w:r w:rsidR="00FC372E">
        <w:rPr>
          <w:rFonts w:cstheme="minorHAnsi"/>
          <w:szCs w:val="20"/>
        </w:rPr>
        <w:t xml:space="preserve">The </w:t>
      </w:r>
      <w:r w:rsidR="00C97449">
        <w:rPr>
          <w:rFonts w:cstheme="minorHAnsi"/>
          <w:szCs w:val="20"/>
        </w:rPr>
        <w:t xml:space="preserve">‘Translational Biotech Fund’ recommended in the </w:t>
      </w:r>
      <w:r w:rsidR="00C97449" w:rsidRPr="00DA448D">
        <w:rPr>
          <w:rFonts w:cstheme="minorHAnsi"/>
          <w:i/>
          <w:szCs w:val="20"/>
        </w:rPr>
        <w:t>Strategic Review of Health and Medical Research</w:t>
      </w:r>
      <w:r w:rsidR="00C97449">
        <w:rPr>
          <w:rFonts w:cstheme="minorHAnsi"/>
          <w:szCs w:val="20"/>
        </w:rPr>
        <w:t xml:space="preserve"> is another </w:t>
      </w:r>
      <w:r w:rsidR="00B202FB">
        <w:rPr>
          <w:rFonts w:cstheme="minorHAnsi"/>
          <w:szCs w:val="20"/>
        </w:rPr>
        <w:t>model by which the Government could increase the availability of seed funding and venture capital</w:t>
      </w:r>
      <w:r w:rsidR="00C97449">
        <w:rPr>
          <w:rFonts w:cstheme="minorHAnsi"/>
          <w:szCs w:val="20"/>
        </w:rPr>
        <w:t>.</w:t>
      </w:r>
    </w:p>
    <w:p w14:paraId="2651EA0F" w14:textId="77777777" w:rsidR="002B3C92" w:rsidRDefault="002B3C92" w:rsidP="002B3C92">
      <w:pPr>
        <w:shd w:val="clear" w:color="auto" w:fill="E5E4E6" w:themeFill="accent1" w:themeFillTint="33"/>
        <w:spacing w:after="0"/>
        <w:rPr>
          <w:rFonts w:cstheme="minorHAnsi"/>
          <w:szCs w:val="20"/>
        </w:rPr>
      </w:pPr>
    </w:p>
    <w:p w14:paraId="2651EA10" w14:textId="77777777" w:rsidR="00637FE0" w:rsidRPr="00523377" w:rsidRDefault="00637FE0" w:rsidP="00FC372E">
      <w:pPr>
        <w:spacing w:before="200" w:after="0"/>
        <w:rPr>
          <w:rFonts w:eastAsiaTheme="majorEastAsia" w:cstheme="minorHAnsi"/>
          <w:bCs/>
          <w:strike/>
          <w:szCs w:val="20"/>
        </w:rPr>
      </w:pPr>
      <w:r>
        <w:rPr>
          <w:rFonts w:cstheme="minorHAnsi"/>
          <w:szCs w:val="20"/>
        </w:rPr>
        <w:t xml:space="preserve">In the case of health and medical research, </w:t>
      </w:r>
      <w:r w:rsidR="00815EBF">
        <w:rPr>
          <w:rFonts w:cstheme="minorHAnsi"/>
          <w:szCs w:val="20"/>
        </w:rPr>
        <w:t xml:space="preserve">these valleys of death might be addressed by </w:t>
      </w:r>
      <w:r>
        <w:rPr>
          <w:rFonts w:cstheme="minorHAnsi"/>
          <w:szCs w:val="20"/>
        </w:rPr>
        <w:t xml:space="preserve">some of the </w:t>
      </w:r>
      <w:r w:rsidR="006004D7">
        <w:rPr>
          <w:rFonts w:cstheme="minorHAnsi"/>
          <w:szCs w:val="20"/>
        </w:rPr>
        <w:t xml:space="preserve">proceeds from the proposed </w:t>
      </w:r>
      <w:r>
        <w:rPr>
          <w:rFonts w:cstheme="minorHAnsi"/>
          <w:szCs w:val="20"/>
        </w:rPr>
        <w:t>Medical Research Future Fun</w:t>
      </w:r>
      <w:r w:rsidR="006004D7">
        <w:rPr>
          <w:rFonts w:cstheme="minorHAnsi"/>
          <w:szCs w:val="20"/>
        </w:rPr>
        <w:t xml:space="preserve">d (should it come to fruition, </w:t>
      </w:r>
      <w:r>
        <w:rPr>
          <w:rFonts w:cstheme="minorHAnsi"/>
          <w:szCs w:val="20"/>
        </w:rPr>
        <w:t xml:space="preserve">albeit </w:t>
      </w:r>
      <w:r w:rsidR="006004D7">
        <w:rPr>
          <w:rFonts w:cstheme="minorHAnsi"/>
          <w:szCs w:val="20"/>
        </w:rPr>
        <w:t xml:space="preserve">8-10 </w:t>
      </w:r>
      <w:r>
        <w:rPr>
          <w:rFonts w:cstheme="minorHAnsi"/>
          <w:szCs w:val="20"/>
        </w:rPr>
        <w:t xml:space="preserve">years from </w:t>
      </w:r>
      <w:r w:rsidR="00425EC6">
        <w:rPr>
          <w:rFonts w:cstheme="minorHAnsi"/>
          <w:szCs w:val="20"/>
        </w:rPr>
        <w:t>reaching maturity</w:t>
      </w:r>
      <w:r w:rsidR="00815EBF">
        <w:rPr>
          <w:rFonts w:cstheme="minorHAnsi"/>
          <w:szCs w:val="20"/>
        </w:rPr>
        <w:t xml:space="preserve">). </w:t>
      </w:r>
      <w:r>
        <w:rPr>
          <w:rFonts w:cstheme="minorHAnsi"/>
          <w:szCs w:val="20"/>
        </w:rPr>
        <w:t xml:space="preserve">In the case of other research areas, a </w:t>
      </w:r>
      <w:r w:rsidR="00425EC6">
        <w:rPr>
          <w:rFonts w:cstheme="minorHAnsi"/>
          <w:szCs w:val="20"/>
        </w:rPr>
        <w:t xml:space="preserve">separate </w:t>
      </w:r>
      <w:r>
        <w:rPr>
          <w:rFonts w:cstheme="minorHAnsi"/>
          <w:szCs w:val="20"/>
        </w:rPr>
        <w:t xml:space="preserve">sovereign fund </w:t>
      </w:r>
      <w:r w:rsidR="00425EC6">
        <w:rPr>
          <w:rFonts w:cstheme="minorHAnsi"/>
          <w:szCs w:val="20"/>
        </w:rPr>
        <w:t xml:space="preserve">could </w:t>
      </w:r>
      <w:r w:rsidR="006004D7">
        <w:rPr>
          <w:rFonts w:cstheme="minorHAnsi"/>
          <w:szCs w:val="20"/>
        </w:rPr>
        <w:t xml:space="preserve">ideally </w:t>
      </w:r>
      <w:r>
        <w:rPr>
          <w:rFonts w:cstheme="minorHAnsi"/>
          <w:szCs w:val="20"/>
        </w:rPr>
        <w:t>ensure secure</w:t>
      </w:r>
      <w:r w:rsidR="00425EC6">
        <w:rPr>
          <w:rFonts w:cstheme="minorHAnsi"/>
          <w:szCs w:val="20"/>
        </w:rPr>
        <w:t>,</w:t>
      </w:r>
      <w:r>
        <w:rPr>
          <w:rFonts w:cstheme="minorHAnsi"/>
          <w:szCs w:val="20"/>
        </w:rPr>
        <w:t xml:space="preserve"> long-term funding</w:t>
      </w:r>
      <w:r w:rsidR="00425EC6">
        <w:rPr>
          <w:rFonts w:cstheme="minorHAnsi"/>
          <w:szCs w:val="20"/>
        </w:rPr>
        <w:t xml:space="preserve"> to support the </w:t>
      </w:r>
      <w:r w:rsidR="001A70E5">
        <w:rPr>
          <w:rFonts w:cstheme="minorHAnsi"/>
          <w:szCs w:val="20"/>
        </w:rPr>
        <w:t xml:space="preserve">commercial </w:t>
      </w:r>
      <w:r w:rsidR="00425EC6">
        <w:rPr>
          <w:rFonts w:cstheme="minorHAnsi"/>
          <w:szCs w:val="20"/>
        </w:rPr>
        <w:t>translation of research and innovative industries</w:t>
      </w:r>
      <w:r>
        <w:rPr>
          <w:rFonts w:cstheme="minorHAnsi"/>
          <w:szCs w:val="20"/>
        </w:rPr>
        <w:t xml:space="preserve">. In the </w:t>
      </w:r>
      <w:r w:rsidR="00815EBF">
        <w:rPr>
          <w:rFonts w:cstheme="minorHAnsi"/>
          <w:szCs w:val="20"/>
        </w:rPr>
        <w:t>shorter term</w:t>
      </w:r>
      <w:r>
        <w:rPr>
          <w:rFonts w:cstheme="minorHAnsi"/>
          <w:szCs w:val="20"/>
        </w:rPr>
        <w:t xml:space="preserve">, </w:t>
      </w:r>
      <w:r w:rsidR="00425EC6">
        <w:rPr>
          <w:rFonts w:cstheme="minorHAnsi"/>
          <w:szCs w:val="20"/>
        </w:rPr>
        <w:t>a re-</w:t>
      </w:r>
      <w:r>
        <w:rPr>
          <w:rFonts w:cstheme="minorHAnsi"/>
          <w:szCs w:val="20"/>
        </w:rPr>
        <w:t xml:space="preserve">allocation of the limited funding </w:t>
      </w:r>
      <w:r w:rsidR="00425EC6">
        <w:rPr>
          <w:rFonts w:cstheme="minorHAnsi"/>
          <w:szCs w:val="20"/>
        </w:rPr>
        <w:t>that currently exists for commercialisation and</w:t>
      </w:r>
      <w:r w:rsidR="001A70E5">
        <w:rPr>
          <w:rFonts w:cstheme="minorHAnsi"/>
          <w:szCs w:val="20"/>
        </w:rPr>
        <w:t xml:space="preserve"> research-</w:t>
      </w:r>
      <w:r w:rsidR="00425EC6">
        <w:rPr>
          <w:rFonts w:cstheme="minorHAnsi"/>
          <w:szCs w:val="20"/>
        </w:rPr>
        <w:t>industry linkages shou</w:t>
      </w:r>
      <w:r w:rsidR="00815EBF">
        <w:rPr>
          <w:rFonts w:cstheme="minorHAnsi"/>
          <w:szCs w:val="20"/>
        </w:rPr>
        <w:t>ld be considered in all areas of research.</w:t>
      </w:r>
    </w:p>
    <w:p w14:paraId="2651EA11" w14:textId="77777777" w:rsidR="00093890" w:rsidRPr="00085562" w:rsidRDefault="00CA45C6" w:rsidP="001A70E5">
      <w:pPr>
        <w:spacing w:before="200" w:after="0"/>
        <w:rPr>
          <w:rFonts w:eastAsiaTheme="majorEastAsia" w:cstheme="minorHAnsi"/>
          <w:b/>
          <w:bCs/>
          <w:color w:val="CC1F2D" w:themeColor="accent2"/>
          <w:szCs w:val="20"/>
        </w:rPr>
      </w:pPr>
      <w:r w:rsidRPr="00712BA5">
        <w:rPr>
          <w:rStyle w:val="Emphasis"/>
        </w:rPr>
        <w:lastRenderedPageBreak/>
        <w:t>A</w:t>
      </w:r>
      <w:r w:rsidR="00F678D2" w:rsidRPr="00712BA5">
        <w:rPr>
          <w:rStyle w:val="Emphasis"/>
        </w:rPr>
        <w:t xml:space="preserve"> failure to address the</w:t>
      </w:r>
      <w:r w:rsidR="00637FE0" w:rsidRPr="00712BA5">
        <w:rPr>
          <w:rStyle w:val="Emphasis"/>
        </w:rPr>
        <w:t xml:space="preserve"> above</w:t>
      </w:r>
      <w:r w:rsidR="00F678D2" w:rsidRPr="00712BA5">
        <w:rPr>
          <w:rStyle w:val="Emphasis"/>
        </w:rPr>
        <w:t xml:space="preserve"> funding bottlenecks will mean that potentially valuable IP </w:t>
      </w:r>
      <w:r w:rsidR="00C97449" w:rsidRPr="00712BA5">
        <w:rPr>
          <w:rStyle w:val="Emphasis"/>
        </w:rPr>
        <w:t xml:space="preserve">will continue to </w:t>
      </w:r>
      <w:r w:rsidR="00F678D2" w:rsidRPr="00712BA5">
        <w:rPr>
          <w:rStyle w:val="Emphasis"/>
        </w:rPr>
        <w:t xml:space="preserve">sit </w:t>
      </w:r>
      <w:r w:rsidR="00C97449" w:rsidRPr="00712BA5">
        <w:rPr>
          <w:rStyle w:val="Emphasis"/>
        </w:rPr>
        <w:t>in</w:t>
      </w:r>
      <w:r w:rsidR="00F678D2" w:rsidRPr="00712BA5">
        <w:rPr>
          <w:rStyle w:val="Emphasis"/>
        </w:rPr>
        <w:t>side</w:t>
      </w:r>
      <w:r w:rsidR="00C97449" w:rsidRPr="00712BA5">
        <w:rPr>
          <w:rStyle w:val="Emphasis"/>
        </w:rPr>
        <w:t xml:space="preserve"> </w:t>
      </w:r>
      <w:r w:rsidR="00637FE0" w:rsidRPr="00712BA5">
        <w:rPr>
          <w:rStyle w:val="Emphasis"/>
        </w:rPr>
        <w:t xml:space="preserve">research organisations </w:t>
      </w:r>
      <w:r w:rsidR="00C97449" w:rsidRPr="00712BA5">
        <w:rPr>
          <w:rStyle w:val="Emphasis"/>
        </w:rPr>
        <w:t>out of reach of the investors, industr</w:t>
      </w:r>
      <w:r w:rsidR="008F2E7F" w:rsidRPr="00712BA5">
        <w:rPr>
          <w:rStyle w:val="Emphasis"/>
        </w:rPr>
        <w:t>ies and markets that</w:t>
      </w:r>
      <w:r w:rsidR="00C97449" w:rsidRPr="00712BA5">
        <w:rPr>
          <w:rStyle w:val="Emphasis"/>
        </w:rPr>
        <w:t xml:space="preserve"> could benefit from them</w:t>
      </w:r>
      <w:r w:rsidR="00F678D2" w:rsidRPr="00712BA5">
        <w:rPr>
          <w:rStyle w:val="Emphasis"/>
        </w:rPr>
        <w:t>.</w:t>
      </w:r>
      <w:r w:rsidR="00A74B27" w:rsidRPr="00712BA5">
        <w:rPr>
          <w:rStyle w:val="Emphasis"/>
        </w:rPr>
        <w:t xml:space="preserve"> </w:t>
      </w:r>
      <w:r w:rsidR="00897C1E" w:rsidRPr="00712BA5">
        <w:rPr>
          <w:rStyle w:val="Emphasis"/>
        </w:rPr>
        <w:t xml:space="preserve">We urge that these </w:t>
      </w:r>
      <w:r w:rsidR="00F678D2" w:rsidRPr="00712BA5">
        <w:rPr>
          <w:rStyle w:val="Emphasis"/>
        </w:rPr>
        <w:t xml:space="preserve">valleys of death </w:t>
      </w:r>
      <w:r w:rsidR="00897C1E" w:rsidRPr="00712BA5">
        <w:rPr>
          <w:rStyle w:val="Emphasis"/>
        </w:rPr>
        <w:t xml:space="preserve">be </w:t>
      </w:r>
      <w:r w:rsidR="00F678D2" w:rsidRPr="00712BA5">
        <w:rPr>
          <w:rStyle w:val="Emphasis"/>
        </w:rPr>
        <w:t>addressed</w:t>
      </w:r>
      <w:r w:rsidR="00897C1E" w:rsidRPr="00712BA5">
        <w:rPr>
          <w:rStyle w:val="Emphasis"/>
        </w:rPr>
        <w:t xml:space="preserve"> </w:t>
      </w:r>
      <w:r w:rsidR="00637FE0" w:rsidRPr="00712BA5">
        <w:rPr>
          <w:rStyle w:val="Emphasis"/>
        </w:rPr>
        <w:t>when considering</w:t>
      </w:r>
      <w:r w:rsidR="00331EFB" w:rsidRPr="00712BA5">
        <w:rPr>
          <w:rStyle w:val="Emphasis"/>
        </w:rPr>
        <w:t xml:space="preserve"> Government mechanisms </w:t>
      </w:r>
      <w:r w:rsidR="009723C8" w:rsidRPr="00712BA5">
        <w:rPr>
          <w:rStyle w:val="Emphasis"/>
        </w:rPr>
        <w:t>to boost</w:t>
      </w:r>
      <w:r w:rsidR="00331EFB" w:rsidRPr="00712BA5">
        <w:rPr>
          <w:rStyle w:val="Emphasis"/>
        </w:rPr>
        <w:t xml:space="preserve"> the commercial returns from research</w:t>
      </w:r>
      <w:r w:rsidR="00897C1E" w:rsidRPr="00712BA5">
        <w:rPr>
          <w:rStyle w:val="Emphasis"/>
        </w:rPr>
        <w:t>, along with</w:t>
      </w:r>
      <w:r w:rsidR="00F678D2" w:rsidRPr="00712BA5">
        <w:rPr>
          <w:rStyle w:val="Emphasis"/>
        </w:rPr>
        <w:t xml:space="preserve"> the </w:t>
      </w:r>
      <w:bookmarkStart w:id="0" w:name="_GoBack"/>
      <w:bookmarkEnd w:id="0"/>
      <w:r w:rsidR="00F678D2" w:rsidRPr="00712BA5">
        <w:rPr>
          <w:rStyle w:val="Emphasis"/>
        </w:rPr>
        <w:t>below</w:t>
      </w:r>
      <w:r w:rsidR="00897C1E" w:rsidRPr="00712BA5">
        <w:rPr>
          <w:rStyle w:val="Emphasis"/>
        </w:rPr>
        <w:t xml:space="preserve"> recommendations that </w:t>
      </w:r>
      <w:r w:rsidR="00F678D2" w:rsidRPr="00712BA5">
        <w:rPr>
          <w:rStyle w:val="Emphasis"/>
        </w:rPr>
        <w:t>refer to</w:t>
      </w:r>
      <w:r w:rsidR="009723C8" w:rsidRPr="00712BA5">
        <w:rPr>
          <w:rStyle w:val="Emphasis"/>
        </w:rPr>
        <w:t xml:space="preserve"> </w:t>
      </w:r>
      <w:r w:rsidR="00897C1E" w:rsidRPr="00712BA5">
        <w:rPr>
          <w:rStyle w:val="Emphasis"/>
        </w:rPr>
        <w:t>proposals</w:t>
      </w:r>
      <w:r w:rsidR="009723C8" w:rsidRPr="00712BA5">
        <w:rPr>
          <w:rStyle w:val="Emphasis"/>
        </w:rPr>
        <w:t xml:space="preserve"> raised</w:t>
      </w:r>
      <w:r w:rsidR="00897C1E" w:rsidRPr="00712BA5">
        <w:rPr>
          <w:rStyle w:val="Emphasis"/>
        </w:rPr>
        <w:t xml:space="preserve"> in the </w:t>
      </w:r>
      <w:r w:rsidR="009723C8" w:rsidRPr="00712BA5">
        <w:rPr>
          <w:rStyle w:val="Emphasis"/>
        </w:rPr>
        <w:t>discussion paper</w:t>
      </w:r>
      <w:r w:rsidR="009723C8" w:rsidRPr="00085562">
        <w:rPr>
          <w:rFonts w:eastAsiaTheme="majorEastAsia" w:cstheme="minorHAnsi"/>
          <w:b/>
          <w:bCs/>
          <w:szCs w:val="20"/>
        </w:rPr>
        <w:t>.</w:t>
      </w:r>
      <w:r w:rsidR="00093890" w:rsidRPr="00085562">
        <w:rPr>
          <w:rFonts w:eastAsiaTheme="majorEastAsia" w:cstheme="minorHAnsi"/>
          <w:b/>
          <w:bCs/>
          <w:color w:val="CC1F2D" w:themeColor="accent2"/>
          <w:szCs w:val="20"/>
        </w:rPr>
        <w:br w:type="page"/>
      </w:r>
    </w:p>
    <w:p w14:paraId="2651EA12" w14:textId="77777777" w:rsidR="00093890" w:rsidRPr="00093890" w:rsidRDefault="00A64AEE" w:rsidP="00423443">
      <w:pPr>
        <w:pStyle w:val="Heading2"/>
        <w:spacing w:after="480"/>
      </w:pPr>
      <w:r>
        <w:lastRenderedPageBreak/>
        <w:t>DISCUSSION</w:t>
      </w:r>
      <w:r w:rsidR="00E665B4">
        <w:t xml:space="preserve"> PAPER </w:t>
      </w:r>
      <w:r w:rsidR="001C0165">
        <w:t>PROPOSALS</w:t>
      </w:r>
    </w:p>
    <w:p w14:paraId="2651EA13" w14:textId="77777777" w:rsidR="00B87547" w:rsidRPr="002313B3" w:rsidRDefault="001C0165" w:rsidP="00712BA5">
      <w:pPr>
        <w:pStyle w:val="Heading3"/>
      </w:pPr>
      <w:r w:rsidRPr="002313B3">
        <w:t>1</w:t>
      </w:r>
      <w:r w:rsidR="00B87547" w:rsidRPr="002313B3">
        <w:t>. Creating stronger incentives for research-industry collaboration</w:t>
      </w:r>
    </w:p>
    <w:p w14:paraId="2651EA14" w14:textId="77777777" w:rsidR="002313B3" w:rsidRPr="00523377" w:rsidRDefault="002313B3" w:rsidP="00712BA5">
      <w:pPr>
        <w:pStyle w:val="Heading4"/>
      </w:pPr>
      <w:r w:rsidRPr="00523377">
        <w:t>Recognising industry experience in asses</w:t>
      </w:r>
      <w:r w:rsidR="0094777D">
        <w:t>sing competitive research grant applications</w:t>
      </w:r>
    </w:p>
    <w:p w14:paraId="2651EA15" w14:textId="77777777" w:rsidR="002574CA" w:rsidRPr="00085562" w:rsidRDefault="002574CA" w:rsidP="008E3C0A">
      <w:pPr>
        <w:spacing w:before="200" w:after="0"/>
        <w:rPr>
          <w:rFonts w:eastAsiaTheme="majorEastAsia" w:cstheme="minorHAnsi"/>
          <w:bCs/>
          <w:szCs w:val="20"/>
        </w:rPr>
      </w:pPr>
      <w:r w:rsidRPr="00085562">
        <w:rPr>
          <w:rFonts w:eastAsiaTheme="majorEastAsia" w:cstheme="minorHAnsi"/>
          <w:bCs/>
          <w:szCs w:val="20"/>
        </w:rPr>
        <w:t xml:space="preserve">Currently, </w:t>
      </w:r>
      <w:r w:rsidR="00A20811" w:rsidRPr="00085562">
        <w:rPr>
          <w:rFonts w:eastAsiaTheme="majorEastAsia" w:cstheme="minorHAnsi"/>
          <w:bCs/>
          <w:szCs w:val="20"/>
        </w:rPr>
        <w:t>industry and commercialisation outcomes are</w:t>
      </w:r>
      <w:r w:rsidRPr="00085562">
        <w:rPr>
          <w:rFonts w:eastAsiaTheme="majorEastAsia" w:cstheme="minorHAnsi"/>
          <w:bCs/>
          <w:szCs w:val="20"/>
        </w:rPr>
        <w:t xml:space="preserve"> </w:t>
      </w:r>
      <w:r w:rsidR="00A20811" w:rsidRPr="00085562">
        <w:rPr>
          <w:rFonts w:eastAsiaTheme="majorEastAsia" w:cstheme="minorHAnsi"/>
          <w:bCs/>
          <w:szCs w:val="20"/>
        </w:rPr>
        <w:t>inadequately</w:t>
      </w:r>
      <w:r w:rsidR="00E07C13" w:rsidRPr="00085562">
        <w:rPr>
          <w:rFonts w:eastAsiaTheme="majorEastAsia" w:cstheme="minorHAnsi"/>
          <w:bCs/>
          <w:szCs w:val="20"/>
        </w:rPr>
        <w:t xml:space="preserve"> recognised </w:t>
      </w:r>
      <w:r w:rsidRPr="00085562">
        <w:rPr>
          <w:rFonts w:eastAsiaTheme="majorEastAsia" w:cstheme="minorHAnsi"/>
          <w:bCs/>
          <w:szCs w:val="20"/>
        </w:rPr>
        <w:t>in the professional recognition processes within which academic researchers work</w:t>
      </w:r>
      <w:r w:rsidR="00FB050B" w:rsidRPr="00085562">
        <w:rPr>
          <w:rFonts w:eastAsiaTheme="majorEastAsia" w:cstheme="minorHAnsi"/>
          <w:bCs/>
          <w:szCs w:val="20"/>
        </w:rPr>
        <w:t>, including</w:t>
      </w:r>
      <w:r w:rsidR="00A20811" w:rsidRPr="00085562">
        <w:rPr>
          <w:rFonts w:eastAsiaTheme="majorEastAsia" w:cstheme="minorHAnsi"/>
          <w:bCs/>
          <w:szCs w:val="20"/>
        </w:rPr>
        <w:t xml:space="preserve"> in</w:t>
      </w:r>
      <w:r w:rsidR="00FB050B" w:rsidRPr="00085562">
        <w:rPr>
          <w:rFonts w:eastAsiaTheme="majorEastAsia" w:cstheme="minorHAnsi"/>
          <w:bCs/>
          <w:szCs w:val="20"/>
        </w:rPr>
        <w:t xml:space="preserve"> the awarding of Commonwealth Government grants and fellowships</w:t>
      </w:r>
      <w:r w:rsidRPr="00085562">
        <w:rPr>
          <w:rFonts w:eastAsiaTheme="majorEastAsia" w:cstheme="minorHAnsi"/>
          <w:bCs/>
          <w:szCs w:val="20"/>
        </w:rPr>
        <w:t xml:space="preserve">. While commercial </w:t>
      </w:r>
      <w:r w:rsidR="006454CB" w:rsidRPr="00085562">
        <w:rPr>
          <w:rFonts w:eastAsiaTheme="majorEastAsia" w:cstheme="minorHAnsi"/>
          <w:bCs/>
          <w:szCs w:val="20"/>
        </w:rPr>
        <w:t>outcomes are</w:t>
      </w:r>
      <w:r w:rsidRPr="00085562">
        <w:rPr>
          <w:rFonts w:eastAsiaTheme="majorEastAsia" w:cstheme="minorHAnsi"/>
          <w:bCs/>
          <w:szCs w:val="20"/>
        </w:rPr>
        <w:t xml:space="preserve"> represent</w:t>
      </w:r>
      <w:r w:rsidR="00FA02F3" w:rsidRPr="00085562">
        <w:rPr>
          <w:rFonts w:eastAsiaTheme="majorEastAsia" w:cstheme="minorHAnsi"/>
          <w:bCs/>
          <w:szCs w:val="20"/>
        </w:rPr>
        <w:t>ed</w:t>
      </w:r>
      <w:r w:rsidRPr="00085562">
        <w:rPr>
          <w:rFonts w:eastAsiaTheme="majorEastAsia" w:cstheme="minorHAnsi"/>
          <w:bCs/>
          <w:szCs w:val="20"/>
        </w:rPr>
        <w:t xml:space="preserve"> in </w:t>
      </w:r>
      <w:r w:rsidR="006454CB" w:rsidRPr="00085562">
        <w:rPr>
          <w:rFonts w:eastAsiaTheme="majorEastAsia" w:cstheme="minorHAnsi"/>
          <w:bCs/>
          <w:szCs w:val="20"/>
        </w:rPr>
        <w:t xml:space="preserve">the assessment criteria of </w:t>
      </w:r>
      <w:r w:rsidR="00FA02F3" w:rsidRPr="00085562">
        <w:rPr>
          <w:rFonts w:eastAsiaTheme="majorEastAsia" w:cstheme="minorHAnsi"/>
          <w:bCs/>
          <w:szCs w:val="20"/>
        </w:rPr>
        <w:t xml:space="preserve">some </w:t>
      </w:r>
      <w:r w:rsidRPr="00085562">
        <w:rPr>
          <w:rFonts w:eastAsiaTheme="majorEastAsia" w:cstheme="minorHAnsi"/>
          <w:bCs/>
          <w:szCs w:val="20"/>
        </w:rPr>
        <w:t>grant</w:t>
      </w:r>
      <w:r w:rsidR="006454CB" w:rsidRPr="00085562">
        <w:rPr>
          <w:rFonts w:eastAsiaTheme="majorEastAsia" w:cstheme="minorHAnsi"/>
          <w:bCs/>
          <w:szCs w:val="20"/>
        </w:rPr>
        <w:t>s</w:t>
      </w:r>
      <w:r w:rsidRPr="00085562">
        <w:rPr>
          <w:rFonts w:eastAsiaTheme="majorEastAsia" w:cstheme="minorHAnsi"/>
          <w:bCs/>
          <w:szCs w:val="20"/>
        </w:rPr>
        <w:t xml:space="preserve"> and fellowship</w:t>
      </w:r>
      <w:r w:rsidR="006454CB" w:rsidRPr="00085562">
        <w:rPr>
          <w:rFonts w:eastAsiaTheme="majorEastAsia" w:cstheme="minorHAnsi"/>
          <w:bCs/>
          <w:szCs w:val="20"/>
        </w:rPr>
        <w:t>s</w:t>
      </w:r>
      <w:r w:rsidRPr="00085562">
        <w:rPr>
          <w:rFonts w:eastAsiaTheme="majorEastAsia" w:cstheme="minorHAnsi"/>
          <w:bCs/>
          <w:szCs w:val="20"/>
        </w:rPr>
        <w:t>, there are no agreed metrics</w:t>
      </w:r>
      <w:r w:rsidR="006454CB" w:rsidRPr="00085562">
        <w:rPr>
          <w:rFonts w:eastAsiaTheme="majorEastAsia" w:cstheme="minorHAnsi"/>
          <w:bCs/>
          <w:szCs w:val="20"/>
        </w:rPr>
        <w:t>, and peer review panels rarely have the necessary expertise to assess commercial</w:t>
      </w:r>
      <w:r w:rsidR="002B04E7" w:rsidRPr="00085562">
        <w:rPr>
          <w:rFonts w:eastAsiaTheme="majorEastAsia" w:cstheme="minorHAnsi"/>
          <w:bCs/>
          <w:szCs w:val="20"/>
        </w:rPr>
        <w:t>/industry</w:t>
      </w:r>
      <w:r w:rsidR="006454CB" w:rsidRPr="00085562">
        <w:rPr>
          <w:rFonts w:eastAsiaTheme="majorEastAsia" w:cstheme="minorHAnsi"/>
          <w:bCs/>
          <w:szCs w:val="20"/>
        </w:rPr>
        <w:t xml:space="preserve"> outcomes. Consequently, </w:t>
      </w:r>
      <w:r w:rsidRPr="00085562">
        <w:rPr>
          <w:rFonts w:eastAsiaTheme="majorEastAsia" w:cstheme="minorHAnsi"/>
          <w:bCs/>
          <w:szCs w:val="20"/>
        </w:rPr>
        <w:t>the awarding of grants and fellowships are almost exclusively based on traditional academic metrics</w:t>
      </w:r>
      <w:r w:rsidR="006454CB" w:rsidRPr="00085562">
        <w:rPr>
          <w:rFonts w:eastAsiaTheme="majorEastAsia" w:cstheme="minorHAnsi"/>
          <w:bCs/>
          <w:szCs w:val="20"/>
        </w:rPr>
        <w:t xml:space="preserve">, and </w:t>
      </w:r>
      <w:r w:rsidR="00FA02F3" w:rsidRPr="00085562">
        <w:rPr>
          <w:rFonts w:eastAsiaTheme="majorEastAsia" w:cstheme="minorHAnsi"/>
          <w:bCs/>
          <w:szCs w:val="20"/>
        </w:rPr>
        <w:t>t</w:t>
      </w:r>
      <w:r w:rsidR="006454CB" w:rsidRPr="00085562">
        <w:rPr>
          <w:rFonts w:eastAsiaTheme="majorEastAsia" w:cstheme="minorHAnsi"/>
          <w:bCs/>
          <w:szCs w:val="20"/>
        </w:rPr>
        <w:t xml:space="preserve">ime spent by researchers in industry or undertaking activities that do not result in traditional publication outputs </w:t>
      </w:r>
      <w:r w:rsidRPr="00085562">
        <w:rPr>
          <w:rFonts w:eastAsiaTheme="majorEastAsia" w:cstheme="minorHAnsi"/>
          <w:bCs/>
          <w:szCs w:val="20"/>
        </w:rPr>
        <w:t>can be fatal to a researcher’s career.</w:t>
      </w:r>
    </w:p>
    <w:p w14:paraId="2651EA16" w14:textId="77777777" w:rsidR="00E07C13" w:rsidRPr="00085562" w:rsidRDefault="002313B3" w:rsidP="008E3C0A">
      <w:pPr>
        <w:spacing w:before="200" w:after="0"/>
        <w:rPr>
          <w:rFonts w:eastAsiaTheme="majorEastAsia" w:cstheme="minorHAnsi"/>
          <w:bCs/>
          <w:szCs w:val="20"/>
        </w:rPr>
      </w:pPr>
      <w:r w:rsidRPr="00712BA5">
        <w:rPr>
          <w:rStyle w:val="Emphasis"/>
        </w:rPr>
        <w:t>AAMRI supports the proposal to modify the peer review of competitive grants and fellowships to recognise industry-relevant outcomes</w:t>
      </w:r>
      <w:r w:rsidRPr="00085562">
        <w:rPr>
          <w:rFonts w:eastAsiaTheme="majorEastAsia" w:cstheme="minorHAnsi"/>
          <w:b/>
          <w:bCs/>
          <w:szCs w:val="20"/>
        </w:rPr>
        <w:t xml:space="preserve">. </w:t>
      </w:r>
      <w:r w:rsidR="00C324A4" w:rsidRPr="00085562">
        <w:rPr>
          <w:rFonts w:eastAsiaTheme="majorEastAsia" w:cstheme="minorHAnsi"/>
          <w:bCs/>
          <w:szCs w:val="20"/>
        </w:rPr>
        <w:t>It is important that industry experience</w:t>
      </w:r>
      <w:r w:rsidR="00B45854" w:rsidRPr="00085562">
        <w:rPr>
          <w:rFonts w:eastAsiaTheme="majorEastAsia" w:cstheme="minorHAnsi"/>
          <w:bCs/>
          <w:szCs w:val="20"/>
        </w:rPr>
        <w:t>/outcomes are</w:t>
      </w:r>
      <w:r w:rsidR="00C324A4" w:rsidRPr="00085562">
        <w:rPr>
          <w:rFonts w:eastAsiaTheme="majorEastAsia" w:cstheme="minorHAnsi"/>
          <w:bCs/>
          <w:szCs w:val="20"/>
        </w:rPr>
        <w:t xml:space="preserve"> given </w:t>
      </w:r>
      <w:r w:rsidR="00C324A4" w:rsidRPr="00085562">
        <w:rPr>
          <w:rFonts w:eastAsiaTheme="majorEastAsia" w:cstheme="minorHAnsi"/>
          <w:bCs/>
          <w:szCs w:val="20"/>
          <w:u w:val="single"/>
        </w:rPr>
        <w:t>equal</w:t>
      </w:r>
      <w:r w:rsidR="00C324A4" w:rsidRPr="00085562">
        <w:rPr>
          <w:rFonts w:eastAsiaTheme="majorEastAsia" w:cstheme="minorHAnsi"/>
          <w:bCs/>
          <w:szCs w:val="20"/>
        </w:rPr>
        <w:t xml:space="preserve"> value to non-industry research experience</w:t>
      </w:r>
      <w:r w:rsidR="00B45854" w:rsidRPr="00085562">
        <w:rPr>
          <w:rFonts w:eastAsiaTheme="majorEastAsia" w:cstheme="minorHAnsi"/>
          <w:bCs/>
          <w:szCs w:val="20"/>
        </w:rPr>
        <w:t>/outcomes</w:t>
      </w:r>
      <w:r w:rsidR="00C324A4" w:rsidRPr="00085562">
        <w:rPr>
          <w:rFonts w:eastAsiaTheme="majorEastAsia" w:cstheme="minorHAnsi"/>
          <w:bCs/>
          <w:szCs w:val="20"/>
        </w:rPr>
        <w:t xml:space="preserve"> (but without any negative consequence </w:t>
      </w:r>
      <w:r w:rsidR="00B45854" w:rsidRPr="00085562">
        <w:rPr>
          <w:rFonts w:eastAsiaTheme="majorEastAsia" w:cstheme="minorHAnsi"/>
          <w:bCs/>
          <w:szCs w:val="20"/>
        </w:rPr>
        <w:t xml:space="preserve">to applicants for </w:t>
      </w:r>
      <w:r w:rsidR="00C324A4" w:rsidRPr="00085562">
        <w:rPr>
          <w:rFonts w:eastAsiaTheme="majorEastAsia" w:cstheme="minorHAnsi"/>
          <w:bCs/>
          <w:szCs w:val="20"/>
        </w:rPr>
        <w:t>not having industry experience). As such, a</w:t>
      </w:r>
      <w:r w:rsidR="00B45854" w:rsidRPr="00085562">
        <w:rPr>
          <w:rFonts w:eastAsiaTheme="majorEastAsia" w:cstheme="minorHAnsi"/>
          <w:bCs/>
          <w:szCs w:val="20"/>
        </w:rPr>
        <w:t>pplicants w</w:t>
      </w:r>
      <w:r w:rsidR="00C324A4" w:rsidRPr="00085562">
        <w:rPr>
          <w:rFonts w:eastAsiaTheme="majorEastAsia" w:cstheme="minorHAnsi"/>
          <w:bCs/>
          <w:szCs w:val="20"/>
        </w:rPr>
        <w:t xml:space="preserve">ould </w:t>
      </w:r>
      <w:r w:rsidR="00E07C13" w:rsidRPr="00085562">
        <w:rPr>
          <w:rFonts w:eastAsiaTheme="majorEastAsia" w:cstheme="minorHAnsi"/>
          <w:bCs/>
          <w:szCs w:val="20"/>
        </w:rPr>
        <w:t>not</w:t>
      </w:r>
      <w:r w:rsidR="00C324A4" w:rsidRPr="00085562">
        <w:rPr>
          <w:rFonts w:eastAsiaTheme="majorEastAsia" w:cstheme="minorHAnsi"/>
          <w:bCs/>
          <w:szCs w:val="20"/>
        </w:rPr>
        <w:t xml:space="preserve"> be</w:t>
      </w:r>
      <w:r w:rsidR="00E07C13" w:rsidRPr="00085562">
        <w:rPr>
          <w:rFonts w:eastAsiaTheme="majorEastAsia" w:cstheme="minorHAnsi"/>
          <w:bCs/>
          <w:szCs w:val="20"/>
        </w:rPr>
        <w:t xml:space="preserve"> </w:t>
      </w:r>
      <w:r w:rsidR="00C324A4" w:rsidRPr="00085562">
        <w:rPr>
          <w:rFonts w:eastAsiaTheme="majorEastAsia" w:cstheme="minorHAnsi"/>
          <w:bCs/>
          <w:szCs w:val="20"/>
        </w:rPr>
        <w:t>penalised</w:t>
      </w:r>
      <w:r w:rsidR="007C3C0E" w:rsidRPr="00085562">
        <w:rPr>
          <w:rFonts w:eastAsiaTheme="majorEastAsia" w:cstheme="minorHAnsi"/>
          <w:bCs/>
          <w:szCs w:val="20"/>
        </w:rPr>
        <w:t xml:space="preserve"> for</w:t>
      </w:r>
      <w:r w:rsidR="00E07C13" w:rsidRPr="00085562">
        <w:rPr>
          <w:rFonts w:eastAsiaTheme="majorEastAsia" w:cstheme="minorHAnsi"/>
          <w:bCs/>
          <w:szCs w:val="20"/>
        </w:rPr>
        <w:t xml:space="preserve"> </w:t>
      </w:r>
      <w:r w:rsidR="00A20811" w:rsidRPr="00085562">
        <w:rPr>
          <w:rFonts w:eastAsiaTheme="majorEastAsia" w:cstheme="minorHAnsi"/>
          <w:bCs/>
          <w:szCs w:val="20"/>
        </w:rPr>
        <w:t xml:space="preserve">a reduction in </w:t>
      </w:r>
      <w:r w:rsidR="00E07C13" w:rsidRPr="00085562">
        <w:rPr>
          <w:rFonts w:eastAsiaTheme="majorEastAsia" w:cstheme="minorHAnsi"/>
          <w:bCs/>
          <w:szCs w:val="20"/>
        </w:rPr>
        <w:t>traditional academic outputs that result from time spent in industry and/or on activities involved in the translation of research</w:t>
      </w:r>
      <w:r w:rsidR="00B45854" w:rsidRPr="00085562">
        <w:rPr>
          <w:rFonts w:eastAsiaTheme="majorEastAsia" w:cstheme="minorHAnsi"/>
          <w:bCs/>
          <w:szCs w:val="20"/>
        </w:rPr>
        <w:t>, and</w:t>
      </w:r>
      <w:r w:rsidR="007C3C0E" w:rsidRPr="00085562">
        <w:rPr>
          <w:rFonts w:eastAsiaTheme="majorEastAsia" w:cstheme="minorHAnsi"/>
          <w:bCs/>
          <w:szCs w:val="20"/>
        </w:rPr>
        <w:t xml:space="preserve"> </w:t>
      </w:r>
      <w:r w:rsidR="00E07C13" w:rsidRPr="00085562">
        <w:rPr>
          <w:rFonts w:eastAsiaTheme="majorEastAsia" w:cstheme="minorHAnsi"/>
          <w:bCs/>
          <w:szCs w:val="20"/>
        </w:rPr>
        <w:t>commercial outcomes</w:t>
      </w:r>
      <w:r w:rsidR="00AA3A0B" w:rsidRPr="00085562">
        <w:rPr>
          <w:rFonts w:eastAsiaTheme="majorEastAsia" w:cstheme="minorHAnsi"/>
          <w:bCs/>
          <w:szCs w:val="20"/>
        </w:rPr>
        <w:t xml:space="preserve"> (e.g. IP generation, product development</w:t>
      </w:r>
      <w:r w:rsidR="0062504F" w:rsidRPr="00085562">
        <w:rPr>
          <w:rFonts w:eastAsiaTheme="majorEastAsia" w:cstheme="minorHAnsi"/>
          <w:bCs/>
          <w:szCs w:val="20"/>
        </w:rPr>
        <w:t xml:space="preserve">, </w:t>
      </w:r>
      <w:r w:rsidR="00F42900" w:rsidRPr="00085562">
        <w:rPr>
          <w:rFonts w:eastAsiaTheme="majorEastAsia" w:cstheme="minorHAnsi"/>
          <w:bCs/>
          <w:szCs w:val="20"/>
        </w:rPr>
        <w:t xml:space="preserve">funding/contracts with industry, clinical trials, </w:t>
      </w:r>
      <w:r w:rsidR="0062504F" w:rsidRPr="00085562">
        <w:rPr>
          <w:rFonts w:eastAsiaTheme="majorEastAsia" w:cstheme="minorHAnsi"/>
          <w:bCs/>
          <w:szCs w:val="20"/>
        </w:rPr>
        <w:t>etc.</w:t>
      </w:r>
      <w:r w:rsidR="00AA3A0B" w:rsidRPr="00085562">
        <w:rPr>
          <w:rFonts w:eastAsiaTheme="majorEastAsia" w:cstheme="minorHAnsi"/>
          <w:bCs/>
          <w:szCs w:val="20"/>
        </w:rPr>
        <w:t>)</w:t>
      </w:r>
      <w:r w:rsidR="00E07C13" w:rsidRPr="00085562">
        <w:rPr>
          <w:rFonts w:eastAsiaTheme="majorEastAsia" w:cstheme="minorHAnsi"/>
          <w:bCs/>
          <w:szCs w:val="20"/>
        </w:rPr>
        <w:t xml:space="preserve"> </w:t>
      </w:r>
      <w:r w:rsidR="00B45854" w:rsidRPr="00085562">
        <w:rPr>
          <w:rFonts w:eastAsiaTheme="majorEastAsia" w:cstheme="minorHAnsi"/>
          <w:bCs/>
          <w:szCs w:val="20"/>
        </w:rPr>
        <w:t xml:space="preserve">would be taken into consideration </w:t>
      </w:r>
      <w:r w:rsidR="00E07C13" w:rsidRPr="00085562">
        <w:rPr>
          <w:rFonts w:eastAsiaTheme="majorEastAsia" w:cstheme="minorHAnsi"/>
          <w:bCs/>
          <w:szCs w:val="20"/>
        </w:rPr>
        <w:t>in an applicant’s track record.</w:t>
      </w:r>
    </w:p>
    <w:p w14:paraId="2651EA17" w14:textId="77777777" w:rsidR="007C3C0E" w:rsidRDefault="0034540F" w:rsidP="007C3C0E">
      <w:pPr>
        <w:spacing w:before="200" w:after="0"/>
        <w:rPr>
          <w:rFonts w:eastAsiaTheme="majorEastAsia" w:cstheme="minorHAnsi"/>
          <w:bCs/>
          <w:szCs w:val="20"/>
        </w:rPr>
      </w:pPr>
      <w:r w:rsidRPr="00712BA5">
        <w:rPr>
          <w:rStyle w:val="Emphasis"/>
        </w:rPr>
        <w:t>W</w:t>
      </w:r>
      <w:r w:rsidR="00AA3A0B" w:rsidRPr="00712BA5">
        <w:rPr>
          <w:rStyle w:val="Emphasis"/>
        </w:rPr>
        <w:t>e suggest</w:t>
      </w:r>
      <w:r w:rsidR="00A1101D" w:rsidRPr="00712BA5">
        <w:rPr>
          <w:rStyle w:val="Emphasis"/>
        </w:rPr>
        <w:t xml:space="preserve"> that</w:t>
      </w:r>
      <w:r w:rsidR="00AA3A0B" w:rsidRPr="00712BA5">
        <w:rPr>
          <w:rStyle w:val="Emphasis"/>
        </w:rPr>
        <w:t xml:space="preserve"> </w:t>
      </w:r>
      <w:r w:rsidR="00737B6B" w:rsidRPr="00712BA5">
        <w:rPr>
          <w:rStyle w:val="Emphasis"/>
        </w:rPr>
        <w:t>recogni</w:t>
      </w:r>
      <w:r w:rsidR="00A1101D" w:rsidRPr="00712BA5">
        <w:rPr>
          <w:rStyle w:val="Emphasis"/>
        </w:rPr>
        <w:t>tion of</w:t>
      </w:r>
      <w:r w:rsidR="00AA3A0B" w:rsidRPr="00712BA5">
        <w:rPr>
          <w:rStyle w:val="Emphasis"/>
        </w:rPr>
        <w:t xml:space="preserve"> industry</w:t>
      </w:r>
      <w:r w:rsidR="00737B6B" w:rsidRPr="00712BA5">
        <w:rPr>
          <w:rStyle w:val="Emphasis"/>
        </w:rPr>
        <w:t>/commercialisation</w:t>
      </w:r>
      <w:r w:rsidR="00AA3A0B" w:rsidRPr="00712BA5">
        <w:rPr>
          <w:rStyle w:val="Emphasis"/>
        </w:rPr>
        <w:t xml:space="preserve"> outcomes </w:t>
      </w:r>
      <w:r w:rsidR="00F1784A" w:rsidRPr="00712BA5">
        <w:rPr>
          <w:rStyle w:val="Emphasis"/>
        </w:rPr>
        <w:t>sh</w:t>
      </w:r>
      <w:r w:rsidR="00AA3A0B" w:rsidRPr="00712BA5">
        <w:rPr>
          <w:rStyle w:val="Emphasis"/>
        </w:rPr>
        <w:t>ould be part of a broader framework that recognises research translation and impact</w:t>
      </w:r>
      <w:r w:rsidR="00AA3A0B" w:rsidRPr="000B494B">
        <w:rPr>
          <w:rFonts w:eastAsiaTheme="majorEastAsia" w:cstheme="minorHAnsi"/>
          <w:bCs/>
          <w:szCs w:val="20"/>
        </w:rPr>
        <w:t xml:space="preserve"> (including non</w:t>
      </w:r>
      <w:r w:rsidR="000F6FB3" w:rsidRPr="000B494B">
        <w:rPr>
          <w:rFonts w:eastAsiaTheme="majorEastAsia" w:cstheme="minorHAnsi"/>
          <w:bCs/>
          <w:szCs w:val="20"/>
        </w:rPr>
        <w:t>-commercial impact</w:t>
      </w:r>
      <w:r w:rsidR="0080592D" w:rsidRPr="000B494B">
        <w:rPr>
          <w:rFonts w:eastAsiaTheme="majorEastAsia" w:cstheme="minorHAnsi"/>
          <w:bCs/>
          <w:szCs w:val="20"/>
        </w:rPr>
        <w:t xml:space="preserve"> and adoption</w:t>
      </w:r>
      <w:r w:rsidR="000F6FB3" w:rsidRPr="000B494B">
        <w:rPr>
          <w:rFonts w:eastAsiaTheme="majorEastAsia" w:cstheme="minorHAnsi"/>
          <w:bCs/>
          <w:szCs w:val="20"/>
        </w:rPr>
        <w:t>), such as that outlined by the</w:t>
      </w:r>
      <w:r w:rsidR="00AA3A0B" w:rsidRPr="000B494B">
        <w:rPr>
          <w:rFonts w:eastAsiaTheme="majorEastAsia" w:cstheme="minorHAnsi"/>
          <w:bCs/>
          <w:szCs w:val="20"/>
        </w:rPr>
        <w:t xml:space="preserve"> MORIA framework (see </w:t>
      </w:r>
      <w:r w:rsidR="0080592D" w:rsidRPr="000B494B">
        <w:rPr>
          <w:rFonts w:eastAsiaTheme="majorEastAsia" w:cstheme="minorHAnsi"/>
          <w:bCs/>
          <w:szCs w:val="20"/>
        </w:rPr>
        <w:t>section 5</w:t>
      </w:r>
      <w:r w:rsidR="00AA3A0B" w:rsidRPr="000B494B">
        <w:rPr>
          <w:rFonts w:eastAsiaTheme="majorEastAsia" w:cstheme="minorHAnsi"/>
          <w:bCs/>
          <w:szCs w:val="20"/>
        </w:rPr>
        <w:t xml:space="preserve"> below).</w:t>
      </w:r>
      <w:r w:rsidR="000543DB" w:rsidRPr="000B494B">
        <w:rPr>
          <w:rFonts w:eastAsiaTheme="majorEastAsia" w:cstheme="minorHAnsi"/>
          <w:bCs/>
          <w:szCs w:val="20"/>
        </w:rPr>
        <w:t xml:space="preserve"> Non-commercial translation and adoption of research</w:t>
      </w:r>
      <w:r w:rsidR="000543DB" w:rsidRPr="00085562">
        <w:rPr>
          <w:rFonts w:eastAsiaTheme="majorEastAsia" w:cstheme="minorHAnsi"/>
          <w:bCs/>
          <w:szCs w:val="20"/>
        </w:rPr>
        <w:t xml:space="preserve"> findings is particularly common in the case of health and medical research (e.g. </w:t>
      </w:r>
      <w:r w:rsidR="00352B57" w:rsidRPr="00085562">
        <w:rPr>
          <w:rFonts w:eastAsiaTheme="majorEastAsia" w:cstheme="minorHAnsi"/>
          <w:bCs/>
          <w:szCs w:val="20"/>
        </w:rPr>
        <w:t xml:space="preserve">an </w:t>
      </w:r>
      <w:r w:rsidR="000543DB" w:rsidRPr="00085562">
        <w:rPr>
          <w:rFonts w:eastAsiaTheme="majorEastAsia" w:cstheme="minorHAnsi"/>
          <w:bCs/>
          <w:szCs w:val="20"/>
        </w:rPr>
        <w:t xml:space="preserve">improved clinical </w:t>
      </w:r>
      <w:r w:rsidR="00352B57" w:rsidRPr="00085562">
        <w:rPr>
          <w:rFonts w:eastAsiaTheme="majorEastAsia" w:cstheme="minorHAnsi"/>
          <w:bCs/>
          <w:szCs w:val="20"/>
        </w:rPr>
        <w:t xml:space="preserve">guideline or practice, not involving any new product, </w:t>
      </w:r>
      <w:r w:rsidR="000543DB" w:rsidRPr="00085562">
        <w:rPr>
          <w:rFonts w:eastAsiaTheme="majorEastAsia" w:cstheme="minorHAnsi"/>
          <w:bCs/>
          <w:szCs w:val="20"/>
        </w:rPr>
        <w:t xml:space="preserve">that reduces the time taken per patient or </w:t>
      </w:r>
      <w:r w:rsidR="00352B57" w:rsidRPr="00085562">
        <w:rPr>
          <w:rFonts w:eastAsiaTheme="majorEastAsia" w:cstheme="minorHAnsi"/>
          <w:bCs/>
          <w:szCs w:val="20"/>
        </w:rPr>
        <w:t xml:space="preserve">reduces </w:t>
      </w:r>
      <w:r w:rsidR="000543DB" w:rsidRPr="00085562">
        <w:rPr>
          <w:rFonts w:eastAsiaTheme="majorEastAsia" w:cstheme="minorHAnsi"/>
          <w:bCs/>
          <w:szCs w:val="20"/>
        </w:rPr>
        <w:t>hospital re-admissions).</w:t>
      </w:r>
    </w:p>
    <w:p w14:paraId="2651EA18" w14:textId="77777777" w:rsidR="00B36D84" w:rsidRPr="00085562" w:rsidRDefault="00B36D84" w:rsidP="007C3C0E">
      <w:pPr>
        <w:spacing w:before="200" w:after="0"/>
        <w:rPr>
          <w:rFonts w:eastAsiaTheme="majorEastAsia" w:cstheme="minorHAnsi"/>
          <w:bCs/>
          <w:szCs w:val="20"/>
        </w:rPr>
      </w:pPr>
      <w:r w:rsidRPr="00712BA5">
        <w:rPr>
          <w:rStyle w:val="Emphasis"/>
        </w:rPr>
        <w:t>Pivotal to the successful recognition of commercial outcomes in the peer review process will be the inclusion of commercial expertise on all NHMRC and ARC grant review panels.</w:t>
      </w:r>
      <w:r w:rsidRPr="00085562">
        <w:rPr>
          <w:rFonts w:eastAsiaTheme="majorEastAsia" w:cstheme="minorHAnsi"/>
          <w:b/>
          <w:bCs/>
          <w:szCs w:val="20"/>
        </w:rPr>
        <w:t xml:space="preserve"> </w:t>
      </w:r>
      <w:r w:rsidRPr="00085562">
        <w:rPr>
          <w:rFonts w:eastAsiaTheme="majorEastAsia" w:cstheme="minorHAnsi"/>
          <w:bCs/>
          <w:szCs w:val="20"/>
        </w:rPr>
        <w:t>The inclusion of industry outcomes in the assessment criteria of grants and fellowships alone will not have any affect if these cannot then be appropriately assessed.</w:t>
      </w:r>
    </w:p>
    <w:p w14:paraId="2651EA19" w14:textId="77777777" w:rsidR="0034540F" w:rsidRPr="00085562" w:rsidRDefault="0034540F" w:rsidP="007C3C0E">
      <w:pPr>
        <w:spacing w:before="200" w:after="0"/>
        <w:rPr>
          <w:rFonts w:eastAsiaTheme="majorEastAsia" w:cstheme="minorHAnsi"/>
          <w:bCs/>
          <w:szCs w:val="20"/>
        </w:rPr>
      </w:pPr>
      <w:r w:rsidRPr="00712BA5">
        <w:rPr>
          <w:rStyle w:val="Emphasis"/>
        </w:rPr>
        <w:t>Finally, institutions where industry experience and commercialisation skills are clearly available should also be encouraged.</w:t>
      </w:r>
      <w:r w:rsidRPr="00085562">
        <w:rPr>
          <w:rFonts w:eastAsiaTheme="majorEastAsia" w:cstheme="minorHAnsi"/>
          <w:bCs/>
          <w:szCs w:val="20"/>
        </w:rPr>
        <w:t xml:space="preserve"> Research is increasingly a whole-of-enterprise exercise, and the assessment of research grants should recognise that,</w:t>
      </w:r>
      <w:r w:rsidR="0005672D">
        <w:rPr>
          <w:rFonts w:eastAsiaTheme="majorEastAsia" w:cstheme="minorHAnsi"/>
          <w:bCs/>
          <w:szCs w:val="20"/>
        </w:rPr>
        <w:t xml:space="preserve"> </w:t>
      </w:r>
      <w:r w:rsidRPr="00085562">
        <w:rPr>
          <w:rFonts w:eastAsiaTheme="majorEastAsia" w:cstheme="minorHAnsi"/>
          <w:bCs/>
          <w:szCs w:val="20"/>
        </w:rPr>
        <w:t>just as access to excellent core research facilities make</w:t>
      </w:r>
      <w:r w:rsidR="0005672D">
        <w:rPr>
          <w:rFonts w:eastAsiaTheme="majorEastAsia" w:cstheme="minorHAnsi"/>
          <w:bCs/>
          <w:szCs w:val="20"/>
        </w:rPr>
        <w:t>s</w:t>
      </w:r>
      <w:r w:rsidRPr="00085562">
        <w:rPr>
          <w:rFonts w:eastAsiaTheme="majorEastAsia" w:cstheme="minorHAnsi"/>
          <w:bCs/>
          <w:szCs w:val="20"/>
        </w:rPr>
        <w:t xml:space="preserve"> a grant more feasible, so too does access to industry connections and commercialisation expertise.  </w:t>
      </w:r>
    </w:p>
    <w:p w14:paraId="2651EA1A" w14:textId="77777777" w:rsidR="002313B3" w:rsidRPr="00523377" w:rsidRDefault="002313B3" w:rsidP="00712BA5">
      <w:pPr>
        <w:pStyle w:val="Heading4"/>
      </w:pPr>
      <w:r w:rsidRPr="00523377">
        <w:t xml:space="preserve">Rewarding end-user engagement </w:t>
      </w:r>
      <w:r w:rsidR="00CB2EA2" w:rsidRPr="00523377">
        <w:t>in the funding of</w:t>
      </w:r>
      <w:r w:rsidRPr="00523377">
        <w:t xml:space="preserve"> research block grant</w:t>
      </w:r>
      <w:r w:rsidR="00CB2EA2" w:rsidRPr="00523377">
        <w:t>s</w:t>
      </w:r>
    </w:p>
    <w:p w14:paraId="2651EA1B" w14:textId="77777777" w:rsidR="00FB050B" w:rsidRPr="00085562" w:rsidRDefault="002313B3" w:rsidP="008E3C0A">
      <w:pPr>
        <w:spacing w:before="200" w:after="0"/>
        <w:rPr>
          <w:rFonts w:eastAsiaTheme="majorEastAsia" w:cstheme="minorHAnsi"/>
          <w:bCs/>
          <w:szCs w:val="20"/>
        </w:rPr>
      </w:pPr>
      <w:r w:rsidRPr="00085562">
        <w:rPr>
          <w:rFonts w:eastAsiaTheme="majorEastAsia" w:cstheme="minorHAnsi"/>
          <w:bCs/>
          <w:szCs w:val="20"/>
        </w:rPr>
        <w:t xml:space="preserve">Universities receive block grant </w:t>
      </w:r>
      <w:r w:rsidR="007C3C0E" w:rsidRPr="00085562">
        <w:rPr>
          <w:rFonts w:eastAsiaTheme="majorEastAsia" w:cstheme="minorHAnsi"/>
          <w:bCs/>
          <w:szCs w:val="20"/>
        </w:rPr>
        <w:t>funding through four different G</w:t>
      </w:r>
      <w:r w:rsidRPr="00085562">
        <w:rPr>
          <w:rFonts w:eastAsiaTheme="majorEastAsia" w:cstheme="minorHAnsi"/>
          <w:bCs/>
          <w:szCs w:val="20"/>
        </w:rPr>
        <w:t>overnment schemes administered by the Department of Education</w:t>
      </w:r>
      <w:r w:rsidR="00FB050B" w:rsidRPr="00085562">
        <w:rPr>
          <w:rFonts w:eastAsiaTheme="majorEastAsia" w:cstheme="minorHAnsi"/>
          <w:bCs/>
          <w:szCs w:val="20"/>
        </w:rPr>
        <w:t xml:space="preserve"> – Research Infrastructure Block Grants (RIBG), Sustainable Research Excellence (SRE) Scheme, Joint Research Engagement (JRE) Scheme, and Research Training Scheme (RTS)</w:t>
      </w:r>
      <w:r w:rsidRPr="00085562">
        <w:rPr>
          <w:rFonts w:eastAsiaTheme="majorEastAsia" w:cstheme="minorHAnsi"/>
          <w:bCs/>
          <w:szCs w:val="20"/>
        </w:rPr>
        <w:t>. T</w:t>
      </w:r>
      <w:r w:rsidR="00FB050B" w:rsidRPr="00085562">
        <w:rPr>
          <w:rFonts w:eastAsiaTheme="majorEastAsia" w:cstheme="minorHAnsi"/>
          <w:bCs/>
          <w:szCs w:val="20"/>
        </w:rPr>
        <w:t xml:space="preserve">ogether, through a complicated </w:t>
      </w:r>
      <w:r w:rsidR="005E3E17" w:rsidRPr="00085562">
        <w:rPr>
          <w:rFonts w:eastAsiaTheme="majorEastAsia" w:cstheme="minorHAnsi"/>
          <w:bCs/>
          <w:szCs w:val="20"/>
        </w:rPr>
        <w:t xml:space="preserve">mix </w:t>
      </w:r>
      <w:r w:rsidR="00FB050B" w:rsidRPr="00085562">
        <w:rPr>
          <w:rFonts w:eastAsiaTheme="majorEastAsia" w:cstheme="minorHAnsi"/>
          <w:bCs/>
          <w:szCs w:val="20"/>
        </w:rPr>
        <w:t>of formulae, these schemes</w:t>
      </w:r>
      <w:r w:rsidRPr="00085562">
        <w:rPr>
          <w:rFonts w:eastAsiaTheme="majorEastAsia" w:cstheme="minorHAnsi"/>
          <w:bCs/>
          <w:szCs w:val="20"/>
        </w:rPr>
        <w:t xml:space="preserve"> provide funding for the indirect costs of research associated with </w:t>
      </w:r>
      <w:r w:rsidR="00FB050B" w:rsidRPr="00085562">
        <w:rPr>
          <w:rFonts w:eastAsiaTheme="majorEastAsia" w:cstheme="minorHAnsi"/>
          <w:bCs/>
          <w:szCs w:val="20"/>
        </w:rPr>
        <w:lastRenderedPageBreak/>
        <w:t>Australian Competitive Grants</w:t>
      </w:r>
      <w:r w:rsidRPr="00085562">
        <w:rPr>
          <w:rFonts w:eastAsiaTheme="majorEastAsia" w:cstheme="minorHAnsi"/>
          <w:bCs/>
          <w:szCs w:val="20"/>
        </w:rPr>
        <w:t xml:space="preserve">, and </w:t>
      </w:r>
      <w:r w:rsidR="00FB050B" w:rsidRPr="00085562">
        <w:rPr>
          <w:rFonts w:eastAsiaTheme="majorEastAsia" w:cstheme="minorHAnsi"/>
          <w:bCs/>
          <w:szCs w:val="20"/>
        </w:rPr>
        <w:t xml:space="preserve">also </w:t>
      </w:r>
      <w:r w:rsidRPr="00085562">
        <w:rPr>
          <w:rFonts w:eastAsiaTheme="majorEastAsia" w:cstheme="minorHAnsi"/>
          <w:bCs/>
          <w:szCs w:val="20"/>
        </w:rPr>
        <w:t xml:space="preserve">reward </w:t>
      </w:r>
      <w:r w:rsidR="00FB050B" w:rsidRPr="00085562">
        <w:rPr>
          <w:rFonts w:eastAsiaTheme="majorEastAsia" w:cstheme="minorHAnsi"/>
          <w:bCs/>
          <w:szCs w:val="20"/>
        </w:rPr>
        <w:t xml:space="preserve">research </w:t>
      </w:r>
      <w:r w:rsidRPr="00085562">
        <w:rPr>
          <w:rFonts w:eastAsiaTheme="majorEastAsia" w:cstheme="minorHAnsi"/>
          <w:bCs/>
          <w:szCs w:val="20"/>
        </w:rPr>
        <w:t xml:space="preserve">excellence and </w:t>
      </w:r>
      <w:r w:rsidR="0009081C" w:rsidRPr="00085562">
        <w:rPr>
          <w:rFonts w:eastAsiaTheme="majorEastAsia" w:cstheme="minorHAnsi"/>
          <w:bCs/>
          <w:szCs w:val="20"/>
        </w:rPr>
        <w:t>the attainment of funds</w:t>
      </w:r>
      <w:r w:rsidRPr="00085562">
        <w:rPr>
          <w:rFonts w:eastAsiaTheme="majorEastAsia" w:cstheme="minorHAnsi"/>
          <w:bCs/>
          <w:szCs w:val="20"/>
        </w:rPr>
        <w:t xml:space="preserve"> from alternative sources (including industry). </w:t>
      </w:r>
    </w:p>
    <w:p w14:paraId="2651EA1C" w14:textId="77777777" w:rsidR="009A48D4" w:rsidRPr="00085562" w:rsidRDefault="002309F9" w:rsidP="008E3C0A">
      <w:pPr>
        <w:spacing w:before="200" w:after="0"/>
        <w:rPr>
          <w:rFonts w:eastAsiaTheme="majorEastAsia" w:cstheme="minorHAnsi"/>
          <w:bCs/>
          <w:szCs w:val="20"/>
        </w:rPr>
      </w:pPr>
      <w:r w:rsidRPr="00085562">
        <w:rPr>
          <w:rFonts w:eastAsiaTheme="majorEastAsia" w:cstheme="minorHAnsi"/>
          <w:bCs/>
          <w:szCs w:val="20"/>
        </w:rPr>
        <w:t xml:space="preserve">Medical research institutes (MRIs) are not eligible for these research block funding schemes, but instead </w:t>
      </w:r>
      <w:r w:rsidR="002313B3" w:rsidRPr="00085562">
        <w:rPr>
          <w:rFonts w:eastAsiaTheme="majorEastAsia" w:cstheme="minorHAnsi"/>
          <w:bCs/>
          <w:szCs w:val="20"/>
        </w:rPr>
        <w:t>receive 20 cents per dollar of NHMRC</w:t>
      </w:r>
      <w:r w:rsidR="00112F7F" w:rsidRPr="00085562">
        <w:rPr>
          <w:rFonts w:eastAsiaTheme="majorEastAsia" w:cstheme="minorHAnsi"/>
          <w:bCs/>
          <w:szCs w:val="20"/>
        </w:rPr>
        <w:t xml:space="preserve"> </w:t>
      </w:r>
      <w:r w:rsidR="0009081C" w:rsidRPr="00085562">
        <w:rPr>
          <w:rFonts w:eastAsiaTheme="majorEastAsia" w:cstheme="minorHAnsi"/>
          <w:bCs/>
          <w:szCs w:val="20"/>
        </w:rPr>
        <w:t xml:space="preserve">grant </w:t>
      </w:r>
      <w:r w:rsidR="007C3C0E" w:rsidRPr="00085562">
        <w:rPr>
          <w:rFonts w:eastAsiaTheme="majorEastAsia" w:cstheme="minorHAnsi"/>
          <w:bCs/>
          <w:szCs w:val="20"/>
        </w:rPr>
        <w:t>awarded to meet</w:t>
      </w:r>
      <w:r w:rsidR="0009081C" w:rsidRPr="00085562">
        <w:rPr>
          <w:rFonts w:eastAsiaTheme="majorEastAsia" w:cstheme="minorHAnsi"/>
          <w:bCs/>
          <w:szCs w:val="20"/>
        </w:rPr>
        <w:t xml:space="preserve"> the indirect costs associated with these grants </w:t>
      </w:r>
      <w:r w:rsidR="00112F7F" w:rsidRPr="00085562">
        <w:rPr>
          <w:rFonts w:eastAsiaTheme="majorEastAsia" w:cstheme="minorHAnsi"/>
          <w:bCs/>
          <w:szCs w:val="20"/>
        </w:rPr>
        <w:t>through</w:t>
      </w:r>
      <w:r w:rsidR="002313B3" w:rsidRPr="00085562">
        <w:rPr>
          <w:rFonts w:eastAsiaTheme="majorEastAsia" w:cstheme="minorHAnsi"/>
          <w:bCs/>
          <w:szCs w:val="20"/>
        </w:rPr>
        <w:t xml:space="preserve"> the NHMRC’s </w:t>
      </w:r>
      <w:r w:rsidR="00112F7F" w:rsidRPr="00085562">
        <w:rPr>
          <w:rFonts w:eastAsiaTheme="majorEastAsia" w:cstheme="minorHAnsi"/>
          <w:bCs/>
          <w:szCs w:val="20"/>
        </w:rPr>
        <w:t>Independent Research Institutes Infrastructure Support Scheme (</w:t>
      </w:r>
      <w:r w:rsidR="002313B3" w:rsidRPr="00085562">
        <w:rPr>
          <w:rFonts w:eastAsiaTheme="majorEastAsia" w:cstheme="minorHAnsi"/>
          <w:bCs/>
          <w:szCs w:val="20"/>
        </w:rPr>
        <w:t>IRIISS</w:t>
      </w:r>
      <w:r w:rsidR="00112F7F" w:rsidRPr="00085562">
        <w:rPr>
          <w:rFonts w:eastAsiaTheme="majorEastAsia" w:cstheme="minorHAnsi"/>
          <w:bCs/>
          <w:szCs w:val="20"/>
        </w:rPr>
        <w:t>)</w:t>
      </w:r>
      <w:r w:rsidRPr="00085562">
        <w:rPr>
          <w:rFonts w:eastAsiaTheme="majorEastAsia" w:cstheme="minorHAnsi"/>
          <w:bCs/>
          <w:szCs w:val="20"/>
        </w:rPr>
        <w:t xml:space="preserve">. </w:t>
      </w:r>
      <w:r w:rsidR="00112F7F" w:rsidRPr="00085562">
        <w:rPr>
          <w:rFonts w:eastAsiaTheme="majorEastAsia" w:cstheme="minorHAnsi"/>
          <w:bCs/>
          <w:szCs w:val="20"/>
        </w:rPr>
        <w:t>Unlike universities, t</w:t>
      </w:r>
      <w:r w:rsidRPr="00085562">
        <w:rPr>
          <w:rFonts w:eastAsiaTheme="majorEastAsia" w:cstheme="minorHAnsi"/>
          <w:bCs/>
          <w:szCs w:val="20"/>
        </w:rPr>
        <w:t xml:space="preserve">hey </w:t>
      </w:r>
      <w:r w:rsidR="002313B3" w:rsidRPr="00085562">
        <w:rPr>
          <w:rFonts w:eastAsiaTheme="majorEastAsia" w:cstheme="minorHAnsi"/>
          <w:bCs/>
          <w:szCs w:val="20"/>
        </w:rPr>
        <w:t xml:space="preserve">do not receive any </w:t>
      </w:r>
      <w:r w:rsidR="00112F7F" w:rsidRPr="00085562">
        <w:rPr>
          <w:rFonts w:eastAsiaTheme="majorEastAsia" w:cstheme="minorHAnsi"/>
          <w:bCs/>
          <w:szCs w:val="20"/>
        </w:rPr>
        <w:t xml:space="preserve">Commonwealth </w:t>
      </w:r>
      <w:r w:rsidR="002313B3" w:rsidRPr="00085562">
        <w:rPr>
          <w:rFonts w:eastAsiaTheme="majorEastAsia" w:cstheme="minorHAnsi"/>
          <w:bCs/>
          <w:szCs w:val="20"/>
        </w:rPr>
        <w:t>Government</w:t>
      </w:r>
      <w:r w:rsidR="00112F7F" w:rsidRPr="00085562">
        <w:rPr>
          <w:rFonts w:eastAsiaTheme="majorEastAsia" w:cstheme="minorHAnsi"/>
          <w:bCs/>
          <w:szCs w:val="20"/>
        </w:rPr>
        <w:t xml:space="preserve"> funding </w:t>
      </w:r>
      <w:r w:rsidR="002313B3" w:rsidRPr="00085562">
        <w:rPr>
          <w:rFonts w:eastAsiaTheme="majorEastAsia" w:cstheme="minorHAnsi"/>
          <w:bCs/>
          <w:szCs w:val="20"/>
        </w:rPr>
        <w:t>to reward excellence</w:t>
      </w:r>
      <w:r w:rsidRPr="00085562">
        <w:rPr>
          <w:rFonts w:eastAsiaTheme="majorEastAsia" w:cstheme="minorHAnsi"/>
          <w:bCs/>
          <w:szCs w:val="20"/>
        </w:rPr>
        <w:t>, industry engagement,</w:t>
      </w:r>
      <w:r w:rsidR="002313B3" w:rsidRPr="00085562">
        <w:rPr>
          <w:rFonts w:eastAsiaTheme="majorEastAsia" w:cstheme="minorHAnsi"/>
          <w:bCs/>
          <w:szCs w:val="20"/>
        </w:rPr>
        <w:t xml:space="preserve"> or funding </w:t>
      </w:r>
      <w:r w:rsidR="0009081C" w:rsidRPr="00085562">
        <w:rPr>
          <w:rFonts w:eastAsiaTheme="majorEastAsia" w:cstheme="minorHAnsi"/>
          <w:bCs/>
          <w:szCs w:val="20"/>
        </w:rPr>
        <w:t>attained</w:t>
      </w:r>
      <w:r w:rsidR="002313B3" w:rsidRPr="00085562">
        <w:rPr>
          <w:rFonts w:eastAsiaTheme="majorEastAsia" w:cstheme="minorHAnsi"/>
          <w:bCs/>
          <w:szCs w:val="20"/>
        </w:rPr>
        <w:t xml:space="preserve"> from alternative sources. Some (but not all) state</w:t>
      </w:r>
      <w:r w:rsidR="007C3C0E" w:rsidRPr="00085562">
        <w:rPr>
          <w:rFonts w:eastAsiaTheme="majorEastAsia" w:cstheme="minorHAnsi"/>
          <w:bCs/>
          <w:szCs w:val="20"/>
        </w:rPr>
        <w:t xml:space="preserve"> and territory</w:t>
      </w:r>
      <w:r w:rsidR="002313B3" w:rsidRPr="00085562">
        <w:rPr>
          <w:rFonts w:eastAsiaTheme="majorEastAsia" w:cstheme="minorHAnsi"/>
          <w:bCs/>
          <w:szCs w:val="20"/>
        </w:rPr>
        <w:t xml:space="preserve"> governments provide </w:t>
      </w:r>
      <w:r w:rsidR="007C3C0E" w:rsidRPr="00085562">
        <w:rPr>
          <w:rFonts w:eastAsiaTheme="majorEastAsia" w:cstheme="minorHAnsi"/>
          <w:bCs/>
          <w:szCs w:val="20"/>
        </w:rPr>
        <w:t>some</w:t>
      </w:r>
      <w:r w:rsidR="0009081C" w:rsidRPr="00085562">
        <w:rPr>
          <w:rFonts w:eastAsiaTheme="majorEastAsia" w:cstheme="minorHAnsi"/>
          <w:bCs/>
          <w:szCs w:val="20"/>
        </w:rPr>
        <w:t xml:space="preserve"> </w:t>
      </w:r>
      <w:r w:rsidR="002313B3" w:rsidRPr="00085562">
        <w:rPr>
          <w:rFonts w:eastAsiaTheme="majorEastAsia" w:cstheme="minorHAnsi"/>
          <w:bCs/>
          <w:szCs w:val="20"/>
        </w:rPr>
        <w:t xml:space="preserve">funding to MRIs to assist with indirect </w:t>
      </w:r>
      <w:r w:rsidR="007C3C0E" w:rsidRPr="00085562">
        <w:rPr>
          <w:rFonts w:eastAsiaTheme="majorEastAsia" w:cstheme="minorHAnsi"/>
          <w:bCs/>
          <w:szCs w:val="20"/>
        </w:rPr>
        <w:t xml:space="preserve">research </w:t>
      </w:r>
      <w:r w:rsidR="002313B3" w:rsidRPr="00085562">
        <w:rPr>
          <w:rFonts w:eastAsiaTheme="majorEastAsia" w:cstheme="minorHAnsi"/>
          <w:bCs/>
          <w:szCs w:val="20"/>
        </w:rPr>
        <w:t xml:space="preserve">costs </w:t>
      </w:r>
      <w:r w:rsidR="009A48D4" w:rsidRPr="00085562">
        <w:rPr>
          <w:rFonts w:eastAsiaTheme="majorEastAsia" w:cstheme="minorHAnsi"/>
          <w:bCs/>
          <w:szCs w:val="20"/>
        </w:rPr>
        <w:t>and/or to reward excellence</w:t>
      </w:r>
      <w:r w:rsidR="0009081C" w:rsidRPr="00085562">
        <w:rPr>
          <w:rFonts w:eastAsiaTheme="majorEastAsia" w:cstheme="minorHAnsi"/>
          <w:bCs/>
          <w:szCs w:val="20"/>
        </w:rPr>
        <w:t xml:space="preserve"> and innovation</w:t>
      </w:r>
      <w:r w:rsidR="009A48D4" w:rsidRPr="00085562">
        <w:rPr>
          <w:rFonts w:eastAsiaTheme="majorEastAsia" w:cstheme="minorHAnsi"/>
          <w:bCs/>
          <w:szCs w:val="20"/>
        </w:rPr>
        <w:t>.</w:t>
      </w:r>
    </w:p>
    <w:p w14:paraId="2651EA1D" w14:textId="77777777" w:rsidR="00120B40" w:rsidRDefault="00112F7F" w:rsidP="008E3C0A">
      <w:pPr>
        <w:spacing w:before="200" w:after="0"/>
        <w:rPr>
          <w:rFonts w:eastAsiaTheme="majorEastAsia" w:cstheme="minorHAnsi"/>
          <w:bCs/>
          <w:szCs w:val="20"/>
        </w:rPr>
      </w:pPr>
      <w:r w:rsidRPr="00712BA5">
        <w:rPr>
          <w:rStyle w:val="Emphasis"/>
        </w:rPr>
        <w:t xml:space="preserve">In principle, </w:t>
      </w:r>
      <w:r w:rsidR="009A48D4" w:rsidRPr="00712BA5">
        <w:rPr>
          <w:rStyle w:val="Emphasis"/>
        </w:rPr>
        <w:t>AAMRI support</w:t>
      </w:r>
      <w:r w:rsidRPr="00712BA5">
        <w:rPr>
          <w:rStyle w:val="Emphasis"/>
        </w:rPr>
        <w:t>s</w:t>
      </w:r>
      <w:r w:rsidR="00D45867" w:rsidRPr="00712BA5">
        <w:rPr>
          <w:rStyle w:val="Emphasis"/>
        </w:rPr>
        <w:t xml:space="preserve"> an allocation mechanism for research block grants that rewards research organisations for engaging with </w:t>
      </w:r>
      <w:r w:rsidR="00FE1B54" w:rsidRPr="00712BA5">
        <w:rPr>
          <w:rStyle w:val="Emphasis"/>
        </w:rPr>
        <w:t>end-user</w:t>
      </w:r>
      <w:r w:rsidR="00D45867" w:rsidRPr="00712BA5">
        <w:rPr>
          <w:rStyle w:val="Emphasis"/>
        </w:rPr>
        <w:t>s</w:t>
      </w:r>
      <w:r w:rsidR="00FE1B54" w:rsidRPr="00712BA5">
        <w:rPr>
          <w:rStyle w:val="Emphasis"/>
        </w:rPr>
        <w:t xml:space="preserve"> </w:t>
      </w:r>
      <w:r w:rsidR="0009081C" w:rsidRPr="00712BA5">
        <w:rPr>
          <w:rStyle w:val="Emphasis"/>
        </w:rPr>
        <w:t>and</w:t>
      </w:r>
      <w:r w:rsidR="009A48D4" w:rsidRPr="00712BA5">
        <w:rPr>
          <w:rStyle w:val="Emphasis"/>
        </w:rPr>
        <w:t xml:space="preserve"> industry</w:t>
      </w:r>
      <w:r w:rsidR="00FF55A6" w:rsidRPr="00712BA5">
        <w:rPr>
          <w:rStyle w:val="Emphasis"/>
        </w:rPr>
        <w:t>.</w:t>
      </w:r>
      <w:r w:rsidR="00FF55A6" w:rsidRPr="00085562">
        <w:rPr>
          <w:rFonts w:eastAsiaTheme="majorEastAsia" w:cstheme="minorHAnsi"/>
          <w:b/>
          <w:bCs/>
          <w:szCs w:val="20"/>
        </w:rPr>
        <w:t xml:space="preserve"> </w:t>
      </w:r>
      <w:r w:rsidR="00FF55A6" w:rsidRPr="00085562">
        <w:rPr>
          <w:rFonts w:eastAsiaTheme="majorEastAsia" w:cstheme="minorHAnsi"/>
          <w:bCs/>
          <w:szCs w:val="20"/>
        </w:rPr>
        <w:t>However, care must be taken to avoid perverse incentives</w:t>
      </w:r>
      <w:r w:rsidR="00D45867" w:rsidRPr="00085562">
        <w:rPr>
          <w:rFonts w:eastAsiaTheme="majorEastAsia" w:cstheme="minorHAnsi"/>
          <w:bCs/>
          <w:szCs w:val="20"/>
        </w:rPr>
        <w:t xml:space="preserve"> and </w:t>
      </w:r>
      <w:r w:rsidR="00FF55A6" w:rsidRPr="00085562">
        <w:rPr>
          <w:rFonts w:eastAsiaTheme="majorEastAsia" w:cstheme="minorHAnsi"/>
          <w:bCs/>
          <w:szCs w:val="20"/>
        </w:rPr>
        <w:t>gaming of the system</w:t>
      </w:r>
      <w:r w:rsidR="002E3C03" w:rsidRPr="00085562">
        <w:rPr>
          <w:rFonts w:eastAsiaTheme="majorEastAsia" w:cstheme="minorHAnsi"/>
          <w:bCs/>
          <w:szCs w:val="20"/>
        </w:rPr>
        <w:t>.</w:t>
      </w:r>
      <w:r w:rsidR="002D75FE" w:rsidRPr="00085562">
        <w:rPr>
          <w:rFonts w:eastAsiaTheme="majorEastAsia" w:cstheme="minorHAnsi"/>
          <w:bCs/>
          <w:szCs w:val="20"/>
        </w:rPr>
        <w:t xml:space="preserve"> The allocation framework</w:t>
      </w:r>
      <w:r w:rsidR="002E3C03" w:rsidRPr="00085562">
        <w:rPr>
          <w:rFonts w:eastAsiaTheme="majorEastAsia" w:cstheme="minorHAnsi"/>
          <w:bCs/>
          <w:szCs w:val="20"/>
        </w:rPr>
        <w:t xml:space="preserve"> should</w:t>
      </w:r>
      <w:r w:rsidR="00FF55A6" w:rsidRPr="00085562">
        <w:rPr>
          <w:rFonts w:eastAsiaTheme="majorEastAsia" w:cstheme="minorHAnsi"/>
          <w:bCs/>
          <w:szCs w:val="20"/>
        </w:rPr>
        <w:t xml:space="preserve"> recognise </w:t>
      </w:r>
      <w:r w:rsidR="002E3C03" w:rsidRPr="00085562">
        <w:rPr>
          <w:rFonts w:eastAsiaTheme="majorEastAsia" w:cstheme="minorHAnsi"/>
          <w:bCs/>
          <w:szCs w:val="20"/>
        </w:rPr>
        <w:t>a wide range of commercial adoption (beyond just product sales), including</w:t>
      </w:r>
      <w:r w:rsidR="00FF55A6" w:rsidRPr="00085562">
        <w:rPr>
          <w:rFonts w:eastAsiaTheme="majorEastAsia" w:cstheme="minorHAnsi"/>
          <w:bCs/>
          <w:szCs w:val="20"/>
        </w:rPr>
        <w:t xml:space="preserve"> translation of research </w:t>
      </w:r>
      <w:r w:rsidR="002E3C03" w:rsidRPr="00085562">
        <w:rPr>
          <w:rFonts w:eastAsiaTheme="majorEastAsia" w:cstheme="minorHAnsi"/>
          <w:bCs/>
          <w:szCs w:val="20"/>
        </w:rPr>
        <w:t>that doesn’t</w:t>
      </w:r>
      <w:r w:rsidR="00FF55A6" w:rsidRPr="00085562">
        <w:rPr>
          <w:rFonts w:eastAsiaTheme="majorEastAsia" w:cstheme="minorHAnsi"/>
          <w:bCs/>
          <w:szCs w:val="20"/>
        </w:rPr>
        <w:t xml:space="preserve"> involve an industry partner (e.g. in cases where the end-user </w:t>
      </w:r>
      <w:r w:rsidR="002E3C03" w:rsidRPr="00085562">
        <w:rPr>
          <w:rFonts w:eastAsiaTheme="majorEastAsia" w:cstheme="minorHAnsi"/>
          <w:bCs/>
          <w:szCs w:val="20"/>
        </w:rPr>
        <w:t xml:space="preserve">is </w:t>
      </w:r>
      <w:r w:rsidR="00FF55A6" w:rsidRPr="00085562">
        <w:rPr>
          <w:rFonts w:eastAsiaTheme="majorEastAsia" w:cstheme="minorHAnsi"/>
          <w:bCs/>
          <w:szCs w:val="20"/>
        </w:rPr>
        <w:t>a hospital or government department)</w:t>
      </w:r>
      <w:r w:rsidR="002E3C03" w:rsidRPr="00085562">
        <w:rPr>
          <w:rFonts w:eastAsiaTheme="majorEastAsia" w:cstheme="minorHAnsi"/>
          <w:bCs/>
          <w:szCs w:val="20"/>
        </w:rPr>
        <w:t>,</w:t>
      </w:r>
      <w:r w:rsidR="00FF55A6" w:rsidRPr="00085562">
        <w:rPr>
          <w:rFonts w:eastAsiaTheme="majorEastAsia" w:cstheme="minorHAnsi"/>
          <w:bCs/>
          <w:szCs w:val="20"/>
        </w:rPr>
        <w:t xml:space="preserve"> or</w:t>
      </w:r>
      <w:r w:rsidR="002D75FE" w:rsidRPr="00085562">
        <w:rPr>
          <w:rFonts w:eastAsiaTheme="majorEastAsia" w:cstheme="minorHAnsi"/>
          <w:bCs/>
          <w:szCs w:val="20"/>
        </w:rPr>
        <w:t xml:space="preserve"> that</w:t>
      </w:r>
      <w:r w:rsidR="00FF55A6" w:rsidRPr="00085562">
        <w:rPr>
          <w:rFonts w:eastAsiaTheme="majorEastAsia" w:cstheme="minorHAnsi"/>
          <w:bCs/>
          <w:szCs w:val="20"/>
        </w:rPr>
        <w:t xml:space="preserve"> </w:t>
      </w:r>
      <w:r w:rsidR="002E3C03" w:rsidRPr="00085562">
        <w:rPr>
          <w:rFonts w:eastAsiaTheme="majorEastAsia" w:cstheme="minorHAnsi"/>
          <w:bCs/>
          <w:szCs w:val="20"/>
        </w:rPr>
        <w:t xml:space="preserve">is via </w:t>
      </w:r>
      <w:r w:rsidR="00FF55A6" w:rsidRPr="00085562">
        <w:rPr>
          <w:rFonts w:eastAsiaTheme="majorEastAsia" w:cstheme="minorHAnsi"/>
          <w:bCs/>
          <w:szCs w:val="20"/>
        </w:rPr>
        <w:t xml:space="preserve">a </w:t>
      </w:r>
      <w:r w:rsidR="002E3C03" w:rsidRPr="00085562">
        <w:rPr>
          <w:rFonts w:eastAsiaTheme="majorEastAsia" w:cstheme="minorHAnsi"/>
          <w:bCs/>
          <w:szCs w:val="20"/>
        </w:rPr>
        <w:t>non-</w:t>
      </w:r>
      <w:r w:rsidR="00FF55A6" w:rsidRPr="00085562">
        <w:rPr>
          <w:rFonts w:eastAsiaTheme="majorEastAsia" w:cstheme="minorHAnsi"/>
          <w:bCs/>
          <w:szCs w:val="20"/>
        </w:rPr>
        <w:t xml:space="preserve">traditional commercialisation pathway (e.g. some research can go direct to market without an industry partner, </w:t>
      </w:r>
      <w:r w:rsidR="00D45867" w:rsidRPr="00085562">
        <w:rPr>
          <w:rFonts w:eastAsiaTheme="majorEastAsia" w:cstheme="minorHAnsi"/>
          <w:bCs/>
          <w:szCs w:val="20"/>
        </w:rPr>
        <w:t>such as in the case of</w:t>
      </w:r>
      <w:r w:rsidR="00FF55A6" w:rsidRPr="00085562">
        <w:rPr>
          <w:rFonts w:eastAsiaTheme="majorEastAsia" w:cstheme="minorHAnsi"/>
          <w:bCs/>
          <w:szCs w:val="20"/>
        </w:rPr>
        <w:t xml:space="preserve"> </w:t>
      </w:r>
      <w:r w:rsidR="002D75FE" w:rsidRPr="00085562">
        <w:rPr>
          <w:rFonts w:eastAsiaTheme="majorEastAsia" w:cstheme="minorHAnsi"/>
          <w:bCs/>
          <w:szCs w:val="20"/>
        </w:rPr>
        <w:t xml:space="preserve">health </w:t>
      </w:r>
      <w:r w:rsidR="00FF55A6" w:rsidRPr="00085562">
        <w:rPr>
          <w:rFonts w:eastAsiaTheme="majorEastAsia" w:cstheme="minorHAnsi"/>
          <w:bCs/>
          <w:szCs w:val="20"/>
        </w:rPr>
        <w:t xml:space="preserve">apps and </w:t>
      </w:r>
      <w:r w:rsidR="00D45867" w:rsidRPr="00085562">
        <w:rPr>
          <w:rFonts w:eastAsiaTheme="majorEastAsia" w:cstheme="minorHAnsi"/>
          <w:bCs/>
          <w:szCs w:val="20"/>
        </w:rPr>
        <w:t>websites</w:t>
      </w:r>
      <w:r w:rsidR="00146DEF" w:rsidRPr="00085562">
        <w:rPr>
          <w:rFonts w:eastAsiaTheme="majorEastAsia" w:cstheme="minorHAnsi"/>
          <w:bCs/>
          <w:szCs w:val="20"/>
        </w:rPr>
        <w:t>, which are becoming increasingly common outputs of health and medical research</w:t>
      </w:r>
      <w:r w:rsidR="00FF55A6" w:rsidRPr="00085562">
        <w:rPr>
          <w:rFonts w:eastAsiaTheme="majorEastAsia" w:cstheme="minorHAnsi"/>
          <w:bCs/>
          <w:szCs w:val="20"/>
        </w:rPr>
        <w:t>).</w:t>
      </w:r>
      <w:r w:rsidR="00127485" w:rsidRPr="00085562">
        <w:rPr>
          <w:rFonts w:eastAsiaTheme="majorEastAsia" w:cstheme="minorHAnsi"/>
          <w:bCs/>
          <w:szCs w:val="20"/>
        </w:rPr>
        <w:t xml:space="preserve"> </w:t>
      </w:r>
    </w:p>
    <w:p w14:paraId="2651EA1E" w14:textId="77777777" w:rsidR="00FE1B54" w:rsidRPr="00085562" w:rsidRDefault="002309F9" w:rsidP="008E3C0A">
      <w:pPr>
        <w:spacing w:before="200" w:after="0"/>
        <w:rPr>
          <w:rFonts w:eastAsiaTheme="majorEastAsia" w:cstheme="minorHAnsi"/>
          <w:bCs/>
          <w:szCs w:val="20"/>
        </w:rPr>
      </w:pPr>
      <w:r w:rsidRPr="00712BA5">
        <w:rPr>
          <w:rStyle w:val="Emphasis"/>
        </w:rPr>
        <w:t xml:space="preserve">We </w:t>
      </w:r>
      <w:r w:rsidR="006B382F" w:rsidRPr="00712BA5">
        <w:rPr>
          <w:rStyle w:val="Emphasis"/>
        </w:rPr>
        <w:t xml:space="preserve">also </w:t>
      </w:r>
      <w:r w:rsidRPr="00712BA5">
        <w:rPr>
          <w:rStyle w:val="Emphasis"/>
        </w:rPr>
        <w:t xml:space="preserve">recommend that in rewarding engagement with </w:t>
      </w:r>
      <w:r w:rsidR="00E87488" w:rsidRPr="00712BA5">
        <w:rPr>
          <w:rStyle w:val="Emphasis"/>
        </w:rPr>
        <w:t>end-users and research translation</w:t>
      </w:r>
      <w:r w:rsidRPr="00712BA5">
        <w:rPr>
          <w:rStyle w:val="Emphasis"/>
        </w:rPr>
        <w:t>, that universities not be considered in isolation, but that MRIs</w:t>
      </w:r>
      <w:r w:rsidR="00E741D0" w:rsidRPr="00712BA5">
        <w:rPr>
          <w:rStyle w:val="Emphasis"/>
        </w:rPr>
        <w:t xml:space="preserve"> (whose indirect costs are funded through different mechanisms)</w:t>
      </w:r>
      <w:r w:rsidRPr="00712BA5">
        <w:rPr>
          <w:rStyle w:val="Emphasis"/>
        </w:rPr>
        <w:t xml:space="preserve"> also be considered.</w:t>
      </w:r>
      <w:r w:rsidR="009A48D4" w:rsidRPr="00085562">
        <w:rPr>
          <w:rFonts w:eastAsiaTheme="majorEastAsia" w:cstheme="minorHAnsi"/>
          <w:bCs/>
          <w:szCs w:val="20"/>
        </w:rPr>
        <w:t xml:space="preserve"> </w:t>
      </w:r>
      <w:r w:rsidR="00A428BA" w:rsidRPr="00085562">
        <w:rPr>
          <w:rFonts w:eastAsiaTheme="majorEastAsia" w:cstheme="minorHAnsi"/>
          <w:bCs/>
          <w:szCs w:val="20"/>
        </w:rPr>
        <w:t>Therefore, the university-based block grant system might not be the most appropriate scheme (or certainly not the only scheme) to reward end-user engagement across the sector.</w:t>
      </w:r>
    </w:p>
    <w:p w14:paraId="2651EA1F" w14:textId="77777777" w:rsidR="00792B58" w:rsidRPr="0082706E" w:rsidRDefault="00792B58" w:rsidP="00712BA5">
      <w:pPr>
        <w:pStyle w:val="Heading4"/>
      </w:pPr>
      <w:r>
        <w:t>Leverage greater collaboration between industry and research organisations</w:t>
      </w:r>
    </w:p>
    <w:p w14:paraId="2651EA20" w14:textId="77777777" w:rsidR="00792B58" w:rsidRPr="00085562" w:rsidRDefault="00792B58" w:rsidP="00792B58">
      <w:pPr>
        <w:spacing w:before="200" w:after="0"/>
        <w:rPr>
          <w:rFonts w:cstheme="minorHAnsi"/>
          <w:szCs w:val="20"/>
        </w:rPr>
      </w:pPr>
      <w:r w:rsidRPr="00085562">
        <w:rPr>
          <w:rFonts w:eastAsiaTheme="majorEastAsia" w:cstheme="minorHAnsi"/>
          <w:bCs/>
          <w:szCs w:val="20"/>
        </w:rPr>
        <w:t xml:space="preserve">Examples worldwide </w:t>
      </w:r>
      <w:r w:rsidR="00F926E0">
        <w:rPr>
          <w:rFonts w:eastAsiaTheme="majorEastAsia" w:cstheme="minorHAnsi"/>
          <w:bCs/>
          <w:szCs w:val="20"/>
        </w:rPr>
        <w:t xml:space="preserve">(e.g. Singapore, Ireland) </w:t>
      </w:r>
      <w:r w:rsidRPr="00085562">
        <w:rPr>
          <w:rFonts w:eastAsiaTheme="majorEastAsia" w:cstheme="minorHAnsi"/>
          <w:bCs/>
          <w:szCs w:val="20"/>
        </w:rPr>
        <w:t xml:space="preserve">show that research excellence acts as a major attraction </w:t>
      </w:r>
      <w:r w:rsidR="007B13CC" w:rsidRPr="00085562">
        <w:rPr>
          <w:rFonts w:eastAsiaTheme="majorEastAsia" w:cstheme="minorHAnsi"/>
          <w:bCs/>
          <w:szCs w:val="20"/>
        </w:rPr>
        <w:t>for</w:t>
      </w:r>
      <w:r w:rsidRPr="00085562">
        <w:rPr>
          <w:rFonts w:eastAsiaTheme="majorEastAsia" w:cstheme="minorHAnsi"/>
          <w:bCs/>
          <w:szCs w:val="20"/>
        </w:rPr>
        <w:t xml:space="preserve"> industry as the focus for outsourced research. </w:t>
      </w:r>
      <w:r w:rsidR="00F757BE" w:rsidRPr="00085562">
        <w:rPr>
          <w:rFonts w:eastAsiaTheme="majorEastAsia" w:cstheme="minorHAnsi"/>
          <w:bCs/>
          <w:szCs w:val="20"/>
        </w:rPr>
        <w:t xml:space="preserve">Therefore, the Government’s continued long-term support for research is key in attracting industry </w:t>
      </w:r>
      <w:r w:rsidR="00F926E0">
        <w:rPr>
          <w:rFonts w:eastAsiaTheme="majorEastAsia" w:cstheme="minorHAnsi"/>
          <w:bCs/>
          <w:szCs w:val="20"/>
        </w:rPr>
        <w:t>investment in research</w:t>
      </w:r>
      <w:r w:rsidR="00F757BE" w:rsidRPr="00085562">
        <w:rPr>
          <w:rFonts w:eastAsiaTheme="majorEastAsia" w:cstheme="minorHAnsi"/>
          <w:bCs/>
          <w:szCs w:val="20"/>
        </w:rPr>
        <w:t>.</w:t>
      </w:r>
    </w:p>
    <w:p w14:paraId="2651EA21" w14:textId="77777777" w:rsidR="007B13CC" w:rsidRPr="00085562" w:rsidRDefault="00792B58" w:rsidP="00792B58">
      <w:pPr>
        <w:spacing w:before="200" w:after="0"/>
        <w:rPr>
          <w:rFonts w:eastAsiaTheme="majorEastAsia" w:cstheme="minorHAnsi"/>
          <w:bCs/>
          <w:szCs w:val="20"/>
        </w:rPr>
      </w:pPr>
      <w:r w:rsidRPr="00712BA5">
        <w:rPr>
          <w:rStyle w:val="Emphasis"/>
        </w:rPr>
        <w:t>We re-iterate the importance of improved funding for proof-of-concept experiments (with or without an industry partner) and funding for early-stage IP protection in order to get research discoveries to a point at which industry is interested in being involved.</w:t>
      </w:r>
      <w:r w:rsidRPr="00085562">
        <w:rPr>
          <w:rFonts w:eastAsiaTheme="majorEastAsia" w:cstheme="minorHAnsi"/>
          <w:bCs/>
          <w:szCs w:val="20"/>
        </w:rPr>
        <w:t xml:space="preserve"> </w:t>
      </w:r>
      <w:r w:rsidR="007B13CC" w:rsidRPr="00085562">
        <w:rPr>
          <w:rFonts w:eastAsiaTheme="majorEastAsia" w:cstheme="minorHAnsi"/>
          <w:bCs/>
          <w:szCs w:val="20"/>
        </w:rPr>
        <w:t xml:space="preserve">We recommend that NHMRC Development Grants, which support proof-of-concept experiments, be made available in a more timely and rapid manner, rather than </w:t>
      </w:r>
      <w:r w:rsidR="00B74651">
        <w:rPr>
          <w:rFonts w:eastAsiaTheme="majorEastAsia" w:cstheme="minorHAnsi"/>
          <w:bCs/>
          <w:szCs w:val="20"/>
        </w:rPr>
        <w:t xml:space="preserve">through </w:t>
      </w:r>
      <w:r w:rsidR="007B13CC" w:rsidRPr="00085562">
        <w:rPr>
          <w:rFonts w:eastAsiaTheme="majorEastAsia" w:cstheme="minorHAnsi"/>
          <w:bCs/>
          <w:szCs w:val="20"/>
        </w:rPr>
        <w:t xml:space="preserve">the current annual process. The proportion of the NHMRC grant budget allocated to Development Grants, currently less than 1 per cent, should also be substantially increased. </w:t>
      </w:r>
    </w:p>
    <w:p w14:paraId="2651EA22" w14:textId="77777777" w:rsidR="00F757BE" w:rsidRPr="00085562" w:rsidRDefault="002F6158" w:rsidP="00792B58">
      <w:pPr>
        <w:spacing w:before="200" w:after="0"/>
        <w:rPr>
          <w:rFonts w:eastAsiaTheme="majorEastAsia" w:cstheme="minorHAnsi"/>
          <w:bCs/>
          <w:szCs w:val="20"/>
        </w:rPr>
      </w:pPr>
      <w:r w:rsidRPr="00085562">
        <w:rPr>
          <w:rFonts w:eastAsiaTheme="majorEastAsia" w:cstheme="minorHAnsi"/>
          <w:bCs/>
          <w:szCs w:val="20"/>
        </w:rPr>
        <w:t>The</w:t>
      </w:r>
      <w:r w:rsidR="00792B58" w:rsidRPr="00085562">
        <w:rPr>
          <w:rFonts w:eastAsiaTheme="majorEastAsia" w:cstheme="minorHAnsi"/>
          <w:bCs/>
          <w:szCs w:val="20"/>
        </w:rPr>
        <w:t xml:space="preserve"> ARC Linkage Grants support</w:t>
      </w:r>
      <w:r w:rsidRPr="00085562">
        <w:rPr>
          <w:rFonts w:eastAsiaTheme="majorEastAsia" w:cstheme="minorHAnsi"/>
          <w:bCs/>
          <w:szCs w:val="20"/>
        </w:rPr>
        <w:t>s</w:t>
      </w:r>
      <w:r w:rsidR="00792B58" w:rsidRPr="00085562">
        <w:rPr>
          <w:rFonts w:eastAsiaTheme="majorEastAsia" w:cstheme="minorHAnsi"/>
          <w:bCs/>
          <w:szCs w:val="20"/>
        </w:rPr>
        <w:t xml:space="preserve"> collaborative research of universities with industry and other end-users</w:t>
      </w:r>
      <w:r w:rsidRPr="00085562">
        <w:rPr>
          <w:rFonts w:eastAsiaTheme="majorEastAsia" w:cstheme="minorHAnsi"/>
          <w:bCs/>
          <w:szCs w:val="20"/>
        </w:rPr>
        <w:t>. However,</w:t>
      </w:r>
      <w:r w:rsidR="00792B58" w:rsidRPr="00085562">
        <w:rPr>
          <w:rFonts w:eastAsiaTheme="majorEastAsia" w:cstheme="minorHAnsi"/>
          <w:bCs/>
          <w:szCs w:val="20"/>
        </w:rPr>
        <w:t xml:space="preserve"> these grants are not open to health and medical research, or to MRIs. We recommend that an equivalent scheme be implemented under the NHMRC to promote industry-researcher collaborations. </w:t>
      </w:r>
    </w:p>
    <w:p w14:paraId="2651EA23" w14:textId="77777777" w:rsidR="00F757BE" w:rsidRPr="00085562" w:rsidRDefault="00F757BE" w:rsidP="00792B58">
      <w:pPr>
        <w:spacing w:before="200" w:after="0"/>
        <w:rPr>
          <w:rFonts w:eastAsiaTheme="majorEastAsia" w:cstheme="minorHAnsi"/>
          <w:bCs/>
          <w:szCs w:val="20"/>
        </w:rPr>
      </w:pPr>
      <w:r w:rsidRPr="00712BA5">
        <w:rPr>
          <w:rStyle w:val="Emphasis"/>
        </w:rPr>
        <w:t>There is also the opportunity to increase meetings</w:t>
      </w:r>
      <w:r w:rsidR="00B74651" w:rsidRPr="00712BA5">
        <w:rPr>
          <w:rStyle w:val="Emphasis"/>
        </w:rPr>
        <w:t xml:space="preserve"> and networks</w:t>
      </w:r>
      <w:r w:rsidRPr="00712BA5">
        <w:rPr>
          <w:rStyle w:val="Emphasis"/>
        </w:rPr>
        <w:t xml:space="preserve"> between industries and research organisations</w:t>
      </w:r>
      <w:r w:rsidRPr="00B74651">
        <w:rPr>
          <w:rFonts w:eastAsiaTheme="majorEastAsia" w:cstheme="minorHAnsi"/>
          <w:b/>
          <w:bCs/>
          <w:szCs w:val="20"/>
        </w:rPr>
        <w:t>.</w:t>
      </w:r>
      <w:r w:rsidRPr="00085562">
        <w:rPr>
          <w:rFonts w:eastAsiaTheme="majorEastAsia" w:cstheme="minorHAnsi"/>
          <w:bCs/>
          <w:szCs w:val="20"/>
        </w:rPr>
        <w:t xml:space="preserve"> Currently </w:t>
      </w:r>
      <w:r w:rsidRPr="00085562">
        <w:rPr>
          <w:rFonts w:eastAsiaTheme="majorEastAsia" w:cstheme="minorHAnsi"/>
          <w:bCs/>
          <w:szCs w:val="20"/>
          <w:lang w:val="en-AU"/>
        </w:rPr>
        <w:t>industry does not know of the possibilities for collaboration and the researchers do not know of the interesting possibilities available in industry, including opportunities for joint projects. Incubator units are also not readily available for start-up or micro-companies.</w:t>
      </w:r>
    </w:p>
    <w:p w14:paraId="2651EA24" w14:textId="77777777" w:rsidR="00792B58" w:rsidRPr="00085562" w:rsidRDefault="00792B58" w:rsidP="00792B58">
      <w:pPr>
        <w:spacing w:before="200" w:after="0"/>
        <w:rPr>
          <w:rFonts w:eastAsiaTheme="majorEastAsia" w:cstheme="minorHAnsi"/>
          <w:bCs/>
          <w:szCs w:val="20"/>
        </w:rPr>
      </w:pPr>
      <w:r w:rsidRPr="00712BA5">
        <w:rPr>
          <w:rStyle w:val="Emphasis"/>
        </w:rPr>
        <w:lastRenderedPageBreak/>
        <w:t>Caution should be exercised in transferring successful industry-research programs from overseas to Australia</w:t>
      </w:r>
      <w:r w:rsidRPr="00B74651">
        <w:rPr>
          <w:rFonts w:eastAsiaTheme="majorEastAsia" w:cstheme="minorHAnsi"/>
          <w:b/>
          <w:bCs/>
          <w:szCs w:val="20"/>
        </w:rPr>
        <w:t>.</w:t>
      </w:r>
      <w:r w:rsidRPr="00085562">
        <w:rPr>
          <w:rFonts w:eastAsiaTheme="majorEastAsia" w:cstheme="minorHAnsi"/>
          <w:bCs/>
          <w:szCs w:val="20"/>
        </w:rPr>
        <w:t xml:space="preserve"> The small size and geographical dispersion of Australian industry, the predominance of low-tech </w:t>
      </w:r>
      <w:r w:rsidR="00B74651">
        <w:rPr>
          <w:rFonts w:eastAsiaTheme="majorEastAsia" w:cstheme="minorHAnsi"/>
          <w:bCs/>
          <w:szCs w:val="20"/>
        </w:rPr>
        <w:t xml:space="preserve">and risk-averse </w:t>
      </w:r>
      <w:r w:rsidRPr="00085562">
        <w:rPr>
          <w:rFonts w:eastAsiaTheme="majorEastAsia" w:cstheme="minorHAnsi"/>
          <w:bCs/>
          <w:szCs w:val="20"/>
        </w:rPr>
        <w:t xml:space="preserve">industries, and the remoteness from key foreign markets </w:t>
      </w:r>
      <w:r w:rsidR="00B74651">
        <w:rPr>
          <w:rFonts w:eastAsiaTheme="majorEastAsia" w:cstheme="minorHAnsi"/>
          <w:bCs/>
          <w:szCs w:val="20"/>
        </w:rPr>
        <w:t>mean</w:t>
      </w:r>
      <w:r w:rsidRPr="00085562">
        <w:rPr>
          <w:rFonts w:eastAsiaTheme="majorEastAsia" w:cstheme="minorHAnsi"/>
          <w:bCs/>
          <w:szCs w:val="20"/>
        </w:rPr>
        <w:t xml:space="preserve"> implementing innovation schemes from other countries is unlikely to result in the same success here. </w:t>
      </w:r>
      <w:r w:rsidRPr="00085562">
        <w:rPr>
          <w:rFonts w:cstheme="minorHAnsi"/>
        </w:rPr>
        <w:t>Adapting well-regarded existing Australian schemes is more likely to succeed.</w:t>
      </w:r>
    </w:p>
    <w:p w14:paraId="2651EA25" w14:textId="77777777" w:rsidR="002309F9" w:rsidRPr="00523377" w:rsidRDefault="002309F9" w:rsidP="00712BA5">
      <w:pPr>
        <w:pStyle w:val="Heading4"/>
      </w:pPr>
      <w:r w:rsidRPr="00523377">
        <w:t xml:space="preserve">Consolidation </w:t>
      </w:r>
      <w:r w:rsidR="00F80E73" w:rsidRPr="00523377">
        <w:t xml:space="preserve">of </w:t>
      </w:r>
      <w:r w:rsidRPr="00523377">
        <w:t>programmes that encourage research-industry collaboration</w:t>
      </w:r>
    </w:p>
    <w:p w14:paraId="2651EA26" w14:textId="77777777" w:rsidR="008D0750" w:rsidRPr="00085562" w:rsidRDefault="002309F9" w:rsidP="008E3C0A">
      <w:pPr>
        <w:spacing w:before="200" w:after="0"/>
        <w:rPr>
          <w:rFonts w:eastAsiaTheme="majorEastAsia" w:cstheme="minorHAnsi"/>
          <w:bCs/>
          <w:szCs w:val="20"/>
        </w:rPr>
      </w:pPr>
      <w:r w:rsidRPr="00712BA5">
        <w:rPr>
          <w:rStyle w:val="Emphasis"/>
        </w:rPr>
        <w:t>AAMRI u</w:t>
      </w:r>
      <w:r w:rsidR="00B23D04" w:rsidRPr="00712BA5">
        <w:rPr>
          <w:rStyle w:val="Emphasis"/>
        </w:rPr>
        <w:t>rge</w:t>
      </w:r>
      <w:r w:rsidRPr="00712BA5">
        <w:rPr>
          <w:rStyle w:val="Emphasis"/>
        </w:rPr>
        <w:t>s</w:t>
      </w:r>
      <w:r w:rsidR="00B23D04" w:rsidRPr="00712BA5">
        <w:rPr>
          <w:rStyle w:val="Emphasis"/>
        </w:rPr>
        <w:t xml:space="preserve"> caution in </w:t>
      </w:r>
      <w:r w:rsidRPr="00712BA5">
        <w:rPr>
          <w:rStyle w:val="Emphasis"/>
        </w:rPr>
        <w:t>consolid</w:t>
      </w:r>
      <w:r w:rsidR="00D624E9" w:rsidRPr="00712BA5">
        <w:rPr>
          <w:rStyle w:val="Emphasis"/>
        </w:rPr>
        <w:t>ating</w:t>
      </w:r>
      <w:r w:rsidRPr="00712BA5">
        <w:rPr>
          <w:rStyle w:val="Emphasis"/>
        </w:rPr>
        <w:t xml:space="preserve"> existing programmes that encourage research-industry linkages.</w:t>
      </w:r>
      <w:r w:rsidR="00D624E9" w:rsidRPr="00085562">
        <w:rPr>
          <w:rFonts w:eastAsiaTheme="majorEastAsia" w:cstheme="minorHAnsi"/>
          <w:bCs/>
          <w:szCs w:val="20"/>
        </w:rPr>
        <w:t xml:space="preserve"> While consolidation </w:t>
      </w:r>
      <w:r w:rsidR="002B29E3" w:rsidRPr="00085562">
        <w:rPr>
          <w:rFonts w:eastAsiaTheme="majorEastAsia" w:cstheme="minorHAnsi"/>
          <w:bCs/>
          <w:szCs w:val="20"/>
        </w:rPr>
        <w:t>would provide</w:t>
      </w:r>
      <w:r w:rsidR="00D624E9" w:rsidRPr="00085562">
        <w:rPr>
          <w:rFonts w:eastAsiaTheme="majorEastAsia" w:cstheme="minorHAnsi"/>
          <w:bCs/>
          <w:szCs w:val="20"/>
        </w:rPr>
        <w:t xml:space="preserve"> greater scale </w:t>
      </w:r>
      <w:r w:rsidR="002B29E3" w:rsidRPr="00085562">
        <w:rPr>
          <w:rFonts w:eastAsiaTheme="majorEastAsia" w:cstheme="minorHAnsi"/>
          <w:bCs/>
          <w:szCs w:val="20"/>
        </w:rPr>
        <w:t>of funding for</w:t>
      </w:r>
      <w:r w:rsidR="00567069" w:rsidRPr="00085562">
        <w:rPr>
          <w:rFonts w:eastAsiaTheme="majorEastAsia" w:cstheme="minorHAnsi"/>
          <w:bCs/>
          <w:szCs w:val="20"/>
        </w:rPr>
        <w:t xml:space="preserve"> any</w:t>
      </w:r>
      <w:r w:rsidR="002B29E3" w:rsidRPr="00085562">
        <w:rPr>
          <w:rFonts w:eastAsiaTheme="majorEastAsia" w:cstheme="minorHAnsi"/>
          <w:bCs/>
          <w:szCs w:val="20"/>
        </w:rPr>
        <w:t xml:space="preserve"> remaining</w:t>
      </w:r>
      <w:r w:rsidR="00D624E9" w:rsidRPr="00085562">
        <w:rPr>
          <w:rFonts w:eastAsiaTheme="majorEastAsia" w:cstheme="minorHAnsi"/>
          <w:bCs/>
          <w:szCs w:val="20"/>
        </w:rPr>
        <w:t xml:space="preserve"> program, </w:t>
      </w:r>
      <w:r w:rsidR="008D0750" w:rsidRPr="00085562">
        <w:rPr>
          <w:rFonts w:eastAsiaTheme="majorEastAsia" w:cstheme="minorHAnsi"/>
          <w:bCs/>
          <w:szCs w:val="20"/>
        </w:rPr>
        <w:t xml:space="preserve">the </w:t>
      </w:r>
      <w:r w:rsidR="00E4440C" w:rsidRPr="00085562">
        <w:rPr>
          <w:rFonts w:eastAsiaTheme="majorEastAsia" w:cstheme="minorHAnsi"/>
          <w:bCs/>
          <w:szCs w:val="20"/>
        </w:rPr>
        <w:t xml:space="preserve">unique and complementary </w:t>
      </w:r>
      <w:r w:rsidR="008D0750" w:rsidRPr="00085562">
        <w:rPr>
          <w:rFonts w:eastAsiaTheme="majorEastAsia" w:cstheme="minorHAnsi"/>
          <w:bCs/>
          <w:szCs w:val="20"/>
        </w:rPr>
        <w:t xml:space="preserve">roles each of the current programmes </w:t>
      </w:r>
      <w:r w:rsidR="00567069" w:rsidRPr="00085562">
        <w:rPr>
          <w:rFonts w:eastAsiaTheme="majorEastAsia" w:cstheme="minorHAnsi"/>
          <w:bCs/>
          <w:szCs w:val="20"/>
        </w:rPr>
        <w:t>plays</w:t>
      </w:r>
      <w:r w:rsidR="008D0750" w:rsidRPr="00085562">
        <w:rPr>
          <w:rFonts w:eastAsiaTheme="majorEastAsia" w:cstheme="minorHAnsi"/>
          <w:bCs/>
          <w:szCs w:val="20"/>
        </w:rPr>
        <w:t xml:space="preserve"> in improvin</w:t>
      </w:r>
      <w:r w:rsidR="00567069" w:rsidRPr="00085562">
        <w:rPr>
          <w:rFonts w:eastAsiaTheme="majorEastAsia" w:cstheme="minorHAnsi"/>
          <w:bCs/>
          <w:szCs w:val="20"/>
        </w:rPr>
        <w:t>g research-industry links and t</w:t>
      </w:r>
      <w:r w:rsidR="008D0750" w:rsidRPr="00085562">
        <w:rPr>
          <w:rFonts w:eastAsiaTheme="majorEastAsia" w:cstheme="minorHAnsi"/>
          <w:bCs/>
          <w:szCs w:val="20"/>
        </w:rPr>
        <w:t>he commercial translation of research</w:t>
      </w:r>
      <w:r w:rsidR="00567069" w:rsidRPr="00085562">
        <w:rPr>
          <w:rFonts w:eastAsiaTheme="majorEastAsia" w:cstheme="minorHAnsi"/>
          <w:bCs/>
          <w:szCs w:val="20"/>
        </w:rPr>
        <w:t xml:space="preserve"> should not be overlooked</w:t>
      </w:r>
      <w:r w:rsidR="008D0750" w:rsidRPr="00085562">
        <w:rPr>
          <w:rFonts w:eastAsiaTheme="majorEastAsia" w:cstheme="minorHAnsi"/>
          <w:bCs/>
          <w:szCs w:val="20"/>
        </w:rPr>
        <w:t xml:space="preserve">. </w:t>
      </w:r>
      <w:r w:rsidR="00D624E9" w:rsidRPr="00085562">
        <w:rPr>
          <w:rFonts w:eastAsiaTheme="majorEastAsia" w:cstheme="minorHAnsi"/>
          <w:bCs/>
          <w:szCs w:val="20"/>
        </w:rPr>
        <w:t xml:space="preserve"> </w:t>
      </w:r>
    </w:p>
    <w:p w14:paraId="2651EA28" w14:textId="77777777" w:rsidR="00567069" w:rsidRPr="00567069" w:rsidRDefault="00567069" w:rsidP="00712BA5">
      <w:pPr>
        <w:pStyle w:val="Heading5"/>
      </w:pPr>
      <w:r w:rsidRPr="00567069">
        <w:t>Several programs facilitate research-industry linkages in different ways</w:t>
      </w:r>
      <w:r>
        <w:t xml:space="preserve"> and contexts</w:t>
      </w:r>
      <w:r w:rsidRPr="00567069">
        <w:t>:</w:t>
      </w:r>
    </w:p>
    <w:p w14:paraId="2651EA29" w14:textId="77777777" w:rsidR="00B23D04" w:rsidRPr="00085562" w:rsidRDefault="00D624E9" w:rsidP="00D21375">
      <w:pPr>
        <w:shd w:val="clear" w:color="auto" w:fill="E5E4E6" w:themeFill="accent1" w:themeFillTint="33"/>
        <w:spacing w:before="200" w:after="0"/>
        <w:rPr>
          <w:rFonts w:eastAsiaTheme="majorEastAsia" w:cstheme="minorHAnsi"/>
          <w:bCs/>
          <w:szCs w:val="20"/>
        </w:rPr>
      </w:pPr>
      <w:r w:rsidRPr="00712BA5">
        <w:rPr>
          <w:rStyle w:val="Emphasis"/>
        </w:rPr>
        <w:t>ARC Linkage Grants</w:t>
      </w:r>
      <w:r w:rsidRPr="00085562">
        <w:rPr>
          <w:rFonts w:eastAsiaTheme="majorEastAsia" w:cstheme="minorHAnsi"/>
          <w:b/>
          <w:bCs/>
          <w:szCs w:val="20"/>
        </w:rPr>
        <w:t xml:space="preserve"> </w:t>
      </w:r>
      <w:r w:rsidR="00EB689A" w:rsidRPr="00085562">
        <w:rPr>
          <w:rFonts w:eastAsiaTheme="majorEastAsia" w:cstheme="minorHAnsi"/>
          <w:bCs/>
          <w:szCs w:val="20"/>
        </w:rPr>
        <w:t xml:space="preserve">support collaborative research </w:t>
      </w:r>
      <w:r w:rsidR="00840263" w:rsidRPr="00085562">
        <w:rPr>
          <w:rFonts w:eastAsiaTheme="majorEastAsia" w:cstheme="minorHAnsi"/>
          <w:bCs/>
          <w:szCs w:val="20"/>
        </w:rPr>
        <w:t xml:space="preserve">of higher education providers </w:t>
      </w:r>
      <w:r w:rsidR="00EB689A" w:rsidRPr="00085562">
        <w:rPr>
          <w:rFonts w:eastAsiaTheme="majorEastAsia" w:cstheme="minorHAnsi"/>
          <w:bCs/>
          <w:szCs w:val="20"/>
        </w:rPr>
        <w:t xml:space="preserve">with industry, end-users or other parts of the innovation system in order to </w:t>
      </w:r>
      <w:r w:rsidR="00840263" w:rsidRPr="00085562">
        <w:rPr>
          <w:rFonts w:eastAsiaTheme="majorEastAsia" w:cstheme="minorHAnsi"/>
          <w:bCs/>
          <w:szCs w:val="20"/>
        </w:rPr>
        <w:t xml:space="preserve">translate and </w:t>
      </w:r>
      <w:r w:rsidR="00EB689A" w:rsidRPr="00085562">
        <w:rPr>
          <w:rFonts w:eastAsiaTheme="majorEastAsia" w:cstheme="minorHAnsi"/>
          <w:bCs/>
          <w:szCs w:val="20"/>
        </w:rPr>
        <w:t xml:space="preserve">apply research to </w:t>
      </w:r>
      <w:r w:rsidR="000E56B6" w:rsidRPr="00085562">
        <w:rPr>
          <w:rFonts w:eastAsiaTheme="majorEastAsia" w:cstheme="minorHAnsi"/>
          <w:bCs/>
          <w:szCs w:val="20"/>
        </w:rPr>
        <w:t xml:space="preserve">a </w:t>
      </w:r>
      <w:r w:rsidR="00EB689A" w:rsidRPr="00085562">
        <w:rPr>
          <w:rFonts w:eastAsiaTheme="majorEastAsia" w:cstheme="minorHAnsi"/>
          <w:bCs/>
          <w:szCs w:val="20"/>
        </w:rPr>
        <w:t xml:space="preserve">specific </w:t>
      </w:r>
      <w:r w:rsidR="000E56B6" w:rsidRPr="00085562">
        <w:rPr>
          <w:rFonts w:eastAsiaTheme="majorEastAsia" w:cstheme="minorHAnsi"/>
          <w:bCs/>
          <w:szCs w:val="20"/>
        </w:rPr>
        <w:t>problem</w:t>
      </w:r>
      <w:r w:rsidR="00EB689A" w:rsidRPr="00085562">
        <w:rPr>
          <w:rFonts w:eastAsiaTheme="majorEastAsia" w:cstheme="minorHAnsi"/>
          <w:bCs/>
          <w:szCs w:val="20"/>
        </w:rPr>
        <w:t xml:space="preserve"> or opportuni</w:t>
      </w:r>
      <w:r w:rsidR="000E56B6" w:rsidRPr="00085562">
        <w:rPr>
          <w:rFonts w:eastAsiaTheme="majorEastAsia" w:cstheme="minorHAnsi"/>
          <w:bCs/>
          <w:szCs w:val="20"/>
        </w:rPr>
        <w:t>ty</w:t>
      </w:r>
      <w:r w:rsidR="00EB689A" w:rsidRPr="00085562">
        <w:rPr>
          <w:rFonts w:eastAsiaTheme="majorEastAsia" w:cstheme="minorHAnsi"/>
          <w:bCs/>
          <w:szCs w:val="20"/>
        </w:rPr>
        <w:t xml:space="preserve"> </w:t>
      </w:r>
      <w:r w:rsidR="00B501A9" w:rsidRPr="00085562">
        <w:rPr>
          <w:rFonts w:eastAsiaTheme="majorEastAsia" w:cstheme="minorHAnsi"/>
          <w:bCs/>
          <w:szCs w:val="20"/>
        </w:rPr>
        <w:t>at the individual project level</w:t>
      </w:r>
      <w:r w:rsidR="00EB689A" w:rsidRPr="00085562">
        <w:rPr>
          <w:rFonts w:eastAsiaTheme="majorEastAsia" w:cstheme="minorHAnsi"/>
          <w:bCs/>
          <w:szCs w:val="20"/>
        </w:rPr>
        <w:t>.</w:t>
      </w:r>
      <w:r w:rsidR="00E67E1F" w:rsidRPr="00085562">
        <w:rPr>
          <w:rFonts w:eastAsiaTheme="majorEastAsia" w:cstheme="minorHAnsi"/>
          <w:bCs/>
          <w:szCs w:val="20"/>
        </w:rPr>
        <w:t xml:space="preserve"> </w:t>
      </w:r>
      <w:r w:rsidR="004C0652" w:rsidRPr="00712BA5">
        <w:rPr>
          <w:rStyle w:val="Emphasis"/>
        </w:rPr>
        <w:t>NHMRC Development Grants</w:t>
      </w:r>
      <w:r w:rsidR="00884E36" w:rsidRPr="00085562">
        <w:rPr>
          <w:rFonts w:eastAsiaTheme="majorEastAsia" w:cstheme="minorHAnsi"/>
          <w:bCs/>
          <w:szCs w:val="20"/>
        </w:rPr>
        <w:t xml:space="preserve"> provide funding for early proof-of-concept </w:t>
      </w:r>
      <w:r w:rsidR="0051274A" w:rsidRPr="00085562">
        <w:rPr>
          <w:rFonts w:eastAsiaTheme="majorEastAsia" w:cstheme="minorHAnsi"/>
          <w:bCs/>
          <w:szCs w:val="20"/>
        </w:rPr>
        <w:t>research</w:t>
      </w:r>
      <w:r w:rsidR="00905C1C" w:rsidRPr="00085562">
        <w:rPr>
          <w:rFonts w:eastAsiaTheme="majorEastAsia" w:cstheme="minorHAnsi"/>
          <w:bCs/>
          <w:szCs w:val="20"/>
        </w:rPr>
        <w:t xml:space="preserve">, which if successful, may result in </w:t>
      </w:r>
      <w:r w:rsidR="00C87C1A" w:rsidRPr="00085562">
        <w:rPr>
          <w:rFonts w:eastAsiaTheme="majorEastAsia" w:cstheme="minorHAnsi"/>
          <w:bCs/>
          <w:szCs w:val="20"/>
        </w:rPr>
        <w:t xml:space="preserve">a partnership </w:t>
      </w:r>
      <w:r w:rsidR="00AE642D" w:rsidRPr="00085562">
        <w:rPr>
          <w:rFonts w:eastAsiaTheme="majorEastAsia" w:cstheme="minorHAnsi"/>
          <w:bCs/>
          <w:szCs w:val="20"/>
        </w:rPr>
        <w:t xml:space="preserve">or license deal </w:t>
      </w:r>
      <w:r w:rsidR="00C87C1A" w:rsidRPr="00085562">
        <w:rPr>
          <w:rFonts w:eastAsiaTheme="majorEastAsia" w:cstheme="minorHAnsi"/>
          <w:bCs/>
          <w:szCs w:val="20"/>
        </w:rPr>
        <w:t>with industry</w:t>
      </w:r>
      <w:r w:rsidR="0051274A" w:rsidRPr="00085562">
        <w:rPr>
          <w:rFonts w:eastAsiaTheme="majorEastAsia" w:cstheme="minorHAnsi"/>
          <w:bCs/>
          <w:szCs w:val="20"/>
        </w:rPr>
        <w:t>.</w:t>
      </w:r>
      <w:r w:rsidR="004C0652" w:rsidRPr="00085562">
        <w:rPr>
          <w:rFonts w:eastAsiaTheme="majorEastAsia" w:cstheme="minorHAnsi"/>
          <w:bCs/>
          <w:szCs w:val="20"/>
        </w:rPr>
        <w:t xml:space="preserve">  </w:t>
      </w:r>
    </w:p>
    <w:p w14:paraId="2651EA2A" w14:textId="77777777" w:rsidR="00446680" w:rsidRPr="00085562" w:rsidRDefault="00840263" w:rsidP="00D21375">
      <w:pPr>
        <w:shd w:val="clear" w:color="auto" w:fill="E5E4E6" w:themeFill="accent1" w:themeFillTint="33"/>
        <w:spacing w:before="200" w:after="0"/>
        <w:rPr>
          <w:rFonts w:eastAsiaTheme="majorEastAsia" w:cstheme="minorHAnsi"/>
          <w:bCs/>
          <w:szCs w:val="20"/>
        </w:rPr>
      </w:pPr>
      <w:r w:rsidRPr="00712BA5">
        <w:rPr>
          <w:rStyle w:val="Emphasis"/>
        </w:rPr>
        <w:t xml:space="preserve">The </w:t>
      </w:r>
      <w:r w:rsidR="007A14CE" w:rsidRPr="00712BA5">
        <w:rPr>
          <w:rStyle w:val="Emphasis"/>
        </w:rPr>
        <w:t>Entrepreneurs Infrastructure Programme</w:t>
      </w:r>
      <w:r w:rsidR="00D24AC8" w:rsidRPr="00712BA5">
        <w:rPr>
          <w:rStyle w:val="Emphasis"/>
        </w:rPr>
        <w:t xml:space="preserve"> (EIP)</w:t>
      </w:r>
      <w:r w:rsidRPr="00085562">
        <w:rPr>
          <w:rFonts w:eastAsiaTheme="majorEastAsia" w:cstheme="minorHAnsi"/>
          <w:bCs/>
          <w:szCs w:val="20"/>
        </w:rPr>
        <w:t xml:space="preserve">, through the </w:t>
      </w:r>
      <w:r w:rsidRPr="00712BA5">
        <w:rPr>
          <w:rStyle w:val="Emphasis"/>
        </w:rPr>
        <w:t>Research Connections stream</w:t>
      </w:r>
      <w:r w:rsidRPr="00085562">
        <w:rPr>
          <w:rFonts w:eastAsiaTheme="majorEastAsia" w:cstheme="minorHAnsi"/>
          <w:bCs/>
          <w:szCs w:val="20"/>
        </w:rPr>
        <w:t xml:space="preserve">, specifically targets SMEs to engage a research organisation in a ‘research service provision’ role to tackle a knowledge gap or </w:t>
      </w:r>
      <w:r w:rsidR="00D24AC8" w:rsidRPr="00085562">
        <w:rPr>
          <w:rFonts w:eastAsiaTheme="majorEastAsia" w:cstheme="minorHAnsi"/>
          <w:bCs/>
          <w:szCs w:val="20"/>
        </w:rPr>
        <w:t>barrier at a relatively small scale and short time-frame</w:t>
      </w:r>
      <w:r w:rsidRPr="00085562">
        <w:rPr>
          <w:rFonts w:eastAsiaTheme="majorEastAsia" w:cstheme="minorHAnsi"/>
          <w:bCs/>
          <w:szCs w:val="20"/>
        </w:rPr>
        <w:t xml:space="preserve">. This is distinct from </w:t>
      </w:r>
      <w:r w:rsidR="00BF3A43" w:rsidRPr="00085562">
        <w:rPr>
          <w:rFonts w:eastAsiaTheme="majorEastAsia" w:cstheme="minorHAnsi"/>
          <w:bCs/>
          <w:szCs w:val="20"/>
        </w:rPr>
        <w:t xml:space="preserve">projects supported by </w:t>
      </w:r>
      <w:r w:rsidRPr="00085562">
        <w:rPr>
          <w:rFonts w:eastAsiaTheme="majorEastAsia" w:cstheme="minorHAnsi"/>
          <w:bCs/>
          <w:szCs w:val="20"/>
        </w:rPr>
        <w:t xml:space="preserve">ARC Linkage Grants, which are collaborative in nature and </w:t>
      </w:r>
      <w:r w:rsidR="00D24AC8" w:rsidRPr="00085562">
        <w:rPr>
          <w:rFonts w:eastAsiaTheme="majorEastAsia" w:cstheme="minorHAnsi"/>
          <w:bCs/>
          <w:szCs w:val="20"/>
        </w:rPr>
        <w:t>are targeted</w:t>
      </w:r>
      <w:r w:rsidRPr="00085562">
        <w:rPr>
          <w:rFonts w:eastAsiaTheme="majorEastAsia" w:cstheme="minorHAnsi"/>
          <w:bCs/>
          <w:szCs w:val="20"/>
        </w:rPr>
        <w:t xml:space="preserve"> at translating </w:t>
      </w:r>
      <w:r w:rsidR="00884E36" w:rsidRPr="00085562">
        <w:rPr>
          <w:rFonts w:eastAsiaTheme="majorEastAsia" w:cstheme="minorHAnsi"/>
          <w:bCs/>
          <w:szCs w:val="20"/>
        </w:rPr>
        <w:t>discoveries arising from university-driven research, rather than facilitating business-led research.</w:t>
      </w:r>
    </w:p>
    <w:p w14:paraId="2651EA2B" w14:textId="77777777" w:rsidR="00840263" w:rsidRPr="00085562" w:rsidRDefault="00840263" w:rsidP="00D21375">
      <w:pPr>
        <w:shd w:val="clear" w:color="auto" w:fill="E5E4E6" w:themeFill="accent1" w:themeFillTint="33"/>
        <w:spacing w:before="200" w:after="0"/>
        <w:rPr>
          <w:rFonts w:eastAsiaTheme="majorEastAsia" w:cstheme="minorHAnsi"/>
          <w:bCs/>
          <w:szCs w:val="20"/>
        </w:rPr>
      </w:pPr>
      <w:r w:rsidRPr="00712BA5">
        <w:rPr>
          <w:rStyle w:val="Emphasis"/>
        </w:rPr>
        <w:t>The CRC Programme</w:t>
      </w:r>
      <w:r w:rsidRPr="00085562">
        <w:rPr>
          <w:rFonts w:eastAsiaTheme="majorEastAsia" w:cstheme="minorHAnsi"/>
          <w:bCs/>
          <w:szCs w:val="20"/>
        </w:rPr>
        <w:t xml:space="preserve"> – with its much larger scale of funding, longer timeframes and </w:t>
      </w:r>
      <w:r w:rsidR="00884E36" w:rsidRPr="00085562">
        <w:rPr>
          <w:rFonts w:eastAsiaTheme="majorEastAsia" w:cstheme="minorHAnsi"/>
          <w:bCs/>
          <w:szCs w:val="20"/>
        </w:rPr>
        <w:t>networks of partners</w:t>
      </w:r>
      <w:r w:rsidRPr="00085562">
        <w:rPr>
          <w:rFonts w:eastAsiaTheme="majorEastAsia" w:cstheme="minorHAnsi"/>
          <w:bCs/>
          <w:szCs w:val="20"/>
        </w:rPr>
        <w:t xml:space="preserve"> – brings together a critical mass of multi-disciplinary partners to meet an industry’s research needs to tackle a major barrier or captialise on a significant opportunity for improved products, services or outcomes. </w:t>
      </w:r>
      <w:r w:rsidR="00276029" w:rsidRPr="00085562">
        <w:rPr>
          <w:rFonts w:eastAsiaTheme="majorEastAsia" w:cstheme="minorHAnsi"/>
          <w:bCs/>
          <w:szCs w:val="20"/>
        </w:rPr>
        <w:t xml:space="preserve">Importantly, </w:t>
      </w:r>
      <w:r w:rsidR="00595642" w:rsidRPr="00085562">
        <w:rPr>
          <w:rFonts w:eastAsiaTheme="majorEastAsia" w:cstheme="minorHAnsi"/>
          <w:bCs/>
          <w:szCs w:val="20"/>
        </w:rPr>
        <w:t>the programme is also open to</w:t>
      </w:r>
      <w:r w:rsidR="00276029" w:rsidRPr="00085562">
        <w:rPr>
          <w:rFonts w:eastAsiaTheme="majorEastAsia" w:cstheme="minorHAnsi"/>
          <w:bCs/>
          <w:szCs w:val="20"/>
        </w:rPr>
        <w:t xml:space="preserve"> non-commercial sectors, including government services, health service providers and the non-profit sector</w:t>
      </w:r>
      <w:r w:rsidR="00595642" w:rsidRPr="00085562">
        <w:rPr>
          <w:rFonts w:eastAsiaTheme="majorEastAsia" w:cstheme="minorHAnsi"/>
          <w:bCs/>
          <w:szCs w:val="20"/>
        </w:rPr>
        <w:t>.</w:t>
      </w:r>
      <w:r w:rsidR="00276029" w:rsidRPr="00085562">
        <w:rPr>
          <w:rFonts w:eastAsiaTheme="majorEastAsia" w:cstheme="minorHAnsi"/>
          <w:bCs/>
          <w:szCs w:val="20"/>
        </w:rPr>
        <w:t xml:space="preserve"> </w:t>
      </w:r>
      <w:r w:rsidRPr="00085562">
        <w:rPr>
          <w:rFonts w:eastAsiaTheme="majorEastAsia" w:cstheme="minorHAnsi"/>
          <w:bCs/>
          <w:szCs w:val="20"/>
        </w:rPr>
        <w:t xml:space="preserve">Unlike ARC Linkage Grants, which tend to capitalise on an opportunity to apply research to a specific problem, these grants are </w:t>
      </w:r>
      <w:r w:rsidR="00BF3A43" w:rsidRPr="00085562">
        <w:rPr>
          <w:rFonts w:eastAsiaTheme="majorEastAsia" w:cstheme="minorHAnsi"/>
          <w:bCs/>
          <w:szCs w:val="20"/>
        </w:rPr>
        <w:t xml:space="preserve">industry or end-user led, and are much bigger in scale than </w:t>
      </w:r>
      <w:r w:rsidR="00595642" w:rsidRPr="00085562">
        <w:rPr>
          <w:rFonts w:eastAsiaTheme="majorEastAsia" w:cstheme="minorHAnsi"/>
          <w:bCs/>
          <w:szCs w:val="20"/>
        </w:rPr>
        <w:t>the aforementioned</w:t>
      </w:r>
      <w:r w:rsidR="00BF3A43" w:rsidRPr="00085562">
        <w:rPr>
          <w:rFonts w:eastAsiaTheme="majorEastAsia" w:cstheme="minorHAnsi"/>
          <w:bCs/>
          <w:szCs w:val="20"/>
        </w:rPr>
        <w:t xml:space="preserve"> programmes</w:t>
      </w:r>
      <w:r w:rsidR="000D38A6" w:rsidRPr="00085562">
        <w:rPr>
          <w:rFonts w:eastAsiaTheme="majorEastAsia" w:cstheme="minorHAnsi"/>
          <w:bCs/>
          <w:szCs w:val="20"/>
        </w:rPr>
        <w:t>, and thus tackle different scales of issues/opportunities</w:t>
      </w:r>
      <w:r w:rsidR="00BF3A43" w:rsidRPr="00085562">
        <w:rPr>
          <w:rFonts w:eastAsiaTheme="majorEastAsia" w:cstheme="minorHAnsi"/>
          <w:bCs/>
          <w:szCs w:val="20"/>
        </w:rPr>
        <w:t>.</w:t>
      </w:r>
    </w:p>
    <w:p w14:paraId="2651EA2C" w14:textId="77777777" w:rsidR="00BF3A43" w:rsidRPr="00085562" w:rsidRDefault="00BF3A43" w:rsidP="00D21375">
      <w:pPr>
        <w:shd w:val="clear" w:color="auto" w:fill="E5E4E6" w:themeFill="accent1" w:themeFillTint="33"/>
        <w:spacing w:before="200" w:after="0"/>
        <w:rPr>
          <w:rFonts w:eastAsiaTheme="majorEastAsia" w:cstheme="minorHAnsi"/>
          <w:bCs/>
          <w:szCs w:val="20"/>
        </w:rPr>
      </w:pPr>
      <w:r w:rsidRPr="00712BA5">
        <w:rPr>
          <w:rStyle w:val="Emphasis"/>
        </w:rPr>
        <w:t xml:space="preserve">Industry </w:t>
      </w:r>
      <w:r w:rsidR="007A14CE" w:rsidRPr="00712BA5">
        <w:rPr>
          <w:rStyle w:val="Emphasis"/>
        </w:rPr>
        <w:t>Growth Centres</w:t>
      </w:r>
      <w:r w:rsidRPr="00085562">
        <w:rPr>
          <w:rFonts w:eastAsiaTheme="majorEastAsia" w:cstheme="minorHAnsi"/>
          <w:bCs/>
          <w:szCs w:val="20"/>
        </w:rPr>
        <w:t xml:space="preserve"> </w:t>
      </w:r>
      <w:r w:rsidR="000D38A6" w:rsidRPr="00085562">
        <w:rPr>
          <w:rFonts w:eastAsiaTheme="majorEastAsia" w:cstheme="minorHAnsi"/>
          <w:bCs/>
          <w:szCs w:val="20"/>
        </w:rPr>
        <w:t>are intended to improve</w:t>
      </w:r>
      <w:r w:rsidRPr="00085562">
        <w:rPr>
          <w:rFonts w:eastAsiaTheme="majorEastAsia" w:cstheme="minorHAnsi"/>
          <w:bCs/>
          <w:szCs w:val="20"/>
        </w:rPr>
        <w:t xml:space="preserve"> the competitiveness and productivity of industry sectors in which Australia has a competitive strength</w:t>
      </w:r>
      <w:r w:rsidR="00993CE5" w:rsidRPr="00085562">
        <w:rPr>
          <w:rFonts w:eastAsiaTheme="majorEastAsia" w:cstheme="minorHAnsi"/>
          <w:bCs/>
          <w:szCs w:val="20"/>
        </w:rPr>
        <w:t>, including through the delivery of large-scale collaborative projects</w:t>
      </w:r>
      <w:r w:rsidRPr="00085562">
        <w:rPr>
          <w:rFonts w:eastAsiaTheme="majorEastAsia" w:cstheme="minorHAnsi"/>
          <w:bCs/>
          <w:szCs w:val="20"/>
        </w:rPr>
        <w:t xml:space="preserve">. Unlike the above initiatives, this programme is targeted to address </w:t>
      </w:r>
      <w:r w:rsidRPr="00085562">
        <w:rPr>
          <w:rFonts w:eastAsiaTheme="majorEastAsia" w:cstheme="minorHAnsi"/>
          <w:bCs/>
          <w:szCs w:val="20"/>
          <w:u w:val="single"/>
        </w:rPr>
        <w:t>sector-wide</w:t>
      </w:r>
      <w:r w:rsidRPr="00085562">
        <w:rPr>
          <w:rFonts w:eastAsiaTheme="majorEastAsia" w:cstheme="minorHAnsi"/>
          <w:bCs/>
          <w:szCs w:val="20"/>
        </w:rPr>
        <w:t xml:space="preserve"> barriers and opportunities, and has a </w:t>
      </w:r>
      <w:r w:rsidR="00DE285B" w:rsidRPr="00085562">
        <w:rPr>
          <w:rFonts w:eastAsiaTheme="majorEastAsia" w:cstheme="minorHAnsi"/>
          <w:bCs/>
          <w:szCs w:val="20"/>
        </w:rPr>
        <w:t xml:space="preserve">much </w:t>
      </w:r>
      <w:r w:rsidRPr="00085562">
        <w:rPr>
          <w:rFonts w:eastAsiaTheme="majorEastAsia" w:cstheme="minorHAnsi"/>
          <w:bCs/>
          <w:szCs w:val="20"/>
        </w:rPr>
        <w:t>broader remit in building capability</w:t>
      </w:r>
      <w:r w:rsidR="00DE285B" w:rsidRPr="00085562">
        <w:rPr>
          <w:rFonts w:eastAsiaTheme="majorEastAsia" w:cstheme="minorHAnsi"/>
          <w:bCs/>
          <w:szCs w:val="20"/>
        </w:rPr>
        <w:t xml:space="preserve">, reducing regulatory burden, and providing a </w:t>
      </w:r>
      <w:r w:rsidR="008B669F" w:rsidRPr="00085562">
        <w:rPr>
          <w:rFonts w:eastAsiaTheme="majorEastAsia" w:cstheme="minorHAnsi"/>
          <w:bCs/>
          <w:szCs w:val="20"/>
        </w:rPr>
        <w:t>‘competitiveness</w:t>
      </w:r>
      <w:r w:rsidR="00DE285B" w:rsidRPr="00085562">
        <w:rPr>
          <w:rFonts w:eastAsiaTheme="majorEastAsia" w:cstheme="minorHAnsi"/>
          <w:bCs/>
          <w:szCs w:val="20"/>
        </w:rPr>
        <w:t xml:space="preserve"> roadmap</w:t>
      </w:r>
      <w:r w:rsidR="008B669F" w:rsidRPr="00085562">
        <w:rPr>
          <w:rFonts w:eastAsiaTheme="majorEastAsia" w:cstheme="minorHAnsi"/>
          <w:bCs/>
          <w:szCs w:val="20"/>
        </w:rPr>
        <w:t>’</w:t>
      </w:r>
      <w:r w:rsidR="00DE285B" w:rsidRPr="00085562">
        <w:rPr>
          <w:rFonts w:eastAsiaTheme="majorEastAsia" w:cstheme="minorHAnsi"/>
          <w:bCs/>
          <w:szCs w:val="20"/>
        </w:rPr>
        <w:t xml:space="preserve">, as well as </w:t>
      </w:r>
      <w:r w:rsidR="008B669F" w:rsidRPr="00085562">
        <w:rPr>
          <w:rFonts w:eastAsiaTheme="majorEastAsia" w:cstheme="minorHAnsi"/>
          <w:bCs/>
          <w:szCs w:val="20"/>
        </w:rPr>
        <w:t>supporting</w:t>
      </w:r>
      <w:r w:rsidR="00DE285B" w:rsidRPr="00085562">
        <w:rPr>
          <w:rFonts w:eastAsiaTheme="majorEastAsia" w:cstheme="minorHAnsi"/>
          <w:bCs/>
          <w:szCs w:val="20"/>
        </w:rPr>
        <w:t xml:space="preserve"> collaborative R&amp;D and commercialisation</w:t>
      </w:r>
      <w:r w:rsidRPr="00085562">
        <w:rPr>
          <w:rFonts w:eastAsiaTheme="majorEastAsia" w:cstheme="minorHAnsi"/>
          <w:bCs/>
          <w:szCs w:val="20"/>
        </w:rPr>
        <w:t xml:space="preserve"> </w:t>
      </w:r>
      <w:r w:rsidR="008B669F" w:rsidRPr="00085562">
        <w:rPr>
          <w:rFonts w:eastAsiaTheme="majorEastAsia" w:cstheme="minorHAnsi"/>
          <w:bCs/>
          <w:szCs w:val="20"/>
        </w:rPr>
        <w:t>projects that have broad sector-wide implications</w:t>
      </w:r>
      <w:r w:rsidR="00E073CD" w:rsidRPr="00085562">
        <w:rPr>
          <w:rFonts w:eastAsiaTheme="majorEastAsia" w:cstheme="minorHAnsi"/>
          <w:bCs/>
          <w:szCs w:val="20"/>
        </w:rPr>
        <w:t>. Importantly</w:t>
      </w:r>
      <w:r w:rsidR="002B267F">
        <w:rPr>
          <w:rFonts w:eastAsiaTheme="majorEastAsia" w:cstheme="minorHAnsi"/>
          <w:bCs/>
          <w:szCs w:val="20"/>
        </w:rPr>
        <w:t xml:space="preserve"> (and worryingly)</w:t>
      </w:r>
      <w:r w:rsidR="00E073CD" w:rsidRPr="00085562">
        <w:rPr>
          <w:rFonts w:eastAsiaTheme="majorEastAsia" w:cstheme="minorHAnsi"/>
          <w:bCs/>
          <w:szCs w:val="20"/>
        </w:rPr>
        <w:t>, these centres will be expected to be self-sustaining after four years</w:t>
      </w:r>
      <w:r w:rsidRPr="00085562">
        <w:rPr>
          <w:rFonts w:eastAsiaTheme="majorEastAsia" w:cstheme="minorHAnsi"/>
          <w:bCs/>
          <w:szCs w:val="20"/>
        </w:rPr>
        <w:t>. It is not clear at this stage how this</w:t>
      </w:r>
      <w:r w:rsidR="00FA056C" w:rsidRPr="00085562">
        <w:rPr>
          <w:rFonts w:eastAsiaTheme="majorEastAsia" w:cstheme="minorHAnsi"/>
          <w:bCs/>
          <w:szCs w:val="20"/>
        </w:rPr>
        <w:t xml:space="preserve"> programme relates to the ARC’s Industrial Transformation Research Programme. </w:t>
      </w:r>
      <w:r w:rsidRPr="00085562">
        <w:rPr>
          <w:rFonts w:eastAsiaTheme="majorEastAsia" w:cstheme="minorHAnsi"/>
          <w:bCs/>
          <w:szCs w:val="20"/>
        </w:rPr>
        <w:t xml:space="preserve"> </w:t>
      </w:r>
    </w:p>
    <w:p w14:paraId="2651EA2D" w14:textId="77777777" w:rsidR="00D21375" w:rsidRDefault="00D21375" w:rsidP="00D21375">
      <w:pPr>
        <w:shd w:val="clear" w:color="auto" w:fill="E5E4E6" w:themeFill="accent1" w:themeFillTint="33"/>
        <w:spacing w:after="0"/>
        <w:rPr>
          <w:rFonts w:asciiTheme="majorHAnsi" w:eastAsiaTheme="majorEastAsia" w:hAnsiTheme="majorHAnsi" w:cstheme="majorBidi"/>
          <w:bCs/>
          <w:szCs w:val="20"/>
        </w:rPr>
      </w:pPr>
    </w:p>
    <w:p w14:paraId="2651EA2E" w14:textId="77777777" w:rsidR="00E26EB6" w:rsidRPr="00712BA5" w:rsidRDefault="006966B2" w:rsidP="008E3C0A">
      <w:pPr>
        <w:widowControl w:val="0"/>
        <w:tabs>
          <w:tab w:val="left" w:pos="1418"/>
        </w:tabs>
        <w:autoSpaceDE w:val="0"/>
        <w:autoSpaceDN w:val="0"/>
        <w:adjustRightInd w:val="0"/>
        <w:spacing w:before="200" w:after="0"/>
        <w:rPr>
          <w:rStyle w:val="Emphasis"/>
        </w:rPr>
      </w:pPr>
      <w:r w:rsidRPr="00712BA5">
        <w:rPr>
          <w:rStyle w:val="Emphasis"/>
        </w:rPr>
        <w:t xml:space="preserve">Each of these programmes, with </w:t>
      </w:r>
      <w:r w:rsidR="009543EB" w:rsidRPr="00712BA5">
        <w:rPr>
          <w:rStyle w:val="Emphasis"/>
        </w:rPr>
        <w:t xml:space="preserve">its </w:t>
      </w:r>
      <w:r w:rsidRPr="00712BA5">
        <w:rPr>
          <w:rStyle w:val="Emphasis"/>
        </w:rPr>
        <w:t>different eligible organisations, scales, and breadth</w:t>
      </w:r>
      <w:r w:rsidR="009543EB" w:rsidRPr="00712BA5">
        <w:rPr>
          <w:rStyle w:val="Emphasis"/>
        </w:rPr>
        <w:t xml:space="preserve"> of </w:t>
      </w:r>
      <w:r w:rsidR="009543EB" w:rsidRPr="00712BA5">
        <w:rPr>
          <w:rStyle w:val="Emphasis"/>
        </w:rPr>
        <w:lastRenderedPageBreak/>
        <w:t>activities</w:t>
      </w:r>
      <w:r w:rsidR="00D544BB" w:rsidRPr="00712BA5">
        <w:rPr>
          <w:rStyle w:val="Emphasis"/>
        </w:rPr>
        <w:t>,</w:t>
      </w:r>
      <w:r w:rsidRPr="00712BA5">
        <w:rPr>
          <w:rStyle w:val="Emphasis"/>
        </w:rPr>
        <w:t xml:space="preserve"> play</w:t>
      </w:r>
      <w:r w:rsidR="002B267F" w:rsidRPr="00712BA5">
        <w:rPr>
          <w:rStyle w:val="Emphasis"/>
        </w:rPr>
        <w:t>s</w:t>
      </w:r>
      <w:r w:rsidRPr="00712BA5">
        <w:rPr>
          <w:rStyle w:val="Emphasis"/>
        </w:rPr>
        <w:t xml:space="preserve"> a unique role in building links between research organisations and industry. </w:t>
      </w:r>
    </w:p>
    <w:p w14:paraId="2651EA2F" w14:textId="77777777" w:rsidR="000D38A6" w:rsidRPr="00085562" w:rsidRDefault="008E28CA" w:rsidP="000D38A6">
      <w:pPr>
        <w:widowControl w:val="0"/>
        <w:tabs>
          <w:tab w:val="left" w:pos="1418"/>
        </w:tabs>
        <w:autoSpaceDE w:val="0"/>
        <w:autoSpaceDN w:val="0"/>
        <w:adjustRightInd w:val="0"/>
        <w:spacing w:before="200" w:after="0"/>
        <w:rPr>
          <w:rFonts w:cstheme="minorHAnsi"/>
          <w:szCs w:val="20"/>
        </w:rPr>
      </w:pPr>
      <w:r w:rsidRPr="00712BA5">
        <w:rPr>
          <w:rStyle w:val="Emphasis"/>
        </w:rPr>
        <w:t xml:space="preserve">Rather than </w:t>
      </w:r>
      <w:r w:rsidR="00D544BB" w:rsidRPr="00712BA5">
        <w:rPr>
          <w:rStyle w:val="Emphasis"/>
        </w:rPr>
        <w:t>consolidating</w:t>
      </w:r>
      <w:r w:rsidR="00E26EB6" w:rsidRPr="00712BA5">
        <w:rPr>
          <w:rStyle w:val="Emphasis"/>
        </w:rPr>
        <w:t xml:space="preserve"> </w:t>
      </w:r>
      <w:r w:rsidRPr="00712BA5">
        <w:rPr>
          <w:rStyle w:val="Emphasis"/>
        </w:rPr>
        <w:t xml:space="preserve">programmes, we suggest </w:t>
      </w:r>
      <w:r w:rsidR="00DE285B" w:rsidRPr="00712BA5">
        <w:rPr>
          <w:rStyle w:val="Emphasis"/>
        </w:rPr>
        <w:t xml:space="preserve">that </w:t>
      </w:r>
      <w:r w:rsidR="006966B2" w:rsidRPr="00712BA5">
        <w:rPr>
          <w:rStyle w:val="Emphasis"/>
        </w:rPr>
        <w:t xml:space="preserve">the introduction of the new Industry Growth Centres and the current review of the CRC Programme </w:t>
      </w:r>
      <w:r w:rsidR="00E26EB6" w:rsidRPr="00712BA5">
        <w:rPr>
          <w:rStyle w:val="Emphasis"/>
        </w:rPr>
        <w:t>be used to clearly define the unique roles of</w:t>
      </w:r>
      <w:r w:rsidR="006966B2" w:rsidRPr="00712BA5">
        <w:rPr>
          <w:rStyle w:val="Emphasis"/>
        </w:rPr>
        <w:t xml:space="preserve"> these programmes</w:t>
      </w:r>
      <w:r w:rsidR="006966B2" w:rsidRPr="00085562">
        <w:rPr>
          <w:rFonts w:eastAsiaTheme="majorEastAsia" w:cstheme="minorHAnsi"/>
          <w:bCs/>
          <w:szCs w:val="20"/>
        </w:rPr>
        <w:t xml:space="preserve">, </w:t>
      </w:r>
      <w:r w:rsidR="000D3385" w:rsidRPr="00085562">
        <w:rPr>
          <w:rFonts w:eastAsiaTheme="majorEastAsia" w:cstheme="minorHAnsi"/>
          <w:bCs/>
          <w:szCs w:val="20"/>
        </w:rPr>
        <w:t xml:space="preserve">adapt them if necessary, and </w:t>
      </w:r>
      <w:r w:rsidR="00E26EB6" w:rsidRPr="00085562">
        <w:rPr>
          <w:rFonts w:eastAsiaTheme="majorEastAsia" w:cstheme="minorHAnsi"/>
          <w:bCs/>
          <w:szCs w:val="20"/>
        </w:rPr>
        <w:t>at the same time, improv</w:t>
      </w:r>
      <w:r w:rsidR="000D38A6" w:rsidRPr="00085562">
        <w:rPr>
          <w:rFonts w:eastAsiaTheme="majorEastAsia" w:cstheme="minorHAnsi"/>
          <w:bCs/>
          <w:szCs w:val="20"/>
        </w:rPr>
        <w:t>e</w:t>
      </w:r>
      <w:r w:rsidR="00E26EB6" w:rsidRPr="00085562">
        <w:rPr>
          <w:rFonts w:eastAsiaTheme="majorEastAsia" w:cstheme="minorHAnsi"/>
          <w:bCs/>
          <w:szCs w:val="20"/>
        </w:rPr>
        <w:t xml:space="preserve"> their</w:t>
      </w:r>
      <w:r w:rsidR="00DE285B" w:rsidRPr="00085562">
        <w:rPr>
          <w:rFonts w:eastAsiaTheme="majorEastAsia" w:cstheme="minorHAnsi"/>
          <w:bCs/>
          <w:szCs w:val="20"/>
        </w:rPr>
        <w:t xml:space="preserve"> agility and flexibility </w:t>
      </w:r>
      <w:r w:rsidR="00E26EB6" w:rsidRPr="00085562">
        <w:rPr>
          <w:rFonts w:eastAsiaTheme="majorEastAsia" w:cstheme="minorHAnsi"/>
          <w:bCs/>
          <w:szCs w:val="20"/>
        </w:rPr>
        <w:t xml:space="preserve">to </w:t>
      </w:r>
      <w:r w:rsidRPr="00085562">
        <w:rPr>
          <w:rFonts w:eastAsiaTheme="majorEastAsia" w:cstheme="minorHAnsi"/>
          <w:bCs/>
          <w:szCs w:val="20"/>
        </w:rPr>
        <w:t>encourage industry involvement.</w:t>
      </w:r>
      <w:r w:rsidR="00685E0F" w:rsidRPr="00085562">
        <w:rPr>
          <w:rFonts w:cstheme="minorHAnsi"/>
          <w:szCs w:val="20"/>
        </w:rPr>
        <w:t xml:space="preserve"> </w:t>
      </w:r>
      <w:r w:rsidR="000D38A6" w:rsidRPr="00085562">
        <w:rPr>
          <w:rFonts w:cstheme="minorHAnsi"/>
          <w:szCs w:val="20"/>
        </w:rPr>
        <w:t xml:space="preserve">The lack of stable, long-term initiatives to support commercialisation and research-industry links has significantly hampered industry involvement in </w:t>
      </w:r>
      <w:r w:rsidR="000F2B91" w:rsidRPr="00085562">
        <w:rPr>
          <w:rFonts w:cstheme="minorHAnsi"/>
          <w:szCs w:val="20"/>
        </w:rPr>
        <w:t xml:space="preserve">these </w:t>
      </w:r>
      <w:r w:rsidR="000D38A6" w:rsidRPr="00085562">
        <w:rPr>
          <w:rFonts w:cstheme="minorHAnsi"/>
          <w:szCs w:val="20"/>
        </w:rPr>
        <w:t>Government programmes</w:t>
      </w:r>
      <w:r w:rsidR="000F2B91" w:rsidRPr="00085562">
        <w:rPr>
          <w:rFonts w:cstheme="minorHAnsi"/>
          <w:szCs w:val="20"/>
        </w:rPr>
        <w:t xml:space="preserve"> in the past</w:t>
      </w:r>
      <w:r w:rsidR="000D38A6" w:rsidRPr="00085562">
        <w:rPr>
          <w:rFonts w:cstheme="minorHAnsi"/>
          <w:szCs w:val="20"/>
        </w:rPr>
        <w:t xml:space="preserve">. The sudden axing of the Commercial Ready program in 2008, and the more recent termination of Commercialisation Australia without notice are cases in point. </w:t>
      </w:r>
      <w:r w:rsidR="002B267F">
        <w:rPr>
          <w:rFonts w:cstheme="minorHAnsi"/>
          <w:szCs w:val="20"/>
        </w:rPr>
        <w:t>The Government should avoid perpetuating this issue.</w:t>
      </w:r>
    </w:p>
    <w:p w14:paraId="2651EA30" w14:textId="77777777" w:rsidR="00B16DD7" w:rsidRPr="00523377" w:rsidRDefault="00A960B6" w:rsidP="00712BA5">
      <w:pPr>
        <w:pStyle w:val="Heading4"/>
      </w:pPr>
      <w:r w:rsidRPr="00523377">
        <w:t>Role of R&amp;D Tax Incentive in encouraging research-industry collaboration</w:t>
      </w:r>
    </w:p>
    <w:p w14:paraId="2651EA31" w14:textId="77777777" w:rsidR="00AD316F" w:rsidRPr="00085562" w:rsidRDefault="00990B5B" w:rsidP="008E3C0A">
      <w:pPr>
        <w:spacing w:before="200" w:after="0"/>
        <w:rPr>
          <w:rFonts w:eastAsiaTheme="majorEastAsia" w:cstheme="minorHAnsi"/>
          <w:bCs/>
          <w:szCs w:val="20"/>
        </w:rPr>
      </w:pPr>
      <w:r w:rsidRPr="00085562">
        <w:rPr>
          <w:rFonts w:eastAsiaTheme="majorEastAsia" w:cstheme="minorHAnsi"/>
          <w:bCs/>
          <w:szCs w:val="20"/>
        </w:rPr>
        <w:t xml:space="preserve">The </w:t>
      </w:r>
      <w:r w:rsidR="00AD316F" w:rsidRPr="00085562">
        <w:rPr>
          <w:rFonts w:eastAsiaTheme="majorEastAsia" w:cstheme="minorHAnsi"/>
          <w:bCs/>
          <w:szCs w:val="20"/>
        </w:rPr>
        <w:t xml:space="preserve">R&amp;D Tax Incentive </w:t>
      </w:r>
      <w:r w:rsidR="00807C57" w:rsidRPr="00085562">
        <w:rPr>
          <w:rFonts w:eastAsiaTheme="majorEastAsia" w:cstheme="minorHAnsi"/>
          <w:bCs/>
          <w:szCs w:val="20"/>
        </w:rPr>
        <w:t xml:space="preserve">is a key </w:t>
      </w:r>
      <w:r w:rsidR="00400D14" w:rsidRPr="00085562">
        <w:rPr>
          <w:rFonts w:eastAsiaTheme="majorEastAsia" w:cstheme="minorHAnsi"/>
          <w:bCs/>
          <w:szCs w:val="20"/>
        </w:rPr>
        <w:t xml:space="preserve">Government </w:t>
      </w:r>
      <w:r w:rsidR="00807C57" w:rsidRPr="00085562">
        <w:rPr>
          <w:rFonts w:eastAsiaTheme="majorEastAsia" w:cstheme="minorHAnsi"/>
          <w:bCs/>
          <w:szCs w:val="20"/>
        </w:rPr>
        <w:t>lever</w:t>
      </w:r>
      <w:r w:rsidR="00AD316F" w:rsidRPr="00085562">
        <w:rPr>
          <w:rFonts w:eastAsiaTheme="majorEastAsia" w:cstheme="minorHAnsi"/>
          <w:bCs/>
          <w:szCs w:val="20"/>
        </w:rPr>
        <w:t xml:space="preserve"> </w:t>
      </w:r>
      <w:r w:rsidRPr="00085562">
        <w:rPr>
          <w:rFonts w:eastAsiaTheme="majorEastAsia" w:cstheme="minorHAnsi"/>
          <w:bCs/>
          <w:szCs w:val="20"/>
        </w:rPr>
        <w:t>in stimulating business investment in research</w:t>
      </w:r>
      <w:r w:rsidR="007912E0" w:rsidRPr="00085562">
        <w:rPr>
          <w:rFonts w:eastAsiaTheme="majorEastAsia" w:cstheme="minorHAnsi"/>
          <w:bCs/>
          <w:szCs w:val="20"/>
        </w:rPr>
        <w:t xml:space="preserve"> by de-risking this investment</w:t>
      </w:r>
      <w:r w:rsidRPr="00085562">
        <w:rPr>
          <w:rFonts w:eastAsiaTheme="majorEastAsia" w:cstheme="minorHAnsi"/>
          <w:bCs/>
          <w:szCs w:val="20"/>
        </w:rPr>
        <w:t xml:space="preserve">. </w:t>
      </w:r>
      <w:r w:rsidR="00AD316F" w:rsidRPr="00085562">
        <w:rPr>
          <w:rFonts w:eastAsiaTheme="majorEastAsia" w:cstheme="minorHAnsi"/>
          <w:bCs/>
          <w:szCs w:val="20"/>
        </w:rPr>
        <w:t xml:space="preserve">There have been </w:t>
      </w:r>
      <w:r w:rsidRPr="00085562">
        <w:rPr>
          <w:rFonts w:eastAsiaTheme="majorEastAsia" w:cstheme="minorHAnsi"/>
          <w:bCs/>
          <w:szCs w:val="20"/>
        </w:rPr>
        <w:t xml:space="preserve">positive </w:t>
      </w:r>
      <w:r w:rsidR="00807C57" w:rsidRPr="00085562">
        <w:rPr>
          <w:rFonts w:eastAsiaTheme="majorEastAsia" w:cstheme="minorHAnsi"/>
          <w:bCs/>
          <w:szCs w:val="20"/>
        </w:rPr>
        <w:t>developments</w:t>
      </w:r>
      <w:r w:rsidR="00AD316F" w:rsidRPr="00085562">
        <w:rPr>
          <w:rFonts w:eastAsiaTheme="majorEastAsia" w:cstheme="minorHAnsi"/>
          <w:bCs/>
          <w:szCs w:val="20"/>
        </w:rPr>
        <w:t xml:space="preserve"> to the </w:t>
      </w:r>
      <w:r w:rsidRPr="00085562">
        <w:rPr>
          <w:rFonts w:eastAsiaTheme="majorEastAsia" w:cstheme="minorHAnsi"/>
          <w:bCs/>
          <w:szCs w:val="20"/>
        </w:rPr>
        <w:t>scheme t</w:t>
      </w:r>
      <w:r w:rsidR="00AD316F" w:rsidRPr="00085562">
        <w:rPr>
          <w:rFonts w:eastAsiaTheme="majorEastAsia" w:cstheme="minorHAnsi"/>
          <w:bCs/>
          <w:szCs w:val="20"/>
        </w:rPr>
        <w:t xml:space="preserve">o tighten up </w:t>
      </w:r>
      <w:r w:rsidR="00807C57" w:rsidRPr="00085562">
        <w:rPr>
          <w:rFonts w:eastAsiaTheme="majorEastAsia" w:cstheme="minorHAnsi"/>
          <w:bCs/>
          <w:szCs w:val="20"/>
        </w:rPr>
        <w:t xml:space="preserve">research </w:t>
      </w:r>
      <w:r w:rsidR="00AD316F" w:rsidRPr="00085562">
        <w:rPr>
          <w:rFonts w:eastAsiaTheme="majorEastAsia" w:cstheme="minorHAnsi"/>
          <w:bCs/>
          <w:szCs w:val="20"/>
        </w:rPr>
        <w:t xml:space="preserve">definitions and </w:t>
      </w:r>
      <w:r w:rsidRPr="00085562">
        <w:rPr>
          <w:rFonts w:eastAsiaTheme="majorEastAsia" w:cstheme="minorHAnsi"/>
          <w:bCs/>
          <w:szCs w:val="20"/>
        </w:rPr>
        <w:t>encourage research investment by SMEs</w:t>
      </w:r>
      <w:r w:rsidR="00AD316F" w:rsidRPr="00085562">
        <w:rPr>
          <w:rFonts w:eastAsiaTheme="majorEastAsia" w:cstheme="minorHAnsi"/>
          <w:bCs/>
          <w:szCs w:val="20"/>
        </w:rPr>
        <w:t xml:space="preserve">. </w:t>
      </w:r>
      <w:r w:rsidR="00807C57" w:rsidRPr="00712BA5">
        <w:rPr>
          <w:rStyle w:val="Emphasis"/>
        </w:rPr>
        <w:t>However, c</w:t>
      </w:r>
      <w:r w:rsidR="00AD316F" w:rsidRPr="00712BA5">
        <w:rPr>
          <w:rStyle w:val="Emphasis"/>
        </w:rPr>
        <w:t xml:space="preserve">hanges to </w:t>
      </w:r>
      <w:r w:rsidR="00807C57" w:rsidRPr="00712BA5">
        <w:rPr>
          <w:rStyle w:val="Emphasis"/>
        </w:rPr>
        <w:t xml:space="preserve">specifically </w:t>
      </w:r>
      <w:r w:rsidR="00AD316F" w:rsidRPr="00712BA5">
        <w:rPr>
          <w:rStyle w:val="Emphasis"/>
        </w:rPr>
        <w:t>encourage</w:t>
      </w:r>
      <w:r w:rsidR="00807C57" w:rsidRPr="00712BA5">
        <w:rPr>
          <w:rStyle w:val="Emphasis"/>
        </w:rPr>
        <w:t xml:space="preserve"> (or force)</w:t>
      </w:r>
      <w:r w:rsidR="00AD316F" w:rsidRPr="00712BA5">
        <w:rPr>
          <w:rStyle w:val="Emphasis"/>
        </w:rPr>
        <w:t xml:space="preserve"> </w:t>
      </w:r>
      <w:r w:rsidR="00AF5D20" w:rsidRPr="00712BA5">
        <w:rPr>
          <w:rStyle w:val="Emphasis"/>
        </w:rPr>
        <w:t xml:space="preserve">the </w:t>
      </w:r>
      <w:r w:rsidR="00AD316F" w:rsidRPr="00712BA5">
        <w:rPr>
          <w:rStyle w:val="Emphasis"/>
        </w:rPr>
        <w:t xml:space="preserve">collaboration </w:t>
      </w:r>
      <w:r w:rsidR="00807C57" w:rsidRPr="00712BA5">
        <w:rPr>
          <w:rStyle w:val="Emphasis"/>
        </w:rPr>
        <w:t xml:space="preserve">of industry </w:t>
      </w:r>
      <w:r w:rsidR="00AD316F" w:rsidRPr="00712BA5">
        <w:rPr>
          <w:rStyle w:val="Emphasis"/>
        </w:rPr>
        <w:t>with research institutions has the potential to</w:t>
      </w:r>
      <w:r w:rsidR="00AF5D20" w:rsidRPr="00712BA5">
        <w:rPr>
          <w:rStyle w:val="Emphasis"/>
        </w:rPr>
        <w:t xml:space="preserve"> damage the programme</w:t>
      </w:r>
      <w:r w:rsidR="00AF5D20" w:rsidRPr="00085562">
        <w:rPr>
          <w:rFonts w:eastAsiaTheme="majorEastAsia" w:cstheme="minorHAnsi"/>
          <w:bCs/>
          <w:szCs w:val="20"/>
        </w:rPr>
        <w:t xml:space="preserve"> by </w:t>
      </w:r>
      <w:r w:rsidR="00AD316F" w:rsidRPr="00085562">
        <w:rPr>
          <w:rFonts w:eastAsiaTheme="majorEastAsia" w:cstheme="minorHAnsi"/>
          <w:bCs/>
          <w:szCs w:val="20"/>
        </w:rPr>
        <w:t>increas</w:t>
      </w:r>
      <w:r w:rsidR="00807C57" w:rsidRPr="00085562">
        <w:rPr>
          <w:rFonts w:eastAsiaTheme="majorEastAsia" w:cstheme="minorHAnsi"/>
          <w:bCs/>
          <w:szCs w:val="20"/>
        </w:rPr>
        <w:t>ing red-tape, encouraging</w:t>
      </w:r>
      <w:r w:rsidR="00AD316F" w:rsidRPr="00085562">
        <w:rPr>
          <w:rFonts w:eastAsiaTheme="majorEastAsia" w:cstheme="minorHAnsi"/>
          <w:bCs/>
          <w:szCs w:val="20"/>
        </w:rPr>
        <w:t xml:space="preserve"> gaming, reduc</w:t>
      </w:r>
      <w:r w:rsidR="00807C57" w:rsidRPr="00085562">
        <w:rPr>
          <w:rFonts w:eastAsiaTheme="majorEastAsia" w:cstheme="minorHAnsi"/>
          <w:bCs/>
          <w:szCs w:val="20"/>
        </w:rPr>
        <w:t xml:space="preserve">ing flexibility, decreasing </w:t>
      </w:r>
      <w:r w:rsidR="00AF5D20" w:rsidRPr="00085562">
        <w:rPr>
          <w:rFonts w:eastAsiaTheme="majorEastAsia" w:cstheme="minorHAnsi"/>
          <w:bCs/>
          <w:szCs w:val="20"/>
        </w:rPr>
        <w:t>the scheme’s</w:t>
      </w:r>
      <w:r w:rsidR="00807C57" w:rsidRPr="00085562">
        <w:rPr>
          <w:rFonts w:eastAsiaTheme="majorEastAsia" w:cstheme="minorHAnsi"/>
          <w:bCs/>
          <w:szCs w:val="20"/>
        </w:rPr>
        <w:t xml:space="preserve"> attractiveness and uptake by industry, and ultimately reducing</w:t>
      </w:r>
      <w:r w:rsidR="00AF5D20" w:rsidRPr="00085562">
        <w:rPr>
          <w:rFonts w:eastAsiaTheme="majorEastAsia" w:cstheme="minorHAnsi"/>
          <w:bCs/>
          <w:szCs w:val="20"/>
        </w:rPr>
        <w:t xml:space="preserve"> the </w:t>
      </w:r>
      <w:r w:rsidR="00807C57" w:rsidRPr="00085562">
        <w:rPr>
          <w:rFonts w:eastAsiaTheme="majorEastAsia" w:cstheme="minorHAnsi"/>
          <w:bCs/>
          <w:szCs w:val="20"/>
        </w:rPr>
        <w:t xml:space="preserve">ability </w:t>
      </w:r>
      <w:r w:rsidR="00AF5D20" w:rsidRPr="00085562">
        <w:rPr>
          <w:rFonts w:eastAsiaTheme="majorEastAsia" w:cstheme="minorHAnsi"/>
          <w:bCs/>
          <w:szCs w:val="20"/>
        </w:rPr>
        <w:t xml:space="preserve">of the R&amp;D Tax Incentive </w:t>
      </w:r>
      <w:r w:rsidR="00807C57" w:rsidRPr="00085562">
        <w:rPr>
          <w:rFonts w:eastAsiaTheme="majorEastAsia" w:cstheme="minorHAnsi"/>
          <w:bCs/>
          <w:szCs w:val="20"/>
        </w:rPr>
        <w:t>to</w:t>
      </w:r>
      <w:r w:rsidR="00AD316F" w:rsidRPr="00085562">
        <w:rPr>
          <w:rFonts w:eastAsiaTheme="majorEastAsia" w:cstheme="minorHAnsi"/>
          <w:bCs/>
          <w:szCs w:val="20"/>
        </w:rPr>
        <w:t xml:space="preserve"> meet the needs of industry</w:t>
      </w:r>
      <w:r w:rsidRPr="00085562">
        <w:rPr>
          <w:rFonts w:eastAsiaTheme="majorEastAsia" w:cstheme="minorHAnsi"/>
          <w:bCs/>
          <w:szCs w:val="20"/>
        </w:rPr>
        <w:t xml:space="preserve">. </w:t>
      </w:r>
    </w:p>
    <w:p w14:paraId="2651EA32" w14:textId="77777777" w:rsidR="00B23D04" w:rsidRPr="00990B5B" w:rsidRDefault="00FF4A15" w:rsidP="00712BA5">
      <w:pPr>
        <w:pStyle w:val="Heading3"/>
      </w:pPr>
      <w:r w:rsidRPr="00990B5B">
        <w:t>2. Supporting research infrastructure</w:t>
      </w:r>
    </w:p>
    <w:p w14:paraId="2651EA33" w14:textId="77777777" w:rsidR="00DE7ADC" w:rsidRPr="00C01A96" w:rsidRDefault="00DE7ADC" w:rsidP="008E3C0A">
      <w:pPr>
        <w:spacing w:after="0"/>
        <w:rPr>
          <w:rFonts w:asciiTheme="majorHAnsi" w:eastAsiaTheme="majorEastAsia" w:hAnsiTheme="majorHAnsi" w:cstheme="majorBidi"/>
          <w:b/>
          <w:bCs/>
          <w:szCs w:val="20"/>
        </w:rPr>
      </w:pPr>
    </w:p>
    <w:p w14:paraId="2651EA34" w14:textId="77777777" w:rsidR="007C4964" w:rsidRPr="00085562" w:rsidRDefault="00B73E8B" w:rsidP="008E3C0A">
      <w:pPr>
        <w:spacing w:after="0"/>
        <w:rPr>
          <w:rFonts w:eastAsiaTheme="majorEastAsia" w:cstheme="minorHAnsi"/>
          <w:bCs/>
          <w:szCs w:val="20"/>
        </w:rPr>
      </w:pPr>
      <w:r w:rsidRPr="00712BA5">
        <w:rPr>
          <w:rStyle w:val="Emphasis"/>
        </w:rPr>
        <w:t xml:space="preserve">AAMRI strongly supports </w:t>
      </w:r>
      <w:r w:rsidR="007C4964" w:rsidRPr="00712BA5">
        <w:rPr>
          <w:rStyle w:val="Emphasis"/>
        </w:rPr>
        <w:t>a long-term investment in rese</w:t>
      </w:r>
      <w:r w:rsidR="00430185" w:rsidRPr="00712BA5">
        <w:rPr>
          <w:rStyle w:val="Emphasis"/>
        </w:rPr>
        <w:t>arch infrastructure for public</w:t>
      </w:r>
      <w:r w:rsidR="007C4964" w:rsidRPr="00712BA5">
        <w:rPr>
          <w:rStyle w:val="Emphasis"/>
        </w:rPr>
        <w:t xml:space="preserve">ly-funded research organisations and industry modelled on the highly-regarded </w:t>
      </w:r>
      <w:r w:rsidR="00C34C57" w:rsidRPr="00712BA5">
        <w:rPr>
          <w:rStyle w:val="Emphasis"/>
        </w:rPr>
        <w:t>National Collaborative Research Infrastructure Strategy (</w:t>
      </w:r>
      <w:r w:rsidR="007C4964" w:rsidRPr="00712BA5">
        <w:rPr>
          <w:rStyle w:val="Emphasis"/>
        </w:rPr>
        <w:t>NCRIS</w:t>
      </w:r>
      <w:r w:rsidR="00C34C57" w:rsidRPr="00712BA5">
        <w:rPr>
          <w:rStyle w:val="Emphasis"/>
        </w:rPr>
        <w:t>)</w:t>
      </w:r>
      <w:r w:rsidR="007C4964" w:rsidRPr="00712BA5">
        <w:rPr>
          <w:rStyle w:val="Emphasis"/>
        </w:rPr>
        <w:t>.</w:t>
      </w:r>
      <w:r w:rsidR="007C4964" w:rsidRPr="00085562">
        <w:rPr>
          <w:rFonts w:eastAsiaTheme="majorEastAsia" w:cstheme="minorHAnsi"/>
          <w:bCs/>
          <w:szCs w:val="20"/>
        </w:rPr>
        <w:t xml:space="preserve"> Successful el</w:t>
      </w:r>
      <w:r w:rsidR="00753C31" w:rsidRPr="00085562">
        <w:rPr>
          <w:rFonts w:eastAsiaTheme="majorEastAsia" w:cstheme="minorHAnsi"/>
          <w:bCs/>
          <w:szCs w:val="20"/>
        </w:rPr>
        <w:t>ements of the programme that should be emulated in any future scheme include</w:t>
      </w:r>
      <w:r w:rsidR="007C4964" w:rsidRPr="00085562">
        <w:rPr>
          <w:rFonts w:eastAsiaTheme="majorEastAsia" w:cstheme="minorHAnsi"/>
          <w:bCs/>
          <w:szCs w:val="20"/>
        </w:rPr>
        <w:t>:</w:t>
      </w:r>
    </w:p>
    <w:p w14:paraId="2651EA35" w14:textId="77777777" w:rsidR="007C4964" w:rsidRPr="00085562" w:rsidRDefault="00685E0F" w:rsidP="007C4964">
      <w:pPr>
        <w:pStyle w:val="ListParagraph"/>
        <w:numPr>
          <w:ilvl w:val="0"/>
          <w:numId w:val="32"/>
        </w:numPr>
        <w:spacing w:before="120" w:after="0"/>
        <w:ind w:left="714" w:hanging="357"/>
        <w:rPr>
          <w:rFonts w:cstheme="minorHAnsi"/>
          <w:sz w:val="20"/>
          <w:szCs w:val="20"/>
        </w:rPr>
      </w:pPr>
      <w:r w:rsidRPr="00085562">
        <w:rPr>
          <w:rFonts w:eastAsiaTheme="majorEastAsia" w:cstheme="minorHAnsi"/>
          <w:bCs/>
          <w:sz w:val="20"/>
          <w:szCs w:val="20"/>
        </w:rPr>
        <w:t>leveraging of investment from state and international counterparts</w:t>
      </w:r>
      <w:r w:rsidR="00753C31" w:rsidRPr="00085562">
        <w:rPr>
          <w:rFonts w:eastAsiaTheme="majorEastAsia" w:cstheme="minorHAnsi"/>
          <w:bCs/>
          <w:sz w:val="20"/>
          <w:szCs w:val="20"/>
        </w:rPr>
        <w:t>, and potentially also industry</w:t>
      </w:r>
      <w:r w:rsidR="00F620CA" w:rsidRPr="00085562">
        <w:rPr>
          <w:rFonts w:eastAsiaTheme="majorEastAsia" w:cstheme="minorHAnsi"/>
          <w:bCs/>
          <w:sz w:val="20"/>
          <w:szCs w:val="20"/>
        </w:rPr>
        <w:t xml:space="preserve"> partners;</w:t>
      </w:r>
    </w:p>
    <w:p w14:paraId="2651EA36" w14:textId="77777777" w:rsidR="007C4964" w:rsidRPr="00085562" w:rsidRDefault="00685E0F" w:rsidP="007C4964">
      <w:pPr>
        <w:pStyle w:val="ListParagraph"/>
        <w:numPr>
          <w:ilvl w:val="0"/>
          <w:numId w:val="32"/>
        </w:numPr>
        <w:spacing w:before="120" w:after="0"/>
        <w:ind w:left="714" w:hanging="357"/>
        <w:rPr>
          <w:rFonts w:cstheme="minorHAnsi"/>
          <w:sz w:val="20"/>
          <w:szCs w:val="20"/>
        </w:rPr>
      </w:pPr>
      <w:r w:rsidRPr="00085562">
        <w:rPr>
          <w:rFonts w:cstheme="minorHAnsi"/>
          <w:sz w:val="20"/>
          <w:szCs w:val="20"/>
        </w:rPr>
        <w:t>funding towards facility operational costs</w:t>
      </w:r>
      <w:r w:rsidR="00C01A96">
        <w:rPr>
          <w:rFonts w:cstheme="minorHAnsi"/>
          <w:sz w:val="20"/>
          <w:szCs w:val="20"/>
        </w:rPr>
        <w:t xml:space="preserve">, </w:t>
      </w:r>
      <w:r w:rsidRPr="00085562">
        <w:rPr>
          <w:rFonts w:cstheme="minorHAnsi"/>
          <w:sz w:val="20"/>
          <w:szCs w:val="20"/>
        </w:rPr>
        <w:t xml:space="preserve">including specialist personnel, </w:t>
      </w:r>
      <w:r w:rsidR="007C4964" w:rsidRPr="00085562">
        <w:rPr>
          <w:rFonts w:cstheme="minorHAnsi"/>
          <w:sz w:val="20"/>
          <w:szCs w:val="20"/>
        </w:rPr>
        <w:t>for</w:t>
      </w:r>
      <w:r w:rsidRPr="00085562">
        <w:rPr>
          <w:rFonts w:cstheme="minorHAnsi"/>
          <w:sz w:val="20"/>
          <w:szCs w:val="20"/>
        </w:rPr>
        <w:t xml:space="preserve"> superior service delivery and research outcomes</w:t>
      </w:r>
      <w:r w:rsidR="00F620CA" w:rsidRPr="00085562">
        <w:rPr>
          <w:rFonts w:cstheme="minorHAnsi"/>
          <w:sz w:val="20"/>
          <w:szCs w:val="20"/>
        </w:rPr>
        <w:t>;</w:t>
      </w:r>
    </w:p>
    <w:p w14:paraId="2651EA37" w14:textId="77777777" w:rsidR="00ED1DF0" w:rsidRPr="00085562" w:rsidRDefault="007C4964" w:rsidP="007C4964">
      <w:pPr>
        <w:pStyle w:val="ListParagraph"/>
        <w:numPr>
          <w:ilvl w:val="0"/>
          <w:numId w:val="32"/>
        </w:numPr>
        <w:spacing w:before="120" w:after="0"/>
        <w:ind w:left="714" w:hanging="357"/>
        <w:rPr>
          <w:rFonts w:cstheme="minorHAnsi"/>
          <w:sz w:val="20"/>
          <w:szCs w:val="20"/>
        </w:rPr>
      </w:pPr>
      <w:r w:rsidRPr="00085562">
        <w:rPr>
          <w:rFonts w:cstheme="minorHAnsi"/>
          <w:sz w:val="20"/>
          <w:szCs w:val="20"/>
        </w:rPr>
        <w:t xml:space="preserve">the use of a </w:t>
      </w:r>
      <w:r w:rsidR="00685E0F" w:rsidRPr="00085562">
        <w:rPr>
          <w:rFonts w:cstheme="minorHAnsi"/>
          <w:sz w:val="20"/>
          <w:szCs w:val="20"/>
        </w:rPr>
        <w:t xml:space="preserve">strategic, highly consultative </w:t>
      </w:r>
      <w:r w:rsidR="00A30315" w:rsidRPr="00085562">
        <w:rPr>
          <w:rFonts w:cstheme="minorHAnsi"/>
          <w:sz w:val="20"/>
          <w:szCs w:val="20"/>
        </w:rPr>
        <w:t>road</w:t>
      </w:r>
      <w:r w:rsidRPr="00085562">
        <w:rPr>
          <w:rFonts w:cstheme="minorHAnsi"/>
          <w:sz w:val="20"/>
          <w:szCs w:val="20"/>
        </w:rPr>
        <w:t xml:space="preserve">map </w:t>
      </w:r>
      <w:r w:rsidR="00685E0F" w:rsidRPr="00085562">
        <w:rPr>
          <w:rFonts w:cstheme="minorHAnsi"/>
          <w:sz w:val="20"/>
          <w:szCs w:val="20"/>
        </w:rPr>
        <w:t>approach</w:t>
      </w:r>
      <w:r w:rsidRPr="00085562">
        <w:rPr>
          <w:rFonts w:cstheme="minorHAnsi"/>
          <w:sz w:val="20"/>
          <w:szCs w:val="20"/>
        </w:rPr>
        <w:t xml:space="preserve"> to meet Australia’s infrastructure needs</w:t>
      </w:r>
      <w:r w:rsidR="00F620CA" w:rsidRPr="00085562">
        <w:rPr>
          <w:rFonts w:cstheme="minorHAnsi"/>
          <w:sz w:val="20"/>
          <w:szCs w:val="20"/>
        </w:rPr>
        <w:t>; and</w:t>
      </w:r>
    </w:p>
    <w:p w14:paraId="2651EA38" w14:textId="77777777" w:rsidR="007C4964" w:rsidRPr="00085562" w:rsidRDefault="007C4964" w:rsidP="007C4964">
      <w:pPr>
        <w:pStyle w:val="ListParagraph"/>
        <w:numPr>
          <w:ilvl w:val="0"/>
          <w:numId w:val="32"/>
        </w:numPr>
        <w:spacing w:before="120" w:after="0"/>
        <w:ind w:left="714" w:hanging="357"/>
        <w:rPr>
          <w:rFonts w:cstheme="minorHAnsi"/>
          <w:sz w:val="20"/>
          <w:szCs w:val="20"/>
        </w:rPr>
      </w:pPr>
      <w:r w:rsidRPr="00085562">
        <w:rPr>
          <w:rFonts w:cstheme="minorHAnsi"/>
          <w:sz w:val="20"/>
          <w:szCs w:val="20"/>
        </w:rPr>
        <w:t>provision of services free of charge (or at cost) for publicly-funded research organisations to avoid cost-shifting and unnecessary red tape, while charging industry a fee-for-service.</w:t>
      </w:r>
    </w:p>
    <w:p w14:paraId="2651EA39" w14:textId="77777777" w:rsidR="00313693" w:rsidRPr="006E0BEA" w:rsidRDefault="00000AA5" w:rsidP="00712BA5">
      <w:pPr>
        <w:pStyle w:val="Heading3"/>
      </w:pPr>
      <w:r w:rsidRPr="006E0BEA">
        <w:t>3. Providing better access to research</w:t>
      </w:r>
    </w:p>
    <w:p w14:paraId="2651EA3A" w14:textId="77777777" w:rsidR="00770BED" w:rsidRPr="00085562" w:rsidRDefault="0010776C" w:rsidP="00712BA5">
      <w:pPr>
        <w:pStyle w:val="Heading4"/>
        <w:rPr>
          <w:lang w:val="en-AU"/>
        </w:rPr>
      </w:pPr>
      <w:r w:rsidRPr="00085562">
        <w:rPr>
          <w:lang w:val="en-AU"/>
        </w:rPr>
        <w:t xml:space="preserve">Strengthening IP guidelines for researchers, and linking research funding to </w:t>
      </w:r>
      <w:r w:rsidR="00C01A96">
        <w:rPr>
          <w:lang w:val="en-AU"/>
        </w:rPr>
        <w:t>IP dissemination</w:t>
      </w:r>
    </w:p>
    <w:p w14:paraId="2651EA3B" w14:textId="77777777" w:rsidR="00FA2509" w:rsidRPr="00085562" w:rsidRDefault="0095342C" w:rsidP="008E3C0A">
      <w:pPr>
        <w:spacing w:before="200" w:after="0"/>
        <w:rPr>
          <w:rFonts w:eastAsiaTheme="majorEastAsia" w:cstheme="minorHAnsi"/>
          <w:b/>
          <w:bCs/>
          <w:szCs w:val="20"/>
        </w:rPr>
      </w:pPr>
      <w:r w:rsidRPr="00712BA5">
        <w:rPr>
          <w:rStyle w:val="Emphasis"/>
        </w:rPr>
        <w:t>AAMRI</w:t>
      </w:r>
      <w:r w:rsidR="00FA2509" w:rsidRPr="00712BA5">
        <w:rPr>
          <w:rStyle w:val="Emphasis"/>
        </w:rPr>
        <w:t xml:space="preserve"> endorse</w:t>
      </w:r>
      <w:r w:rsidRPr="00712BA5">
        <w:rPr>
          <w:rStyle w:val="Emphasis"/>
        </w:rPr>
        <w:t>s</w:t>
      </w:r>
      <w:r w:rsidR="00FA2509" w:rsidRPr="00712BA5">
        <w:rPr>
          <w:rStyle w:val="Emphasis"/>
        </w:rPr>
        <w:t xml:space="preserve"> the national principles for IP in public institutions.</w:t>
      </w:r>
      <w:r w:rsidR="00FA2509" w:rsidRPr="00085562">
        <w:rPr>
          <w:rFonts w:eastAsiaTheme="majorEastAsia" w:cstheme="minorHAnsi"/>
          <w:bCs/>
          <w:szCs w:val="20"/>
        </w:rPr>
        <w:t xml:space="preserve"> These are a sensible guide that provide the opportunity for entities to decide if the public interest is best served by, for example, licensing or open access</w:t>
      </w:r>
      <w:r w:rsidR="00CB1E89" w:rsidRPr="00085562">
        <w:rPr>
          <w:rFonts w:eastAsiaTheme="majorEastAsia" w:cstheme="minorHAnsi"/>
          <w:bCs/>
          <w:szCs w:val="20"/>
        </w:rPr>
        <w:t xml:space="preserve"> to IP</w:t>
      </w:r>
      <w:r w:rsidR="00FA2509" w:rsidRPr="00085562">
        <w:rPr>
          <w:rFonts w:eastAsiaTheme="majorEastAsia" w:cstheme="minorHAnsi"/>
          <w:bCs/>
          <w:szCs w:val="20"/>
        </w:rPr>
        <w:t xml:space="preserve">. </w:t>
      </w:r>
      <w:r w:rsidR="00FA2509" w:rsidRPr="00085562">
        <w:rPr>
          <w:rFonts w:eastAsiaTheme="majorEastAsia" w:cstheme="minorHAnsi"/>
          <w:b/>
          <w:bCs/>
          <w:szCs w:val="20"/>
        </w:rPr>
        <w:t xml:space="preserve"> </w:t>
      </w:r>
    </w:p>
    <w:p w14:paraId="2651EA3C" w14:textId="77777777" w:rsidR="006F2931" w:rsidRPr="00085562" w:rsidRDefault="009A1DB0" w:rsidP="006F2931">
      <w:pPr>
        <w:spacing w:before="200" w:after="0"/>
        <w:rPr>
          <w:rFonts w:eastAsiaTheme="majorEastAsia" w:cstheme="minorHAnsi"/>
          <w:bCs/>
          <w:szCs w:val="20"/>
        </w:rPr>
      </w:pPr>
      <w:r w:rsidRPr="00712BA5">
        <w:rPr>
          <w:rStyle w:val="Emphasis"/>
        </w:rPr>
        <w:t>We urge caution in regulating the dissemination of IP</w:t>
      </w:r>
      <w:r w:rsidR="007964C0" w:rsidRPr="00712BA5">
        <w:rPr>
          <w:rStyle w:val="Emphasis"/>
        </w:rPr>
        <w:t xml:space="preserve"> arising from Government-funded research</w:t>
      </w:r>
      <w:r w:rsidR="00CC1B10" w:rsidRPr="00085562">
        <w:rPr>
          <w:rFonts w:eastAsiaTheme="majorEastAsia" w:cstheme="minorHAnsi"/>
          <w:bCs/>
          <w:szCs w:val="20"/>
        </w:rPr>
        <w:t xml:space="preserve"> (presumably</w:t>
      </w:r>
      <w:r w:rsidR="00AE2913">
        <w:rPr>
          <w:rFonts w:eastAsiaTheme="majorEastAsia" w:cstheme="minorHAnsi"/>
          <w:bCs/>
          <w:szCs w:val="20"/>
        </w:rPr>
        <w:t xml:space="preserve"> applicable</w:t>
      </w:r>
      <w:r w:rsidR="00CC1B10" w:rsidRPr="00085562">
        <w:rPr>
          <w:rFonts w:eastAsiaTheme="majorEastAsia" w:cstheme="minorHAnsi"/>
          <w:bCs/>
          <w:szCs w:val="20"/>
        </w:rPr>
        <w:t xml:space="preserve"> to provisional patents that have not been converted to PCT</w:t>
      </w:r>
      <w:r w:rsidR="00AE2913">
        <w:rPr>
          <w:rFonts w:eastAsiaTheme="majorEastAsia" w:cstheme="minorHAnsi"/>
          <w:bCs/>
          <w:szCs w:val="20"/>
        </w:rPr>
        <w:t xml:space="preserve"> patent</w:t>
      </w:r>
      <w:r w:rsidR="00CC1B10" w:rsidRPr="00085562">
        <w:rPr>
          <w:rFonts w:eastAsiaTheme="majorEastAsia" w:cstheme="minorHAnsi"/>
          <w:bCs/>
          <w:szCs w:val="20"/>
        </w:rPr>
        <w:t xml:space="preserve">s after a </w:t>
      </w:r>
      <w:r w:rsidR="00AE2913">
        <w:rPr>
          <w:rFonts w:eastAsiaTheme="majorEastAsia" w:cstheme="minorHAnsi"/>
          <w:bCs/>
          <w:szCs w:val="20"/>
        </w:rPr>
        <w:t>fixed period</w:t>
      </w:r>
      <w:r w:rsidR="00CC1B10" w:rsidRPr="00085562">
        <w:rPr>
          <w:rFonts w:eastAsiaTheme="majorEastAsia" w:cstheme="minorHAnsi"/>
          <w:bCs/>
          <w:szCs w:val="20"/>
        </w:rPr>
        <w:t>)</w:t>
      </w:r>
      <w:r w:rsidRPr="00085562">
        <w:rPr>
          <w:rFonts w:eastAsiaTheme="majorEastAsia" w:cstheme="minorHAnsi"/>
          <w:bCs/>
          <w:szCs w:val="20"/>
        </w:rPr>
        <w:t xml:space="preserve">. </w:t>
      </w:r>
      <w:r w:rsidR="006F2931" w:rsidRPr="00085562">
        <w:rPr>
          <w:rFonts w:eastAsiaTheme="majorEastAsia" w:cstheme="minorHAnsi"/>
          <w:bCs/>
          <w:szCs w:val="20"/>
        </w:rPr>
        <w:t xml:space="preserve">Increased regulation and red tape around IP has the potential to discourage the protection of potentially commercially-relevant research findings, and inadvertently encourage more traditional academic pathways of research. The significantly </w:t>
      </w:r>
      <w:r w:rsidR="006F2931" w:rsidRPr="00085562">
        <w:rPr>
          <w:rFonts w:eastAsiaTheme="majorEastAsia" w:cstheme="minorHAnsi"/>
          <w:bCs/>
          <w:szCs w:val="20"/>
        </w:rPr>
        <w:lastRenderedPageBreak/>
        <w:t xml:space="preserve">longer timeframes and more costly pathways required for the commercial translation of health and medical research (including tests in animal models and clinical trials) </w:t>
      </w:r>
      <w:r w:rsidR="00920D82" w:rsidRPr="00085562">
        <w:rPr>
          <w:rFonts w:eastAsiaTheme="majorEastAsia" w:cstheme="minorHAnsi"/>
          <w:bCs/>
          <w:szCs w:val="20"/>
        </w:rPr>
        <w:t>could also cause problems for</w:t>
      </w:r>
      <w:r w:rsidR="006F2931" w:rsidRPr="00085562">
        <w:rPr>
          <w:rFonts w:eastAsiaTheme="majorEastAsia" w:cstheme="minorHAnsi"/>
          <w:bCs/>
          <w:szCs w:val="20"/>
        </w:rPr>
        <w:t xml:space="preserve"> any broad-based IP policy.</w:t>
      </w:r>
    </w:p>
    <w:p w14:paraId="2651EA3D" w14:textId="77777777" w:rsidR="00094ED0" w:rsidRPr="00085562" w:rsidRDefault="00094ED0" w:rsidP="00094ED0">
      <w:pPr>
        <w:spacing w:before="200" w:after="0"/>
        <w:rPr>
          <w:rFonts w:eastAsiaTheme="majorEastAsia" w:cstheme="minorHAnsi"/>
          <w:bCs/>
          <w:szCs w:val="20"/>
        </w:rPr>
      </w:pPr>
      <w:r w:rsidRPr="00712BA5">
        <w:rPr>
          <w:rStyle w:val="Emphasis"/>
        </w:rPr>
        <w:t>If the purpose of requiring the dissemination of IP is because the Government is of the view that potentially valuable IP is not being exploited by research organisations, then we suggest investigating why this is the case.</w:t>
      </w:r>
      <w:r w:rsidRPr="00085562">
        <w:rPr>
          <w:rFonts w:eastAsiaTheme="majorEastAsia" w:cstheme="minorHAnsi"/>
          <w:bCs/>
          <w:szCs w:val="20"/>
        </w:rPr>
        <w:t xml:space="preserve"> Reasons might include the lack of Government funding for early-stage proof-of-concept experiments necessary to progress IP, the inability to use NHMRC and ARC grant funding to protect IP, an inability to secure seed funding, or a lack of access to the skills necessary to pursue IP. Alternatively, an unexploited patent might mean the IP is not of any value, meaning requiring its dissemination could be an unnecessary administrative burden.</w:t>
      </w:r>
    </w:p>
    <w:p w14:paraId="2651EA3E" w14:textId="77777777" w:rsidR="00FB5F55" w:rsidRPr="00085562" w:rsidRDefault="00CB1E89" w:rsidP="00094ED0">
      <w:pPr>
        <w:spacing w:before="200" w:after="0"/>
        <w:rPr>
          <w:rFonts w:eastAsiaTheme="majorEastAsia" w:cstheme="minorHAnsi"/>
          <w:bCs/>
          <w:szCs w:val="20"/>
        </w:rPr>
      </w:pPr>
      <w:r w:rsidRPr="00085562">
        <w:rPr>
          <w:rFonts w:eastAsiaTheme="majorEastAsia" w:cstheme="minorHAnsi"/>
          <w:bCs/>
          <w:szCs w:val="20"/>
        </w:rPr>
        <w:t>It is generally a</w:t>
      </w:r>
      <w:r w:rsidR="00AE2913">
        <w:rPr>
          <w:rFonts w:eastAsiaTheme="majorEastAsia" w:cstheme="minorHAnsi"/>
          <w:bCs/>
          <w:szCs w:val="20"/>
        </w:rPr>
        <w:t>cknowledged</w:t>
      </w:r>
      <w:r w:rsidRPr="00085562">
        <w:rPr>
          <w:rFonts w:eastAsiaTheme="majorEastAsia" w:cstheme="minorHAnsi"/>
          <w:bCs/>
          <w:szCs w:val="20"/>
        </w:rPr>
        <w:t xml:space="preserve"> that provisional patents are filed on far too much non-commercialisable IP (in Australia and world-wide)</w:t>
      </w:r>
      <w:r w:rsidR="006F2931" w:rsidRPr="00085562">
        <w:rPr>
          <w:rFonts w:eastAsiaTheme="majorEastAsia" w:cstheme="minorHAnsi"/>
          <w:bCs/>
          <w:szCs w:val="20"/>
        </w:rPr>
        <w:t>. T</w:t>
      </w:r>
      <w:r w:rsidRPr="00085562">
        <w:rPr>
          <w:rFonts w:eastAsiaTheme="majorEastAsia" w:cstheme="minorHAnsi"/>
          <w:bCs/>
          <w:szCs w:val="20"/>
        </w:rPr>
        <w:t xml:space="preserve">his </w:t>
      </w:r>
      <w:r w:rsidR="006F2931" w:rsidRPr="00085562">
        <w:rPr>
          <w:rFonts w:eastAsiaTheme="majorEastAsia" w:cstheme="minorHAnsi"/>
          <w:bCs/>
          <w:szCs w:val="20"/>
        </w:rPr>
        <w:t xml:space="preserve">over-proliferation of provisional patents can </w:t>
      </w:r>
      <w:r w:rsidRPr="00085562">
        <w:rPr>
          <w:rFonts w:eastAsiaTheme="majorEastAsia" w:cstheme="minorHAnsi"/>
          <w:bCs/>
          <w:szCs w:val="20"/>
        </w:rPr>
        <w:t xml:space="preserve">in turn </w:t>
      </w:r>
      <w:r w:rsidR="006F2931" w:rsidRPr="00085562">
        <w:rPr>
          <w:rFonts w:eastAsiaTheme="majorEastAsia" w:cstheme="minorHAnsi"/>
          <w:bCs/>
          <w:szCs w:val="20"/>
        </w:rPr>
        <w:t>make</w:t>
      </w:r>
      <w:r w:rsidRPr="00085562">
        <w:rPr>
          <w:rFonts w:eastAsiaTheme="majorEastAsia" w:cstheme="minorHAnsi"/>
          <w:bCs/>
          <w:szCs w:val="20"/>
        </w:rPr>
        <w:t xml:space="preserve"> securing</w:t>
      </w:r>
      <w:r w:rsidR="006F2931" w:rsidRPr="00085562">
        <w:rPr>
          <w:rFonts w:eastAsiaTheme="majorEastAsia" w:cstheme="minorHAnsi"/>
          <w:bCs/>
          <w:szCs w:val="20"/>
        </w:rPr>
        <w:t xml:space="preserve"> the</w:t>
      </w:r>
      <w:r w:rsidRPr="00085562">
        <w:rPr>
          <w:rFonts w:eastAsiaTheme="majorEastAsia" w:cstheme="minorHAnsi"/>
          <w:bCs/>
          <w:szCs w:val="20"/>
        </w:rPr>
        <w:t xml:space="preserve"> rights to all the relevant IP needed to convert genuine provisional patents to PCT</w:t>
      </w:r>
      <w:r w:rsidR="00AE2913">
        <w:rPr>
          <w:rFonts w:eastAsiaTheme="majorEastAsia" w:cstheme="minorHAnsi"/>
          <w:bCs/>
          <w:szCs w:val="20"/>
        </w:rPr>
        <w:t xml:space="preserve"> patent</w:t>
      </w:r>
      <w:r w:rsidRPr="00085562">
        <w:rPr>
          <w:rFonts w:eastAsiaTheme="majorEastAsia" w:cstheme="minorHAnsi"/>
          <w:bCs/>
          <w:szCs w:val="20"/>
        </w:rPr>
        <w:t>s</w:t>
      </w:r>
      <w:r w:rsidR="006F2931" w:rsidRPr="00085562">
        <w:rPr>
          <w:rFonts w:eastAsiaTheme="majorEastAsia" w:cstheme="minorHAnsi"/>
          <w:bCs/>
          <w:szCs w:val="20"/>
        </w:rPr>
        <w:t xml:space="preserve"> difficult</w:t>
      </w:r>
      <w:r w:rsidRPr="00085562">
        <w:rPr>
          <w:rFonts w:eastAsiaTheme="majorEastAsia" w:cstheme="minorHAnsi"/>
          <w:bCs/>
          <w:szCs w:val="20"/>
        </w:rPr>
        <w:t xml:space="preserve">. </w:t>
      </w:r>
      <w:r w:rsidR="00094ED0" w:rsidRPr="00085562">
        <w:rPr>
          <w:rFonts w:eastAsiaTheme="majorEastAsia" w:cstheme="minorHAnsi"/>
          <w:bCs/>
          <w:szCs w:val="20"/>
        </w:rPr>
        <w:t>We agree that, in</w:t>
      </w:r>
      <w:r w:rsidRPr="00085562">
        <w:rPr>
          <w:rFonts w:eastAsiaTheme="majorEastAsia" w:cstheme="minorHAnsi"/>
          <w:bCs/>
          <w:szCs w:val="20"/>
        </w:rPr>
        <w:t xml:space="preserve"> principle, </w:t>
      </w:r>
      <w:r w:rsidR="006F2931" w:rsidRPr="00085562">
        <w:rPr>
          <w:rFonts w:eastAsiaTheme="majorEastAsia" w:cstheme="minorHAnsi"/>
          <w:bCs/>
          <w:szCs w:val="20"/>
        </w:rPr>
        <w:t xml:space="preserve">this could be overcome by </w:t>
      </w:r>
      <w:r w:rsidRPr="00085562">
        <w:rPr>
          <w:rFonts w:eastAsiaTheme="majorEastAsia" w:cstheme="minorHAnsi"/>
          <w:bCs/>
          <w:szCs w:val="20"/>
        </w:rPr>
        <w:t>ensuring patents based on publicly-funded research that potentially block the development of other patents</w:t>
      </w:r>
      <w:r w:rsidR="006F2931" w:rsidRPr="00085562">
        <w:rPr>
          <w:rFonts w:eastAsiaTheme="majorEastAsia" w:cstheme="minorHAnsi"/>
          <w:bCs/>
          <w:szCs w:val="20"/>
        </w:rPr>
        <w:t>,</w:t>
      </w:r>
      <w:r w:rsidRPr="00085562">
        <w:rPr>
          <w:rFonts w:eastAsiaTheme="majorEastAsia" w:cstheme="minorHAnsi"/>
          <w:bCs/>
          <w:szCs w:val="20"/>
        </w:rPr>
        <w:t xml:space="preserve"> but </w:t>
      </w:r>
      <w:r w:rsidR="006F2931" w:rsidRPr="00085562">
        <w:rPr>
          <w:rFonts w:eastAsiaTheme="majorEastAsia" w:cstheme="minorHAnsi"/>
          <w:bCs/>
          <w:szCs w:val="20"/>
        </w:rPr>
        <w:t xml:space="preserve">that </w:t>
      </w:r>
      <w:r w:rsidRPr="00085562">
        <w:rPr>
          <w:rFonts w:eastAsiaTheme="majorEastAsia" w:cstheme="minorHAnsi"/>
          <w:bCs/>
          <w:szCs w:val="20"/>
        </w:rPr>
        <w:t>have no commercial value in their own right</w:t>
      </w:r>
      <w:r w:rsidR="006F2931" w:rsidRPr="00085562">
        <w:rPr>
          <w:rFonts w:eastAsiaTheme="majorEastAsia" w:cstheme="minorHAnsi"/>
          <w:bCs/>
          <w:szCs w:val="20"/>
        </w:rPr>
        <w:t>,</w:t>
      </w:r>
      <w:r w:rsidRPr="00085562">
        <w:rPr>
          <w:rFonts w:eastAsiaTheme="majorEastAsia" w:cstheme="minorHAnsi"/>
          <w:bCs/>
          <w:szCs w:val="20"/>
        </w:rPr>
        <w:t xml:space="preserve"> are freely available. However, </w:t>
      </w:r>
      <w:r w:rsidR="006F2931" w:rsidRPr="00085562">
        <w:rPr>
          <w:rFonts w:eastAsiaTheme="majorEastAsia" w:cstheme="minorHAnsi"/>
          <w:bCs/>
          <w:szCs w:val="20"/>
        </w:rPr>
        <w:t xml:space="preserve">such a policy in Australia </w:t>
      </w:r>
      <w:r w:rsidRPr="00085562">
        <w:rPr>
          <w:rFonts w:eastAsiaTheme="majorEastAsia" w:cstheme="minorHAnsi"/>
          <w:bCs/>
          <w:szCs w:val="20"/>
        </w:rPr>
        <w:t xml:space="preserve">would have </w:t>
      </w:r>
      <w:r w:rsidR="00AE2913">
        <w:rPr>
          <w:rFonts w:eastAsiaTheme="majorEastAsia" w:cstheme="minorHAnsi"/>
          <w:bCs/>
          <w:szCs w:val="20"/>
        </w:rPr>
        <w:t xml:space="preserve">very </w:t>
      </w:r>
      <w:r w:rsidRPr="00085562">
        <w:rPr>
          <w:rFonts w:eastAsiaTheme="majorEastAsia" w:cstheme="minorHAnsi"/>
          <w:bCs/>
          <w:szCs w:val="20"/>
        </w:rPr>
        <w:t xml:space="preserve">little effect </w:t>
      </w:r>
      <w:r w:rsidR="006F2931" w:rsidRPr="00085562">
        <w:rPr>
          <w:rFonts w:eastAsiaTheme="majorEastAsia" w:cstheme="minorHAnsi"/>
          <w:bCs/>
          <w:szCs w:val="20"/>
        </w:rPr>
        <w:t>here</w:t>
      </w:r>
      <w:r w:rsidRPr="00085562">
        <w:rPr>
          <w:rFonts w:eastAsiaTheme="majorEastAsia" w:cstheme="minorHAnsi"/>
          <w:bCs/>
          <w:szCs w:val="20"/>
        </w:rPr>
        <w:t xml:space="preserve">, as the majority of </w:t>
      </w:r>
      <w:r w:rsidR="006F2931" w:rsidRPr="00085562">
        <w:rPr>
          <w:rFonts w:eastAsiaTheme="majorEastAsia" w:cstheme="minorHAnsi"/>
          <w:bCs/>
          <w:szCs w:val="20"/>
        </w:rPr>
        <w:t xml:space="preserve">Australian </w:t>
      </w:r>
      <w:r w:rsidRPr="00085562">
        <w:rPr>
          <w:rFonts w:eastAsiaTheme="majorEastAsia" w:cstheme="minorHAnsi"/>
          <w:bCs/>
          <w:szCs w:val="20"/>
        </w:rPr>
        <w:t>patents are blocked by international</w:t>
      </w:r>
      <w:r w:rsidR="00AE2913">
        <w:rPr>
          <w:rFonts w:eastAsiaTheme="majorEastAsia" w:cstheme="minorHAnsi"/>
          <w:bCs/>
          <w:szCs w:val="20"/>
        </w:rPr>
        <w:t xml:space="preserve"> provisional</w:t>
      </w:r>
      <w:r w:rsidRPr="00085562">
        <w:rPr>
          <w:rFonts w:eastAsiaTheme="majorEastAsia" w:cstheme="minorHAnsi"/>
          <w:bCs/>
          <w:szCs w:val="20"/>
        </w:rPr>
        <w:t xml:space="preserve"> patents. </w:t>
      </w:r>
    </w:p>
    <w:p w14:paraId="2651EA3F" w14:textId="77777777" w:rsidR="00770BED" w:rsidRPr="00523377" w:rsidRDefault="006C1F5B" w:rsidP="00712BA5">
      <w:pPr>
        <w:pStyle w:val="Heading4"/>
      </w:pPr>
      <w:r w:rsidRPr="00523377">
        <w:t>Establish an online point of access to commercially-relevant research for business</w:t>
      </w:r>
    </w:p>
    <w:p w14:paraId="2651EA40" w14:textId="77777777" w:rsidR="00B47A38" w:rsidRPr="00085562" w:rsidRDefault="000227C2" w:rsidP="00BB0E3F">
      <w:pPr>
        <w:spacing w:before="200" w:after="0"/>
        <w:rPr>
          <w:rFonts w:eastAsiaTheme="majorEastAsia" w:cstheme="minorHAnsi"/>
          <w:bCs/>
          <w:szCs w:val="20"/>
        </w:rPr>
      </w:pPr>
      <w:r w:rsidRPr="00712BA5">
        <w:rPr>
          <w:rStyle w:val="Emphasis"/>
        </w:rPr>
        <w:t xml:space="preserve">While the establishment of an online point of access to commercially-relevant research for business appears </w:t>
      </w:r>
      <w:r w:rsidR="00B47A38" w:rsidRPr="00712BA5">
        <w:rPr>
          <w:rStyle w:val="Emphasis"/>
        </w:rPr>
        <w:t xml:space="preserve">logical </w:t>
      </w:r>
      <w:r w:rsidRPr="00712BA5">
        <w:rPr>
          <w:rStyle w:val="Emphasis"/>
        </w:rPr>
        <w:t>in principle,</w:t>
      </w:r>
      <w:r w:rsidR="00CE14AA" w:rsidRPr="00712BA5">
        <w:rPr>
          <w:rStyle w:val="Emphasis"/>
        </w:rPr>
        <w:t xml:space="preserve"> we believe it would be a costly exercise with limited success.</w:t>
      </w:r>
      <w:r w:rsidR="00CE14AA" w:rsidRPr="00085562">
        <w:rPr>
          <w:rFonts w:eastAsiaTheme="majorEastAsia" w:cstheme="minorHAnsi"/>
          <w:bCs/>
          <w:szCs w:val="20"/>
        </w:rPr>
        <w:t xml:space="preserve"> U</w:t>
      </w:r>
      <w:r w:rsidR="00C110B0" w:rsidRPr="00085562">
        <w:rPr>
          <w:rFonts w:eastAsiaTheme="majorEastAsia" w:cstheme="minorHAnsi"/>
          <w:bCs/>
          <w:szCs w:val="20"/>
        </w:rPr>
        <w:t>niversity tech transfer offices</w:t>
      </w:r>
      <w:r w:rsidR="006C1F5B" w:rsidRPr="00085562">
        <w:rPr>
          <w:rFonts w:eastAsiaTheme="majorEastAsia" w:cstheme="minorHAnsi"/>
          <w:bCs/>
          <w:szCs w:val="20"/>
        </w:rPr>
        <w:t xml:space="preserve"> and other organisations such as the </w:t>
      </w:r>
      <w:r w:rsidR="00BB0E3F" w:rsidRPr="00085562">
        <w:rPr>
          <w:rFonts w:eastAsiaTheme="majorEastAsia" w:cstheme="minorHAnsi"/>
          <w:bCs/>
          <w:szCs w:val="20"/>
        </w:rPr>
        <w:t>Medical Research Commercialisation Fund (</w:t>
      </w:r>
      <w:r w:rsidR="006C1F5B" w:rsidRPr="00085562">
        <w:rPr>
          <w:rFonts w:eastAsiaTheme="majorEastAsia" w:cstheme="minorHAnsi"/>
          <w:bCs/>
          <w:szCs w:val="20"/>
        </w:rPr>
        <w:t>MRCF</w:t>
      </w:r>
      <w:r w:rsidR="00BB0E3F" w:rsidRPr="00085562">
        <w:rPr>
          <w:rFonts w:eastAsiaTheme="majorEastAsia" w:cstheme="minorHAnsi"/>
          <w:bCs/>
          <w:szCs w:val="20"/>
        </w:rPr>
        <w:t>)</w:t>
      </w:r>
      <w:r w:rsidR="00CE14AA" w:rsidRPr="00085562">
        <w:rPr>
          <w:rFonts w:eastAsiaTheme="majorEastAsia" w:cstheme="minorHAnsi"/>
          <w:bCs/>
          <w:szCs w:val="20"/>
        </w:rPr>
        <w:t xml:space="preserve"> already</w:t>
      </w:r>
      <w:r w:rsidR="006C1F5B" w:rsidRPr="00085562">
        <w:rPr>
          <w:rFonts w:eastAsiaTheme="majorEastAsia" w:cstheme="minorHAnsi"/>
          <w:bCs/>
          <w:szCs w:val="20"/>
        </w:rPr>
        <w:t xml:space="preserve"> </w:t>
      </w:r>
      <w:r w:rsidR="00C110B0" w:rsidRPr="00085562">
        <w:rPr>
          <w:rFonts w:eastAsiaTheme="majorEastAsia" w:cstheme="minorHAnsi"/>
          <w:bCs/>
          <w:szCs w:val="20"/>
        </w:rPr>
        <w:t>provide this service tailored to the</w:t>
      </w:r>
      <w:r w:rsidR="00BB0E3F" w:rsidRPr="00085562">
        <w:rPr>
          <w:rFonts w:eastAsiaTheme="majorEastAsia" w:cstheme="minorHAnsi"/>
          <w:bCs/>
          <w:szCs w:val="20"/>
        </w:rPr>
        <w:t xml:space="preserve"> </w:t>
      </w:r>
      <w:r w:rsidR="00C110B0" w:rsidRPr="00085562">
        <w:rPr>
          <w:rFonts w:eastAsiaTheme="majorEastAsia" w:cstheme="minorHAnsi"/>
          <w:bCs/>
          <w:szCs w:val="20"/>
        </w:rPr>
        <w:t>strengths</w:t>
      </w:r>
      <w:r w:rsidR="00BB0E3F" w:rsidRPr="00085562">
        <w:rPr>
          <w:rFonts w:eastAsiaTheme="majorEastAsia" w:cstheme="minorHAnsi"/>
          <w:bCs/>
          <w:szCs w:val="20"/>
        </w:rPr>
        <w:t>, objectives</w:t>
      </w:r>
      <w:r w:rsidR="00C110B0" w:rsidRPr="00085562">
        <w:rPr>
          <w:rFonts w:eastAsiaTheme="majorEastAsia" w:cstheme="minorHAnsi"/>
          <w:bCs/>
          <w:szCs w:val="20"/>
        </w:rPr>
        <w:t xml:space="preserve"> and business models</w:t>
      </w:r>
      <w:r w:rsidR="00BB0E3F" w:rsidRPr="00085562">
        <w:rPr>
          <w:rFonts w:eastAsiaTheme="majorEastAsia" w:cstheme="minorHAnsi"/>
          <w:bCs/>
          <w:szCs w:val="20"/>
        </w:rPr>
        <w:t xml:space="preserve"> of their own organisations</w:t>
      </w:r>
      <w:r w:rsidR="00C110B0" w:rsidRPr="00085562">
        <w:rPr>
          <w:rFonts w:eastAsiaTheme="majorEastAsia" w:cstheme="minorHAnsi"/>
          <w:bCs/>
          <w:szCs w:val="20"/>
        </w:rPr>
        <w:t xml:space="preserve"> (e.g. </w:t>
      </w:r>
      <w:r w:rsidR="00CE14AA" w:rsidRPr="00085562">
        <w:rPr>
          <w:rFonts w:eastAsiaTheme="majorEastAsia" w:cstheme="minorHAnsi"/>
          <w:bCs/>
          <w:szCs w:val="20"/>
        </w:rPr>
        <w:t>contract research</w:t>
      </w:r>
      <w:r w:rsidR="00C110B0" w:rsidRPr="00085562">
        <w:rPr>
          <w:rFonts w:eastAsiaTheme="majorEastAsia" w:cstheme="minorHAnsi"/>
          <w:bCs/>
          <w:szCs w:val="20"/>
        </w:rPr>
        <w:t xml:space="preserve"> versus collaboration versus </w:t>
      </w:r>
      <w:r w:rsidR="00CE14AA" w:rsidRPr="00085562">
        <w:rPr>
          <w:rFonts w:eastAsiaTheme="majorEastAsia" w:cstheme="minorHAnsi"/>
          <w:bCs/>
          <w:szCs w:val="20"/>
        </w:rPr>
        <w:t>IP licensing</w:t>
      </w:r>
      <w:r w:rsidR="00C110B0" w:rsidRPr="00085562">
        <w:rPr>
          <w:rFonts w:eastAsiaTheme="majorEastAsia" w:cstheme="minorHAnsi"/>
          <w:bCs/>
          <w:szCs w:val="20"/>
        </w:rPr>
        <w:t>, etc.)</w:t>
      </w:r>
      <w:r w:rsidR="006C1F5B" w:rsidRPr="00085562">
        <w:rPr>
          <w:rFonts w:eastAsiaTheme="majorEastAsia" w:cstheme="minorHAnsi"/>
          <w:bCs/>
          <w:szCs w:val="20"/>
        </w:rPr>
        <w:t xml:space="preserve">. </w:t>
      </w:r>
      <w:r w:rsidR="00CE14AA" w:rsidRPr="00085562">
        <w:rPr>
          <w:rFonts w:eastAsiaTheme="majorEastAsia" w:cstheme="minorHAnsi"/>
          <w:bCs/>
          <w:szCs w:val="20"/>
        </w:rPr>
        <w:t>A G</w:t>
      </w:r>
      <w:r w:rsidR="00B47A38" w:rsidRPr="00085562">
        <w:rPr>
          <w:rFonts w:eastAsiaTheme="majorEastAsia" w:cstheme="minorHAnsi"/>
          <w:bCs/>
          <w:szCs w:val="20"/>
        </w:rPr>
        <w:t xml:space="preserve">overnment-funded website would duplicate these other resources, require significant resources to maintain, and would face substantial hurdles in keeping the database up-to-date and getting research organisation buy-in. </w:t>
      </w:r>
      <w:r w:rsidR="00CE14AA" w:rsidRPr="00085562">
        <w:rPr>
          <w:rFonts w:eastAsiaTheme="majorEastAsia" w:cstheme="minorHAnsi"/>
          <w:bCs/>
          <w:szCs w:val="20"/>
        </w:rPr>
        <w:t>This model also overlooks the competitive nature of universities and other research organisations in attracting businesses to their research services. Research o</w:t>
      </w:r>
      <w:r w:rsidR="007A504F" w:rsidRPr="00085562">
        <w:rPr>
          <w:rFonts w:eastAsiaTheme="majorEastAsia" w:cstheme="minorHAnsi"/>
          <w:bCs/>
          <w:szCs w:val="20"/>
        </w:rPr>
        <w:t xml:space="preserve">rganisations </w:t>
      </w:r>
      <w:r w:rsidR="00CE14AA" w:rsidRPr="00085562">
        <w:rPr>
          <w:rFonts w:eastAsiaTheme="majorEastAsia" w:cstheme="minorHAnsi"/>
          <w:bCs/>
          <w:szCs w:val="20"/>
        </w:rPr>
        <w:t>also get much more out of their</w:t>
      </w:r>
      <w:r w:rsidR="007A504F" w:rsidRPr="00085562">
        <w:rPr>
          <w:rFonts w:eastAsiaTheme="majorEastAsia" w:cstheme="minorHAnsi"/>
          <w:bCs/>
          <w:szCs w:val="20"/>
        </w:rPr>
        <w:t xml:space="preserve"> own web-based resources, which </w:t>
      </w:r>
      <w:r w:rsidR="00CE14AA" w:rsidRPr="00085562">
        <w:rPr>
          <w:rFonts w:eastAsiaTheme="majorEastAsia" w:cstheme="minorHAnsi"/>
          <w:bCs/>
          <w:szCs w:val="20"/>
        </w:rPr>
        <w:t>are</w:t>
      </w:r>
      <w:r w:rsidR="007A504F" w:rsidRPr="00085562">
        <w:rPr>
          <w:rFonts w:eastAsiaTheme="majorEastAsia" w:cstheme="minorHAnsi"/>
          <w:bCs/>
          <w:szCs w:val="20"/>
        </w:rPr>
        <w:t xml:space="preserve"> tailored and flexible, provide </w:t>
      </w:r>
      <w:r w:rsidR="00CE14AA" w:rsidRPr="00085562">
        <w:rPr>
          <w:rFonts w:eastAsiaTheme="majorEastAsia" w:cstheme="minorHAnsi"/>
          <w:bCs/>
          <w:szCs w:val="20"/>
        </w:rPr>
        <w:t xml:space="preserve">important analytical </w:t>
      </w:r>
      <w:r w:rsidR="007A504F" w:rsidRPr="00085562">
        <w:rPr>
          <w:rFonts w:eastAsiaTheme="majorEastAsia" w:cstheme="minorHAnsi"/>
          <w:bCs/>
          <w:szCs w:val="20"/>
        </w:rPr>
        <w:t xml:space="preserve">information on </w:t>
      </w:r>
      <w:r w:rsidR="00E362D8">
        <w:rPr>
          <w:rFonts w:eastAsiaTheme="majorEastAsia" w:cstheme="minorHAnsi"/>
          <w:bCs/>
          <w:szCs w:val="20"/>
        </w:rPr>
        <w:t xml:space="preserve">web </w:t>
      </w:r>
      <w:r w:rsidR="007A504F" w:rsidRPr="00085562">
        <w:rPr>
          <w:rFonts w:eastAsiaTheme="majorEastAsia" w:cstheme="minorHAnsi"/>
          <w:bCs/>
          <w:szCs w:val="20"/>
        </w:rPr>
        <w:t>traffic, and direct external stakeholders to their organisations.</w:t>
      </w:r>
    </w:p>
    <w:p w14:paraId="2651EA41" w14:textId="77777777" w:rsidR="00C110B0" w:rsidRPr="00085562" w:rsidRDefault="00B47A38" w:rsidP="00BB0E3F">
      <w:pPr>
        <w:spacing w:before="200" w:after="0"/>
        <w:rPr>
          <w:rFonts w:eastAsiaTheme="majorEastAsia" w:cstheme="minorHAnsi"/>
          <w:bCs/>
          <w:szCs w:val="20"/>
        </w:rPr>
      </w:pPr>
      <w:r w:rsidRPr="00085562">
        <w:rPr>
          <w:rFonts w:eastAsiaTheme="majorEastAsia" w:cstheme="minorHAnsi"/>
          <w:bCs/>
          <w:szCs w:val="20"/>
        </w:rPr>
        <w:t>Industry access to research or research expertise (whether in the form of a cons</w:t>
      </w:r>
      <w:r w:rsidR="00E362D8">
        <w:rPr>
          <w:rFonts w:eastAsiaTheme="majorEastAsia" w:cstheme="minorHAnsi"/>
          <w:bCs/>
          <w:szCs w:val="20"/>
        </w:rPr>
        <w:t>ultation service, collaboration or</w:t>
      </w:r>
      <w:r w:rsidRPr="00085562">
        <w:rPr>
          <w:rFonts w:eastAsiaTheme="majorEastAsia" w:cstheme="minorHAnsi"/>
          <w:bCs/>
          <w:szCs w:val="20"/>
        </w:rPr>
        <w:t xml:space="preserve"> interest in </w:t>
      </w:r>
      <w:r w:rsidR="00CE14AA" w:rsidRPr="00085562">
        <w:rPr>
          <w:rFonts w:eastAsiaTheme="majorEastAsia" w:cstheme="minorHAnsi"/>
          <w:bCs/>
          <w:szCs w:val="20"/>
        </w:rPr>
        <w:t xml:space="preserve">the </w:t>
      </w:r>
      <w:r w:rsidRPr="00085562">
        <w:rPr>
          <w:rFonts w:eastAsiaTheme="majorEastAsia" w:cstheme="minorHAnsi"/>
          <w:bCs/>
          <w:szCs w:val="20"/>
        </w:rPr>
        <w:t xml:space="preserve">commercialisation of </w:t>
      </w:r>
      <w:r w:rsidR="00CE14AA" w:rsidRPr="00085562">
        <w:rPr>
          <w:rFonts w:eastAsiaTheme="majorEastAsia" w:cstheme="minorHAnsi"/>
          <w:bCs/>
          <w:szCs w:val="20"/>
        </w:rPr>
        <w:t xml:space="preserve">a </w:t>
      </w:r>
      <w:r w:rsidRPr="00085562">
        <w:rPr>
          <w:rFonts w:eastAsiaTheme="majorEastAsia" w:cstheme="minorHAnsi"/>
          <w:bCs/>
          <w:szCs w:val="20"/>
        </w:rPr>
        <w:t>technology) also requires a tailored service</w:t>
      </w:r>
      <w:r w:rsidR="007A504F" w:rsidRPr="00085562">
        <w:rPr>
          <w:rFonts w:eastAsiaTheme="majorEastAsia" w:cstheme="minorHAnsi"/>
          <w:bCs/>
          <w:szCs w:val="20"/>
        </w:rPr>
        <w:t>,</w:t>
      </w:r>
      <w:r w:rsidRPr="00085562">
        <w:rPr>
          <w:rFonts w:eastAsiaTheme="majorEastAsia" w:cstheme="minorHAnsi"/>
          <w:bCs/>
          <w:szCs w:val="20"/>
        </w:rPr>
        <w:t xml:space="preserve"> </w:t>
      </w:r>
      <w:r w:rsidR="007A504F" w:rsidRPr="00085562">
        <w:rPr>
          <w:rFonts w:eastAsiaTheme="majorEastAsia" w:cstheme="minorHAnsi"/>
          <w:bCs/>
          <w:szCs w:val="20"/>
        </w:rPr>
        <w:t xml:space="preserve">including </w:t>
      </w:r>
      <w:r w:rsidRPr="00085562">
        <w:rPr>
          <w:rFonts w:eastAsiaTheme="majorEastAsia" w:cstheme="minorHAnsi"/>
          <w:bCs/>
          <w:szCs w:val="20"/>
        </w:rPr>
        <w:t>localised know</w:t>
      </w:r>
      <w:r w:rsidR="007A504F" w:rsidRPr="00085562">
        <w:rPr>
          <w:rFonts w:eastAsiaTheme="majorEastAsia" w:cstheme="minorHAnsi"/>
          <w:bCs/>
          <w:szCs w:val="20"/>
        </w:rPr>
        <w:t>ledge, specialised skills</w:t>
      </w:r>
      <w:r w:rsidR="00E362D8">
        <w:rPr>
          <w:rFonts w:eastAsiaTheme="majorEastAsia" w:cstheme="minorHAnsi"/>
          <w:bCs/>
          <w:szCs w:val="20"/>
        </w:rPr>
        <w:t>,</w:t>
      </w:r>
      <w:r w:rsidRPr="00085562">
        <w:rPr>
          <w:rFonts w:eastAsiaTheme="majorEastAsia" w:cstheme="minorHAnsi"/>
          <w:bCs/>
          <w:szCs w:val="20"/>
        </w:rPr>
        <w:t xml:space="preserve"> </w:t>
      </w:r>
      <w:r w:rsidR="007A504F" w:rsidRPr="00085562">
        <w:rPr>
          <w:rFonts w:eastAsiaTheme="majorEastAsia" w:cstheme="minorHAnsi"/>
          <w:bCs/>
          <w:szCs w:val="20"/>
        </w:rPr>
        <w:t xml:space="preserve">and personal follow up, </w:t>
      </w:r>
      <w:r w:rsidRPr="00085562">
        <w:rPr>
          <w:rFonts w:eastAsiaTheme="majorEastAsia" w:cstheme="minorHAnsi"/>
          <w:bCs/>
          <w:szCs w:val="20"/>
        </w:rPr>
        <w:t xml:space="preserve">which would not be provided by a </w:t>
      </w:r>
      <w:r w:rsidR="007A504F" w:rsidRPr="00085562">
        <w:rPr>
          <w:rFonts w:eastAsiaTheme="majorEastAsia" w:cstheme="minorHAnsi"/>
          <w:bCs/>
          <w:szCs w:val="20"/>
        </w:rPr>
        <w:t xml:space="preserve">central </w:t>
      </w:r>
      <w:r w:rsidRPr="00085562">
        <w:rPr>
          <w:rFonts w:eastAsiaTheme="majorEastAsia" w:cstheme="minorHAnsi"/>
          <w:bCs/>
          <w:szCs w:val="20"/>
        </w:rPr>
        <w:t>website</w:t>
      </w:r>
      <w:r w:rsidR="007A504F" w:rsidRPr="00085562">
        <w:rPr>
          <w:rFonts w:eastAsiaTheme="majorEastAsia" w:cstheme="minorHAnsi"/>
          <w:bCs/>
          <w:szCs w:val="20"/>
        </w:rPr>
        <w:t xml:space="preserve"> resourced by government</w:t>
      </w:r>
      <w:r w:rsidRPr="00085562">
        <w:rPr>
          <w:rFonts w:eastAsiaTheme="majorEastAsia" w:cstheme="minorHAnsi"/>
          <w:bCs/>
          <w:szCs w:val="20"/>
        </w:rPr>
        <w:t>.</w:t>
      </w:r>
      <w:r w:rsidR="007A504F" w:rsidRPr="00085562">
        <w:rPr>
          <w:rFonts w:eastAsiaTheme="majorEastAsia" w:cstheme="minorHAnsi"/>
          <w:bCs/>
          <w:szCs w:val="20"/>
        </w:rPr>
        <w:t xml:space="preserve"> </w:t>
      </w:r>
    </w:p>
    <w:p w14:paraId="2651EA42" w14:textId="77777777" w:rsidR="000227C2" w:rsidRPr="00085562" w:rsidRDefault="00CE14AA" w:rsidP="008E3C0A">
      <w:pPr>
        <w:spacing w:before="200" w:after="0"/>
        <w:rPr>
          <w:rFonts w:eastAsiaTheme="majorEastAsia" w:cstheme="minorHAnsi"/>
          <w:bCs/>
          <w:szCs w:val="20"/>
        </w:rPr>
      </w:pPr>
      <w:r w:rsidRPr="00085562">
        <w:rPr>
          <w:rFonts w:eastAsiaTheme="majorEastAsia" w:cstheme="minorHAnsi"/>
          <w:bCs/>
          <w:szCs w:val="20"/>
        </w:rPr>
        <w:t>We suggest that a</w:t>
      </w:r>
      <w:r w:rsidR="007A504F" w:rsidRPr="00085562">
        <w:rPr>
          <w:rFonts w:eastAsiaTheme="majorEastAsia" w:cstheme="minorHAnsi"/>
          <w:bCs/>
          <w:szCs w:val="20"/>
        </w:rPr>
        <w:t xml:space="preserve"> more productive role for the Commonwealth Government would be to provide links to the various websites of research organisations where this information and services are </w:t>
      </w:r>
      <w:r w:rsidR="00A25B9F" w:rsidRPr="00085562">
        <w:rPr>
          <w:rFonts w:eastAsiaTheme="majorEastAsia" w:cstheme="minorHAnsi"/>
          <w:bCs/>
          <w:szCs w:val="20"/>
        </w:rPr>
        <w:t xml:space="preserve">already </w:t>
      </w:r>
      <w:r w:rsidR="007A504F" w:rsidRPr="00085562">
        <w:rPr>
          <w:rFonts w:eastAsiaTheme="majorEastAsia" w:cstheme="minorHAnsi"/>
          <w:bCs/>
          <w:szCs w:val="20"/>
        </w:rPr>
        <w:t xml:space="preserve">available. </w:t>
      </w:r>
    </w:p>
    <w:p w14:paraId="2651EA43" w14:textId="77777777" w:rsidR="009C3CB1" w:rsidRPr="00523377" w:rsidRDefault="000227C2" w:rsidP="00712BA5">
      <w:pPr>
        <w:pStyle w:val="Heading4"/>
      </w:pPr>
      <w:r w:rsidRPr="00523377">
        <w:t>W</w:t>
      </w:r>
      <w:r w:rsidR="00770BED" w:rsidRPr="00523377">
        <w:t>hole-of-</w:t>
      </w:r>
      <w:r w:rsidRPr="00523377">
        <w:t>G</w:t>
      </w:r>
      <w:r w:rsidR="00770BED" w:rsidRPr="00523377">
        <w:t>overnment</w:t>
      </w:r>
      <w:r w:rsidRPr="00523377">
        <w:t xml:space="preserve"> policy to open up access to publicly</w:t>
      </w:r>
      <w:r w:rsidR="0010776C">
        <w:t>-</w:t>
      </w:r>
      <w:r w:rsidRPr="00523377">
        <w:t xml:space="preserve">funded research </w:t>
      </w:r>
    </w:p>
    <w:p w14:paraId="2651EA44" w14:textId="77777777" w:rsidR="000227C2" w:rsidRPr="00C85D34" w:rsidRDefault="002E06C0" w:rsidP="00523377">
      <w:pPr>
        <w:spacing w:before="200" w:after="0"/>
        <w:rPr>
          <w:rFonts w:eastAsiaTheme="majorEastAsia" w:cstheme="minorHAnsi"/>
          <w:bCs/>
          <w:szCs w:val="20"/>
        </w:rPr>
      </w:pPr>
      <w:r w:rsidRPr="00712BA5">
        <w:rPr>
          <w:rStyle w:val="Emphasis"/>
        </w:rPr>
        <w:t>The current policies of the NHMRC and ARC to make</w:t>
      </w:r>
      <w:r w:rsidR="00E362D8" w:rsidRPr="00712BA5">
        <w:rPr>
          <w:rStyle w:val="Emphasis"/>
        </w:rPr>
        <w:t xml:space="preserve"> the results of research public</w:t>
      </w:r>
      <w:r w:rsidRPr="00712BA5">
        <w:rPr>
          <w:rStyle w:val="Emphasis"/>
        </w:rPr>
        <w:t>ly available within 12 months of publication are sufficient</w:t>
      </w:r>
      <w:r w:rsidR="003A57EB" w:rsidRPr="00C85D34">
        <w:rPr>
          <w:rFonts w:eastAsiaTheme="majorEastAsia" w:cstheme="minorHAnsi"/>
          <w:bCs/>
          <w:szCs w:val="20"/>
        </w:rPr>
        <w:t xml:space="preserve"> </w:t>
      </w:r>
      <w:r w:rsidR="00E362D8">
        <w:rPr>
          <w:rFonts w:eastAsiaTheme="majorEastAsia" w:cstheme="minorHAnsi"/>
          <w:bCs/>
          <w:szCs w:val="20"/>
        </w:rPr>
        <w:t>and meet</w:t>
      </w:r>
      <w:r w:rsidR="003A57EB" w:rsidRPr="00C85D34">
        <w:rPr>
          <w:rFonts w:eastAsiaTheme="majorEastAsia" w:cstheme="minorHAnsi"/>
          <w:bCs/>
          <w:szCs w:val="20"/>
        </w:rPr>
        <w:t xml:space="preserve"> international standards</w:t>
      </w:r>
      <w:r w:rsidR="00E362D8">
        <w:rPr>
          <w:rFonts w:eastAsiaTheme="majorEastAsia" w:cstheme="minorHAnsi"/>
          <w:bCs/>
          <w:szCs w:val="20"/>
        </w:rPr>
        <w:t xml:space="preserve"> of </w:t>
      </w:r>
      <w:r w:rsidR="0000430A">
        <w:rPr>
          <w:rFonts w:eastAsiaTheme="majorEastAsia" w:cstheme="minorHAnsi"/>
          <w:bCs/>
          <w:szCs w:val="20"/>
        </w:rPr>
        <w:t>open access to research</w:t>
      </w:r>
      <w:r w:rsidRPr="00C85D34">
        <w:rPr>
          <w:rFonts w:eastAsiaTheme="majorEastAsia" w:cstheme="minorHAnsi"/>
          <w:bCs/>
          <w:szCs w:val="20"/>
        </w:rPr>
        <w:t xml:space="preserve">. These recent policy changes have resulted in a significant </w:t>
      </w:r>
      <w:r w:rsidRPr="00C85D34">
        <w:rPr>
          <w:rFonts w:eastAsiaTheme="majorEastAsia" w:cstheme="minorHAnsi"/>
          <w:bCs/>
          <w:szCs w:val="20"/>
        </w:rPr>
        <w:lastRenderedPageBreak/>
        <w:t>administrative burden on research organisations</w:t>
      </w:r>
      <w:r w:rsidR="003A57EB" w:rsidRPr="00C85D34">
        <w:rPr>
          <w:rFonts w:eastAsiaTheme="majorEastAsia" w:cstheme="minorHAnsi"/>
          <w:bCs/>
          <w:szCs w:val="20"/>
        </w:rPr>
        <w:t xml:space="preserve">, many of which are still putting in place the necessary processes to meet the </w:t>
      </w:r>
      <w:r w:rsidR="00250AA5" w:rsidRPr="00C85D34">
        <w:rPr>
          <w:rFonts w:eastAsiaTheme="majorEastAsia" w:cstheme="minorHAnsi"/>
          <w:bCs/>
          <w:szCs w:val="20"/>
        </w:rPr>
        <w:t xml:space="preserve">new </w:t>
      </w:r>
      <w:r w:rsidR="003A57EB" w:rsidRPr="00C85D34">
        <w:rPr>
          <w:rFonts w:eastAsiaTheme="majorEastAsia" w:cstheme="minorHAnsi"/>
          <w:bCs/>
          <w:szCs w:val="20"/>
        </w:rPr>
        <w:t>requirements. W</w:t>
      </w:r>
      <w:r w:rsidR="000F2F82" w:rsidRPr="00C85D34">
        <w:rPr>
          <w:rFonts w:eastAsiaTheme="majorEastAsia" w:cstheme="minorHAnsi"/>
          <w:bCs/>
          <w:szCs w:val="20"/>
        </w:rPr>
        <w:t xml:space="preserve">e </w:t>
      </w:r>
      <w:r w:rsidRPr="00C85D34">
        <w:rPr>
          <w:rFonts w:eastAsiaTheme="majorEastAsia" w:cstheme="minorHAnsi"/>
          <w:bCs/>
          <w:szCs w:val="20"/>
        </w:rPr>
        <w:t>do not recommend any additional polic</w:t>
      </w:r>
      <w:r w:rsidR="00E05BC1" w:rsidRPr="00C85D34">
        <w:rPr>
          <w:rFonts w:eastAsiaTheme="majorEastAsia" w:cstheme="minorHAnsi"/>
          <w:bCs/>
          <w:szCs w:val="20"/>
        </w:rPr>
        <w:t>y requirements at this stage</w:t>
      </w:r>
      <w:r w:rsidR="00E362D8">
        <w:rPr>
          <w:rFonts w:eastAsiaTheme="majorEastAsia" w:cstheme="minorHAnsi"/>
          <w:bCs/>
          <w:szCs w:val="20"/>
        </w:rPr>
        <w:t>;</w:t>
      </w:r>
      <w:r w:rsidR="00E05BC1" w:rsidRPr="00C85D34">
        <w:rPr>
          <w:rFonts w:eastAsiaTheme="majorEastAsia" w:cstheme="minorHAnsi"/>
          <w:bCs/>
          <w:szCs w:val="20"/>
        </w:rPr>
        <w:t xml:space="preserve"> any future changes should </w:t>
      </w:r>
      <w:r w:rsidR="0000430A">
        <w:rPr>
          <w:rFonts w:eastAsiaTheme="majorEastAsia" w:cstheme="minorHAnsi"/>
          <w:bCs/>
          <w:szCs w:val="20"/>
        </w:rPr>
        <w:t>first</w:t>
      </w:r>
      <w:r w:rsidR="00E362D8">
        <w:rPr>
          <w:rFonts w:eastAsiaTheme="majorEastAsia" w:cstheme="minorHAnsi"/>
          <w:bCs/>
          <w:szCs w:val="20"/>
        </w:rPr>
        <w:t xml:space="preserve"> </w:t>
      </w:r>
      <w:r w:rsidR="00E05BC1" w:rsidRPr="00C85D34">
        <w:rPr>
          <w:rFonts w:eastAsiaTheme="majorEastAsia" w:cstheme="minorHAnsi"/>
          <w:bCs/>
          <w:szCs w:val="20"/>
        </w:rPr>
        <w:t xml:space="preserve">require </w:t>
      </w:r>
      <w:r w:rsidR="0000430A">
        <w:rPr>
          <w:rFonts w:eastAsiaTheme="majorEastAsia" w:cstheme="minorHAnsi"/>
          <w:bCs/>
          <w:szCs w:val="20"/>
        </w:rPr>
        <w:t xml:space="preserve">an </w:t>
      </w:r>
      <w:r w:rsidR="00E05BC1" w:rsidRPr="00C85D34">
        <w:rPr>
          <w:rFonts w:eastAsiaTheme="majorEastAsia" w:cstheme="minorHAnsi"/>
          <w:bCs/>
          <w:szCs w:val="20"/>
        </w:rPr>
        <w:t>assessment of the effectiveness of the</w:t>
      </w:r>
      <w:r w:rsidR="0000430A">
        <w:rPr>
          <w:rFonts w:eastAsiaTheme="majorEastAsia" w:cstheme="minorHAnsi"/>
          <w:bCs/>
          <w:szCs w:val="20"/>
        </w:rPr>
        <w:t xml:space="preserve"> open access </w:t>
      </w:r>
      <w:r w:rsidR="00E05BC1" w:rsidRPr="00C85D34">
        <w:rPr>
          <w:rFonts w:eastAsiaTheme="majorEastAsia" w:cstheme="minorHAnsi"/>
          <w:bCs/>
          <w:szCs w:val="20"/>
        </w:rPr>
        <w:t>policy reforms to date in improving access to research.</w:t>
      </w:r>
    </w:p>
    <w:p w14:paraId="2651EA45" w14:textId="77777777" w:rsidR="000227C2" w:rsidRPr="00523377" w:rsidRDefault="000227C2" w:rsidP="00712BA5">
      <w:pPr>
        <w:pStyle w:val="Heading4"/>
      </w:pPr>
      <w:r w:rsidRPr="00523377">
        <w:t xml:space="preserve">IP toolkit to simplify </w:t>
      </w:r>
      <w:r w:rsidR="00081D35">
        <w:t>negotiations</w:t>
      </w:r>
      <w:r w:rsidRPr="00523377">
        <w:t xml:space="preserve"> relating to IP between researchers and i</w:t>
      </w:r>
      <w:r w:rsidR="0039273C">
        <w:t>ndustry</w:t>
      </w:r>
    </w:p>
    <w:p w14:paraId="2651EA46" w14:textId="77777777" w:rsidR="00744D81" w:rsidRPr="00C85D34" w:rsidRDefault="0000430A" w:rsidP="00523377">
      <w:pPr>
        <w:spacing w:before="200" w:after="0"/>
        <w:rPr>
          <w:rFonts w:eastAsiaTheme="majorEastAsia" w:cstheme="minorHAnsi"/>
          <w:bCs/>
          <w:szCs w:val="20"/>
        </w:rPr>
      </w:pPr>
      <w:r>
        <w:rPr>
          <w:rFonts w:eastAsiaTheme="majorEastAsia" w:cstheme="minorHAnsi"/>
          <w:bCs/>
          <w:szCs w:val="20"/>
        </w:rPr>
        <w:t xml:space="preserve">An IP toolkit </w:t>
      </w:r>
      <w:r w:rsidR="00B22EDA">
        <w:rPr>
          <w:rFonts w:eastAsiaTheme="majorEastAsia" w:cstheme="minorHAnsi"/>
          <w:bCs/>
          <w:szCs w:val="20"/>
        </w:rPr>
        <w:t>could have</w:t>
      </w:r>
      <w:r>
        <w:rPr>
          <w:rFonts w:eastAsiaTheme="majorEastAsia" w:cstheme="minorHAnsi"/>
          <w:bCs/>
          <w:szCs w:val="20"/>
        </w:rPr>
        <w:t xml:space="preserve"> some limited use to research organisations,</w:t>
      </w:r>
      <w:r w:rsidR="00B91B65" w:rsidRPr="00C85D34">
        <w:rPr>
          <w:rFonts w:eastAsiaTheme="majorEastAsia" w:cstheme="minorHAnsi"/>
          <w:bCs/>
          <w:szCs w:val="20"/>
        </w:rPr>
        <w:t xml:space="preserve"> depending on what it included</w:t>
      </w:r>
      <w:r w:rsidR="00E475F9" w:rsidRPr="00C85D34">
        <w:rPr>
          <w:rFonts w:eastAsiaTheme="majorEastAsia" w:cstheme="minorHAnsi"/>
          <w:bCs/>
          <w:szCs w:val="20"/>
        </w:rPr>
        <w:t xml:space="preserve"> and the level of industry input into its development</w:t>
      </w:r>
      <w:r w:rsidR="00B91B65" w:rsidRPr="00C85D34">
        <w:rPr>
          <w:rFonts w:eastAsiaTheme="majorEastAsia" w:cstheme="minorHAnsi"/>
          <w:bCs/>
          <w:szCs w:val="20"/>
        </w:rPr>
        <w:t>.</w:t>
      </w:r>
      <w:r w:rsidR="008F02AB" w:rsidRPr="00C85D34">
        <w:rPr>
          <w:rFonts w:eastAsiaTheme="majorEastAsia" w:cstheme="minorHAnsi"/>
          <w:bCs/>
          <w:szCs w:val="20"/>
        </w:rPr>
        <w:t xml:space="preserve"> However, th</w:t>
      </w:r>
      <w:r w:rsidR="00B91B65" w:rsidRPr="00C85D34">
        <w:rPr>
          <w:rFonts w:eastAsiaTheme="majorEastAsia" w:cstheme="minorHAnsi"/>
          <w:bCs/>
          <w:szCs w:val="20"/>
        </w:rPr>
        <w:t xml:space="preserve">e key to simplifying negotiations relating to IP is </w:t>
      </w:r>
      <w:r w:rsidR="00B22EDA">
        <w:rPr>
          <w:rFonts w:eastAsiaTheme="majorEastAsia" w:cstheme="minorHAnsi"/>
          <w:bCs/>
          <w:szCs w:val="20"/>
        </w:rPr>
        <w:t xml:space="preserve">for </w:t>
      </w:r>
      <w:r w:rsidR="00EA59F1">
        <w:rPr>
          <w:rFonts w:eastAsiaTheme="majorEastAsia" w:cstheme="minorHAnsi"/>
          <w:bCs/>
          <w:szCs w:val="20"/>
        </w:rPr>
        <w:t xml:space="preserve">the </w:t>
      </w:r>
      <w:r w:rsidR="00B91B65" w:rsidRPr="00C85D34">
        <w:rPr>
          <w:rFonts w:eastAsiaTheme="majorEastAsia" w:cstheme="minorHAnsi"/>
          <w:bCs/>
          <w:szCs w:val="20"/>
        </w:rPr>
        <w:t xml:space="preserve">partners to the contract </w:t>
      </w:r>
      <w:r w:rsidR="00B22EDA">
        <w:rPr>
          <w:rFonts w:eastAsiaTheme="majorEastAsia" w:cstheme="minorHAnsi"/>
          <w:bCs/>
          <w:szCs w:val="20"/>
        </w:rPr>
        <w:t xml:space="preserve">to </w:t>
      </w:r>
      <w:r w:rsidR="00B91B65" w:rsidRPr="00C85D34">
        <w:rPr>
          <w:rFonts w:eastAsiaTheme="majorEastAsia" w:cstheme="minorHAnsi"/>
          <w:bCs/>
          <w:szCs w:val="20"/>
        </w:rPr>
        <w:t>have access to accurate professional advice, and fair evaluation and valuation of the IP. Australia lacks s</w:t>
      </w:r>
      <w:r w:rsidR="00B22EDA">
        <w:rPr>
          <w:rFonts w:eastAsiaTheme="majorEastAsia" w:cstheme="minorHAnsi"/>
          <w:bCs/>
          <w:szCs w:val="20"/>
        </w:rPr>
        <w:t xml:space="preserve">killed experts in IP evaluation and </w:t>
      </w:r>
      <w:r w:rsidR="00B91B65" w:rsidRPr="00C85D34">
        <w:rPr>
          <w:rFonts w:eastAsiaTheme="majorEastAsia" w:cstheme="minorHAnsi"/>
          <w:bCs/>
          <w:szCs w:val="20"/>
        </w:rPr>
        <w:t xml:space="preserve">valuation. </w:t>
      </w:r>
      <w:r w:rsidR="00B22EDA" w:rsidRPr="00712BA5">
        <w:rPr>
          <w:rStyle w:val="Emphasis"/>
        </w:rPr>
        <w:t>Therefore, m</w:t>
      </w:r>
      <w:r w:rsidR="00B91B65" w:rsidRPr="00712BA5">
        <w:rPr>
          <w:rStyle w:val="Emphasis"/>
        </w:rPr>
        <w:t>ore important</w:t>
      </w:r>
      <w:r w:rsidR="008F02AB" w:rsidRPr="00712BA5">
        <w:rPr>
          <w:rStyle w:val="Emphasis"/>
        </w:rPr>
        <w:t xml:space="preserve"> than an</w:t>
      </w:r>
      <w:r w:rsidR="00B91B65" w:rsidRPr="00712BA5">
        <w:rPr>
          <w:rStyle w:val="Emphasis"/>
        </w:rPr>
        <w:t xml:space="preserve"> IP toolkit is funding to access professional advice</w:t>
      </w:r>
      <w:r w:rsidR="0074468E" w:rsidRPr="00712BA5">
        <w:rPr>
          <w:rStyle w:val="Emphasis"/>
        </w:rPr>
        <w:t xml:space="preserve"> (for example, through small grants from the Entrepreneurs’ Infrastructure Programme)</w:t>
      </w:r>
      <w:r w:rsidR="00B91B65" w:rsidRPr="00712BA5">
        <w:rPr>
          <w:rStyle w:val="Emphasis"/>
        </w:rPr>
        <w:t xml:space="preserve">, including </w:t>
      </w:r>
      <w:r w:rsidR="0074468E" w:rsidRPr="00712BA5">
        <w:rPr>
          <w:rStyle w:val="Emphasis"/>
        </w:rPr>
        <w:t xml:space="preserve">the potential to import </w:t>
      </w:r>
      <w:r w:rsidR="00B91B65" w:rsidRPr="00712BA5">
        <w:rPr>
          <w:rStyle w:val="Emphasis"/>
        </w:rPr>
        <w:t>talent on a case to case basis.</w:t>
      </w:r>
      <w:r w:rsidR="00B91B65" w:rsidRPr="00C85D34">
        <w:rPr>
          <w:rFonts w:eastAsiaTheme="majorEastAsia" w:cstheme="minorHAnsi"/>
          <w:bCs/>
          <w:szCs w:val="20"/>
        </w:rPr>
        <w:t xml:space="preserve"> </w:t>
      </w:r>
    </w:p>
    <w:p w14:paraId="2651EA47" w14:textId="77777777" w:rsidR="003F69D6" w:rsidRPr="002D6A9A" w:rsidRDefault="003F69D6" w:rsidP="00712BA5">
      <w:pPr>
        <w:pStyle w:val="Heading3"/>
      </w:pPr>
      <w:r w:rsidRPr="002D6A9A">
        <w:t>4. Increase industry relevant research training</w:t>
      </w:r>
    </w:p>
    <w:p w14:paraId="2651EA48" w14:textId="77777777" w:rsidR="003774B7" w:rsidRPr="00C85D34" w:rsidRDefault="00ED7168" w:rsidP="008E3C0A">
      <w:pPr>
        <w:spacing w:before="200" w:after="0"/>
        <w:rPr>
          <w:rFonts w:eastAsiaTheme="majorEastAsia" w:cstheme="minorHAnsi"/>
          <w:bCs/>
          <w:szCs w:val="20"/>
        </w:rPr>
      </w:pPr>
      <w:r w:rsidRPr="00712BA5">
        <w:rPr>
          <w:rStyle w:val="Emphasis"/>
        </w:rPr>
        <w:t>AAMRI s</w:t>
      </w:r>
      <w:r w:rsidR="00B87547" w:rsidRPr="00712BA5">
        <w:rPr>
          <w:rStyle w:val="Emphasis"/>
        </w:rPr>
        <w:t>upport</w:t>
      </w:r>
      <w:r w:rsidRPr="00712BA5">
        <w:rPr>
          <w:rStyle w:val="Emphasis"/>
        </w:rPr>
        <w:t>s</w:t>
      </w:r>
      <w:r w:rsidR="00B87547" w:rsidRPr="00712BA5">
        <w:rPr>
          <w:rStyle w:val="Emphasis"/>
        </w:rPr>
        <w:t xml:space="preserve"> changes in research training arrangements requiring </w:t>
      </w:r>
      <w:r w:rsidRPr="00712BA5">
        <w:rPr>
          <w:rStyle w:val="Emphasis"/>
        </w:rPr>
        <w:t>a commercialisation component in PhD programmes.</w:t>
      </w:r>
      <w:r w:rsidRPr="00C85D34">
        <w:rPr>
          <w:rFonts w:eastAsiaTheme="majorEastAsia" w:cstheme="minorHAnsi"/>
          <w:bCs/>
          <w:szCs w:val="20"/>
        </w:rPr>
        <w:t xml:space="preserve"> </w:t>
      </w:r>
      <w:r w:rsidR="00886E2B" w:rsidRPr="00C85D34">
        <w:rPr>
          <w:rFonts w:eastAsiaTheme="majorEastAsia" w:cstheme="minorHAnsi"/>
          <w:bCs/>
          <w:szCs w:val="20"/>
        </w:rPr>
        <w:t xml:space="preserve">An excellent example of a low-cost, valuable programme is the former commercialisation ‘boot camp’ run by IMBCom, </w:t>
      </w:r>
      <w:r w:rsidR="000870EA">
        <w:rPr>
          <w:rFonts w:eastAsiaTheme="majorEastAsia" w:cstheme="minorHAnsi"/>
          <w:bCs/>
          <w:szCs w:val="20"/>
        </w:rPr>
        <w:t xml:space="preserve">previously </w:t>
      </w:r>
      <w:r w:rsidR="00886E2B" w:rsidRPr="00C85D34">
        <w:rPr>
          <w:rFonts w:eastAsiaTheme="majorEastAsia" w:cstheme="minorHAnsi"/>
          <w:bCs/>
          <w:szCs w:val="20"/>
        </w:rPr>
        <w:t>mandatory for all PhD students at the Institute for Molecular Bioscience (UQ).</w:t>
      </w:r>
    </w:p>
    <w:p w14:paraId="2651EA49" w14:textId="77777777" w:rsidR="002E06C0" w:rsidRPr="00D34EB6" w:rsidRDefault="003774B7" w:rsidP="003E0B33">
      <w:pPr>
        <w:spacing w:before="200" w:after="0"/>
        <w:rPr>
          <w:rFonts w:eastAsiaTheme="majorEastAsia" w:cstheme="minorHAnsi"/>
          <w:bCs/>
          <w:szCs w:val="20"/>
        </w:rPr>
      </w:pPr>
      <w:r w:rsidRPr="00712BA5">
        <w:rPr>
          <w:rStyle w:val="Emphasis"/>
        </w:rPr>
        <w:t>We also support the provision of more intensive</w:t>
      </w:r>
      <w:r w:rsidR="002E06C0" w:rsidRPr="00712BA5">
        <w:rPr>
          <w:rStyle w:val="Emphasis"/>
        </w:rPr>
        <w:t xml:space="preserve"> professional development</w:t>
      </w:r>
      <w:r w:rsidRPr="00712BA5">
        <w:rPr>
          <w:rStyle w:val="Emphasis"/>
        </w:rPr>
        <w:t xml:space="preserve"> programmes aimed at skilling up early- to mid-career researchers.</w:t>
      </w:r>
      <w:r w:rsidRPr="00D34EB6">
        <w:rPr>
          <w:rFonts w:eastAsiaTheme="majorEastAsia" w:cstheme="minorHAnsi"/>
          <w:b/>
          <w:bCs/>
          <w:szCs w:val="20"/>
        </w:rPr>
        <w:t xml:space="preserve"> </w:t>
      </w:r>
      <w:r w:rsidR="00D34EB6">
        <w:rPr>
          <w:rFonts w:eastAsiaTheme="majorEastAsia" w:cstheme="minorHAnsi"/>
          <w:bCs/>
          <w:szCs w:val="20"/>
        </w:rPr>
        <w:t>However,</w:t>
      </w:r>
      <w:r w:rsidR="007A2BF9">
        <w:rPr>
          <w:rFonts w:eastAsiaTheme="majorEastAsia" w:cstheme="minorHAnsi"/>
          <w:bCs/>
          <w:szCs w:val="20"/>
        </w:rPr>
        <w:t xml:space="preserve"> the insufficient funding of research organisations for </w:t>
      </w:r>
      <w:r w:rsidR="00D34EB6">
        <w:rPr>
          <w:rFonts w:eastAsiaTheme="majorEastAsia" w:cstheme="minorHAnsi"/>
          <w:bCs/>
          <w:szCs w:val="20"/>
        </w:rPr>
        <w:t xml:space="preserve">the indirect costs of research </w:t>
      </w:r>
      <w:r w:rsidR="007A2BF9">
        <w:rPr>
          <w:rFonts w:eastAsiaTheme="majorEastAsia" w:cstheme="minorHAnsi"/>
          <w:bCs/>
          <w:szCs w:val="20"/>
        </w:rPr>
        <w:t>means that</w:t>
      </w:r>
      <w:r w:rsidR="00D34EB6">
        <w:rPr>
          <w:rFonts w:eastAsiaTheme="majorEastAsia" w:cstheme="minorHAnsi"/>
          <w:bCs/>
          <w:szCs w:val="20"/>
        </w:rPr>
        <w:t xml:space="preserve"> the provision of such programmes </w:t>
      </w:r>
      <w:r w:rsidR="00F71884">
        <w:rPr>
          <w:rFonts w:eastAsiaTheme="majorEastAsia" w:cstheme="minorHAnsi"/>
          <w:bCs/>
          <w:szCs w:val="20"/>
        </w:rPr>
        <w:t xml:space="preserve">is </w:t>
      </w:r>
      <w:r w:rsidR="007A2BF9">
        <w:rPr>
          <w:rFonts w:eastAsiaTheme="majorEastAsia" w:cstheme="minorHAnsi"/>
          <w:bCs/>
          <w:szCs w:val="20"/>
        </w:rPr>
        <w:t>difficult</w:t>
      </w:r>
      <w:r w:rsidR="00D34EB6">
        <w:rPr>
          <w:rFonts w:eastAsiaTheme="majorEastAsia" w:cstheme="minorHAnsi"/>
          <w:bCs/>
          <w:szCs w:val="20"/>
        </w:rPr>
        <w:t>.</w:t>
      </w:r>
    </w:p>
    <w:p w14:paraId="2651EA4A" w14:textId="77777777" w:rsidR="002E06C0" w:rsidRPr="00C85D34" w:rsidRDefault="002E06C0" w:rsidP="002E06C0">
      <w:pPr>
        <w:spacing w:before="200" w:after="0"/>
        <w:rPr>
          <w:rFonts w:cstheme="minorHAnsi"/>
        </w:rPr>
      </w:pPr>
      <w:r w:rsidRPr="00C85D34">
        <w:rPr>
          <w:rFonts w:cstheme="minorHAnsi"/>
        </w:rPr>
        <w:t>The CRC Programme is arguably the most cost-effective and useful Commonwealth</w:t>
      </w:r>
      <w:r w:rsidR="00886E2B" w:rsidRPr="00C85D34">
        <w:rPr>
          <w:rFonts w:cstheme="minorHAnsi"/>
        </w:rPr>
        <w:t xml:space="preserve"> Government scheme </w:t>
      </w:r>
      <w:r w:rsidR="00F71884">
        <w:rPr>
          <w:rFonts w:cstheme="minorHAnsi"/>
        </w:rPr>
        <w:t>at</w:t>
      </w:r>
      <w:r w:rsidR="00886E2B" w:rsidRPr="00C85D34">
        <w:rPr>
          <w:rFonts w:cstheme="minorHAnsi"/>
        </w:rPr>
        <w:t xml:space="preserve"> providing intensive </w:t>
      </w:r>
      <w:r w:rsidRPr="00C85D34">
        <w:rPr>
          <w:rFonts w:cstheme="minorHAnsi"/>
        </w:rPr>
        <w:t xml:space="preserve">skills in how to operate with industry. Such skills </w:t>
      </w:r>
      <w:r w:rsidR="00886E2B" w:rsidRPr="00C85D34">
        <w:rPr>
          <w:rFonts w:cstheme="minorHAnsi"/>
        </w:rPr>
        <w:t>and experience are</w:t>
      </w:r>
      <w:r w:rsidRPr="00C85D34">
        <w:rPr>
          <w:rFonts w:cstheme="minorHAnsi"/>
        </w:rPr>
        <w:t xml:space="preserve"> extremely valuable in bringing about bottom-up cultural change and developing future leaders in industry-research links. However, only a small number of researchers access the CRC programme, and other more generalised schemes are needed to ensure a broad industry/commercialisation understanding and skills across the research workforce.</w:t>
      </w:r>
    </w:p>
    <w:p w14:paraId="2651EA4B" w14:textId="77777777" w:rsidR="003E0B33" w:rsidRPr="00C85D34" w:rsidRDefault="003E0B33" w:rsidP="003E0B33">
      <w:pPr>
        <w:spacing w:before="200" w:after="0"/>
        <w:rPr>
          <w:rFonts w:eastAsiaTheme="majorEastAsia" w:cstheme="minorHAnsi"/>
          <w:bCs/>
          <w:szCs w:val="20"/>
        </w:rPr>
      </w:pPr>
      <w:r w:rsidRPr="00C85D34">
        <w:rPr>
          <w:rFonts w:eastAsiaTheme="majorEastAsia" w:cstheme="minorHAnsi"/>
          <w:bCs/>
          <w:szCs w:val="20"/>
        </w:rPr>
        <w:t xml:space="preserve">In the health and medical research sector, the NHMRC Career Development Fellowship scheme aims to build researcher capability in industry skills. However, in 2014, the NHMRC funded just two </w:t>
      </w:r>
      <w:r w:rsidR="002E06C0" w:rsidRPr="00C85D34">
        <w:rPr>
          <w:rFonts w:eastAsiaTheme="majorEastAsia" w:cstheme="minorHAnsi"/>
          <w:bCs/>
          <w:szCs w:val="20"/>
        </w:rPr>
        <w:t xml:space="preserve">new </w:t>
      </w:r>
      <w:r w:rsidRPr="00C85D34">
        <w:rPr>
          <w:rFonts w:eastAsiaTheme="majorEastAsia" w:cstheme="minorHAnsi"/>
          <w:bCs/>
          <w:szCs w:val="20"/>
        </w:rPr>
        <w:t>Industry Career Development Fellowships.</w:t>
      </w:r>
    </w:p>
    <w:p w14:paraId="2651EA4C" w14:textId="77777777" w:rsidR="002D6A9A" w:rsidRPr="00C85D34" w:rsidRDefault="003774B7" w:rsidP="008E3C0A">
      <w:pPr>
        <w:spacing w:before="200" w:after="0"/>
        <w:rPr>
          <w:rFonts w:eastAsiaTheme="majorEastAsia" w:cstheme="minorHAnsi"/>
          <w:bCs/>
          <w:szCs w:val="20"/>
        </w:rPr>
      </w:pPr>
      <w:r w:rsidRPr="00C85D34">
        <w:rPr>
          <w:rFonts w:eastAsiaTheme="majorEastAsia" w:cstheme="minorHAnsi"/>
          <w:bCs/>
          <w:szCs w:val="20"/>
        </w:rPr>
        <w:t xml:space="preserve">An excellent </w:t>
      </w:r>
      <w:r w:rsidR="00ED7168" w:rsidRPr="00C85D34">
        <w:rPr>
          <w:rFonts w:eastAsiaTheme="majorEastAsia" w:cstheme="minorHAnsi"/>
          <w:bCs/>
          <w:szCs w:val="20"/>
        </w:rPr>
        <w:t>example</w:t>
      </w:r>
      <w:r w:rsidRPr="00C85D34">
        <w:rPr>
          <w:rFonts w:eastAsiaTheme="majorEastAsia" w:cstheme="minorHAnsi"/>
          <w:bCs/>
          <w:szCs w:val="20"/>
        </w:rPr>
        <w:t xml:space="preserve"> of </w:t>
      </w:r>
      <w:r w:rsidR="003E0B33" w:rsidRPr="00C85D34">
        <w:rPr>
          <w:rFonts w:eastAsiaTheme="majorEastAsia" w:cstheme="minorHAnsi"/>
          <w:bCs/>
          <w:szCs w:val="20"/>
        </w:rPr>
        <w:t xml:space="preserve">an independent </w:t>
      </w:r>
      <w:r w:rsidR="002E06C0" w:rsidRPr="00C85D34">
        <w:rPr>
          <w:rFonts w:eastAsiaTheme="majorEastAsia" w:cstheme="minorHAnsi"/>
          <w:bCs/>
          <w:szCs w:val="20"/>
        </w:rPr>
        <w:t>professional development programme</w:t>
      </w:r>
      <w:r w:rsidR="00886E2B" w:rsidRPr="00C85D34">
        <w:rPr>
          <w:rFonts w:eastAsiaTheme="majorEastAsia" w:cstheme="minorHAnsi"/>
          <w:bCs/>
          <w:szCs w:val="20"/>
        </w:rPr>
        <w:t xml:space="preserve"> aimed at early- and mid-career researchers</w:t>
      </w:r>
      <w:r w:rsidR="002E06C0" w:rsidRPr="00C85D34">
        <w:rPr>
          <w:rFonts w:eastAsiaTheme="majorEastAsia" w:cstheme="minorHAnsi"/>
          <w:bCs/>
          <w:szCs w:val="20"/>
        </w:rPr>
        <w:t xml:space="preserve"> is </w:t>
      </w:r>
      <w:r w:rsidRPr="00C85D34">
        <w:rPr>
          <w:rFonts w:eastAsiaTheme="majorEastAsia" w:cstheme="minorHAnsi"/>
          <w:bCs/>
          <w:szCs w:val="20"/>
        </w:rPr>
        <w:t>the</w:t>
      </w:r>
      <w:r w:rsidR="00ED7168" w:rsidRPr="00C85D34">
        <w:rPr>
          <w:rFonts w:eastAsiaTheme="majorEastAsia" w:cstheme="minorHAnsi"/>
          <w:bCs/>
          <w:szCs w:val="20"/>
        </w:rPr>
        <w:t xml:space="preserve"> </w:t>
      </w:r>
      <w:hyperlink r:id="rId12" w:history="1">
        <w:r w:rsidR="00ED7168" w:rsidRPr="00C85D34">
          <w:rPr>
            <w:rStyle w:val="Hyperlink"/>
            <w:rFonts w:eastAsiaTheme="majorEastAsia" w:cstheme="minorHAnsi"/>
            <w:bCs/>
            <w:szCs w:val="20"/>
          </w:rPr>
          <w:t>Molecules to Medicine program</w:t>
        </w:r>
      </w:hyperlink>
      <w:r w:rsidR="00ED7168" w:rsidRPr="00C85D34">
        <w:rPr>
          <w:rFonts w:eastAsiaTheme="majorEastAsia" w:cstheme="minorHAnsi"/>
          <w:bCs/>
          <w:szCs w:val="20"/>
        </w:rPr>
        <w:t xml:space="preserve">, </w:t>
      </w:r>
      <w:r w:rsidRPr="00C85D34">
        <w:rPr>
          <w:rFonts w:eastAsiaTheme="majorEastAsia" w:cstheme="minorHAnsi"/>
          <w:bCs/>
          <w:szCs w:val="20"/>
        </w:rPr>
        <w:t>sponsored by the Victorian Government</w:t>
      </w:r>
      <w:r w:rsidR="00757826" w:rsidRPr="00C85D34">
        <w:rPr>
          <w:rFonts w:eastAsiaTheme="majorEastAsia" w:cstheme="minorHAnsi"/>
          <w:bCs/>
          <w:szCs w:val="20"/>
        </w:rPr>
        <w:t xml:space="preserve"> and open to all Victorian biomedical research organisations</w:t>
      </w:r>
      <w:r w:rsidR="00ED7168" w:rsidRPr="00C85D34">
        <w:rPr>
          <w:rFonts w:eastAsiaTheme="majorEastAsia" w:cstheme="minorHAnsi"/>
          <w:bCs/>
          <w:szCs w:val="20"/>
        </w:rPr>
        <w:t>.</w:t>
      </w:r>
    </w:p>
    <w:p w14:paraId="2651EA4D" w14:textId="77777777" w:rsidR="003A7A08" w:rsidRPr="006C596C" w:rsidRDefault="003A7A08" w:rsidP="00712BA5">
      <w:pPr>
        <w:pStyle w:val="Heading4"/>
      </w:pPr>
      <w:r w:rsidRPr="006C596C">
        <w:t>5. Measurement of outcomes</w:t>
      </w:r>
    </w:p>
    <w:p w14:paraId="2651EA4E" w14:textId="77777777" w:rsidR="006200DC" w:rsidRDefault="006200DC" w:rsidP="008E3C0A">
      <w:pPr>
        <w:pStyle w:val="ListBullet"/>
        <w:numPr>
          <w:ilvl w:val="0"/>
          <w:numId w:val="0"/>
        </w:numPr>
        <w:spacing w:before="200" w:after="0"/>
        <w:contextualSpacing w:val="0"/>
      </w:pPr>
      <w:r w:rsidRPr="00712BA5">
        <w:rPr>
          <w:rStyle w:val="Emphasis"/>
        </w:rPr>
        <w:t>Any new metrics to measure</w:t>
      </w:r>
      <w:r w:rsidR="00C864A4" w:rsidRPr="00712BA5">
        <w:rPr>
          <w:rStyle w:val="Emphasis"/>
        </w:rPr>
        <w:t xml:space="preserve"> (and reward)</w:t>
      </w:r>
      <w:r w:rsidRPr="00712BA5">
        <w:rPr>
          <w:rStyle w:val="Emphasis"/>
        </w:rPr>
        <w:t xml:space="preserve"> the commercialisation/translation of research should </w:t>
      </w:r>
      <w:r w:rsidR="00B32392" w:rsidRPr="00712BA5">
        <w:rPr>
          <w:rStyle w:val="Emphasis"/>
        </w:rPr>
        <w:t xml:space="preserve">also </w:t>
      </w:r>
      <w:r w:rsidRPr="00712BA5">
        <w:rPr>
          <w:rStyle w:val="Emphasis"/>
        </w:rPr>
        <w:t>capture non-traditional pathways of research translation.</w:t>
      </w:r>
      <w:r>
        <w:t xml:space="preserve"> </w:t>
      </w:r>
      <w:r w:rsidR="00C864A4">
        <w:t xml:space="preserve">The translation of certain types of </w:t>
      </w:r>
      <w:r>
        <w:t xml:space="preserve">research </w:t>
      </w:r>
      <w:r w:rsidR="00C864A4">
        <w:t xml:space="preserve">(such as the uploading of an app to iTunes, a website resource, or open access software) may not </w:t>
      </w:r>
      <w:r>
        <w:t>require licensing of IP or even an industry partner</w:t>
      </w:r>
      <w:r w:rsidR="00C864A4">
        <w:t xml:space="preserve"> to go to market. S</w:t>
      </w:r>
      <w:r>
        <w:t xml:space="preserve">ome </w:t>
      </w:r>
      <w:r w:rsidR="00C864A4">
        <w:t>MRIs</w:t>
      </w:r>
      <w:r>
        <w:t xml:space="preserve"> </w:t>
      </w:r>
      <w:r w:rsidR="00C864A4">
        <w:t xml:space="preserve">also </w:t>
      </w:r>
      <w:r>
        <w:t xml:space="preserve">have subsidiary companies that </w:t>
      </w:r>
      <w:r w:rsidR="00B44BFD">
        <w:t>coordinate</w:t>
      </w:r>
      <w:r>
        <w:t xml:space="preserve"> clinical trials or </w:t>
      </w:r>
      <w:r w:rsidR="00B44BFD">
        <w:t>clinical genetics services</w:t>
      </w:r>
      <w:r w:rsidR="00C864A4">
        <w:t xml:space="preserve"> and act as their ‘internal industry partner’</w:t>
      </w:r>
      <w:r w:rsidR="00B44BFD">
        <w:t>.</w:t>
      </w:r>
      <w:r w:rsidR="00A05F86" w:rsidRPr="00A05F86">
        <w:t xml:space="preserve"> </w:t>
      </w:r>
      <w:r w:rsidR="00A05F86">
        <w:t xml:space="preserve">We strongly recommend against the use of simplistic </w:t>
      </w:r>
      <w:r w:rsidR="00AC28FA">
        <w:t>commercialis</w:t>
      </w:r>
      <w:r w:rsidR="00A05F86">
        <w:t>ation measures such as the number of patent applications and families.</w:t>
      </w:r>
    </w:p>
    <w:p w14:paraId="2651EA4F" w14:textId="77777777" w:rsidR="007D50C3" w:rsidRDefault="00C864A4" w:rsidP="008E3C0A">
      <w:pPr>
        <w:pStyle w:val="ListBullet"/>
        <w:numPr>
          <w:ilvl w:val="0"/>
          <w:numId w:val="0"/>
        </w:numPr>
        <w:spacing w:before="200" w:after="0"/>
        <w:contextualSpacing w:val="0"/>
      </w:pPr>
      <w:r w:rsidRPr="00712BA5">
        <w:rPr>
          <w:rStyle w:val="Emphasis"/>
        </w:rPr>
        <w:lastRenderedPageBreak/>
        <w:t xml:space="preserve">Also, </w:t>
      </w:r>
      <w:r w:rsidR="00B32392" w:rsidRPr="00712BA5">
        <w:rPr>
          <w:rStyle w:val="Emphasis"/>
        </w:rPr>
        <w:t xml:space="preserve">measurement of knowledge transfer </w:t>
      </w:r>
      <w:r w:rsidR="003A5BF7" w:rsidRPr="00712BA5">
        <w:rPr>
          <w:rStyle w:val="Emphasis"/>
        </w:rPr>
        <w:t xml:space="preserve">and engagement </w:t>
      </w:r>
      <w:r w:rsidR="00B32392" w:rsidRPr="00712BA5">
        <w:rPr>
          <w:rStyle w:val="Emphasis"/>
        </w:rPr>
        <w:t xml:space="preserve">with industry </w:t>
      </w:r>
      <w:r w:rsidR="003A5BF7" w:rsidRPr="00712BA5">
        <w:rPr>
          <w:rStyle w:val="Emphasis"/>
        </w:rPr>
        <w:t>should be considered in the</w:t>
      </w:r>
      <w:r w:rsidR="00854456" w:rsidRPr="00712BA5">
        <w:rPr>
          <w:rStyle w:val="Emphasis"/>
        </w:rPr>
        <w:t xml:space="preserve"> broader</w:t>
      </w:r>
      <w:r w:rsidR="003A5BF7" w:rsidRPr="00712BA5">
        <w:rPr>
          <w:rStyle w:val="Emphasis"/>
        </w:rPr>
        <w:t xml:space="preserve"> context of the many other pathways to research impact,</w:t>
      </w:r>
      <w:r w:rsidR="003A5BF7">
        <w:t xml:space="preserve"> including </w:t>
      </w:r>
      <w:r w:rsidR="008212B9">
        <w:t>engagement with end users</w:t>
      </w:r>
      <w:r w:rsidR="00B32392">
        <w:t xml:space="preserve"> from other sectors. In many cases th</w:t>
      </w:r>
      <w:r w:rsidR="008212B9">
        <w:t xml:space="preserve">is engagement can </w:t>
      </w:r>
      <w:r w:rsidR="00B32392">
        <w:t xml:space="preserve">still </w:t>
      </w:r>
      <w:r w:rsidR="008212B9">
        <w:t xml:space="preserve">result in </w:t>
      </w:r>
      <w:r w:rsidR="00B32392">
        <w:t xml:space="preserve">direct or </w:t>
      </w:r>
      <w:r w:rsidR="008212B9">
        <w:t xml:space="preserve">indirect economic impacts, as well as other public good </w:t>
      </w:r>
      <w:r w:rsidR="00A25D85">
        <w:t>outcomes</w:t>
      </w:r>
      <w:r w:rsidR="00B32392">
        <w:t xml:space="preserve">. Examples include </w:t>
      </w:r>
      <w:r w:rsidR="008212B9">
        <w:t xml:space="preserve">translating research findings into </w:t>
      </w:r>
      <w:r w:rsidR="00B32392">
        <w:t>improved guidelines for clinical p</w:t>
      </w:r>
      <w:r w:rsidR="008212B9">
        <w:t xml:space="preserve">ractice, new </w:t>
      </w:r>
      <w:r w:rsidR="00B32392">
        <w:t>methods to improve the cost-effectiveness o</w:t>
      </w:r>
      <w:r w:rsidR="008212B9">
        <w:t>f</w:t>
      </w:r>
      <w:r w:rsidR="00B32392">
        <w:t xml:space="preserve"> health services, </w:t>
      </w:r>
      <w:r w:rsidR="008212B9">
        <w:t xml:space="preserve">and </w:t>
      </w:r>
      <w:r w:rsidR="00B32392">
        <w:t xml:space="preserve">policy advice to government agencies </w:t>
      </w:r>
      <w:r w:rsidR="008212B9">
        <w:t xml:space="preserve">or not-for-profit organisations </w:t>
      </w:r>
      <w:r w:rsidR="00B32392">
        <w:t xml:space="preserve">(e.g. </w:t>
      </w:r>
      <w:r w:rsidR="008212B9">
        <w:t xml:space="preserve">in </w:t>
      </w:r>
      <w:r w:rsidR="00B32392">
        <w:t xml:space="preserve">emergency services, health policy, </w:t>
      </w:r>
      <w:r w:rsidR="008212B9">
        <w:t>improved community service provision</w:t>
      </w:r>
      <w:r w:rsidR="00A25D85">
        <w:t>, etc.</w:t>
      </w:r>
      <w:r w:rsidR="008212B9">
        <w:t>).</w:t>
      </w:r>
      <w:r w:rsidR="00BF02D1">
        <w:t xml:space="preserve"> In such cases, the level and breadth of impact (local, national, international adoption) should be considered in comparing metrics.</w:t>
      </w:r>
    </w:p>
    <w:p w14:paraId="2651EA50" w14:textId="77777777" w:rsidR="00402461" w:rsidRDefault="00402461" w:rsidP="008E3C0A">
      <w:pPr>
        <w:pStyle w:val="ListBullet"/>
        <w:numPr>
          <w:ilvl w:val="0"/>
          <w:numId w:val="0"/>
        </w:numPr>
        <w:spacing w:before="200" w:after="0"/>
        <w:contextualSpacing w:val="0"/>
      </w:pPr>
      <w:r w:rsidRPr="00712BA5">
        <w:rPr>
          <w:rStyle w:val="Emphasis"/>
        </w:rPr>
        <w:t xml:space="preserve">Should measurements of impact/outcomes be </w:t>
      </w:r>
      <w:r w:rsidR="004434DE" w:rsidRPr="00712BA5">
        <w:rPr>
          <w:rStyle w:val="Emphasis"/>
        </w:rPr>
        <w:t>implemented</w:t>
      </w:r>
      <w:r w:rsidRPr="00712BA5">
        <w:rPr>
          <w:rStyle w:val="Emphasis"/>
        </w:rPr>
        <w:t xml:space="preserve">, we suggest consideration of the </w:t>
      </w:r>
      <w:r w:rsidR="00D26FDC" w:rsidRPr="00712BA5">
        <w:rPr>
          <w:rStyle w:val="Emphasis"/>
        </w:rPr>
        <w:t>Measurement of Research Impact and Achievement (</w:t>
      </w:r>
      <w:r w:rsidRPr="00712BA5">
        <w:rPr>
          <w:rStyle w:val="Emphasis"/>
        </w:rPr>
        <w:t>MORIA</w:t>
      </w:r>
      <w:r w:rsidR="00D26FDC" w:rsidRPr="00712BA5">
        <w:rPr>
          <w:rStyle w:val="Emphasis"/>
        </w:rPr>
        <w:t>)</w:t>
      </w:r>
      <w:r w:rsidRPr="00712BA5">
        <w:rPr>
          <w:rStyle w:val="Emphasis"/>
        </w:rPr>
        <w:t xml:space="preserve"> </w:t>
      </w:r>
      <w:r w:rsidR="00633A37" w:rsidRPr="00712BA5">
        <w:rPr>
          <w:rStyle w:val="Emphasis"/>
        </w:rPr>
        <w:t>framework</w:t>
      </w:r>
      <w:r w:rsidR="00A25D85" w:rsidRPr="00712BA5">
        <w:rPr>
          <w:rStyle w:val="Emphasis"/>
        </w:rPr>
        <w:t>,</w:t>
      </w:r>
      <w:r w:rsidR="00A25D85">
        <w:t xml:space="preserve"> which was</w:t>
      </w:r>
      <w:r w:rsidRPr="00673DF1">
        <w:t xml:space="preserve"> </w:t>
      </w:r>
      <w:r w:rsidR="004515E2" w:rsidRPr="00673DF1">
        <w:t>developed</w:t>
      </w:r>
      <w:r w:rsidRPr="00673DF1">
        <w:t xml:space="preserve"> by a working group of the NHMRC</w:t>
      </w:r>
      <w:r w:rsidR="00D26FDC" w:rsidRPr="00673DF1">
        <w:t xml:space="preserve"> several years ago </w:t>
      </w:r>
      <w:r w:rsidR="00B13E9C" w:rsidRPr="00673DF1">
        <w:t>as an analytic instru</w:t>
      </w:r>
      <w:r w:rsidR="00A25D85">
        <w:t xml:space="preserve">ment in the peer review process, </w:t>
      </w:r>
      <w:r w:rsidR="00D26FDC" w:rsidRPr="00673DF1">
        <w:t xml:space="preserve">but </w:t>
      </w:r>
      <w:r w:rsidR="00B13E9C" w:rsidRPr="00673DF1">
        <w:t xml:space="preserve">was </w:t>
      </w:r>
      <w:r w:rsidR="00D26FDC" w:rsidRPr="00673DF1">
        <w:t>never implemented. Intended for the health</w:t>
      </w:r>
      <w:r w:rsidR="00D26FDC">
        <w:t xml:space="preserve"> and medical research space – but adaptable to other research areas – the MORIA framework looks at outputs (</w:t>
      </w:r>
      <w:r w:rsidR="00A25D85">
        <w:t xml:space="preserve">or </w:t>
      </w:r>
      <w:r w:rsidR="00D26FDC">
        <w:t>‘activity’), outcomes (</w:t>
      </w:r>
      <w:r w:rsidR="00A25D85">
        <w:t xml:space="preserve">or </w:t>
      </w:r>
      <w:r w:rsidR="00D26FDC">
        <w:t xml:space="preserve">‘recognition’) and </w:t>
      </w:r>
      <w:r w:rsidR="00A25D85">
        <w:t>‘</w:t>
      </w:r>
      <w:r w:rsidR="00B13E9C">
        <w:t>impact</w:t>
      </w:r>
      <w:r w:rsidR="00A25D85">
        <w:t>’</w:t>
      </w:r>
      <w:r w:rsidR="00B13E9C">
        <w:t xml:space="preserve"> of research across three domains: knowledge, health gain and economic benefits. Importantly, the framework uses a scoring system that translates information into a standardised numerical score to allow the comparison and aggregation of findings across the three measurements and the three domains.</w:t>
      </w:r>
    </w:p>
    <w:p w14:paraId="2651EA51" w14:textId="77777777" w:rsidR="00E96615" w:rsidRPr="008212B9" w:rsidRDefault="00E96615" w:rsidP="00712BA5">
      <w:pPr>
        <w:pStyle w:val="Heading3"/>
      </w:pPr>
      <w:r w:rsidRPr="008212B9">
        <w:t>6. Capitalising on the Medical Research Future Fund</w:t>
      </w:r>
      <w:r w:rsidR="004011BF">
        <w:t xml:space="preserve"> (MRFF)</w:t>
      </w:r>
    </w:p>
    <w:p w14:paraId="2651EA52" w14:textId="77777777" w:rsidR="00416181" w:rsidRPr="00C85D34" w:rsidRDefault="00743B11" w:rsidP="00743B11">
      <w:pPr>
        <w:spacing w:before="200" w:after="0"/>
        <w:rPr>
          <w:rFonts w:cstheme="minorHAnsi"/>
        </w:rPr>
      </w:pPr>
      <w:r w:rsidRPr="00712BA5">
        <w:rPr>
          <w:rStyle w:val="Emphasis"/>
        </w:rPr>
        <w:t xml:space="preserve">AAMRI strongly supports a role for the MRFF </w:t>
      </w:r>
      <w:r w:rsidR="00B83433" w:rsidRPr="00712BA5">
        <w:rPr>
          <w:rStyle w:val="Emphasis"/>
        </w:rPr>
        <w:t>in boosting</w:t>
      </w:r>
      <w:r w:rsidRPr="00712BA5">
        <w:rPr>
          <w:rStyle w:val="Emphasis"/>
        </w:rPr>
        <w:t xml:space="preserve"> </w:t>
      </w:r>
      <w:r w:rsidR="004011BF" w:rsidRPr="00712BA5">
        <w:rPr>
          <w:rStyle w:val="Emphasis"/>
        </w:rPr>
        <w:t xml:space="preserve">the </w:t>
      </w:r>
      <w:r w:rsidR="00B83433" w:rsidRPr="00712BA5">
        <w:rPr>
          <w:rStyle w:val="Emphasis"/>
        </w:rPr>
        <w:t>translation and application of health and medical r</w:t>
      </w:r>
      <w:r w:rsidRPr="00712BA5">
        <w:rPr>
          <w:rStyle w:val="Emphasis"/>
        </w:rPr>
        <w:t>esearch discoveries</w:t>
      </w:r>
      <w:r w:rsidRPr="00C85D34">
        <w:rPr>
          <w:rFonts w:cstheme="minorHAnsi"/>
        </w:rPr>
        <w:t xml:space="preserve"> into </w:t>
      </w:r>
      <w:r w:rsidR="00416181" w:rsidRPr="00C85D34">
        <w:rPr>
          <w:rFonts w:cstheme="minorHAnsi"/>
        </w:rPr>
        <w:t xml:space="preserve">new and improved </w:t>
      </w:r>
      <w:r w:rsidRPr="00C85D34">
        <w:rPr>
          <w:rFonts w:cstheme="minorHAnsi"/>
        </w:rPr>
        <w:t xml:space="preserve">medicines, devices, policies and practices that have a direct impact on health outcomes, drive </w:t>
      </w:r>
      <w:r w:rsidR="00416181" w:rsidRPr="00C85D34">
        <w:rPr>
          <w:rFonts w:cstheme="minorHAnsi"/>
        </w:rPr>
        <w:t>behaviour</w:t>
      </w:r>
      <w:r w:rsidRPr="00C85D34">
        <w:rPr>
          <w:rFonts w:cstheme="minorHAnsi"/>
        </w:rPr>
        <w:t xml:space="preserve"> change and create a more effective, productive health system. </w:t>
      </w:r>
    </w:p>
    <w:p w14:paraId="2651EA53" w14:textId="77777777" w:rsidR="00E96615" w:rsidRPr="00C85D34" w:rsidRDefault="00743B11" w:rsidP="00743B11">
      <w:pPr>
        <w:spacing w:before="200" w:after="0"/>
        <w:rPr>
          <w:rFonts w:cstheme="minorHAnsi"/>
        </w:rPr>
      </w:pPr>
      <w:r w:rsidRPr="00C85D34">
        <w:rPr>
          <w:rFonts w:cstheme="minorHAnsi"/>
        </w:rPr>
        <w:t>Beyond</w:t>
      </w:r>
      <w:r w:rsidR="004011BF" w:rsidRPr="00C85D34">
        <w:rPr>
          <w:rFonts w:cstheme="minorHAnsi"/>
        </w:rPr>
        <w:t xml:space="preserve"> the suggested support for</w:t>
      </w:r>
      <w:r w:rsidRPr="00C85D34">
        <w:rPr>
          <w:rFonts w:cstheme="minorHAnsi"/>
        </w:rPr>
        <w:t xml:space="preserve"> </w:t>
      </w:r>
      <w:r w:rsidR="00B83433" w:rsidRPr="00C85D34">
        <w:rPr>
          <w:rFonts w:cstheme="minorHAnsi"/>
        </w:rPr>
        <w:t>“</w:t>
      </w:r>
      <w:r w:rsidRPr="00C85D34">
        <w:rPr>
          <w:rFonts w:cstheme="minorHAnsi"/>
        </w:rPr>
        <w:t>collaboration between researchers and industry</w:t>
      </w:r>
      <w:r w:rsidR="00B83433" w:rsidRPr="00C85D34">
        <w:rPr>
          <w:rFonts w:cstheme="minorHAnsi"/>
        </w:rPr>
        <w:t>”</w:t>
      </w:r>
      <w:r w:rsidRPr="00C85D34">
        <w:rPr>
          <w:rFonts w:cstheme="minorHAnsi"/>
        </w:rPr>
        <w:t xml:space="preserve">, we suggest that the MRFF be used to drive </w:t>
      </w:r>
      <w:r w:rsidR="00416181" w:rsidRPr="00C85D34">
        <w:rPr>
          <w:rFonts w:cstheme="minorHAnsi"/>
        </w:rPr>
        <w:t xml:space="preserve">both </w:t>
      </w:r>
      <w:r w:rsidRPr="00C85D34">
        <w:rPr>
          <w:rFonts w:cstheme="minorHAnsi"/>
        </w:rPr>
        <w:t xml:space="preserve">commercial and non-commercial translation and implementation of </w:t>
      </w:r>
      <w:r w:rsidR="00B83433" w:rsidRPr="00C85D34">
        <w:rPr>
          <w:rFonts w:cstheme="minorHAnsi"/>
        </w:rPr>
        <w:t xml:space="preserve">health and </w:t>
      </w:r>
      <w:r w:rsidRPr="00C85D34">
        <w:rPr>
          <w:rFonts w:cstheme="minorHAnsi"/>
        </w:rPr>
        <w:t>medical research</w:t>
      </w:r>
      <w:r w:rsidR="00B83433" w:rsidRPr="00C85D34">
        <w:rPr>
          <w:rFonts w:cstheme="minorHAnsi"/>
        </w:rPr>
        <w:t xml:space="preserve"> findings</w:t>
      </w:r>
      <w:r w:rsidR="00416181" w:rsidRPr="00C85D34">
        <w:rPr>
          <w:rFonts w:cstheme="minorHAnsi"/>
        </w:rPr>
        <w:t>. This would include improved funding</w:t>
      </w:r>
      <w:r w:rsidRPr="00C85D34">
        <w:rPr>
          <w:rFonts w:cstheme="minorHAnsi"/>
        </w:rPr>
        <w:t xml:space="preserve"> for proof-of-concept research, clinical trials, implementation research</w:t>
      </w:r>
      <w:r w:rsidR="00416181" w:rsidRPr="00C85D34">
        <w:rPr>
          <w:rFonts w:cstheme="minorHAnsi"/>
        </w:rPr>
        <w:t>, IP protection</w:t>
      </w:r>
      <w:r w:rsidR="00B83433" w:rsidRPr="00C85D34">
        <w:rPr>
          <w:rFonts w:cstheme="minorHAnsi"/>
        </w:rPr>
        <w:t xml:space="preserve">, </w:t>
      </w:r>
      <w:r w:rsidR="00416181" w:rsidRPr="00C85D34">
        <w:rPr>
          <w:rFonts w:cstheme="minorHAnsi"/>
        </w:rPr>
        <w:t>commercialisation activities</w:t>
      </w:r>
      <w:r w:rsidR="00B83433" w:rsidRPr="00C85D34">
        <w:rPr>
          <w:rFonts w:cstheme="minorHAnsi"/>
        </w:rPr>
        <w:t xml:space="preserve"> </w:t>
      </w:r>
      <w:r w:rsidR="00882CEC" w:rsidRPr="00C85D34">
        <w:rPr>
          <w:rFonts w:cstheme="minorHAnsi"/>
        </w:rPr>
        <w:t>and seed funding (such as the ‘T</w:t>
      </w:r>
      <w:r w:rsidR="00B83433" w:rsidRPr="00C85D34">
        <w:rPr>
          <w:rFonts w:cstheme="minorHAnsi"/>
        </w:rPr>
        <w:t>ranslation</w:t>
      </w:r>
      <w:r w:rsidR="00882CEC" w:rsidRPr="00C85D34">
        <w:rPr>
          <w:rFonts w:cstheme="minorHAnsi"/>
        </w:rPr>
        <w:t>al Biotech F</w:t>
      </w:r>
      <w:r w:rsidR="00B83433" w:rsidRPr="00C85D34">
        <w:rPr>
          <w:rFonts w:cstheme="minorHAnsi"/>
        </w:rPr>
        <w:t xml:space="preserve">und’ recommended in the </w:t>
      </w:r>
      <w:r w:rsidR="00B83433" w:rsidRPr="00C85D34">
        <w:rPr>
          <w:rFonts w:cstheme="minorHAnsi"/>
          <w:i/>
        </w:rPr>
        <w:t>Strategic Review of Health and Medical Research</w:t>
      </w:r>
      <w:r w:rsidR="00B83433" w:rsidRPr="00C85D34">
        <w:rPr>
          <w:rFonts w:cstheme="minorHAnsi"/>
        </w:rPr>
        <w:t>)</w:t>
      </w:r>
      <w:r w:rsidRPr="00C85D34">
        <w:rPr>
          <w:rFonts w:cstheme="minorHAnsi"/>
        </w:rPr>
        <w:t xml:space="preserve">. </w:t>
      </w:r>
      <w:r w:rsidR="00B83433" w:rsidRPr="00C85D34">
        <w:rPr>
          <w:rFonts w:cstheme="minorHAnsi"/>
        </w:rPr>
        <w:t xml:space="preserve">The MRFF </w:t>
      </w:r>
      <w:r w:rsidR="00882CEC" w:rsidRPr="00C85D34">
        <w:rPr>
          <w:rFonts w:cstheme="minorHAnsi"/>
        </w:rPr>
        <w:t>c</w:t>
      </w:r>
      <w:r w:rsidR="00416181" w:rsidRPr="00C85D34">
        <w:rPr>
          <w:rFonts w:cstheme="minorHAnsi"/>
        </w:rPr>
        <w:t xml:space="preserve">ould also </w:t>
      </w:r>
      <w:r w:rsidR="00B83433" w:rsidRPr="00C85D34">
        <w:rPr>
          <w:rFonts w:cstheme="minorHAnsi"/>
        </w:rPr>
        <w:t>help</w:t>
      </w:r>
      <w:r w:rsidR="00491805" w:rsidRPr="00C85D34">
        <w:rPr>
          <w:rFonts w:cstheme="minorHAnsi"/>
        </w:rPr>
        <w:t xml:space="preserve"> </w:t>
      </w:r>
      <w:r w:rsidR="00416181" w:rsidRPr="00C85D34">
        <w:rPr>
          <w:rFonts w:cstheme="minorHAnsi"/>
        </w:rPr>
        <w:t>e</w:t>
      </w:r>
      <w:r w:rsidR="00882CEC" w:rsidRPr="00C85D34">
        <w:rPr>
          <w:rFonts w:cstheme="minorHAnsi"/>
        </w:rPr>
        <w:t>mbed research in health services</w:t>
      </w:r>
      <w:r w:rsidR="00416181" w:rsidRPr="00C85D34">
        <w:rPr>
          <w:rFonts w:cstheme="minorHAnsi"/>
        </w:rPr>
        <w:t xml:space="preserve"> (the ‘end users’ of </w:t>
      </w:r>
      <w:r w:rsidR="00882CEC" w:rsidRPr="00C85D34">
        <w:rPr>
          <w:rFonts w:cstheme="minorHAnsi"/>
        </w:rPr>
        <w:t xml:space="preserve">findings from </w:t>
      </w:r>
      <w:r w:rsidR="00416181" w:rsidRPr="00C85D34">
        <w:rPr>
          <w:rFonts w:cstheme="minorHAnsi"/>
        </w:rPr>
        <w:t>health and medical research), including</w:t>
      </w:r>
      <w:r w:rsidR="00B83433" w:rsidRPr="00C85D34">
        <w:rPr>
          <w:rFonts w:cstheme="minorHAnsi"/>
        </w:rPr>
        <w:t xml:space="preserve"> through</w:t>
      </w:r>
      <w:r w:rsidR="00416181" w:rsidRPr="00C85D34">
        <w:rPr>
          <w:rFonts w:cstheme="minorHAnsi"/>
        </w:rPr>
        <w:t xml:space="preserve"> funding for</w:t>
      </w:r>
      <w:r w:rsidRPr="00C85D34">
        <w:rPr>
          <w:rFonts w:cstheme="minorHAnsi"/>
        </w:rPr>
        <w:t xml:space="preserve"> health services research, </w:t>
      </w:r>
      <w:r w:rsidR="0098564F" w:rsidRPr="00C85D34">
        <w:rPr>
          <w:rFonts w:cstheme="minorHAnsi"/>
        </w:rPr>
        <w:t>health economics</w:t>
      </w:r>
      <w:r w:rsidR="00416181" w:rsidRPr="00C85D34">
        <w:rPr>
          <w:rFonts w:cstheme="minorHAnsi"/>
        </w:rPr>
        <w:t xml:space="preserve"> and health policy</w:t>
      </w:r>
      <w:r w:rsidR="00491805" w:rsidRPr="00C85D34">
        <w:rPr>
          <w:rFonts w:cstheme="minorHAnsi"/>
        </w:rPr>
        <w:t xml:space="preserve"> research</w:t>
      </w:r>
      <w:r w:rsidR="0098564F" w:rsidRPr="00C85D34">
        <w:rPr>
          <w:rFonts w:cstheme="minorHAnsi"/>
        </w:rPr>
        <w:t>.</w:t>
      </w:r>
      <w:r w:rsidRPr="00C85D34">
        <w:rPr>
          <w:rFonts w:cstheme="minorHAnsi"/>
        </w:rPr>
        <w:t xml:space="preserve"> </w:t>
      </w:r>
    </w:p>
    <w:p w14:paraId="2651EA54" w14:textId="77777777" w:rsidR="00AD316F" w:rsidRPr="00C85D34" w:rsidRDefault="00AD316F" w:rsidP="00FC094D">
      <w:pPr>
        <w:spacing w:before="200" w:after="0"/>
        <w:rPr>
          <w:rFonts w:eastAsiaTheme="majorEastAsia" w:cstheme="minorHAnsi"/>
          <w:bCs/>
          <w:szCs w:val="20"/>
        </w:rPr>
      </w:pPr>
      <w:r w:rsidRPr="00712BA5">
        <w:rPr>
          <w:rStyle w:val="Emphasis"/>
        </w:rPr>
        <w:t xml:space="preserve">However, </w:t>
      </w:r>
      <w:r w:rsidR="00FC094D" w:rsidRPr="00712BA5">
        <w:rPr>
          <w:rStyle w:val="Emphasis"/>
        </w:rPr>
        <w:t xml:space="preserve">we urge caution in relying on the MRFF </w:t>
      </w:r>
      <w:r w:rsidR="00882CEC" w:rsidRPr="00712BA5">
        <w:rPr>
          <w:rStyle w:val="Emphasis"/>
        </w:rPr>
        <w:t>to</w:t>
      </w:r>
      <w:r w:rsidR="00FC094D" w:rsidRPr="00712BA5">
        <w:rPr>
          <w:rStyle w:val="Emphasis"/>
        </w:rPr>
        <w:t xml:space="preserve"> </w:t>
      </w:r>
      <w:r w:rsidR="00882CEC" w:rsidRPr="00712BA5">
        <w:rPr>
          <w:rStyle w:val="Emphasis"/>
        </w:rPr>
        <w:t>boost</w:t>
      </w:r>
      <w:r w:rsidR="00FC094D" w:rsidRPr="00712BA5">
        <w:rPr>
          <w:rStyle w:val="Emphasis"/>
        </w:rPr>
        <w:t xml:space="preserve"> the translation of health and medical research in </w:t>
      </w:r>
      <w:r w:rsidR="00882CEC" w:rsidRPr="00712BA5">
        <w:rPr>
          <w:rStyle w:val="Emphasis"/>
        </w:rPr>
        <w:t xml:space="preserve">the </w:t>
      </w:r>
      <w:r w:rsidR="00FC094D" w:rsidRPr="00712BA5">
        <w:rPr>
          <w:rStyle w:val="Emphasis"/>
        </w:rPr>
        <w:t>current Government strategy.</w:t>
      </w:r>
      <w:r w:rsidR="00FC094D" w:rsidRPr="00C85D34">
        <w:rPr>
          <w:rFonts w:eastAsiaTheme="majorEastAsia" w:cstheme="minorHAnsi"/>
          <w:bCs/>
          <w:szCs w:val="20"/>
        </w:rPr>
        <w:t xml:space="preserve"> </w:t>
      </w:r>
      <w:r w:rsidR="00A764A6">
        <w:rPr>
          <w:rFonts w:eastAsiaTheme="majorEastAsia" w:cstheme="minorHAnsi"/>
          <w:bCs/>
          <w:szCs w:val="20"/>
        </w:rPr>
        <w:t>I</w:t>
      </w:r>
      <w:r w:rsidR="00FC094D" w:rsidRPr="00C85D34">
        <w:rPr>
          <w:rFonts w:eastAsiaTheme="majorEastAsia" w:cstheme="minorHAnsi"/>
          <w:bCs/>
          <w:szCs w:val="20"/>
        </w:rPr>
        <w:t>t is not yet clear</w:t>
      </w:r>
      <w:r w:rsidR="005E7EF9" w:rsidRPr="00C85D34">
        <w:rPr>
          <w:rFonts w:eastAsiaTheme="majorEastAsia" w:cstheme="minorHAnsi"/>
          <w:bCs/>
          <w:szCs w:val="20"/>
        </w:rPr>
        <w:t xml:space="preserve"> whether</w:t>
      </w:r>
      <w:r w:rsidR="00FC094D" w:rsidRPr="00C85D34">
        <w:rPr>
          <w:rFonts w:eastAsiaTheme="majorEastAsia" w:cstheme="minorHAnsi"/>
          <w:bCs/>
          <w:szCs w:val="20"/>
        </w:rPr>
        <w:t xml:space="preserve"> legislat</w:t>
      </w:r>
      <w:r w:rsidR="00882CEC" w:rsidRPr="00C85D34">
        <w:rPr>
          <w:rFonts w:eastAsiaTheme="majorEastAsia" w:cstheme="minorHAnsi"/>
          <w:bCs/>
          <w:szCs w:val="20"/>
        </w:rPr>
        <w:t>ion for the MRFF will be passed in Parliament,</w:t>
      </w:r>
      <w:r w:rsidR="00FC094D" w:rsidRPr="00C85D34">
        <w:rPr>
          <w:rFonts w:eastAsiaTheme="majorEastAsia" w:cstheme="minorHAnsi"/>
          <w:bCs/>
          <w:szCs w:val="20"/>
        </w:rPr>
        <w:t xml:space="preserve"> nor what size the MRFF will </w:t>
      </w:r>
      <w:r w:rsidR="005E7EF9" w:rsidRPr="00C85D34">
        <w:rPr>
          <w:rFonts w:eastAsiaTheme="majorEastAsia" w:cstheme="minorHAnsi"/>
          <w:bCs/>
          <w:szCs w:val="20"/>
        </w:rPr>
        <w:t>be at full maturity</w:t>
      </w:r>
      <w:r w:rsidR="00FC094D" w:rsidRPr="00C85D34">
        <w:rPr>
          <w:rFonts w:eastAsiaTheme="majorEastAsia" w:cstheme="minorHAnsi"/>
          <w:bCs/>
          <w:szCs w:val="20"/>
        </w:rPr>
        <w:t xml:space="preserve">. </w:t>
      </w:r>
      <w:r w:rsidR="00882CEC" w:rsidRPr="00C85D34">
        <w:rPr>
          <w:rFonts w:eastAsiaTheme="majorEastAsia" w:cstheme="minorHAnsi"/>
          <w:bCs/>
          <w:szCs w:val="20"/>
        </w:rPr>
        <w:t>Further</w:t>
      </w:r>
      <w:r w:rsidR="00FC094D" w:rsidRPr="00C85D34">
        <w:rPr>
          <w:rFonts w:eastAsiaTheme="majorEastAsia" w:cstheme="minorHAnsi"/>
          <w:bCs/>
          <w:szCs w:val="20"/>
        </w:rPr>
        <w:t xml:space="preserve">, even </w:t>
      </w:r>
      <w:r w:rsidR="00882CEC" w:rsidRPr="00C85D34">
        <w:rPr>
          <w:rFonts w:eastAsiaTheme="majorEastAsia" w:cstheme="minorHAnsi"/>
          <w:bCs/>
          <w:szCs w:val="20"/>
        </w:rPr>
        <w:t xml:space="preserve">using </w:t>
      </w:r>
      <w:r w:rsidR="00FC094D" w:rsidRPr="00C85D34">
        <w:rPr>
          <w:rFonts w:eastAsiaTheme="majorEastAsia" w:cstheme="minorHAnsi"/>
          <w:bCs/>
          <w:szCs w:val="20"/>
        </w:rPr>
        <w:t xml:space="preserve">current </w:t>
      </w:r>
      <w:r w:rsidR="00882CEC" w:rsidRPr="00C85D34">
        <w:rPr>
          <w:rFonts w:eastAsiaTheme="majorEastAsia" w:cstheme="minorHAnsi"/>
          <w:bCs/>
          <w:szCs w:val="20"/>
        </w:rPr>
        <w:t xml:space="preserve">Treasury </w:t>
      </w:r>
      <w:r w:rsidR="00FC094D" w:rsidRPr="00C85D34">
        <w:rPr>
          <w:rFonts w:eastAsiaTheme="majorEastAsia" w:cstheme="minorHAnsi"/>
          <w:bCs/>
          <w:szCs w:val="20"/>
        </w:rPr>
        <w:t xml:space="preserve">projections, the MRFF will not reach </w:t>
      </w:r>
      <w:r w:rsidR="00A764A6">
        <w:rPr>
          <w:rFonts w:eastAsiaTheme="majorEastAsia" w:cstheme="minorHAnsi"/>
          <w:bCs/>
          <w:szCs w:val="20"/>
        </w:rPr>
        <w:t>m</w:t>
      </w:r>
      <w:r w:rsidR="00882CEC" w:rsidRPr="00C85D34">
        <w:rPr>
          <w:rFonts w:eastAsiaTheme="majorEastAsia" w:cstheme="minorHAnsi"/>
          <w:bCs/>
          <w:szCs w:val="20"/>
        </w:rPr>
        <w:t>aturation</w:t>
      </w:r>
      <w:r w:rsidR="00FC094D" w:rsidRPr="00C85D34">
        <w:rPr>
          <w:rFonts w:eastAsiaTheme="majorEastAsia" w:cstheme="minorHAnsi"/>
          <w:bCs/>
          <w:szCs w:val="20"/>
        </w:rPr>
        <w:t xml:space="preserve"> until 2022-23, with only an additional $22 million in disbursements </w:t>
      </w:r>
      <w:r w:rsidR="005E7EF9" w:rsidRPr="00C85D34">
        <w:rPr>
          <w:rFonts w:eastAsiaTheme="majorEastAsia" w:cstheme="minorHAnsi"/>
          <w:bCs/>
          <w:szCs w:val="20"/>
        </w:rPr>
        <w:t xml:space="preserve">for health and medical research </w:t>
      </w:r>
      <w:r w:rsidR="00FC094D" w:rsidRPr="00C85D34">
        <w:rPr>
          <w:rFonts w:eastAsiaTheme="majorEastAsia" w:cstheme="minorHAnsi"/>
          <w:bCs/>
          <w:szCs w:val="20"/>
        </w:rPr>
        <w:t>in 2015-16, increasing to $77 million in 2016-17.</w:t>
      </w:r>
    </w:p>
    <w:p w14:paraId="2651EA55" w14:textId="77777777" w:rsidR="00093890" w:rsidRPr="00523377" w:rsidRDefault="00523377" w:rsidP="00712BA5">
      <w:pPr>
        <w:pStyle w:val="Heading3"/>
      </w:pPr>
      <w:r w:rsidRPr="00523377">
        <w:t xml:space="preserve">7. </w:t>
      </w:r>
      <w:r w:rsidR="00093890" w:rsidRPr="00523377">
        <w:t>National research priorities and targeted research effort</w:t>
      </w:r>
    </w:p>
    <w:p w14:paraId="2651EA56" w14:textId="77777777" w:rsidR="00E14DCD" w:rsidRPr="00C85D34" w:rsidRDefault="00E343A8" w:rsidP="00CC4B52">
      <w:pPr>
        <w:spacing w:before="200" w:after="0"/>
        <w:rPr>
          <w:rFonts w:eastAsiaTheme="majorEastAsia" w:cstheme="minorHAnsi"/>
          <w:bCs/>
          <w:szCs w:val="20"/>
        </w:rPr>
      </w:pPr>
      <w:r w:rsidRPr="00C85D34">
        <w:rPr>
          <w:rFonts w:eastAsiaTheme="majorEastAsia" w:cstheme="minorHAnsi"/>
          <w:bCs/>
          <w:szCs w:val="20"/>
        </w:rPr>
        <w:t>AAMRI s</w:t>
      </w:r>
      <w:r w:rsidR="003B2A5A" w:rsidRPr="00C85D34">
        <w:rPr>
          <w:rFonts w:eastAsiaTheme="majorEastAsia" w:cstheme="minorHAnsi"/>
          <w:bCs/>
          <w:szCs w:val="20"/>
        </w:rPr>
        <w:t>upport</w:t>
      </w:r>
      <w:r w:rsidRPr="00C85D34">
        <w:rPr>
          <w:rFonts w:eastAsiaTheme="majorEastAsia" w:cstheme="minorHAnsi"/>
          <w:bCs/>
          <w:szCs w:val="20"/>
        </w:rPr>
        <w:t xml:space="preserve">s the Government’s industry innovation strategy </w:t>
      </w:r>
      <w:r w:rsidR="003B2A5A" w:rsidRPr="00C85D34">
        <w:rPr>
          <w:rFonts w:eastAsiaTheme="majorEastAsia" w:cstheme="minorHAnsi"/>
          <w:bCs/>
          <w:szCs w:val="20"/>
        </w:rPr>
        <w:t xml:space="preserve">of </w:t>
      </w:r>
      <w:r w:rsidR="003B2A5A" w:rsidRPr="00C85D34">
        <w:rPr>
          <w:rFonts w:cstheme="minorHAnsi"/>
        </w:rPr>
        <w:t xml:space="preserve">building capacity and driving </w:t>
      </w:r>
      <w:r w:rsidRPr="00C85D34">
        <w:rPr>
          <w:rFonts w:cstheme="minorHAnsi"/>
        </w:rPr>
        <w:t>private</w:t>
      </w:r>
      <w:r w:rsidR="003B2A5A" w:rsidRPr="00C85D34">
        <w:rPr>
          <w:rFonts w:cstheme="minorHAnsi"/>
        </w:rPr>
        <w:t xml:space="preserve"> </w:t>
      </w:r>
      <w:r w:rsidR="00CC4B52" w:rsidRPr="00C85D34">
        <w:rPr>
          <w:rFonts w:cstheme="minorHAnsi"/>
        </w:rPr>
        <w:t xml:space="preserve">research </w:t>
      </w:r>
      <w:r w:rsidR="003B2A5A" w:rsidRPr="00C85D34">
        <w:rPr>
          <w:rFonts w:cstheme="minorHAnsi"/>
        </w:rPr>
        <w:t xml:space="preserve">investment </w:t>
      </w:r>
      <w:r w:rsidR="00CC4B52" w:rsidRPr="00C85D34">
        <w:rPr>
          <w:rFonts w:cstheme="minorHAnsi"/>
        </w:rPr>
        <w:t xml:space="preserve">in areas of </w:t>
      </w:r>
      <w:r w:rsidRPr="00C85D34">
        <w:rPr>
          <w:rFonts w:cstheme="minorHAnsi"/>
        </w:rPr>
        <w:t xml:space="preserve">competitive </w:t>
      </w:r>
      <w:r w:rsidR="003B2A5A" w:rsidRPr="00C85D34">
        <w:rPr>
          <w:rFonts w:cstheme="minorHAnsi"/>
        </w:rPr>
        <w:t>s</w:t>
      </w:r>
      <w:r w:rsidR="00CC4B52" w:rsidRPr="00C85D34">
        <w:rPr>
          <w:rFonts w:cstheme="minorHAnsi"/>
        </w:rPr>
        <w:t>trength and national priority</w:t>
      </w:r>
      <w:r w:rsidR="003B2A5A" w:rsidRPr="00C85D34">
        <w:rPr>
          <w:rFonts w:cstheme="minorHAnsi"/>
        </w:rPr>
        <w:t xml:space="preserve">. </w:t>
      </w:r>
      <w:r w:rsidRPr="00C85D34">
        <w:rPr>
          <w:rFonts w:eastAsiaTheme="majorEastAsia" w:cstheme="minorHAnsi"/>
          <w:bCs/>
          <w:szCs w:val="20"/>
        </w:rPr>
        <w:t>The focus of the new Growth Centres on five priority industry sectors is a good example of this. This can work well as long as there is flexibility to incorporate emerging industries in the fu</w:t>
      </w:r>
      <w:r w:rsidR="00CC4B52" w:rsidRPr="00C85D34">
        <w:rPr>
          <w:rFonts w:eastAsiaTheme="majorEastAsia" w:cstheme="minorHAnsi"/>
          <w:bCs/>
          <w:szCs w:val="20"/>
        </w:rPr>
        <w:t>ture, and there are other broad</w:t>
      </w:r>
      <w:r w:rsidRPr="00C85D34">
        <w:rPr>
          <w:rFonts w:eastAsiaTheme="majorEastAsia" w:cstheme="minorHAnsi"/>
          <w:bCs/>
          <w:szCs w:val="20"/>
        </w:rPr>
        <w:t xml:space="preserve">-based sources of funding that ensure </w:t>
      </w:r>
      <w:r w:rsidR="00CC4B52" w:rsidRPr="00C85D34">
        <w:rPr>
          <w:rFonts w:eastAsiaTheme="majorEastAsia" w:cstheme="minorHAnsi"/>
          <w:bCs/>
          <w:szCs w:val="20"/>
        </w:rPr>
        <w:t xml:space="preserve">that </w:t>
      </w:r>
      <w:r w:rsidRPr="00C85D34">
        <w:rPr>
          <w:rFonts w:eastAsiaTheme="majorEastAsia" w:cstheme="minorHAnsi"/>
          <w:bCs/>
          <w:szCs w:val="20"/>
        </w:rPr>
        <w:t xml:space="preserve">as a nation we </w:t>
      </w:r>
      <w:r w:rsidRPr="00C85D34">
        <w:rPr>
          <w:rFonts w:eastAsiaTheme="majorEastAsia" w:cstheme="minorHAnsi"/>
          <w:bCs/>
          <w:szCs w:val="20"/>
        </w:rPr>
        <w:lastRenderedPageBreak/>
        <w:t xml:space="preserve">capitalise on innovative ideas of high potential from other industry sectors (e.g. by ensuring that the Entrepreneur’s Infrastructure Programme is open to all industries, with funding based on merit). </w:t>
      </w:r>
      <w:r w:rsidR="00CC4B52" w:rsidRPr="00C85D34">
        <w:rPr>
          <w:rFonts w:eastAsiaTheme="majorEastAsia" w:cstheme="minorHAnsi"/>
          <w:bCs/>
          <w:szCs w:val="20"/>
        </w:rPr>
        <w:t>Excluding</w:t>
      </w:r>
      <w:r w:rsidRPr="00C85D34">
        <w:rPr>
          <w:rFonts w:eastAsiaTheme="majorEastAsia" w:cstheme="minorHAnsi"/>
          <w:bCs/>
          <w:szCs w:val="20"/>
        </w:rPr>
        <w:t xml:space="preserve"> </w:t>
      </w:r>
      <w:r w:rsidR="00CC4B52" w:rsidRPr="00C85D34">
        <w:rPr>
          <w:rFonts w:eastAsiaTheme="majorEastAsia" w:cstheme="minorHAnsi"/>
          <w:bCs/>
          <w:szCs w:val="20"/>
        </w:rPr>
        <w:t>businesses from outside these</w:t>
      </w:r>
      <w:r w:rsidR="005B52C8" w:rsidRPr="00C85D34">
        <w:rPr>
          <w:rFonts w:eastAsiaTheme="majorEastAsia" w:cstheme="minorHAnsi"/>
          <w:bCs/>
          <w:szCs w:val="20"/>
        </w:rPr>
        <w:t xml:space="preserve"> five focus</w:t>
      </w:r>
      <w:r w:rsidR="00CC4B52" w:rsidRPr="00C85D34">
        <w:rPr>
          <w:rFonts w:eastAsiaTheme="majorEastAsia" w:cstheme="minorHAnsi"/>
          <w:bCs/>
          <w:szCs w:val="20"/>
        </w:rPr>
        <w:t xml:space="preserve"> industry sectors</w:t>
      </w:r>
      <w:r w:rsidR="00F47397" w:rsidRPr="00C85D34">
        <w:rPr>
          <w:rFonts w:eastAsiaTheme="majorEastAsia" w:cstheme="minorHAnsi"/>
          <w:bCs/>
          <w:szCs w:val="20"/>
        </w:rPr>
        <w:t xml:space="preserve"> from any source of funding to commercialise ideas could mean </w:t>
      </w:r>
      <w:r w:rsidR="00CC4B52" w:rsidRPr="00C85D34">
        <w:rPr>
          <w:rFonts w:eastAsiaTheme="majorEastAsia" w:cstheme="minorHAnsi"/>
          <w:bCs/>
          <w:szCs w:val="20"/>
        </w:rPr>
        <w:t xml:space="preserve">important discoveries </w:t>
      </w:r>
      <w:r w:rsidR="00E14DCD" w:rsidRPr="00C85D34">
        <w:rPr>
          <w:rFonts w:eastAsiaTheme="majorEastAsia" w:cstheme="minorHAnsi"/>
          <w:bCs/>
          <w:szCs w:val="20"/>
        </w:rPr>
        <w:t>and industries of the future</w:t>
      </w:r>
      <w:r w:rsidR="00CC4B52" w:rsidRPr="00C85D34">
        <w:rPr>
          <w:rFonts w:eastAsiaTheme="majorEastAsia" w:cstheme="minorHAnsi"/>
          <w:bCs/>
          <w:szCs w:val="20"/>
        </w:rPr>
        <w:t xml:space="preserve"> go</w:t>
      </w:r>
      <w:r w:rsidR="00E14DCD" w:rsidRPr="00C85D34">
        <w:rPr>
          <w:rFonts w:eastAsiaTheme="majorEastAsia" w:cstheme="minorHAnsi"/>
          <w:bCs/>
          <w:szCs w:val="20"/>
        </w:rPr>
        <w:t xml:space="preserve"> offshore where </w:t>
      </w:r>
      <w:r w:rsidR="005B52C8" w:rsidRPr="00C85D34">
        <w:rPr>
          <w:rFonts w:eastAsiaTheme="majorEastAsia" w:cstheme="minorHAnsi"/>
          <w:bCs/>
          <w:szCs w:val="20"/>
        </w:rPr>
        <w:t>commercialisation and industry innovation</w:t>
      </w:r>
      <w:r w:rsidR="00E14DCD" w:rsidRPr="00C85D34">
        <w:rPr>
          <w:rFonts w:eastAsiaTheme="majorEastAsia" w:cstheme="minorHAnsi"/>
          <w:bCs/>
          <w:szCs w:val="20"/>
        </w:rPr>
        <w:t xml:space="preserve"> is more broadly supported. </w:t>
      </w:r>
    </w:p>
    <w:p w14:paraId="2651EA57" w14:textId="77777777" w:rsidR="00C423B7" w:rsidRDefault="00E343A8" w:rsidP="00CC4B52">
      <w:pPr>
        <w:spacing w:before="200" w:after="0"/>
        <w:rPr>
          <w:rFonts w:eastAsiaTheme="majorEastAsia" w:cstheme="minorHAnsi"/>
          <w:bCs/>
          <w:szCs w:val="20"/>
        </w:rPr>
      </w:pPr>
      <w:r w:rsidRPr="00712BA5">
        <w:rPr>
          <w:rStyle w:val="Emphasis"/>
        </w:rPr>
        <w:t>We also</w:t>
      </w:r>
      <w:r w:rsidR="003B2A5A" w:rsidRPr="00712BA5">
        <w:rPr>
          <w:rStyle w:val="Emphasis"/>
        </w:rPr>
        <w:t xml:space="preserve"> support</w:t>
      </w:r>
      <w:r w:rsidR="00F47397" w:rsidRPr="00712BA5">
        <w:rPr>
          <w:rStyle w:val="Emphasis"/>
        </w:rPr>
        <w:t xml:space="preserve"> the allocation of</w:t>
      </w:r>
      <w:r w:rsidR="003B2A5A" w:rsidRPr="00712BA5">
        <w:rPr>
          <w:rStyle w:val="Emphasis"/>
        </w:rPr>
        <w:t xml:space="preserve"> </w:t>
      </w:r>
      <w:r w:rsidRPr="00712BA5">
        <w:rPr>
          <w:rStyle w:val="Emphasis"/>
        </w:rPr>
        <w:t xml:space="preserve">a certain percentage of </w:t>
      </w:r>
      <w:r w:rsidR="00BB5FC4" w:rsidRPr="00712BA5">
        <w:rPr>
          <w:rStyle w:val="Emphasis"/>
        </w:rPr>
        <w:t xml:space="preserve">Government </w:t>
      </w:r>
      <w:r w:rsidRPr="00712BA5">
        <w:rPr>
          <w:rStyle w:val="Emphasis"/>
        </w:rPr>
        <w:t>funding for research to</w:t>
      </w:r>
      <w:r w:rsidR="00E14DCD" w:rsidRPr="00712BA5">
        <w:rPr>
          <w:rStyle w:val="Emphasis"/>
        </w:rPr>
        <w:t>wards</w:t>
      </w:r>
      <w:r w:rsidRPr="00712BA5">
        <w:rPr>
          <w:rStyle w:val="Emphasis"/>
        </w:rPr>
        <w:t xml:space="preserve"> meet</w:t>
      </w:r>
      <w:r w:rsidR="00E14DCD" w:rsidRPr="00712BA5">
        <w:rPr>
          <w:rStyle w:val="Emphasis"/>
        </w:rPr>
        <w:t>ing</w:t>
      </w:r>
      <w:r w:rsidRPr="00712BA5">
        <w:rPr>
          <w:rStyle w:val="Emphasis"/>
        </w:rPr>
        <w:t xml:space="preserve"> identified national needs and opportunities</w:t>
      </w:r>
      <w:r w:rsidR="00C44684" w:rsidRPr="00712BA5">
        <w:rPr>
          <w:rStyle w:val="Emphasis"/>
        </w:rPr>
        <w:t>,</w:t>
      </w:r>
      <w:r w:rsidR="00C44684" w:rsidRPr="00C85D34">
        <w:rPr>
          <w:rFonts w:eastAsiaTheme="majorEastAsia" w:cstheme="minorHAnsi"/>
          <w:bCs/>
          <w:szCs w:val="20"/>
        </w:rPr>
        <w:t xml:space="preserve"> as suggested in the discussion paper</w:t>
      </w:r>
      <w:r w:rsidRPr="00C85D34">
        <w:rPr>
          <w:rFonts w:eastAsiaTheme="majorEastAsia" w:cstheme="minorHAnsi"/>
          <w:bCs/>
          <w:szCs w:val="20"/>
        </w:rPr>
        <w:t xml:space="preserve">. </w:t>
      </w:r>
      <w:r w:rsidR="00F47397" w:rsidRPr="00C85D34">
        <w:rPr>
          <w:rFonts w:eastAsiaTheme="majorEastAsia" w:cstheme="minorHAnsi"/>
          <w:bCs/>
          <w:szCs w:val="20"/>
        </w:rPr>
        <w:t>Good</w:t>
      </w:r>
      <w:r w:rsidRPr="00C85D34">
        <w:rPr>
          <w:rFonts w:eastAsiaTheme="majorEastAsia" w:cstheme="minorHAnsi"/>
          <w:bCs/>
          <w:szCs w:val="20"/>
        </w:rPr>
        <w:t xml:space="preserve"> example</w:t>
      </w:r>
      <w:r w:rsidR="00F47397" w:rsidRPr="00C85D34">
        <w:rPr>
          <w:rFonts w:eastAsiaTheme="majorEastAsia" w:cstheme="minorHAnsi"/>
          <w:bCs/>
          <w:szCs w:val="20"/>
        </w:rPr>
        <w:t>s</w:t>
      </w:r>
      <w:r w:rsidRPr="00C85D34">
        <w:rPr>
          <w:rFonts w:eastAsiaTheme="majorEastAsia" w:cstheme="minorHAnsi"/>
          <w:bCs/>
          <w:szCs w:val="20"/>
        </w:rPr>
        <w:t xml:space="preserve"> of this </w:t>
      </w:r>
      <w:r w:rsidR="00F47397" w:rsidRPr="00C85D34">
        <w:rPr>
          <w:rFonts w:eastAsiaTheme="majorEastAsia" w:cstheme="minorHAnsi"/>
          <w:bCs/>
          <w:szCs w:val="20"/>
        </w:rPr>
        <w:t xml:space="preserve">include </w:t>
      </w:r>
      <w:r w:rsidRPr="00C85D34">
        <w:rPr>
          <w:rFonts w:eastAsiaTheme="majorEastAsia" w:cstheme="minorHAnsi"/>
          <w:bCs/>
          <w:szCs w:val="20"/>
        </w:rPr>
        <w:t xml:space="preserve">the quarantining of </w:t>
      </w:r>
      <w:r w:rsidR="00F47397" w:rsidRPr="00C85D34">
        <w:rPr>
          <w:rFonts w:eastAsiaTheme="majorEastAsia" w:cstheme="minorHAnsi"/>
          <w:bCs/>
          <w:szCs w:val="20"/>
        </w:rPr>
        <w:t>a percentage</w:t>
      </w:r>
      <w:r w:rsidRPr="00C85D34">
        <w:rPr>
          <w:rFonts w:eastAsiaTheme="majorEastAsia" w:cstheme="minorHAnsi"/>
          <w:bCs/>
          <w:szCs w:val="20"/>
        </w:rPr>
        <w:t xml:space="preserve"> of NHMRC funding for Indigenous research</w:t>
      </w:r>
      <w:r w:rsidR="00F47397" w:rsidRPr="00C85D34">
        <w:rPr>
          <w:rFonts w:eastAsiaTheme="majorEastAsia" w:cstheme="minorHAnsi"/>
          <w:bCs/>
          <w:szCs w:val="20"/>
        </w:rPr>
        <w:t xml:space="preserve">, and NHMRC Targeted Calls for Research (e.g. in mental health research, avian influenza, hendra virus). </w:t>
      </w:r>
      <w:r w:rsidR="00E14DCD" w:rsidRPr="00712BA5">
        <w:rPr>
          <w:rStyle w:val="Emphasis"/>
        </w:rPr>
        <w:t xml:space="preserve">However, </w:t>
      </w:r>
      <w:r w:rsidR="00C44684" w:rsidRPr="00712BA5">
        <w:rPr>
          <w:rStyle w:val="Emphasis"/>
        </w:rPr>
        <w:t xml:space="preserve">while it is important to </w:t>
      </w:r>
      <w:r w:rsidR="00E671BB" w:rsidRPr="00712BA5">
        <w:rPr>
          <w:rStyle w:val="Emphasis"/>
        </w:rPr>
        <w:t>identify</w:t>
      </w:r>
      <w:r w:rsidR="00C44684" w:rsidRPr="00712BA5">
        <w:rPr>
          <w:rStyle w:val="Emphasis"/>
        </w:rPr>
        <w:t xml:space="preserve"> </w:t>
      </w:r>
      <w:r w:rsidR="00E671BB" w:rsidRPr="00712BA5">
        <w:rPr>
          <w:rStyle w:val="Emphasis"/>
        </w:rPr>
        <w:t xml:space="preserve">and address </w:t>
      </w:r>
      <w:r w:rsidR="00C44684" w:rsidRPr="00712BA5">
        <w:rPr>
          <w:rStyle w:val="Emphasis"/>
        </w:rPr>
        <w:t xml:space="preserve">gaps in research </w:t>
      </w:r>
      <w:r w:rsidR="00E671BB" w:rsidRPr="00712BA5">
        <w:rPr>
          <w:rStyle w:val="Emphasis"/>
        </w:rPr>
        <w:t xml:space="preserve">that mean </w:t>
      </w:r>
      <w:r w:rsidR="00C44684" w:rsidRPr="00712BA5">
        <w:rPr>
          <w:rStyle w:val="Emphasis"/>
        </w:rPr>
        <w:t xml:space="preserve">national needs </w:t>
      </w:r>
      <w:r w:rsidR="00BB5FC4" w:rsidRPr="00712BA5">
        <w:rPr>
          <w:rStyle w:val="Emphasis"/>
        </w:rPr>
        <w:t xml:space="preserve">or opportunities </w:t>
      </w:r>
      <w:r w:rsidR="00C44684" w:rsidRPr="00712BA5">
        <w:rPr>
          <w:rStyle w:val="Emphasis"/>
        </w:rPr>
        <w:t xml:space="preserve">are </w:t>
      </w:r>
      <w:r w:rsidR="00E671BB" w:rsidRPr="00712BA5">
        <w:rPr>
          <w:rStyle w:val="Emphasis"/>
        </w:rPr>
        <w:t>not being met</w:t>
      </w:r>
      <w:r w:rsidR="00C44684" w:rsidRPr="00712BA5">
        <w:rPr>
          <w:rStyle w:val="Emphasis"/>
        </w:rPr>
        <w:t>,</w:t>
      </w:r>
      <w:r w:rsidR="00E671BB" w:rsidRPr="00712BA5">
        <w:rPr>
          <w:rStyle w:val="Emphasis"/>
        </w:rPr>
        <w:t xml:space="preserve"> we recommend against all research having to fit under a national priority in order to be funded.</w:t>
      </w:r>
      <w:r w:rsidR="00E671BB" w:rsidRPr="00C85D34">
        <w:rPr>
          <w:rFonts w:eastAsiaTheme="majorEastAsia" w:cstheme="minorHAnsi"/>
          <w:bCs/>
          <w:szCs w:val="20"/>
        </w:rPr>
        <w:t xml:space="preserve"> To do so would either eliminate funding for highly valuable research that does not meet a national priority, or would mean that the national research priorities would have to become so broad as to deem them useless.</w:t>
      </w:r>
      <w:r w:rsidR="00C44684" w:rsidRPr="00C85D34">
        <w:rPr>
          <w:rFonts w:eastAsiaTheme="majorEastAsia" w:cstheme="minorHAnsi"/>
          <w:bCs/>
          <w:szCs w:val="20"/>
        </w:rPr>
        <w:t xml:space="preserve"> </w:t>
      </w:r>
    </w:p>
    <w:p w14:paraId="2651EA58" w14:textId="77777777" w:rsidR="003B2A5A" w:rsidRPr="00C85D34" w:rsidRDefault="0097487C" w:rsidP="00CC4B52">
      <w:pPr>
        <w:spacing w:before="200" w:after="0"/>
        <w:rPr>
          <w:rFonts w:eastAsiaTheme="majorEastAsia" w:cstheme="minorHAnsi"/>
          <w:bCs/>
          <w:szCs w:val="20"/>
        </w:rPr>
      </w:pPr>
      <w:r w:rsidRPr="00C85D34">
        <w:rPr>
          <w:rFonts w:eastAsiaTheme="majorEastAsia" w:cstheme="minorHAnsi"/>
          <w:bCs/>
          <w:szCs w:val="20"/>
        </w:rPr>
        <w:t xml:space="preserve">In the publicly-funded research sector, </w:t>
      </w:r>
      <w:r w:rsidR="00C423B7">
        <w:rPr>
          <w:rFonts w:eastAsiaTheme="majorEastAsia" w:cstheme="minorHAnsi"/>
          <w:bCs/>
          <w:szCs w:val="20"/>
        </w:rPr>
        <w:t xml:space="preserve">targeted </w:t>
      </w:r>
      <w:r w:rsidRPr="00C85D34">
        <w:rPr>
          <w:rFonts w:eastAsiaTheme="majorEastAsia" w:cstheme="minorHAnsi"/>
          <w:bCs/>
          <w:szCs w:val="20"/>
        </w:rPr>
        <w:t xml:space="preserve">research must be balanced with </w:t>
      </w:r>
      <w:r w:rsidR="00C423B7">
        <w:rPr>
          <w:rFonts w:eastAsiaTheme="majorEastAsia" w:cstheme="minorHAnsi"/>
          <w:bCs/>
          <w:szCs w:val="20"/>
        </w:rPr>
        <w:t xml:space="preserve">other applied research and </w:t>
      </w:r>
      <w:r w:rsidRPr="00C85D34">
        <w:rPr>
          <w:rFonts w:eastAsiaTheme="majorEastAsia" w:cstheme="minorHAnsi"/>
          <w:bCs/>
          <w:szCs w:val="20"/>
        </w:rPr>
        <w:t xml:space="preserve">cutting edge frontier research. </w:t>
      </w:r>
      <w:r w:rsidR="00C44684" w:rsidRPr="00C85D34">
        <w:rPr>
          <w:rFonts w:eastAsiaTheme="majorEastAsia" w:cstheme="minorHAnsi"/>
          <w:bCs/>
          <w:szCs w:val="20"/>
        </w:rPr>
        <w:t>It is simply not possible to know from which area of research the next biggest Australian innovation is goi</w:t>
      </w:r>
      <w:r w:rsidR="00E671BB" w:rsidRPr="00C85D34">
        <w:rPr>
          <w:rFonts w:eastAsiaTheme="majorEastAsia" w:cstheme="minorHAnsi"/>
          <w:bCs/>
          <w:szCs w:val="20"/>
        </w:rPr>
        <w:t>ng to come</w:t>
      </w:r>
      <w:r w:rsidR="00C44684" w:rsidRPr="00C85D34">
        <w:rPr>
          <w:rFonts w:eastAsiaTheme="majorEastAsia" w:cstheme="minorHAnsi"/>
          <w:bCs/>
          <w:szCs w:val="20"/>
        </w:rPr>
        <w:t xml:space="preserve">. Indeed, some of Australia’s most ground-breaking innovations have come from basic research that meets no obvious national need (e.g. Wi-Fi technology). </w:t>
      </w:r>
      <w:r w:rsidR="00E671BB" w:rsidRPr="00C85D34">
        <w:rPr>
          <w:rFonts w:eastAsiaTheme="majorEastAsia" w:cstheme="minorHAnsi"/>
          <w:bCs/>
          <w:szCs w:val="20"/>
        </w:rPr>
        <w:t xml:space="preserve">It is essential to maintain some non- targeted research that is awarded purely based on merit. This allocation of some research funds based on national priorities/need and some based on </w:t>
      </w:r>
      <w:r w:rsidR="00C44684" w:rsidRPr="00C85D34">
        <w:rPr>
          <w:rFonts w:eastAsiaTheme="majorEastAsia" w:cstheme="minorHAnsi"/>
          <w:bCs/>
          <w:szCs w:val="20"/>
        </w:rPr>
        <w:t>merit is consistent with recommendations</w:t>
      </w:r>
      <w:r w:rsidR="00E14DCD" w:rsidRPr="00C85D34">
        <w:rPr>
          <w:rFonts w:eastAsiaTheme="majorEastAsia" w:cstheme="minorHAnsi"/>
          <w:bCs/>
          <w:szCs w:val="20"/>
        </w:rPr>
        <w:t xml:space="preserve"> </w:t>
      </w:r>
      <w:r w:rsidR="00BB5FC4" w:rsidRPr="00C85D34">
        <w:rPr>
          <w:rFonts w:eastAsiaTheme="majorEastAsia" w:cstheme="minorHAnsi"/>
          <w:bCs/>
          <w:szCs w:val="20"/>
        </w:rPr>
        <w:t>of</w:t>
      </w:r>
      <w:r w:rsidR="00E14DCD" w:rsidRPr="00C85D34">
        <w:rPr>
          <w:rFonts w:eastAsiaTheme="majorEastAsia" w:cstheme="minorHAnsi"/>
          <w:bCs/>
          <w:szCs w:val="20"/>
        </w:rPr>
        <w:t xml:space="preserve"> the </w:t>
      </w:r>
      <w:r w:rsidR="00E14DCD" w:rsidRPr="00C85D34">
        <w:rPr>
          <w:rFonts w:eastAsiaTheme="majorEastAsia" w:cstheme="minorHAnsi"/>
          <w:bCs/>
          <w:i/>
          <w:szCs w:val="20"/>
        </w:rPr>
        <w:t>Strategic Review of Health and Medical Research</w:t>
      </w:r>
      <w:r w:rsidR="00C44684" w:rsidRPr="00C85D34">
        <w:rPr>
          <w:rFonts w:eastAsiaTheme="majorEastAsia" w:cstheme="minorHAnsi"/>
          <w:bCs/>
          <w:szCs w:val="20"/>
        </w:rPr>
        <w:t>.</w:t>
      </w:r>
    </w:p>
    <w:p w14:paraId="2651EA59" w14:textId="77777777" w:rsidR="00093890" w:rsidRPr="00C85D34" w:rsidRDefault="00093890" w:rsidP="008E3C0A">
      <w:pPr>
        <w:spacing w:after="0"/>
        <w:rPr>
          <w:rFonts w:eastAsiaTheme="majorEastAsia" w:cstheme="minorHAnsi"/>
          <w:bCs/>
          <w:szCs w:val="20"/>
        </w:rPr>
      </w:pPr>
    </w:p>
    <w:p w14:paraId="2651EA5A" w14:textId="77777777" w:rsidR="00093890" w:rsidRDefault="00093890" w:rsidP="008E3C0A">
      <w:pPr>
        <w:spacing w:after="0"/>
        <w:rPr>
          <w:rFonts w:asciiTheme="majorHAnsi" w:eastAsiaTheme="majorEastAsia" w:hAnsiTheme="majorHAnsi" w:cstheme="majorBidi"/>
          <w:bCs/>
          <w:szCs w:val="20"/>
        </w:rPr>
      </w:pPr>
    </w:p>
    <w:p w14:paraId="2651EA5B" w14:textId="77777777" w:rsidR="001E3969" w:rsidRDefault="001E3969" w:rsidP="008E3C0A">
      <w:pPr>
        <w:spacing w:after="0"/>
        <w:rPr>
          <w:rFonts w:asciiTheme="majorHAnsi" w:eastAsiaTheme="majorEastAsia" w:hAnsiTheme="majorHAnsi" w:cstheme="majorBidi"/>
          <w:bCs/>
          <w:color w:val="CC1F2D" w:themeColor="accent2"/>
          <w:sz w:val="30"/>
          <w:szCs w:val="26"/>
        </w:rPr>
      </w:pPr>
      <w:r>
        <w:br w:type="page"/>
      </w:r>
    </w:p>
    <w:p w14:paraId="2651EA5C" w14:textId="77777777" w:rsidR="00CD4A05" w:rsidRPr="00DF69C3" w:rsidRDefault="00EA188A" w:rsidP="008E3C0A">
      <w:pPr>
        <w:pStyle w:val="Heading2"/>
        <w:spacing w:after="720"/>
      </w:pPr>
      <w:r>
        <w:lastRenderedPageBreak/>
        <w:t>MEMBER INSTITUTES</w:t>
      </w:r>
      <w:r w:rsidR="007812DE">
        <w:t xml:space="preserve"> </w:t>
      </w:r>
    </w:p>
    <w:p w14:paraId="2651EA5D" w14:textId="77777777" w:rsidR="00CD4A05" w:rsidRDefault="00974BAA" w:rsidP="008E3C0A">
      <w:pPr>
        <w:pStyle w:val="Heading2"/>
        <w:rPr>
          <w:rFonts w:asciiTheme="minorHAnsi" w:hAnsiTheme="minorHAnsi" w:cstheme="minorHAnsi"/>
        </w:rPr>
      </w:pPr>
      <w:r>
        <w:rPr>
          <w:rFonts w:asciiTheme="minorHAnsi" w:hAnsiTheme="minorHAnsi" w:cstheme="minorHAnsi"/>
          <w:noProof/>
          <w:lang w:val="en-AU" w:eastAsia="en-AU"/>
        </w:rPr>
        <w:drawing>
          <wp:inline distT="0" distB="0" distL="0" distR="0" wp14:anchorId="2651EA69" wp14:editId="32F0A700">
            <wp:extent cx="5756275" cy="5945505"/>
            <wp:effectExtent l="0" t="0" r="0" b="0"/>
            <wp:docPr id="2" name="Picture 2" title="Logos of member instit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ember_logos_Page Updated 14112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6275" cy="5945505"/>
                    </a:xfrm>
                    <a:prstGeom prst="rect">
                      <a:avLst/>
                    </a:prstGeom>
                  </pic:spPr>
                </pic:pic>
              </a:graphicData>
            </a:graphic>
          </wp:inline>
        </w:drawing>
      </w:r>
    </w:p>
    <w:p w14:paraId="2651EA5E" w14:textId="77777777" w:rsidR="00A85F5E" w:rsidRDefault="00A85F5E">
      <w:pPr>
        <w:spacing w:after="0" w:line="240" w:lineRule="auto"/>
      </w:pPr>
      <w:r>
        <w:br w:type="page"/>
      </w:r>
    </w:p>
    <w:p w14:paraId="2651EA5F" w14:textId="77777777" w:rsidR="00647228" w:rsidRDefault="00647228" w:rsidP="00647228">
      <w:pPr>
        <w:pStyle w:val="Heading2"/>
        <w:spacing w:after="720"/>
      </w:pPr>
      <w:r>
        <w:lastRenderedPageBreak/>
        <w:t>APPENDIX 1</w:t>
      </w:r>
    </w:p>
    <w:p w14:paraId="2651EA60" w14:textId="77777777" w:rsidR="00647228" w:rsidRDefault="00647228" w:rsidP="00647228"/>
    <w:p w14:paraId="2651EA61" w14:textId="77777777" w:rsidR="00844A74" w:rsidRPr="00647228" w:rsidRDefault="00844A74" w:rsidP="00647228"/>
    <w:p w14:paraId="2651EA62" w14:textId="77777777" w:rsidR="00A85F5E" w:rsidRPr="00A85F5E" w:rsidRDefault="00A85F5E" w:rsidP="00A85F5E"/>
    <w:sectPr w:rsidR="00A85F5E" w:rsidRPr="00A85F5E" w:rsidSect="00763311">
      <w:headerReference w:type="default" r:id="rId14"/>
      <w:footerReference w:type="even" r:id="rId15"/>
      <w:footerReference w:type="default" r:id="rId16"/>
      <w:headerReference w:type="first" r:id="rId17"/>
      <w:pgSz w:w="11900" w:h="16840" w:code="9"/>
      <w:pgMar w:top="-575" w:right="1134" w:bottom="1701" w:left="1701" w:header="680" w:footer="62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1EA6D" w14:textId="77777777" w:rsidR="00B63F6A" w:rsidRDefault="00B63F6A" w:rsidP="00F60D4B">
      <w:r>
        <w:separator/>
      </w:r>
    </w:p>
  </w:endnote>
  <w:endnote w:type="continuationSeparator" w:id="0">
    <w:p w14:paraId="2651EA6E" w14:textId="77777777" w:rsidR="00B63F6A" w:rsidRDefault="00B63F6A" w:rsidP="00F6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1EA70" w14:textId="77777777" w:rsidR="0073503C" w:rsidRDefault="0073503C" w:rsidP="00FC00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51EA71" w14:textId="77777777" w:rsidR="0073503C" w:rsidRDefault="0073503C" w:rsidP="00FC004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1EA72" w14:textId="77777777" w:rsidR="0073503C" w:rsidRPr="00FC0042" w:rsidRDefault="0073503C" w:rsidP="009176E7">
    <w:pPr>
      <w:pStyle w:val="Footer"/>
      <w:framePr w:wrap="around" w:vAnchor="page" w:hAnchor="page" w:x="10491" w:y="15801"/>
      <w:rPr>
        <w:rStyle w:val="PageNumber"/>
      </w:rPr>
    </w:pPr>
    <w:r w:rsidRPr="00FC0042">
      <w:rPr>
        <w:rStyle w:val="PageNumber"/>
        <w:color w:val="CC1F2D" w:themeColor="accent2"/>
      </w:rPr>
      <w:fldChar w:fldCharType="begin"/>
    </w:r>
    <w:r w:rsidRPr="00FC0042">
      <w:rPr>
        <w:rStyle w:val="PageNumber"/>
        <w:color w:val="CC1F2D" w:themeColor="accent2"/>
      </w:rPr>
      <w:instrText xml:space="preserve">PAGE  </w:instrText>
    </w:r>
    <w:r w:rsidRPr="00FC0042">
      <w:rPr>
        <w:rStyle w:val="PageNumber"/>
        <w:color w:val="CC1F2D" w:themeColor="accent2"/>
      </w:rPr>
      <w:fldChar w:fldCharType="separate"/>
    </w:r>
    <w:r w:rsidR="0009215C">
      <w:rPr>
        <w:rStyle w:val="PageNumber"/>
        <w:noProof/>
        <w:color w:val="CC1F2D" w:themeColor="accent2"/>
      </w:rPr>
      <w:t>6</w:t>
    </w:r>
    <w:r w:rsidRPr="00FC0042">
      <w:rPr>
        <w:rStyle w:val="PageNumber"/>
        <w:color w:val="CC1F2D" w:themeColor="accent2"/>
      </w:rPr>
      <w:fldChar w:fldCharType="end"/>
    </w:r>
  </w:p>
  <w:p w14:paraId="2651EA73" w14:textId="77777777" w:rsidR="0073503C" w:rsidRDefault="0073503C" w:rsidP="00FC0042">
    <w:pPr>
      <w:pStyle w:val="Footer"/>
      <w:ind w:right="360" w:firstLine="360"/>
    </w:pPr>
    <w:r>
      <w:rPr>
        <w:noProof/>
        <w:lang w:val="en-AU" w:eastAsia="en-AU"/>
      </w:rPr>
      <w:drawing>
        <wp:anchor distT="0" distB="0" distL="114300" distR="114300" simplePos="0" relativeHeight="251665408" behindDoc="1" locked="0" layoutInCell="1" allowOverlap="1" wp14:anchorId="2651EA77" wp14:editId="1FFD63DC">
          <wp:simplePos x="0" y="0"/>
          <wp:positionH relativeFrom="page">
            <wp:posOffset>1332230</wp:posOffset>
          </wp:positionH>
          <wp:positionV relativeFrom="page">
            <wp:posOffset>10045065</wp:posOffset>
          </wp:positionV>
          <wp:extent cx="2069465" cy="240665"/>
          <wp:effectExtent l="0" t="0" r="6985" b="6985"/>
          <wp:wrapNone/>
          <wp:docPr id="4" name="Picture 4" title="Footer text - Association of Australian Medical Research Instit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Footer.jpg"/>
                  <pic:cNvPicPr/>
                </pic:nvPicPr>
                <pic:blipFill>
                  <a:blip r:embed="rId1">
                    <a:extLst>
                      <a:ext uri="{28A0092B-C50C-407E-A947-70E740481C1C}">
                        <a14:useLocalDpi xmlns:a14="http://schemas.microsoft.com/office/drawing/2010/main" val="0"/>
                      </a:ext>
                    </a:extLst>
                  </a:blip>
                  <a:stretch>
                    <a:fillRect/>
                  </a:stretch>
                </pic:blipFill>
                <pic:spPr>
                  <a:xfrm>
                    <a:off x="0" y="0"/>
                    <a:ext cx="2069465" cy="2406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5="http://schemas.microsoft.com/office/word/2012/wordml"/>
                    </a:ext>
                  </a:extLst>
                </pic:spPr>
              </pic:pic>
            </a:graphicData>
          </a:graphic>
        </wp:anchor>
      </w:drawing>
    </w:r>
    <w:r>
      <w:rPr>
        <w:noProof/>
        <w:lang w:val="en-AU" w:eastAsia="en-AU"/>
      </w:rPr>
      <mc:AlternateContent>
        <mc:Choice Requires="wps">
          <w:drawing>
            <wp:anchor distT="0" distB="0" distL="114298" distR="114298" simplePos="0" relativeHeight="251663360" behindDoc="0" locked="0" layoutInCell="1" allowOverlap="1" wp14:anchorId="2651EA79" wp14:editId="2651EA7A">
              <wp:simplePos x="0" y="0"/>
              <wp:positionH relativeFrom="page">
                <wp:posOffset>6588759</wp:posOffset>
              </wp:positionH>
              <wp:positionV relativeFrom="page">
                <wp:posOffset>10045065</wp:posOffset>
              </wp:positionV>
              <wp:extent cx="0" cy="64770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line">
                        <a:avLst/>
                      </a:prstGeom>
                      <a:ln w="6350"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8" o:spid="_x0000_s1026" style="position:absolute;z-index:25166336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margin" from="518.8pt,790.95pt" to="518.8pt,8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" strokecolor="#7e7a7b [3215]" strokeweight=".5pt">
              <v:stroke endcap="round"/>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1EA6B" w14:textId="77777777" w:rsidR="00B63F6A" w:rsidRDefault="00B63F6A" w:rsidP="00F60D4B">
      <w:r>
        <w:separator/>
      </w:r>
    </w:p>
  </w:footnote>
  <w:footnote w:type="continuationSeparator" w:id="0">
    <w:p w14:paraId="2651EA6C" w14:textId="77777777" w:rsidR="00B63F6A" w:rsidRDefault="00B63F6A" w:rsidP="00F60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1EA6F" w14:textId="36430E6D" w:rsidR="0073503C" w:rsidRPr="00226571" w:rsidRDefault="0073503C" w:rsidP="000711B3">
    <w:pPr>
      <w:pStyle w:val="Header"/>
      <w:rPr>
        <w:rFonts w:ascii="Arial" w:hAnsi="Arial"/>
        <w:color w:val="FFFFFF" w:themeColor="background1"/>
        <w:sz w:val="60"/>
        <w:szCs w:val="60"/>
      </w:rPr>
    </w:pPr>
    <w:r>
      <w:rPr>
        <w:noProof/>
        <w:lang w:val="en-AU" w:eastAsia="en-AU"/>
      </w:rPr>
      <mc:AlternateContent>
        <mc:Choice Requires="wps">
          <w:drawing>
            <wp:anchor distT="0" distB="0" distL="114298" distR="114298" simplePos="0" relativeHeight="251661312" behindDoc="0" locked="0" layoutInCell="1" allowOverlap="1" wp14:anchorId="2651EA75" wp14:editId="2651EA76">
              <wp:simplePos x="0" y="0"/>
              <wp:positionH relativeFrom="page">
                <wp:posOffset>997584</wp:posOffset>
              </wp:positionH>
              <wp:positionV relativeFrom="page">
                <wp:posOffset>0</wp:posOffset>
              </wp:positionV>
              <wp:extent cx="0" cy="1259840"/>
              <wp:effectExtent l="0" t="0" r="19050" b="1651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59840"/>
                      </a:xfrm>
                      <a:prstGeom prst="line">
                        <a:avLst/>
                      </a:prstGeom>
                      <a:ln w="6350"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7" o:spid="_x0000_s1026" style="position:absolute;z-index:25166131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margin" from="78.55pt,0" to="78.5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" strokecolor="#7e7a7b [3215]" strokeweight=".5pt">
              <v:stroke endcap="round"/>
              <o:lock v:ext="edit" shapetype="f"/>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1EA74" w14:textId="77777777" w:rsidR="0073503C" w:rsidRDefault="0073503C">
    <w:pPr>
      <w:pStyle w:val="Header"/>
    </w:pPr>
    <w:r>
      <w:rPr>
        <w:noProof/>
        <w:lang w:val="en-AU" w:eastAsia="en-AU"/>
      </w:rPr>
      <w:drawing>
        <wp:anchor distT="0" distB="0" distL="114300" distR="114300" simplePos="0" relativeHeight="251664384" behindDoc="1" locked="0" layoutInCell="1" allowOverlap="1" wp14:anchorId="2651EA7B" wp14:editId="71E2D07B">
          <wp:simplePos x="0" y="0"/>
          <wp:positionH relativeFrom="page">
            <wp:posOffset>0</wp:posOffset>
          </wp:positionH>
          <wp:positionV relativeFrom="page">
            <wp:posOffset>0</wp:posOffset>
          </wp:positionV>
          <wp:extent cx="7561709" cy="10692000"/>
          <wp:effectExtent l="0" t="0" r="1270" b="0"/>
          <wp:wrapNone/>
          <wp:docPr id="1" name="Picture 1" title="Logo of the Association of Australian Medical Research Instit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missionCover.jpg"/>
                  <pic:cNvPicPr/>
                </pic:nvPicPr>
                <pic:blipFill>
                  <a:blip r:embed="rId1">
                    <a:extLst>
                      <a:ext uri="{28A0092B-C50C-407E-A947-70E740481C1C}">
                        <a14:useLocalDpi xmlns:a14="http://schemas.microsoft.com/office/drawing/2010/main" val="0"/>
                      </a:ext>
                    </a:extLst>
                  </a:blip>
                  <a:stretch>
                    <a:fillRect/>
                  </a:stretch>
                </pic:blipFill>
                <pic:spPr>
                  <a:xfrm>
                    <a:off x="0" y="0"/>
                    <a:ext cx="7561709" cy="10692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w15="http://schemas.microsoft.com/office/word/2012/wordml"/>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63863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31FC8"/>
    <w:multiLevelType w:val="hybridMultilevel"/>
    <w:tmpl w:val="996A1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6F00C6"/>
    <w:multiLevelType w:val="hybridMultilevel"/>
    <w:tmpl w:val="94B8D8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BF22225"/>
    <w:multiLevelType w:val="hybridMultilevel"/>
    <w:tmpl w:val="3F309AB2"/>
    <w:lvl w:ilvl="0" w:tplc="45380BB4">
      <w:start w:val="1"/>
      <w:numFmt w:val="decimal"/>
      <w:pStyle w:val="FootnotesNumbered"/>
      <w:lvlText w:val="%1."/>
      <w:lvlJc w:val="left"/>
      <w:pPr>
        <w:ind w:left="360" w:hanging="360"/>
      </w:pPr>
      <w:rPr>
        <w:rFonts w:ascii="Arial" w:hAnsi="Arial" w:hint="default"/>
        <w:b w:val="0"/>
        <w:bCs w:val="0"/>
        <w:i w:val="0"/>
        <w:iCs w:val="0"/>
        <w:color w:val="7E7A7B" w:themeColor="text2"/>
        <w:sz w:val="16"/>
        <w:szCs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C42D47"/>
    <w:multiLevelType w:val="hybridMultilevel"/>
    <w:tmpl w:val="EEBAFFBC"/>
    <w:lvl w:ilvl="0" w:tplc="5842411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8BA4209"/>
    <w:multiLevelType w:val="hybridMultilevel"/>
    <w:tmpl w:val="32985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616F63"/>
    <w:multiLevelType w:val="hybridMultilevel"/>
    <w:tmpl w:val="688ADC30"/>
    <w:lvl w:ilvl="0" w:tplc="C5B8A76E">
      <w:start w:val="1"/>
      <w:numFmt w:val="bullet"/>
      <w:lvlText w:val=""/>
      <w:lvlJc w:val="left"/>
      <w:pPr>
        <w:ind w:left="1287"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8A69D7"/>
    <w:multiLevelType w:val="hybridMultilevel"/>
    <w:tmpl w:val="783C224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nsid w:val="5ACE6713"/>
    <w:multiLevelType w:val="hybridMultilevel"/>
    <w:tmpl w:val="37726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9DF28A0"/>
    <w:multiLevelType w:val="hybridMultilevel"/>
    <w:tmpl w:val="D472D7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7A5F5F73"/>
    <w:multiLevelType w:val="hybridMultilevel"/>
    <w:tmpl w:val="07023136"/>
    <w:lvl w:ilvl="0" w:tplc="6AA01E34">
      <w:start w:val="1"/>
      <w:numFmt w:val="lowerLetter"/>
      <w:lvlText w:val="%1)"/>
      <w:lvlJc w:val="left"/>
      <w:pPr>
        <w:ind w:left="72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9"/>
  </w:num>
  <w:num w:numId="5">
    <w:abstractNumId w:val="8"/>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7"/>
  </w:num>
  <w:num w:numId="25">
    <w:abstractNumId w:val="6"/>
  </w:num>
  <w:num w:numId="26">
    <w:abstractNumId w:val="1"/>
  </w:num>
  <w:num w:numId="27">
    <w:abstractNumId w:val="6"/>
  </w:num>
  <w:num w:numId="28">
    <w:abstractNumId w:val="0"/>
  </w:num>
  <w:num w:numId="29">
    <w:abstractNumId w:val="2"/>
  </w:num>
  <w:num w:numId="30">
    <w:abstractNumId w:val="10"/>
  </w:num>
  <w:num w:numId="31">
    <w:abstractNumId w:val="4"/>
  </w:num>
  <w:num w:numId="32">
    <w:abstractNumId w:val="5"/>
  </w:num>
  <w:num w:numId="33">
    <w:abstractNumId w:val="6"/>
  </w:num>
  <w:num w:numId="3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4B"/>
    <w:rsid w:val="00000AA5"/>
    <w:rsid w:val="000025BC"/>
    <w:rsid w:val="0000430A"/>
    <w:rsid w:val="00005D20"/>
    <w:rsid w:val="000076BF"/>
    <w:rsid w:val="00010787"/>
    <w:rsid w:val="00011A0B"/>
    <w:rsid w:val="00013961"/>
    <w:rsid w:val="000227C2"/>
    <w:rsid w:val="00031C40"/>
    <w:rsid w:val="000350D7"/>
    <w:rsid w:val="0004734D"/>
    <w:rsid w:val="00047748"/>
    <w:rsid w:val="000543DB"/>
    <w:rsid w:val="00054CE2"/>
    <w:rsid w:val="0005672D"/>
    <w:rsid w:val="000678B8"/>
    <w:rsid w:val="00070426"/>
    <w:rsid w:val="000711B3"/>
    <w:rsid w:val="0007233C"/>
    <w:rsid w:val="000729A6"/>
    <w:rsid w:val="0007377D"/>
    <w:rsid w:val="00074B4F"/>
    <w:rsid w:val="00075028"/>
    <w:rsid w:val="00081D35"/>
    <w:rsid w:val="00084171"/>
    <w:rsid w:val="00085562"/>
    <w:rsid w:val="00086393"/>
    <w:rsid w:val="0008647C"/>
    <w:rsid w:val="00086F16"/>
    <w:rsid w:val="000870EA"/>
    <w:rsid w:val="0009081C"/>
    <w:rsid w:val="0009215C"/>
    <w:rsid w:val="00093890"/>
    <w:rsid w:val="00094ED0"/>
    <w:rsid w:val="0009606B"/>
    <w:rsid w:val="000A6F0A"/>
    <w:rsid w:val="000B1C07"/>
    <w:rsid w:val="000B494B"/>
    <w:rsid w:val="000C05FE"/>
    <w:rsid w:val="000C52A4"/>
    <w:rsid w:val="000D3385"/>
    <w:rsid w:val="000D38A6"/>
    <w:rsid w:val="000D755A"/>
    <w:rsid w:val="000E0722"/>
    <w:rsid w:val="000E407F"/>
    <w:rsid w:val="000E56B6"/>
    <w:rsid w:val="000E7C1F"/>
    <w:rsid w:val="000F186F"/>
    <w:rsid w:val="000F2B91"/>
    <w:rsid w:val="000F2F82"/>
    <w:rsid w:val="000F6FB3"/>
    <w:rsid w:val="001013C6"/>
    <w:rsid w:val="00103210"/>
    <w:rsid w:val="0010776C"/>
    <w:rsid w:val="00112F7F"/>
    <w:rsid w:val="00114655"/>
    <w:rsid w:val="001175E2"/>
    <w:rsid w:val="00120B40"/>
    <w:rsid w:val="00125C9C"/>
    <w:rsid w:val="001260A1"/>
    <w:rsid w:val="00127485"/>
    <w:rsid w:val="001372C3"/>
    <w:rsid w:val="00146DEF"/>
    <w:rsid w:val="00150380"/>
    <w:rsid w:val="00153B71"/>
    <w:rsid w:val="00157E2C"/>
    <w:rsid w:val="00177D06"/>
    <w:rsid w:val="001855C3"/>
    <w:rsid w:val="00186384"/>
    <w:rsid w:val="00192025"/>
    <w:rsid w:val="001A5A08"/>
    <w:rsid w:val="001A70E5"/>
    <w:rsid w:val="001C0165"/>
    <w:rsid w:val="001C0538"/>
    <w:rsid w:val="001C0F72"/>
    <w:rsid w:val="001C4D21"/>
    <w:rsid w:val="001D2BB9"/>
    <w:rsid w:val="001D3DC3"/>
    <w:rsid w:val="001D72C2"/>
    <w:rsid w:val="001E0FBF"/>
    <w:rsid w:val="001E3969"/>
    <w:rsid w:val="001E5BFE"/>
    <w:rsid w:val="001F1945"/>
    <w:rsid w:val="001F5C32"/>
    <w:rsid w:val="001F5FD7"/>
    <w:rsid w:val="00204068"/>
    <w:rsid w:val="0020674F"/>
    <w:rsid w:val="002068D3"/>
    <w:rsid w:val="002071CA"/>
    <w:rsid w:val="002071E0"/>
    <w:rsid w:val="00212010"/>
    <w:rsid w:val="00213CB5"/>
    <w:rsid w:val="0021692B"/>
    <w:rsid w:val="00222B4D"/>
    <w:rsid w:val="00226571"/>
    <w:rsid w:val="002309F9"/>
    <w:rsid w:val="002313B3"/>
    <w:rsid w:val="00240D11"/>
    <w:rsid w:val="00250AA5"/>
    <w:rsid w:val="00251DFC"/>
    <w:rsid w:val="00256F77"/>
    <w:rsid w:val="002574CA"/>
    <w:rsid w:val="002610C5"/>
    <w:rsid w:val="00276029"/>
    <w:rsid w:val="00281D2B"/>
    <w:rsid w:val="0028203A"/>
    <w:rsid w:val="00283B8E"/>
    <w:rsid w:val="00292655"/>
    <w:rsid w:val="00295CBE"/>
    <w:rsid w:val="002A60DA"/>
    <w:rsid w:val="002B04E7"/>
    <w:rsid w:val="002B10EF"/>
    <w:rsid w:val="002B217F"/>
    <w:rsid w:val="002B267F"/>
    <w:rsid w:val="002B29E3"/>
    <w:rsid w:val="002B3C92"/>
    <w:rsid w:val="002B54B8"/>
    <w:rsid w:val="002C20CC"/>
    <w:rsid w:val="002C372C"/>
    <w:rsid w:val="002C3CFC"/>
    <w:rsid w:val="002C70F5"/>
    <w:rsid w:val="002C7A53"/>
    <w:rsid w:val="002D0397"/>
    <w:rsid w:val="002D38C2"/>
    <w:rsid w:val="002D467A"/>
    <w:rsid w:val="002D6A9A"/>
    <w:rsid w:val="002D75FE"/>
    <w:rsid w:val="002E06C0"/>
    <w:rsid w:val="002E3C03"/>
    <w:rsid w:val="002F0A15"/>
    <w:rsid w:val="002F0CC3"/>
    <w:rsid w:val="002F312C"/>
    <w:rsid w:val="002F344A"/>
    <w:rsid w:val="002F453E"/>
    <w:rsid w:val="002F6158"/>
    <w:rsid w:val="00301787"/>
    <w:rsid w:val="00303EC1"/>
    <w:rsid w:val="003049CF"/>
    <w:rsid w:val="00307710"/>
    <w:rsid w:val="00310AC9"/>
    <w:rsid w:val="00313693"/>
    <w:rsid w:val="00316281"/>
    <w:rsid w:val="003241EB"/>
    <w:rsid w:val="00330735"/>
    <w:rsid w:val="00330FFF"/>
    <w:rsid w:val="00331EFB"/>
    <w:rsid w:val="00337849"/>
    <w:rsid w:val="00343A82"/>
    <w:rsid w:val="0034540F"/>
    <w:rsid w:val="00345899"/>
    <w:rsid w:val="00347750"/>
    <w:rsid w:val="00352B57"/>
    <w:rsid w:val="00353E8C"/>
    <w:rsid w:val="00361F64"/>
    <w:rsid w:val="00370454"/>
    <w:rsid w:val="0037452D"/>
    <w:rsid w:val="003774B7"/>
    <w:rsid w:val="00383F14"/>
    <w:rsid w:val="0039273C"/>
    <w:rsid w:val="003A57EB"/>
    <w:rsid w:val="003A5BF7"/>
    <w:rsid w:val="003A7A08"/>
    <w:rsid w:val="003B2A5A"/>
    <w:rsid w:val="003C62C3"/>
    <w:rsid w:val="003E0B33"/>
    <w:rsid w:val="003E0DFB"/>
    <w:rsid w:val="003E5792"/>
    <w:rsid w:val="003F1A5B"/>
    <w:rsid w:val="003F3D53"/>
    <w:rsid w:val="003F69D6"/>
    <w:rsid w:val="00400D14"/>
    <w:rsid w:val="004011BF"/>
    <w:rsid w:val="00401C61"/>
    <w:rsid w:val="00402461"/>
    <w:rsid w:val="004030FB"/>
    <w:rsid w:val="00406D4C"/>
    <w:rsid w:val="00406E66"/>
    <w:rsid w:val="00416181"/>
    <w:rsid w:val="00422194"/>
    <w:rsid w:val="00422970"/>
    <w:rsid w:val="004229D0"/>
    <w:rsid w:val="00423443"/>
    <w:rsid w:val="00425EC6"/>
    <w:rsid w:val="00430185"/>
    <w:rsid w:val="0043411F"/>
    <w:rsid w:val="00434147"/>
    <w:rsid w:val="004341A4"/>
    <w:rsid w:val="004428DA"/>
    <w:rsid w:val="004434DE"/>
    <w:rsid w:val="00446680"/>
    <w:rsid w:val="0044716D"/>
    <w:rsid w:val="00447621"/>
    <w:rsid w:val="004515E2"/>
    <w:rsid w:val="004613BF"/>
    <w:rsid w:val="00462CE4"/>
    <w:rsid w:val="004659AB"/>
    <w:rsid w:val="004752EA"/>
    <w:rsid w:val="00491805"/>
    <w:rsid w:val="004919D1"/>
    <w:rsid w:val="004948B7"/>
    <w:rsid w:val="00496D3D"/>
    <w:rsid w:val="004A3B1D"/>
    <w:rsid w:val="004A7C17"/>
    <w:rsid w:val="004B09C7"/>
    <w:rsid w:val="004B191D"/>
    <w:rsid w:val="004B238A"/>
    <w:rsid w:val="004B27C5"/>
    <w:rsid w:val="004B2F7A"/>
    <w:rsid w:val="004B65B2"/>
    <w:rsid w:val="004C0652"/>
    <w:rsid w:val="004C1594"/>
    <w:rsid w:val="004C305E"/>
    <w:rsid w:val="004C3FBA"/>
    <w:rsid w:val="004D4995"/>
    <w:rsid w:val="004D4D5E"/>
    <w:rsid w:val="004D6EB2"/>
    <w:rsid w:val="004E7029"/>
    <w:rsid w:val="004F07B0"/>
    <w:rsid w:val="004F3C27"/>
    <w:rsid w:val="004F50E0"/>
    <w:rsid w:val="00500B99"/>
    <w:rsid w:val="00502606"/>
    <w:rsid w:val="00505C48"/>
    <w:rsid w:val="00507D3E"/>
    <w:rsid w:val="0051274A"/>
    <w:rsid w:val="00512F4D"/>
    <w:rsid w:val="0051672F"/>
    <w:rsid w:val="00520A14"/>
    <w:rsid w:val="00523377"/>
    <w:rsid w:val="00523A30"/>
    <w:rsid w:val="00525A4C"/>
    <w:rsid w:val="005278CD"/>
    <w:rsid w:val="00546F3A"/>
    <w:rsid w:val="0055548E"/>
    <w:rsid w:val="00555A91"/>
    <w:rsid w:val="0056245A"/>
    <w:rsid w:val="00565A59"/>
    <w:rsid w:val="00567069"/>
    <w:rsid w:val="005674FE"/>
    <w:rsid w:val="00574AC8"/>
    <w:rsid w:val="005859D9"/>
    <w:rsid w:val="005874BC"/>
    <w:rsid w:val="00594885"/>
    <w:rsid w:val="00595642"/>
    <w:rsid w:val="00596922"/>
    <w:rsid w:val="00596CAE"/>
    <w:rsid w:val="0059754F"/>
    <w:rsid w:val="005A4A18"/>
    <w:rsid w:val="005B084A"/>
    <w:rsid w:val="005B50FA"/>
    <w:rsid w:val="005B52C8"/>
    <w:rsid w:val="005D2B72"/>
    <w:rsid w:val="005D62AC"/>
    <w:rsid w:val="005D6CDA"/>
    <w:rsid w:val="005E023E"/>
    <w:rsid w:val="005E1F04"/>
    <w:rsid w:val="005E3E17"/>
    <w:rsid w:val="005E591F"/>
    <w:rsid w:val="005E7EF9"/>
    <w:rsid w:val="005F2628"/>
    <w:rsid w:val="005F44C1"/>
    <w:rsid w:val="006004D7"/>
    <w:rsid w:val="00603BD0"/>
    <w:rsid w:val="006043FB"/>
    <w:rsid w:val="00604A5B"/>
    <w:rsid w:val="00606198"/>
    <w:rsid w:val="00606A85"/>
    <w:rsid w:val="00606AB4"/>
    <w:rsid w:val="00610D77"/>
    <w:rsid w:val="0061135B"/>
    <w:rsid w:val="0061152C"/>
    <w:rsid w:val="006118E7"/>
    <w:rsid w:val="00614E61"/>
    <w:rsid w:val="00617D97"/>
    <w:rsid w:val="006200DC"/>
    <w:rsid w:val="0062504F"/>
    <w:rsid w:val="00633663"/>
    <w:rsid w:val="00633A37"/>
    <w:rsid w:val="00635DEA"/>
    <w:rsid w:val="00637FE0"/>
    <w:rsid w:val="00643E9C"/>
    <w:rsid w:val="006454CB"/>
    <w:rsid w:val="00647228"/>
    <w:rsid w:val="0065462F"/>
    <w:rsid w:val="00656301"/>
    <w:rsid w:val="00656392"/>
    <w:rsid w:val="00657259"/>
    <w:rsid w:val="00666E8F"/>
    <w:rsid w:val="00673DF1"/>
    <w:rsid w:val="00675A45"/>
    <w:rsid w:val="0068280C"/>
    <w:rsid w:val="00685B34"/>
    <w:rsid w:val="00685E0F"/>
    <w:rsid w:val="00690E20"/>
    <w:rsid w:val="00693401"/>
    <w:rsid w:val="006966B2"/>
    <w:rsid w:val="006A21A7"/>
    <w:rsid w:val="006B382F"/>
    <w:rsid w:val="006B7715"/>
    <w:rsid w:val="006C1C67"/>
    <w:rsid w:val="006C1F5B"/>
    <w:rsid w:val="006C26BC"/>
    <w:rsid w:val="006C596C"/>
    <w:rsid w:val="006D23BB"/>
    <w:rsid w:val="006D2DE1"/>
    <w:rsid w:val="006D4D0F"/>
    <w:rsid w:val="006D66E5"/>
    <w:rsid w:val="006D69A6"/>
    <w:rsid w:val="006E0BEA"/>
    <w:rsid w:val="006E1735"/>
    <w:rsid w:val="006E63D4"/>
    <w:rsid w:val="006F09E4"/>
    <w:rsid w:val="006F2931"/>
    <w:rsid w:val="006F7ED7"/>
    <w:rsid w:val="00702244"/>
    <w:rsid w:val="007101A7"/>
    <w:rsid w:val="00711B0E"/>
    <w:rsid w:val="00712BA5"/>
    <w:rsid w:val="00715FB6"/>
    <w:rsid w:val="00725F86"/>
    <w:rsid w:val="00727399"/>
    <w:rsid w:val="0073503C"/>
    <w:rsid w:val="007377E0"/>
    <w:rsid w:val="00737B6B"/>
    <w:rsid w:val="00743B11"/>
    <w:rsid w:val="0074468E"/>
    <w:rsid w:val="00744D81"/>
    <w:rsid w:val="00744E84"/>
    <w:rsid w:val="00753119"/>
    <w:rsid w:val="00753C31"/>
    <w:rsid w:val="00757093"/>
    <w:rsid w:val="00757826"/>
    <w:rsid w:val="00763311"/>
    <w:rsid w:val="0076791A"/>
    <w:rsid w:val="00770BED"/>
    <w:rsid w:val="00774CCE"/>
    <w:rsid w:val="00774EAB"/>
    <w:rsid w:val="007750F3"/>
    <w:rsid w:val="007772F5"/>
    <w:rsid w:val="007775CB"/>
    <w:rsid w:val="007812DE"/>
    <w:rsid w:val="00781424"/>
    <w:rsid w:val="0078189D"/>
    <w:rsid w:val="00787E26"/>
    <w:rsid w:val="007912E0"/>
    <w:rsid w:val="00792B58"/>
    <w:rsid w:val="00794CC5"/>
    <w:rsid w:val="00795147"/>
    <w:rsid w:val="007964C0"/>
    <w:rsid w:val="007A14CE"/>
    <w:rsid w:val="007A2BF9"/>
    <w:rsid w:val="007A504F"/>
    <w:rsid w:val="007B09F0"/>
    <w:rsid w:val="007B13CC"/>
    <w:rsid w:val="007B2379"/>
    <w:rsid w:val="007B7E55"/>
    <w:rsid w:val="007C1435"/>
    <w:rsid w:val="007C243A"/>
    <w:rsid w:val="007C3C0E"/>
    <w:rsid w:val="007C4964"/>
    <w:rsid w:val="007D50C3"/>
    <w:rsid w:val="007D5F5F"/>
    <w:rsid w:val="007E1B89"/>
    <w:rsid w:val="0080592D"/>
    <w:rsid w:val="00807103"/>
    <w:rsid w:val="00807C57"/>
    <w:rsid w:val="00807E1C"/>
    <w:rsid w:val="0081368F"/>
    <w:rsid w:val="00815EA8"/>
    <w:rsid w:val="00815EBF"/>
    <w:rsid w:val="008212B9"/>
    <w:rsid w:val="0082706E"/>
    <w:rsid w:val="00837157"/>
    <w:rsid w:val="00840263"/>
    <w:rsid w:val="00840CF0"/>
    <w:rsid w:val="00843595"/>
    <w:rsid w:val="00844A74"/>
    <w:rsid w:val="00852550"/>
    <w:rsid w:val="00852969"/>
    <w:rsid w:val="00852D05"/>
    <w:rsid w:val="00854456"/>
    <w:rsid w:val="00857574"/>
    <w:rsid w:val="008709A4"/>
    <w:rsid w:val="00870D82"/>
    <w:rsid w:val="008733D7"/>
    <w:rsid w:val="00877B97"/>
    <w:rsid w:val="00882CEC"/>
    <w:rsid w:val="00884E36"/>
    <w:rsid w:val="00886E2B"/>
    <w:rsid w:val="00887BCE"/>
    <w:rsid w:val="00890E4E"/>
    <w:rsid w:val="00897C1E"/>
    <w:rsid w:val="008B0F50"/>
    <w:rsid w:val="008B247B"/>
    <w:rsid w:val="008B669F"/>
    <w:rsid w:val="008D00D4"/>
    <w:rsid w:val="008D0750"/>
    <w:rsid w:val="008D5186"/>
    <w:rsid w:val="008E05D2"/>
    <w:rsid w:val="008E28CA"/>
    <w:rsid w:val="008E3C0A"/>
    <w:rsid w:val="008E4DA5"/>
    <w:rsid w:val="008E65F3"/>
    <w:rsid w:val="008F02AB"/>
    <w:rsid w:val="008F2E7F"/>
    <w:rsid w:val="008F5A5E"/>
    <w:rsid w:val="008F7927"/>
    <w:rsid w:val="00900F7A"/>
    <w:rsid w:val="00901D1A"/>
    <w:rsid w:val="00901F19"/>
    <w:rsid w:val="00905C1C"/>
    <w:rsid w:val="00906CE7"/>
    <w:rsid w:val="00912DF3"/>
    <w:rsid w:val="009176E7"/>
    <w:rsid w:val="00920D82"/>
    <w:rsid w:val="00922E3D"/>
    <w:rsid w:val="009262E4"/>
    <w:rsid w:val="009376E2"/>
    <w:rsid w:val="00942A8F"/>
    <w:rsid w:val="00945702"/>
    <w:rsid w:val="0094777D"/>
    <w:rsid w:val="0095342C"/>
    <w:rsid w:val="009543EB"/>
    <w:rsid w:val="00967C8B"/>
    <w:rsid w:val="00970F0A"/>
    <w:rsid w:val="009723C8"/>
    <w:rsid w:val="0097487C"/>
    <w:rsid w:val="00974BAA"/>
    <w:rsid w:val="00974E71"/>
    <w:rsid w:val="009752BA"/>
    <w:rsid w:val="00980CC2"/>
    <w:rsid w:val="00983CD7"/>
    <w:rsid w:val="00984732"/>
    <w:rsid w:val="00985379"/>
    <w:rsid w:val="0098564F"/>
    <w:rsid w:val="009868C1"/>
    <w:rsid w:val="00990B5B"/>
    <w:rsid w:val="009914D1"/>
    <w:rsid w:val="00991A04"/>
    <w:rsid w:val="009922C2"/>
    <w:rsid w:val="00993CE5"/>
    <w:rsid w:val="00994E19"/>
    <w:rsid w:val="009A1717"/>
    <w:rsid w:val="009A1DB0"/>
    <w:rsid w:val="009A48D4"/>
    <w:rsid w:val="009A61BD"/>
    <w:rsid w:val="009B380F"/>
    <w:rsid w:val="009C3CB1"/>
    <w:rsid w:val="009C3E5A"/>
    <w:rsid w:val="009C4FF3"/>
    <w:rsid w:val="009C5021"/>
    <w:rsid w:val="009D5DB9"/>
    <w:rsid w:val="009E342D"/>
    <w:rsid w:val="009E5FC8"/>
    <w:rsid w:val="009F1FFF"/>
    <w:rsid w:val="009F6F12"/>
    <w:rsid w:val="009F74EF"/>
    <w:rsid w:val="00A01397"/>
    <w:rsid w:val="00A028C7"/>
    <w:rsid w:val="00A03518"/>
    <w:rsid w:val="00A05F86"/>
    <w:rsid w:val="00A1101D"/>
    <w:rsid w:val="00A11442"/>
    <w:rsid w:val="00A14EC8"/>
    <w:rsid w:val="00A174D0"/>
    <w:rsid w:val="00A20811"/>
    <w:rsid w:val="00A25B9F"/>
    <w:rsid w:val="00A25D85"/>
    <w:rsid w:val="00A30315"/>
    <w:rsid w:val="00A36C09"/>
    <w:rsid w:val="00A404A9"/>
    <w:rsid w:val="00A40667"/>
    <w:rsid w:val="00A407FB"/>
    <w:rsid w:val="00A428BA"/>
    <w:rsid w:val="00A46654"/>
    <w:rsid w:val="00A50FAD"/>
    <w:rsid w:val="00A56D71"/>
    <w:rsid w:val="00A64925"/>
    <w:rsid w:val="00A64AEE"/>
    <w:rsid w:val="00A710EE"/>
    <w:rsid w:val="00A74B27"/>
    <w:rsid w:val="00A75C0D"/>
    <w:rsid w:val="00A764A6"/>
    <w:rsid w:val="00A76783"/>
    <w:rsid w:val="00A80B2F"/>
    <w:rsid w:val="00A81B3A"/>
    <w:rsid w:val="00A82DAE"/>
    <w:rsid w:val="00A84BBF"/>
    <w:rsid w:val="00A85F5E"/>
    <w:rsid w:val="00A86387"/>
    <w:rsid w:val="00A960B6"/>
    <w:rsid w:val="00A977BF"/>
    <w:rsid w:val="00AA3A0B"/>
    <w:rsid w:val="00AB1B79"/>
    <w:rsid w:val="00AB587D"/>
    <w:rsid w:val="00AB58DD"/>
    <w:rsid w:val="00AC0D5D"/>
    <w:rsid w:val="00AC28FA"/>
    <w:rsid w:val="00AC631E"/>
    <w:rsid w:val="00AC6F13"/>
    <w:rsid w:val="00AD316F"/>
    <w:rsid w:val="00AD66E0"/>
    <w:rsid w:val="00AE2913"/>
    <w:rsid w:val="00AE2E6B"/>
    <w:rsid w:val="00AE5546"/>
    <w:rsid w:val="00AE642D"/>
    <w:rsid w:val="00AE76C7"/>
    <w:rsid w:val="00AF5D20"/>
    <w:rsid w:val="00B06266"/>
    <w:rsid w:val="00B1088D"/>
    <w:rsid w:val="00B13E9C"/>
    <w:rsid w:val="00B16DD7"/>
    <w:rsid w:val="00B202FB"/>
    <w:rsid w:val="00B22771"/>
    <w:rsid w:val="00B22DD5"/>
    <w:rsid w:val="00B22EDA"/>
    <w:rsid w:val="00B23D04"/>
    <w:rsid w:val="00B27B64"/>
    <w:rsid w:val="00B32392"/>
    <w:rsid w:val="00B36D84"/>
    <w:rsid w:val="00B4263C"/>
    <w:rsid w:val="00B44BFD"/>
    <w:rsid w:val="00B457AE"/>
    <w:rsid w:val="00B45854"/>
    <w:rsid w:val="00B47A38"/>
    <w:rsid w:val="00B501A9"/>
    <w:rsid w:val="00B51C98"/>
    <w:rsid w:val="00B55B09"/>
    <w:rsid w:val="00B622DF"/>
    <w:rsid w:val="00B63F6A"/>
    <w:rsid w:val="00B70E61"/>
    <w:rsid w:val="00B73E8B"/>
    <w:rsid w:val="00B74651"/>
    <w:rsid w:val="00B8037A"/>
    <w:rsid w:val="00B83433"/>
    <w:rsid w:val="00B85314"/>
    <w:rsid w:val="00B87547"/>
    <w:rsid w:val="00B91B65"/>
    <w:rsid w:val="00BA3D16"/>
    <w:rsid w:val="00BA7689"/>
    <w:rsid w:val="00BB0E3F"/>
    <w:rsid w:val="00BB4BAF"/>
    <w:rsid w:val="00BB5FC4"/>
    <w:rsid w:val="00BC27E4"/>
    <w:rsid w:val="00BD1066"/>
    <w:rsid w:val="00BE2548"/>
    <w:rsid w:val="00BF02D1"/>
    <w:rsid w:val="00BF0F15"/>
    <w:rsid w:val="00BF38BE"/>
    <w:rsid w:val="00BF3A43"/>
    <w:rsid w:val="00BF4875"/>
    <w:rsid w:val="00BF6810"/>
    <w:rsid w:val="00C01A96"/>
    <w:rsid w:val="00C110B0"/>
    <w:rsid w:val="00C1499B"/>
    <w:rsid w:val="00C14DC2"/>
    <w:rsid w:val="00C25C15"/>
    <w:rsid w:val="00C26298"/>
    <w:rsid w:val="00C3044B"/>
    <w:rsid w:val="00C30FB8"/>
    <w:rsid w:val="00C31EFD"/>
    <w:rsid w:val="00C324A4"/>
    <w:rsid w:val="00C32BFE"/>
    <w:rsid w:val="00C34C57"/>
    <w:rsid w:val="00C36E8C"/>
    <w:rsid w:val="00C379FE"/>
    <w:rsid w:val="00C405CB"/>
    <w:rsid w:val="00C423B7"/>
    <w:rsid w:val="00C44684"/>
    <w:rsid w:val="00C47C62"/>
    <w:rsid w:val="00C54226"/>
    <w:rsid w:val="00C55817"/>
    <w:rsid w:val="00C56432"/>
    <w:rsid w:val="00C57EA9"/>
    <w:rsid w:val="00C6215A"/>
    <w:rsid w:val="00C64ACD"/>
    <w:rsid w:val="00C673FA"/>
    <w:rsid w:val="00C67C0B"/>
    <w:rsid w:val="00C7128F"/>
    <w:rsid w:val="00C75318"/>
    <w:rsid w:val="00C7657B"/>
    <w:rsid w:val="00C80B9B"/>
    <w:rsid w:val="00C82681"/>
    <w:rsid w:val="00C85D34"/>
    <w:rsid w:val="00C864A4"/>
    <w:rsid w:val="00C87C1A"/>
    <w:rsid w:val="00C94855"/>
    <w:rsid w:val="00C97409"/>
    <w:rsid w:val="00C97449"/>
    <w:rsid w:val="00CA45C6"/>
    <w:rsid w:val="00CB1E89"/>
    <w:rsid w:val="00CB1F7F"/>
    <w:rsid w:val="00CB2EA2"/>
    <w:rsid w:val="00CC1B10"/>
    <w:rsid w:val="00CC3621"/>
    <w:rsid w:val="00CC4B52"/>
    <w:rsid w:val="00CD0580"/>
    <w:rsid w:val="00CD4A05"/>
    <w:rsid w:val="00CD7FE7"/>
    <w:rsid w:val="00CE14AA"/>
    <w:rsid w:val="00CE4E73"/>
    <w:rsid w:val="00CE7F56"/>
    <w:rsid w:val="00CF5890"/>
    <w:rsid w:val="00CF76F8"/>
    <w:rsid w:val="00D06659"/>
    <w:rsid w:val="00D12306"/>
    <w:rsid w:val="00D14602"/>
    <w:rsid w:val="00D21375"/>
    <w:rsid w:val="00D21E7C"/>
    <w:rsid w:val="00D24AC8"/>
    <w:rsid w:val="00D26FDC"/>
    <w:rsid w:val="00D34EB6"/>
    <w:rsid w:val="00D44EB6"/>
    <w:rsid w:val="00D45867"/>
    <w:rsid w:val="00D544BB"/>
    <w:rsid w:val="00D624E9"/>
    <w:rsid w:val="00D62764"/>
    <w:rsid w:val="00D62A51"/>
    <w:rsid w:val="00D7264E"/>
    <w:rsid w:val="00D77BD8"/>
    <w:rsid w:val="00D84D41"/>
    <w:rsid w:val="00D9097E"/>
    <w:rsid w:val="00DA39D9"/>
    <w:rsid w:val="00DA448D"/>
    <w:rsid w:val="00DA7DFA"/>
    <w:rsid w:val="00DB6272"/>
    <w:rsid w:val="00DD10C5"/>
    <w:rsid w:val="00DD38CA"/>
    <w:rsid w:val="00DD3B64"/>
    <w:rsid w:val="00DE0FEC"/>
    <w:rsid w:val="00DE285B"/>
    <w:rsid w:val="00DE3CB1"/>
    <w:rsid w:val="00DE7ADC"/>
    <w:rsid w:val="00DF69C3"/>
    <w:rsid w:val="00E05BC1"/>
    <w:rsid w:val="00E05FB0"/>
    <w:rsid w:val="00E073CD"/>
    <w:rsid w:val="00E07C13"/>
    <w:rsid w:val="00E14DCD"/>
    <w:rsid w:val="00E217CF"/>
    <w:rsid w:val="00E22DDE"/>
    <w:rsid w:val="00E2540A"/>
    <w:rsid w:val="00E25B4D"/>
    <w:rsid w:val="00E26EB6"/>
    <w:rsid w:val="00E31589"/>
    <w:rsid w:val="00E3193F"/>
    <w:rsid w:val="00E343A8"/>
    <w:rsid w:val="00E34CBF"/>
    <w:rsid w:val="00E362D8"/>
    <w:rsid w:val="00E36415"/>
    <w:rsid w:val="00E41874"/>
    <w:rsid w:val="00E4440C"/>
    <w:rsid w:val="00E475F9"/>
    <w:rsid w:val="00E50E26"/>
    <w:rsid w:val="00E51468"/>
    <w:rsid w:val="00E6404C"/>
    <w:rsid w:val="00E64A1F"/>
    <w:rsid w:val="00E665B4"/>
    <w:rsid w:val="00E671BB"/>
    <w:rsid w:val="00E67E1F"/>
    <w:rsid w:val="00E70899"/>
    <w:rsid w:val="00E71257"/>
    <w:rsid w:val="00E741D0"/>
    <w:rsid w:val="00E74F75"/>
    <w:rsid w:val="00E76B3B"/>
    <w:rsid w:val="00E801EC"/>
    <w:rsid w:val="00E83639"/>
    <w:rsid w:val="00E87488"/>
    <w:rsid w:val="00E93C14"/>
    <w:rsid w:val="00E94047"/>
    <w:rsid w:val="00E960CC"/>
    <w:rsid w:val="00E96615"/>
    <w:rsid w:val="00E974DE"/>
    <w:rsid w:val="00EA188A"/>
    <w:rsid w:val="00EA3FB4"/>
    <w:rsid w:val="00EA53A2"/>
    <w:rsid w:val="00EA59F1"/>
    <w:rsid w:val="00EB077F"/>
    <w:rsid w:val="00EB108E"/>
    <w:rsid w:val="00EB4690"/>
    <w:rsid w:val="00EB5926"/>
    <w:rsid w:val="00EB689A"/>
    <w:rsid w:val="00EC2341"/>
    <w:rsid w:val="00ED1964"/>
    <w:rsid w:val="00ED1DF0"/>
    <w:rsid w:val="00ED3730"/>
    <w:rsid w:val="00ED5779"/>
    <w:rsid w:val="00ED5EB7"/>
    <w:rsid w:val="00ED7168"/>
    <w:rsid w:val="00EE341F"/>
    <w:rsid w:val="00EE651E"/>
    <w:rsid w:val="00F000FB"/>
    <w:rsid w:val="00F003D0"/>
    <w:rsid w:val="00F01B87"/>
    <w:rsid w:val="00F02506"/>
    <w:rsid w:val="00F037E3"/>
    <w:rsid w:val="00F14604"/>
    <w:rsid w:val="00F15DB4"/>
    <w:rsid w:val="00F1784A"/>
    <w:rsid w:val="00F251DE"/>
    <w:rsid w:val="00F3103C"/>
    <w:rsid w:val="00F35D1B"/>
    <w:rsid w:val="00F42900"/>
    <w:rsid w:val="00F46C5E"/>
    <w:rsid w:val="00F47397"/>
    <w:rsid w:val="00F47578"/>
    <w:rsid w:val="00F53D15"/>
    <w:rsid w:val="00F60D4B"/>
    <w:rsid w:val="00F620CA"/>
    <w:rsid w:val="00F6235F"/>
    <w:rsid w:val="00F678D2"/>
    <w:rsid w:val="00F71884"/>
    <w:rsid w:val="00F75282"/>
    <w:rsid w:val="00F757BE"/>
    <w:rsid w:val="00F77883"/>
    <w:rsid w:val="00F80E73"/>
    <w:rsid w:val="00F823B6"/>
    <w:rsid w:val="00F83830"/>
    <w:rsid w:val="00F862E9"/>
    <w:rsid w:val="00F926E0"/>
    <w:rsid w:val="00F93AB8"/>
    <w:rsid w:val="00F96C36"/>
    <w:rsid w:val="00FA02F3"/>
    <w:rsid w:val="00FA056C"/>
    <w:rsid w:val="00FA1DD8"/>
    <w:rsid w:val="00FA2509"/>
    <w:rsid w:val="00FA43A5"/>
    <w:rsid w:val="00FB050B"/>
    <w:rsid w:val="00FB22FA"/>
    <w:rsid w:val="00FB358B"/>
    <w:rsid w:val="00FB5F55"/>
    <w:rsid w:val="00FB7556"/>
    <w:rsid w:val="00FC0042"/>
    <w:rsid w:val="00FC094D"/>
    <w:rsid w:val="00FC1C7B"/>
    <w:rsid w:val="00FC2775"/>
    <w:rsid w:val="00FC372E"/>
    <w:rsid w:val="00FD18BE"/>
    <w:rsid w:val="00FD1D83"/>
    <w:rsid w:val="00FD5F4B"/>
    <w:rsid w:val="00FD79FE"/>
    <w:rsid w:val="00FE1B54"/>
    <w:rsid w:val="00FE23B2"/>
    <w:rsid w:val="00FE2C38"/>
    <w:rsid w:val="00FE3726"/>
    <w:rsid w:val="00FE4D70"/>
    <w:rsid w:val="00FE6FDF"/>
    <w:rsid w:val="00FF4A15"/>
    <w:rsid w:val="00FF55A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51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763311"/>
  </w:style>
  <w:style w:type="paragraph" w:styleId="Heading1">
    <w:name w:val="heading 1"/>
    <w:aliases w:val="First Para Header"/>
    <w:basedOn w:val="Normal"/>
    <w:next w:val="Normal"/>
    <w:link w:val="Heading1Char"/>
    <w:uiPriority w:val="9"/>
    <w:qFormat/>
    <w:rsid w:val="00763311"/>
    <w:pPr>
      <w:keepNext/>
      <w:keepLines/>
      <w:spacing w:before="480" w:after="0"/>
      <w:outlineLvl w:val="0"/>
    </w:pPr>
    <w:rPr>
      <w:rFonts w:asciiTheme="majorHAnsi" w:eastAsiaTheme="majorEastAsia" w:hAnsiTheme="majorHAnsi" w:cstheme="majorBidi"/>
      <w:b/>
      <w:bCs/>
      <w:color w:val="5E5C63" w:themeColor="accent1" w:themeShade="BF"/>
      <w:sz w:val="28"/>
      <w:szCs w:val="28"/>
    </w:rPr>
  </w:style>
  <w:style w:type="paragraph" w:styleId="Heading2">
    <w:name w:val="heading 2"/>
    <w:aliases w:val="Page titles"/>
    <w:basedOn w:val="Normal"/>
    <w:next w:val="Normal"/>
    <w:link w:val="Heading2Char"/>
    <w:uiPriority w:val="9"/>
    <w:unhideWhenUsed/>
    <w:qFormat/>
    <w:rsid w:val="00763311"/>
    <w:pPr>
      <w:keepNext/>
      <w:keepLines/>
      <w:spacing w:before="200" w:after="0"/>
      <w:outlineLvl w:val="1"/>
    </w:pPr>
    <w:rPr>
      <w:rFonts w:asciiTheme="majorHAnsi" w:eastAsiaTheme="majorEastAsia" w:hAnsiTheme="majorHAnsi" w:cstheme="majorBidi"/>
      <w:b/>
      <w:bCs/>
      <w:color w:val="7E7B85" w:themeColor="accent1"/>
      <w:sz w:val="26"/>
      <w:szCs w:val="26"/>
    </w:rPr>
  </w:style>
  <w:style w:type="paragraph" w:styleId="Heading3">
    <w:name w:val="heading 3"/>
    <w:basedOn w:val="Normal"/>
    <w:next w:val="Normal"/>
    <w:link w:val="Heading3Char"/>
    <w:uiPriority w:val="9"/>
    <w:unhideWhenUsed/>
    <w:qFormat/>
    <w:rsid w:val="00763311"/>
    <w:pPr>
      <w:keepNext/>
      <w:keepLines/>
      <w:spacing w:before="200" w:after="0"/>
      <w:outlineLvl w:val="2"/>
    </w:pPr>
    <w:rPr>
      <w:rFonts w:asciiTheme="majorHAnsi" w:eastAsiaTheme="majorEastAsia" w:hAnsiTheme="majorHAnsi" w:cstheme="majorBidi"/>
      <w:b/>
      <w:bCs/>
      <w:color w:val="7E7B85" w:themeColor="accent1"/>
    </w:rPr>
  </w:style>
  <w:style w:type="paragraph" w:styleId="Heading4">
    <w:name w:val="heading 4"/>
    <w:basedOn w:val="Normal"/>
    <w:next w:val="Normal"/>
    <w:link w:val="Heading4Char"/>
    <w:uiPriority w:val="9"/>
    <w:unhideWhenUsed/>
    <w:qFormat/>
    <w:rsid w:val="00763311"/>
    <w:pPr>
      <w:keepNext/>
      <w:keepLines/>
      <w:spacing w:before="200" w:after="0"/>
      <w:outlineLvl w:val="3"/>
    </w:pPr>
    <w:rPr>
      <w:rFonts w:asciiTheme="majorHAnsi" w:eastAsiaTheme="majorEastAsia" w:hAnsiTheme="majorHAnsi" w:cstheme="majorBidi"/>
      <w:b/>
      <w:bCs/>
      <w:i/>
      <w:iCs/>
      <w:color w:val="7E7B85" w:themeColor="accent1"/>
    </w:rPr>
  </w:style>
  <w:style w:type="paragraph" w:styleId="Heading5">
    <w:name w:val="heading 5"/>
    <w:basedOn w:val="Normal"/>
    <w:next w:val="Normal"/>
    <w:link w:val="Heading5Char"/>
    <w:uiPriority w:val="9"/>
    <w:unhideWhenUsed/>
    <w:qFormat/>
    <w:rsid w:val="00763311"/>
    <w:pPr>
      <w:keepNext/>
      <w:keepLines/>
      <w:spacing w:before="200" w:after="0"/>
      <w:outlineLvl w:val="4"/>
    </w:pPr>
    <w:rPr>
      <w:rFonts w:asciiTheme="majorHAnsi" w:eastAsiaTheme="majorEastAsia" w:hAnsiTheme="majorHAnsi" w:cstheme="majorBidi"/>
      <w:color w:val="3E3D42" w:themeColor="accent1" w:themeShade="7F"/>
    </w:rPr>
  </w:style>
  <w:style w:type="paragraph" w:styleId="Heading6">
    <w:name w:val="heading 6"/>
    <w:basedOn w:val="Normal"/>
    <w:next w:val="Normal"/>
    <w:link w:val="Heading6Char"/>
    <w:uiPriority w:val="9"/>
    <w:semiHidden/>
    <w:unhideWhenUsed/>
    <w:qFormat/>
    <w:rsid w:val="00763311"/>
    <w:pPr>
      <w:keepNext/>
      <w:keepLines/>
      <w:spacing w:before="200" w:after="0"/>
      <w:outlineLvl w:val="5"/>
    </w:pPr>
    <w:rPr>
      <w:rFonts w:asciiTheme="majorHAnsi" w:eastAsiaTheme="majorEastAsia" w:hAnsiTheme="majorHAnsi" w:cstheme="majorBidi"/>
      <w:i/>
      <w:iCs/>
      <w:color w:val="3E3D42" w:themeColor="accent1" w:themeShade="7F"/>
    </w:rPr>
  </w:style>
  <w:style w:type="paragraph" w:styleId="Heading7">
    <w:name w:val="heading 7"/>
    <w:basedOn w:val="Normal"/>
    <w:next w:val="Normal"/>
    <w:link w:val="Heading7Char"/>
    <w:uiPriority w:val="9"/>
    <w:semiHidden/>
    <w:unhideWhenUsed/>
    <w:qFormat/>
    <w:rsid w:val="007633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3311"/>
    <w:pPr>
      <w:keepNext/>
      <w:keepLines/>
      <w:spacing w:before="200" w:after="0"/>
      <w:outlineLvl w:val="7"/>
    </w:pPr>
    <w:rPr>
      <w:rFonts w:asciiTheme="majorHAnsi" w:eastAsiaTheme="majorEastAsia" w:hAnsiTheme="majorHAnsi" w:cstheme="majorBidi"/>
      <w:color w:val="7E7B85" w:themeColor="accent1"/>
      <w:sz w:val="20"/>
      <w:szCs w:val="20"/>
    </w:rPr>
  </w:style>
  <w:style w:type="paragraph" w:styleId="Heading9">
    <w:name w:val="heading 9"/>
    <w:basedOn w:val="Normal"/>
    <w:next w:val="Normal"/>
    <w:link w:val="Heading9Char"/>
    <w:uiPriority w:val="9"/>
    <w:semiHidden/>
    <w:unhideWhenUsed/>
    <w:qFormat/>
    <w:rsid w:val="0076331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D4B"/>
    <w:pPr>
      <w:tabs>
        <w:tab w:val="center" w:pos="4320"/>
        <w:tab w:val="right" w:pos="8640"/>
      </w:tabs>
    </w:pPr>
  </w:style>
  <w:style w:type="character" w:customStyle="1" w:styleId="HeaderChar">
    <w:name w:val="Header Char"/>
    <w:basedOn w:val="DefaultParagraphFont"/>
    <w:link w:val="Header"/>
    <w:uiPriority w:val="99"/>
    <w:rsid w:val="00F60D4B"/>
  </w:style>
  <w:style w:type="paragraph" w:styleId="Footer">
    <w:name w:val="footer"/>
    <w:basedOn w:val="Normal"/>
    <w:link w:val="FooterChar"/>
    <w:uiPriority w:val="99"/>
    <w:unhideWhenUsed/>
    <w:rsid w:val="00F60D4B"/>
    <w:pPr>
      <w:tabs>
        <w:tab w:val="center" w:pos="4320"/>
        <w:tab w:val="right" w:pos="8640"/>
      </w:tabs>
    </w:pPr>
  </w:style>
  <w:style w:type="character" w:customStyle="1" w:styleId="FooterChar">
    <w:name w:val="Footer Char"/>
    <w:basedOn w:val="DefaultParagraphFont"/>
    <w:link w:val="Footer"/>
    <w:uiPriority w:val="99"/>
    <w:rsid w:val="00F60D4B"/>
  </w:style>
  <w:style w:type="paragraph" w:styleId="BalloonText">
    <w:name w:val="Balloon Text"/>
    <w:basedOn w:val="Normal"/>
    <w:link w:val="BalloonTextChar"/>
    <w:uiPriority w:val="99"/>
    <w:semiHidden/>
    <w:unhideWhenUsed/>
    <w:rsid w:val="00F60D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D4B"/>
    <w:rPr>
      <w:rFonts w:ascii="Lucida Grande" w:hAnsi="Lucida Grande" w:cs="Lucida Grande"/>
      <w:sz w:val="18"/>
      <w:szCs w:val="18"/>
    </w:rPr>
  </w:style>
  <w:style w:type="character" w:customStyle="1" w:styleId="Heading1Char">
    <w:name w:val="Heading 1 Char"/>
    <w:aliases w:val="First Para Header Char"/>
    <w:basedOn w:val="DefaultParagraphFont"/>
    <w:link w:val="Heading1"/>
    <w:uiPriority w:val="9"/>
    <w:rsid w:val="00763311"/>
    <w:rPr>
      <w:rFonts w:asciiTheme="majorHAnsi" w:eastAsiaTheme="majorEastAsia" w:hAnsiTheme="majorHAnsi" w:cstheme="majorBidi"/>
      <w:b/>
      <w:bCs/>
      <w:color w:val="5E5C63" w:themeColor="accent1" w:themeShade="BF"/>
      <w:sz w:val="28"/>
      <w:szCs w:val="28"/>
    </w:rPr>
  </w:style>
  <w:style w:type="character" w:customStyle="1" w:styleId="Heading2Char">
    <w:name w:val="Heading 2 Char"/>
    <w:aliases w:val="Page titles Char"/>
    <w:basedOn w:val="DefaultParagraphFont"/>
    <w:link w:val="Heading2"/>
    <w:uiPriority w:val="9"/>
    <w:rsid w:val="00763311"/>
    <w:rPr>
      <w:rFonts w:asciiTheme="majorHAnsi" w:eastAsiaTheme="majorEastAsia" w:hAnsiTheme="majorHAnsi" w:cstheme="majorBidi"/>
      <w:b/>
      <w:bCs/>
      <w:color w:val="7E7B85" w:themeColor="accent1"/>
      <w:sz w:val="26"/>
      <w:szCs w:val="26"/>
    </w:rPr>
  </w:style>
  <w:style w:type="character" w:customStyle="1" w:styleId="Heading3Char">
    <w:name w:val="Heading 3 Char"/>
    <w:basedOn w:val="DefaultParagraphFont"/>
    <w:link w:val="Heading3"/>
    <w:uiPriority w:val="9"/>
    <w:rsid w:val="00763311"/>
    <w:rPr>
      <w:rFonts w:asciiTheme="majorHAnsi" w:eastAsiaTheme="majorEastAsia" w:hAnsiTheme="majorHAnsi" w:cstheme="majorBidi"/>
      <w:b/>
      <w:bCs/>
      <w:color w:val="7E7B85" w:themeColor="accent1"/>
    </w:rPr>
  </w:style>
  <w:style w:type="paragraph" w:styleId="ListParagraph">
    <w:name w:val="List Paragraph"/>
    <w:aliases w:val="Bulleted list,List Paragraph1,Recommendation,List Paragraph11,L,bullet point list"/>
    <w:basedOn w:val="Normal"/>
    <w:link w:val="ListParagraphChar"/>
    <w:uiPriority w:val="34"/>
    <w:qFormat/>
    <w:rsid w:val="00763311"/>
    <w:pPr>
      <w:ind w:left="720"/>
      <w:contextualSpacing/>
    </w:pPr>
  </w:style>
  <w:style w:type="character" w:styleId="PageNumber">
    <w:name w:val="page number"/>
    <w:basedOn w:val="DefaultParagraphFont"/>
    <w:uiPriority w:val="99"/>
    <w:semiHidden/>
    <w:unhideWhenUsed/>
    <w:rsid w:val="00E94047"/>
  </w:style>
  <w:style w:type="paragraph" w:styleId="ListBullet">
    <w:name w:val="List Bullet"/>
    <w:basedOn w:val="Normal"/>
    <w:uiPriority w:val="99"/>
    <w:unhideWhenUsed/>
    <w:rsid w:val="00FA43A5"/>
    <w:pPr>
      <w:numPr>
        <w:numId w:val="1"/>
      </w:numPr>
      <w:contextualSpacing/>
    </w:pPr>
  </w:style>
  <w:style w:type="paragraph" w:customStyle="1" w:styleId="FootnotesHeader">
    <w:name w:val="FootnotesHeader"/>
    <w:basedOn w:val="Heading3"/>
    <w:link w:val="FootnotesHeaderChar"/>
    <w:rsid w:val="00942A8F"/>
    <w:rPr>
      <w:i/>
      <w:color w:val="7E7A7B" w:themeColor="text2"/>
      <w:sz w:val="16"/>
    </w:rPr>
  </w:style>
  <w:style w:type="character" w:customStyle="1" w:styleId="FootnotesHeaderChar">
    <w:name w:val="FootnotesHeader Char"/>
    <w:basedOn w:val="Heading3Char"/>
    <w:link w:val="FootnotesHeader"/>
    <w:rsid w:val="00942A8F"/>
    <w:rPr>
      <w:rFonts w:asciiTheme="majorHAnsi" w:eastAsiaTheme="majorEastAsia" w:hAnsiTheme="majorHAnsi" w:cstheme="majorBidi"/>
      <w:b/>
      <w:bCs/>
      <w:i/>
      <w:color w:val="7E7A7B" w:themeColor="text2"/>
      <w:sz w:val="16"/>
    </w:rPr>
  </w:style>
  <w:style w:type="paragraph" w:customStyle="1" w:styleId="FootnotesNumbered">
    <w:name w:val="Footnotes Numbered"/>
    <w:rsid w:val="00BF0F15"/>
    <w:pPr>
      <w:numPr>
        <w:numId w:val="3"/>
      </w:numPr>
    </w:pPr>
    <w:rPr>
      <w:color w:val="7E7A7B" w:themeColor="text2"/>
      <w:sz w:val="16"/>
      <w:szCs w:val="19"/>
    </w:rPr>
  </w:style>
  <w:style w:type="paragraph" w:customStyle="1" w:styleId="CoverTitle">
    <w:name w:val="Cover Title"/>
    <w:rsid w:val="00BF38BE"/>
    <w:rPr>
      <w:color w:val="7E7A7B" w:themeColor="text2"/>
      <w:sz w:val="42"/>
      <w:szCs w:val="42"/>
    </w:rPr>
  </w:style>
  <w:style w:type="paragraph" w:customStyle="1" w:styleId="CoverFooter">
    <w:name w:val="Cover Footer"/>
    <w:next w:val="CoverTitle"/>
    <w:rsid w:val="00BF38BE"/>
    <w:rPr>
      <w:color w:val="CC1F2D" w:themeColor="accent2"/>
      <w:sz w:val="20"/>
      <w:szCs w:val="20"/>
    </w:rPr>
  </w:style>
  <w:style w:type="paragraph" w:styleId="FootnoteText">
    <w:name w:val="footnote text"/>
    <w:basedOn w:val="Normal"/>
    <w:link w:val="FootnoteTextChar"/>
    <w:uiPriority w:val="99"/>
    <w:unhideWhenUsed/>
    <w:rsid w:val="0061135B"/>
    <w:pPr>
      <w:spacing w:after="0" w:line="240" w:lineRule="auto"/>
    </w:pPr>
    <w:rPr>
      <w:sz w:val="24"/>
    </w:rPr>
  </w:style>
  <w:style w:type="character" w:customStyle="1" w:styleId="FootnoteTextChar">
    <w:name w:val="Footnote Text Char"/>
    <w:basedOn w:val="DefaultParagraphFont"/>
    <w:link w:val="FootnoteText"/>
    <w:uiPriority w:val="99"/>
    <w:rsid w:val="0061135B"/>
  </w:style>
  <w:style w:type="character" w:styleId="FootnoteReference">
    <w:name w:val="footnote reference"/>
    <w:basedOn w:val="DefaultParagraphFont"/>
    <w:uiPriority w:val="99"/>
    <w:unhideWhenUsed/>
    <w:rsid w:val="0061135B"/>
    <w:rPr>
      <w:vertAlign w:val="superscript"/>
    </w:rPr>
  </w:style>
  <w:style w:type="paragraph" w:styleId="TOC1">
    <w:name w:val="toc 1"/>
    <w:basedOn w:val="Normal"/>
    <w:next w:val="Normal"/>
    <w:autoRedefine/>
    <w:uiPriority w:val="39"/>
    <w:unhideWhenUsed/>
    <w:rsid w:val="007B09F0"/>
    <w:pPr>
      <w:spacing w:before="120" w:after="0"/>
    </w:pPr>
    <w:rPr>
      <w:b/>
    </w:rPr>
  </w:style>
  <w:style w:type="paragraph" w:styleId="TOC2">
    <w:name w:val="toc 2"/>
    <w:basedOn w:val="Normal"/>
    <w:next w:val="Normal"/>
    <w:autoRedefine/>
    <w:uiPriority w:val="39"/>
    <w:unhideWhenUsed/>
    <w:rsid w:val="007B09F0"/>
    <w:pPr>
      <w:spacing w:after="0"/>
      <w:ind w:left="200"/>
    </w:pPr>
    <w:rPr>
      <w:i/>
    </w:rPr>
  </w:style>
  <w:style w:type="paragraph" w:styleId="TOC3">
    <w:name w:val="toc 3"/>
    <w:basedOn w:val="Normal"/>
    <w:next w:val="Normal"/>
    <w:autoRedefine/>
    <w:uiPriority w:val="39"/>
    <w:unhideWhenUsed/>
    <w:rsid w:val="007B09F0"/>
    <w:pPr>
      <w:spacing w:after="0"/>
      <w:ind w:left="400"/>
    </w:pPr>
  </w:style>
  <w:style w:type="paragraph" w:styleId="TOC4">
    <w:name w:val="toc 4"/>
    <w:basedOn w:val="Normal"/>
    <w:next w:val="Normal"/>
    <w:autoRedefine/>
    <w:uiPriority w:val="39"/>
    <w:unhideWhenUsed/>
    <w:rsid w:val="007B09F0"/>
    <w:pPr>
      <w:spacing w:after="0"/>
      <w:ind w:left="600"/>
    </w:pPr>
    <w:rPr>
      <w:szCs w:val="20"/>
    </w:rPr>
  </w:style>
  <w:style w:type="paragraph" w:styleId="TOC5">
    <w:name w:val="toc 5"/>
    <w:basedOn w:val="Normal"/>
    <w:next w:val="Normal"/>
    <w:autoRedefine/>
    <w:uiPriority w:val="39"/>
    <w:unhideWhenUsed/>
    <w:rsid w:val="007B09F0"/>
    <w:pPr>
      <w:spacing w:after="0"/>
      <w:ind w:left="800"/>
    </w:pPr>
    <w:rPr>
      <w:szCs w:val="20"/>
    </w:rPr>
  </w:style>
  <w:style w:type="paragraph" w:styleId="TOC6">
    <w:name w:val="toc 6"/>
    <w:basedOn w:val="Normal"/>
    <w:next w:val="Normal"/>
    <w:autoRedefine/>
    <w:uiPriority w:val="39"/>
    <w:unhideWhenUsed/>
    <w:rsid w:val="007B09F0"/>
    <w:pPr>
      <w:spacing w:after="0"/>
      <w:ind w:left="1000"/>
    </w:pPr>
    <w:rPr>
      <w:szCs w:val="20"/>
    </w:rPr>
  </w:style>
  <w:style w:type="paragraph" w:styleId="TOC7">
    <w:name w:val="toc 7"/>
    <w:basedOn w:val="Normal"/>
    <w:next w:val="Normal"/>
    <w:autoRedefine/>
    <w:uiPriority w:val="39"/>
    <w:unhideWhenUsed/>
    <w:rsid w:val="007B09F0"/>
    <w:pPr>
      <w:spacing w:after="0"/>
      <w:ind w:left="1200"/>
    </w:pPr>
    <w:rPr>
      <w:szCs w:val="20"/>
    </w:rPr>
  </w:style>
  <w:style w:type="paragraph" w:styleId="TOC8">
    <w:name w:val="toc 8"/>
    <w:basedOn w:val="Normal"/>
    <w:next w:val="Normal"/>
    <w:autoRedefine/>
    <w:uiPriority w:val="39"/>
    <w:unhideWhenUsed/>
    <w:rsid w:val="007B09F0"/>
    <w:pPr>
      <w:spacing w:after="0"/>
      <w:ind w:left="1400"/>
    </w:pPr>
    <w:rPr>
      <w:szCs w:val="20"/>
    </w:rPr>
  </w:style>
  <w:style w:type="paragraph" w:styleId="TOC9">
    <w:name w:val="toc 9"/>
    <w:basedOn w:val="Normal"/>
    <w:next w:val="Normal"/>
    <w:autoRedefine/>
    <w:uiPriority w:val="39"/>
    <w:unhideWhenUsed/>
    <w:rsid w:val="007B09F0"/>
    <w:pPr>
      <w:spacing w:after="0"/>
      <w:ind w:left="1600"/>
    </w:pPr>
    <w:rPr>
      <w:szCs w:val="20"/>
    </w:rPr>
  </w:style>
  <w:style w:type="paragraph" w:styleId="Title">
    <w:name w:val="Title"/>
    <w:basedOn w:val="Normal"/>
    <w:next w:val="Normal"/>
    <w:link w:val="TitleChar"/>
    <w:uiPriority w:val="10"/>
    <w:qFormat/>
    <w:rsid w:val="00763311"/>
    <w:pPr>
      <w:pBdr>
        <w:bottom w:val="single" w:sz="8" w:space="4" w:color="7E7B85" w:themeColor="accent1"/>
      </w:pBdr>
      <w:spacing w:after="300" w:line="240" w:lineRule="auto"/>
      <w:contextualSpacing/>
    </w:pPr>
    <w:rPr>
      <w:rFonts w:asciiTheme="majorHAnsi" w:eastAsiaTheme="majorEastAsia" w:hAnsiTheme="majorHAnsi" w:cstheme="majorBidi"/>
      <w:color w:val="5E5B5C" w:themeColor="text2" w:themeShade="BF"/>
      <w:spacing w:val="5"/>
      <w:kern w:val="28"/>
      <w:sz w:val="52"/>
      <w:szCs w:val="52"/>
    </w:rPr>
  </w:style>
  <w:style w:type="character" w:customStyle="1" w:styleId="TitleChar">
    <w:name w:val="Title Char"/>
    <w:basedOn w:val="DefaultParagraphFont"/>
    <w:link w:val="Title"/>
    <w:uiPriority w:val="10"/>
    <w:rsid w:val="00763311"/>
    <w:rPr>
      <w:rFonts w:asciiTheme="majorHAnsi" w:eastAsiaTheme="majorEastAsia" w:hAnsiTheme="majorHAnsi" w:cstheme="majorBidi"/>
      <w:color w:val="5E5B5C" w:themeColor="text2" w:themeShade="BF"/>
      <w:spacing w:val="5"/>
      <w:kern w:val="28"/>
      <w:sz w:val="52"/>
      <w:szCs w:val="52"/>
    </w:rPr>
  </w:style>
  <w:style w:type="character" w:customStyle="1" w:styleId="textHeader">
    <w:name w:val="textHeader"/>
    <w:basedOn w:val="DefaultParagraphFont"/>
    <w:uiPriority w:val="1"/>
    <w:rsid w:val="008E65F3"/>
    <w:rPr>
      <w:rFonts w:asciiTheme="minorHAnsi" w:hAnsiTheme="minorHAnsi"/>
      <w:b/>
      <w:color w:val="CC1F2D" w:themeColor="accent2"/>
      <w:sz w:val="20"/>
    </w:rPr>
  </w:style>
  <w:style w:type="paragraph" w:styleId="Subtitle">
    <w:name w:val="Subtitle"/>
    <w:basedOn w:val="Normal"/>
    <w:next w:val="Normal"/>
    <w:link w:val="SubtitleChar"/>
    <w:uiPriority w:val="11"/>
    <w:qFormat/>
    <w:rsid w:val="00763311"/>
    <w:pPr>
      <w:numPr>
        <w:ilvl w:val="1"/>
      </w:numPr>
    </w:pPr>
    <w:rPr>
      <w:rFonts w:asciiTheme="majorHAnsi" w:eastAsiaTheme="majorEastAsia" w:hAnsiTheme="majorHAnsi" w:cstheme="majorBidi"/>
      <w:i/>
      <w:iCs/>
      <w:color w:val="7E7B85" w:themeColor="accent1"/>
      <w:spacing w:val="15"/>
      <w:sz w:val="24"/>
      <w:szCs w:val="24"/>
    </w:rPr>
  </w:style>
  <w:style w:type="character" w:customStyle="1" w:styleId="SubtitleChar">
    <w:name w:val="Subtitle Char"/>
    <w:basedOn w:val="DefaultParagraphFont"/>
    <w:link w:val="Subtitle"/>
    <w:uiPriority w:val="11"/>
    <w:rsid w:val="00763311"/>
    <w:rPr>
      <w:rFonts w:asciiTheme="majorHAnsi" w:eastAsiaTheme="majorEastAsia" w:hAnsiTheme="majorHAnsi" w:cstheme="majorBidi"/>
      <w:i/>
      <w:iCs/>
      <w:color w:val="7E7B85" w:themeColor="accent1"/>
      <w:spacing w:val="15"/>
      <w:sz w:val="24"/>
      <w:szCs w:val="24"/>
    </w:rPr>
  </w:style>
  <w:style w:type="character" w:styleId="CommentReference">
    <w:name w:val="annotation reference"/>
    <w:basedOn w:val="DefaultParagraphFont"/>
    <w:uiPriority w:val="99"/>
    <w:semiHidden/>
    <w:unhideWhenUsed/>
    <w:rsid w:val="001F5FD7"/>
    <w:rPr>
      <w:sz w:val="16"/>
      <w:szCs w:val="16"/>
    </w:rPr>
  </w:style>
  <w:style w:type="paragraph" w:styleId="CommentText">
    <w:name w:val="annotation text"/>
    <w:basedOn w:val="Normal"/>
    <w:link w:val="CommentTextChar"/>
    <w:uiPriority w:val="99"/>
    <w:semiHidden/>
    <w:unhideWhenUsed/>
    <w:rsid w:val="001F5FD7"/>
    <w:pPr>
      <w:spacing w:line="240" w:lineRule="auto"/>
    </w:pPr>
    <w:rPr>
      <w:szCs w:val="20"/>
    </w:rPr>
  </w:style>
  <w:style w:type="character" w:customStyle="1" w:styleId="CommentTextChar">
    <w:name w:val="Comment Text Char"/>
    <w:basedOn w:val="DefaultParagraphFont"/>
    <w:link w:val="CommentText"/>
    <w:uiPriority w:val="99"/>
    <w:semiHidden/>
    <w:rsid w:val="001F5FD7"/>
    <w:rPr>
      <w:sz w:val="20"/>
      <w:szCs w:val="20"/>
    </w:rPr>
  </w:style>
  <w:style w:type="paragraph" w:styleId="CommentSubject">
    <w:name w:val="annotation subject"/>
    <w:basedOn w:val="CommentText"/>
    <w:next w:val="CommentText"/>
    <w:link w:val="CommentSubjectChar"/>
    <w:uiPriority w:val="99"/>
    <w:semiHidden/>
    <w:unhideWhenUsed/>
    <w:rsid w:val="001F5FD7"/>
    <w:rPr>
      <w:b/>
      <w:bCs/>
    </w:rPr>
  </w:style>
  <w:style w:type="character" w:customStyle="1" w:styleId="CommentSubjectChar">
    <w:name w:val="Comment Subject Char"/>
    <w:basedOn w:val="CommentTextChar"/>
    <w:link w:val="CommentSubject"/>
    <w:uiPriority w:val="99"/>
    <w:semiHidden/>
    <w:rsid w:val="001F5FD7"/>
    <w:rPr>
      <w:b/>
      <w:bCs/>
      <w:sz w:val="20"/>
      <w:szCs w:val="20"/>
    </w:rPr>
  </w:style>
  <w:style w:type="character" w:styleId="Hyperlink">
    <w:name w:val="Hyperlink"/>
    <w:basedOn w:val="DefaultParagraphFont"/>
    <w:uiPriority w:val="99"/>
    <w:unhideWhenUsed/>
    <w:rsid w:val="001F1945"/>
    <w:rPr>
      <w:color w:val="CC1F2D" w:themeColor="hyperlink"/>
      <w:u w:val="single"/>
    </w:rPr>
  </w:style>
  <w:style w:type="character" w:customStyle="1" w:styleId="ListParagraphChar">
    <w:name w:val="List Paragraph Char"/>
    <w:aliases w:val="Bulleted list Char,List Paragraph1 Char,Recommendation Char,List Paragraph11 Char,L Char,bullet point list Char"/>
    <w:basedOn w:val="DefaultParagraphFont"/>
    <w:link w:val="ListParagraph"/>
    <w:uiPriority w:val="34"/>
    <w:locked/>
    <w:rsid w:val="00770BED"/>
  </w:style>
  <w:style w:type="paragraph" w:styleId="Revision">
    <w:name w:val="Revision"/>
    <w:hidden/>
    <w:uiPriority w:val="99"/>
    <w:semiHidden/>
    <w:rsid w:val="00F96C36"/>
    <w:rPr>
      <w:sz w:val="20"/>
    </w:rPr>
  </w:style>
  <w:style w:type="character" w:styleId="Emphasis">
    <w:name w:val="Emphasis"/>
    <w:basedOn w:val="DefaultParagraphFont"/>
    <w:uiPriority w:val="20"/>
    <w:qFormat/>
    <w:rsid w:val="00763311"/>
    <w:rPr>
      <w:i/>
      <w:iCs/>
    </w:rPr>
  </w:style>
  <w:style w:type="character" w:styleId="BookTitle">
    <w:name w:val="Book Title"/>
    <w:basedOn w:val="DefaultParagraphFont"/>
    <w:uiPriority w:val="33"/>
    <w:qFormat/>
    <w:rsid w:val="00763311"/>
    <w:rPr>
      <w:b/>
      <w:bCs/>
      <w:smallCaps/>
      <w:spacing w:val="5"/>
    </w:rPr>
  </w:style>
  <w:style w:type="character" w:customStyle="1" w:styleId="Heading4Char">
    <w:name w:val="Heading 4 Char"/>
    <w:basedOn w:val="DefaultParagraphFont"/>
    <w:link w:val="Heading4"/>
    <w:uiPriority w:val="9"/>
    <w:rsid w:val="00763311"/>
    <w:rPr>
      <w:rFonts w:asciiTheme="majorHAnsi" w:eastAsiaTheme="majorEastAsia" w:hAnsiTheme="majorHAnsi" w:cstheme="majorBidi"/>
      <w:b/>
      <w:bCs/>
      <w:i/>
      <w:iCs/>
      <w:color w:val="7E7B85" w:themeColor="accent1"/>
    </w:rPr>
  </w:style>
  <w:style w:type="character" w:styleId="SubtleEmphasis">
    <w:name w:val="Subtle Emphasis"/>
    <w:basedOn w:val="DefaultParagraphFont"/>
    <w:uiPriority w:val="19"/>
    <w:qFormat/>
    <w:rsid w:val="00763311"/>
    <w:rPr>
      <w:i/>
      <w:iCs/>
      <w:color w:val="808080" w:themeColor="text1" w:themeTint="7F"/>
    </w:rPr>
  </w:style>
  <w:style w:type="character" w:customStyle="1" w:styleId="Heading5Char">
    <w:name w:val="Heading 5 Char"/>
    <w:basedOn w:val="DefaultParagraphFont"/>
    <w:link w:val="Heading5"/>
    <w:uiPriority w:val="9"/>
    <w:rsid w:val="00763311"/>
    <w:rPr>
      <w:rFonts w:asciiTheme="majorHAnsi" w:eastAsiaTheme="majorEastAsia" w:hAnsiTheme="majorHAnsi" w:cstheme="majorBidi"/>
      <w:color w:val="3E3D42" w:themeColor="accent1" w:themeShade="7F"/>
    </w:rPr>
  </w:style>
  <w:style w:type="character" w:customStyle="1" w:styleId="Heading6Char">
    <w:name w:val="Heading 6 Char"/>
    <w:basedOn w:val="DefaultParagraphFont"/>
    <w:link w:val="Heading6"/>
    <w:uiPriority w:val="9"/>
    <w:semiHidden/>
    <w:rsid w:val="00763311"/>
    <w:rPr>
      <w:rFonts w:asciiTheme="majorHAnsi" w:eastAsiaTheme="majorEastAsia" w:hAnsiTheme="majorHAnsi" w:cstheme="majorBidi"/>
      <w:i/>
      <w:iCs/>
      <w:color w:val="3E3D42" w:themeColor="accent1" w:themeShade="7F"/>
    </w:rPr>
  </w:style>
  <w:style w:type="character" w:customStyle="1" w:styleId="Heading7Char">
    <w:name w:val="Heading 7 Char"/>
    <w:basedOn w:val="DefaultParagraphFont"/>
    <w:link w:val="Heading7"/>
    <w:uiPriority w:val="9"/>
    <w:semiHidden/>
    <w:rsid w:val="0076331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3311"/>
    <w:rPr>
      <w:rFonts w:asciiTheme="majorHAnsi" w:eastAsiaTheme="majorEastAsia" w:hAnsiTheme="majorHAnsi" w:cstheme="majorBidi"/>
      <w:color w:val="7E7B85" w:themeColor="accent1"/>
      <w:sz w:val="20"/>
      <w:szCs w:val="20"/>
    </w:rPr>
  </w:style>
  <w:style w:type="character" w:customStyle="1" w:styleId="Heading9Char">
    <w:name w:val="Heading 9 Char"/>
    <w:basedOn w:val="DefaultParagraphFont"/>
    <w:link w:val="Heading9"/>
    <w:uiPriority w:val="9"/>
    <w:semiHidden/>
    <w:rsid w:val="0076331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3311"/>
    <w:pPr>
      <w:spacing w:line="240" w:lineRule="auto"/>
    </w:pPr>
    <w:rPr>
      <w:b/>
      <w:bCs/>
      <w:color w:val="7E7B85" w:themeColor="accent1"/>
      <w:sz w:val="18"/>
      <w:szCs w:val="18"/>
    </w:rPr>
  </w:style>
  <w:style w:type="character" w:styleId="Strong">
    <w:name w:val="Strong"/>
    <w:basedOn w:val="DefaultParagraphFont"/>
    <w:uiPriority w:val="22"/>
    <w:qFormat/>
    <w:rsid w:val="00763311"/>
    <w:rPr>
      <w:b/>
      <w:bCs/>
    </w:rPr>
  </w:style>
  <w:style w:type="paragraph" w:styleId="NoSpacing">
    <w:name w:val="No Spacing"/>
    <w:uiPriority w:val="1"/>
    <w:qFormat/>
    <w:rsid w:val="00763311"/>
    <w:pPr>
      <w:spacing w:after="0" w:line="240" w:lineRule="auto"/>
    </w:pPr>
  </w:style>
  <w:style w:type="paragraph" w:styleId="Quote">
    <w:name w:val="Quote"/>
    <w:basedOn w:val="Normal"/>
    <w:next w:val="Normal"/>
    <w:link w:val="QuoteChar"/>
    <w:uiPriority w:val="29"/>
    <w:qFormat/>
    <w:rsid w:val="00763311"/>
    <w:rPr>
      <w:i/>
      <w:iCs/>
      <w:color w:val="000000" w:themeColor="text1"/>
    </w:rPr>
  </w:style>
  <w:style w:type="character" w:customStyle="1" w:styleId="QuoteChar">
    <w:name w:val="Quote Char"/>
    <w:basedOn w:val="DefaultParagraphFont"/>
    <w:link w:val="Quote"/>
    <w:uiPriority w:val="29"/>
    <w:rsid w:val="00763311"/>
    <w:rPr>
      <w:i/>
      <w:iCs/>
      <w:color w:val="000000" w:themeColor="text1"/>
    </w:rPr>
  </w:style>
  <w:style w:type="paragraph" w:styleId="IntenseQuote">
    <w:name w:val="Intense Quote"/>
    <w:basedOn w:val="Normal"/>
    <w:next w:val="Normal"/>
    <w:link w:val="IntenseQuoteChar"/>
    <w:uiPriority w:val="30"/>
    <w:qFormat/>
    <w:rsid w:val="00763311"/>
    <w:pPr>
      <w:pBdr>
        <w:bottom w:val="single" w:sz="4" w:space="4" w:color="7E7B85" w:themeColor="accent1"/>
      </w:pBdr>
      <w:spacing w:before="200" w:after="280"/>
      <w:ind w:left="936" w:right="936"/>
    </w:pPr>
    <w:rPr>
      <w:b/>
      <w:bCs/>
      <w:i/>
      <w:iCs/>
      <w:color w:val="7E7B85" w:themeColor="accent1"/>
    </w:rPr>
  </w:style>
  <w:style w:type="character" w:customStyle="1" w:styleId="IntenseQuoteChar">
    <w:name w:val="Intense Quote Char"/>
    <w:basedOn w:val="DefaultParagraphFont"/>
    <w:link w:val="IntenseQuote"/>
    <w:uiPriority w:val="30"/>
    <w:rsid w:val="00763311"/>
    <w:rPr>
      <w:b/>
      <w:bCs/>
      <w:i/>
      <w:iCs/>
      <w:color w:val="7E7B85" w:themeColor="accent1"/>
    </w:rPr>
  </w:style>
  <w:style w:type="character" w:styleId="IntenseEmphasis">
    <w:name w:val="Intense Emphasis"/>
    <w:basedOn w:val="DefaultParagraphFont"/>
    <w:uiPriority w:val="21"/>
    <w:qFormat/>
    <w:rsid w:val="00763311"/>
    <w:rPr>
      <w:b/>
      <w:bCs/>
      <w:i/>
      <w:iCs/>
      <w:color w:val="7E7B85" w:themeColor="accent1"/>
    </w:rPr>
  </w:style>
  <w:style w:type="character" w:styleId="SubtleReference">
    <w:name w:val="Subtle Reference"/>
    <w:basedOn w:val="DefaultParagraphFont"/>
    <w:uiPriority w:val="31"/>
    <w:qFormat/>
    <w:rsid w:val="00763311"/>
    <w:rPr>
      <w:smallCaps/>
      <w:color w:val="CC1F2D" w:themeColor="accent2"/>
      <w:u w:val="single"/>
    </w:rPr>
  </w:style>
  <w:style w:type="character" w:styleId="IntenseReference">
    <w:name w:val="Intense Reference"/>
    <w:basedOn w:val="DefaultParagraphFont"/>
    <w:uiPriority w:val="32"/>
    <w:qFormat/>
    <w:rsid w:val="00763311"/>
    <w:rPr>
      <w:b/>
      <w:bCs/>
      <w:smallCaps/>
      <w:color w:val="CC1F2D" w:themeColor="accent2"/>
      <w:spacing w:val="5"/>
      <w:u w:val="single"/>
    </w:rPr>
  </w:style>
  <w:style w:type="paragraph" w:styleId="TOCHeading">
    <w:name w:val="TOC Heading"/>
    <w:basedOn w:val="Heading1"/>
    <w:next w:val="Normal"/>
    <w:uiPriority w:val="39"/>
    <w:semiHidden/>
    <w:unhideWhenUsed/>
    <w:qFormat/>
    <w:rsid w:val="0076331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763311"/>
  </w:style>
  <w:style w:type="paragraph" w:styleId="Heading1">
    <w:name w:val="heading 1"/>
    <w:aliases w:val="First Para Header"/>
    <w:basedOn w:val="Normal"/>
    <w:next w:val="Normal"/>
    <w:link w:val="Heading1Char"/>
    <w:uiPriority w:val="9"/>
    <w:qFormat/>
    <w:rsid w:val="00763311"/>
    <w:pPr>
      <w:keepNext/>
      <w:keepLines/>
      <w:spacing w:before="480" w:after="0"/>
      <w:outlineLvl w:val="0"/>
    </w:pPr>
    <w:rPr>
      <w:rFonts w:asciiTheme="majorHAnsi" w:eastAsiaTheme="majorEastAsia" w:hAnsiTheme="majorHAnsi" w:cstheme="majorBidi"/>
      <w:b/>
      <w:bCs/>
      <w:color w:val="5E5C63" w:themeColor="accent1" w:themeShade="BF"/>
      <w:sz w:val="28"/>
      <w:szCs w:val="28"/>
    </w:rPr>
  </w:style>
  <w:style w:type="paragraph" w:styleId="Heading2">
    <w:name w:val="heading 2"/>
    <w:aliases w:val="Page titles"/>
    <w:basedOn w:val="Normal"/>
    <w:next w:val="Normal"/>
    <w:link w:val="Heading2Char"/>
    <w:uiPriority w:val="9"/>
    <w:unhideWhenUsed/>
    <w:qFormat/>
    <w:rsid w:val="00763311"/>
    <w:pPr>
      <w:keepNext/>
      <w:keepLines/>
      <w:spacing w:before="200" w:after="0"/>
      <w:outlineLvl w:val="1"/>
    </w:pPr>
    <w:rPr>
      <w:rFonts w:asciiTheme="majorHAnsi" w:eastAsiaTheme="majorEastAsia" w:hAnsiTheme="majorHAnsi" w:cstheme="majorBidi"/>
      <w:b/>
      <w:bCs/>
      <w:color w:val="7E7B85" w:themeColor="accent1"/>
      <w:sz w:val="26"/>
      <w:szCs w:val="26"/>
    </w:rPr>
  </w:style>
  <w:style w:type="paragraph" w:styleId="Heading3">
    <w:name w:val="heading 3"/>
    <w:basedOn w:val="Normal"/>
    <w:next w:val="Normal"/>
    <w:link w:val="Heading3Char"/>
    <w:uiPriority w:val="9"/>
    <w:unhideWhenUsed/>
    <w:qFormat/>
    <w:rsid w:val="00763311"/>
    <w:pPr>
      <w:keepNext/>
      <w:keepLines/>
      <w:spacing w:before="200" w:after="0"/>
      <w:outlineLvl w:val="2"/>
    </w:pPr>
    <w:rPr>
      <w:rFonts w:asciiTheme="majorHAnsi" w:eastAsiaTheme="majorEastAsia" w:hAnsiTheme="majorHAnsi" w:cstheme="majorBidi"/>
      <w:b/>
      <w:bCs/>
      <w:color w:val="7E7B85" w:themeColor="accent1"/>
    </w:rPr>
  </w:style>
  <w:style w:type="paragraph" w:styleId="Heading4">
    <w:name w:val="heading 4"/>
    <w:basedOn w:val="Normal"/>
    <w:next w:val="Normal"/>
    <w:link w:val="Heading4Char"/>
    <w:uiPriority w:val="9"/>
    <w:unhideWhenUsed/>
    <w:qFormat/>
    <w:rsid w:val="00763311"/>
    <w:pPr>
      <w:keepNext/>
      <w:keepLines/>
      <w:spacing w:before="200" w:after="0"/>
      <w:outlineLvl w:val="3"/>
    </w:pPr>
    <w:rPr>
      <w:rFonts w:asciiTheme="majorHAnsi" w:eastAsiaTheme="majorEastAsia" w:hAnsiTheme="majorHAnsi" w:cstheme="majorBidi"/>
      <w:b/>
      <w:bCs/>
      <w:i/>
      <w:iCs/>
      <w:color w:val="7E7B85" w:themeColor="accent1"/>
    </w:rPr>
  </w:style>
  <w:style w:type="paragraph" w:styleId="Heading5">
    <w:name w:val="heading 5"/>
    <w:basedOn w:val="Normal"/>
    <w:next w:val="Normal"/>
    <w:link w:val="Heading5Char"/>
    <w:uiPriority w:val="9"/>
    <w:unhideWhenUsed/>
    <w:qFormat/>
    <w:rsid w:val="00763311"/>
    <w:pPr>
      <w:keepNext/>
      <w:keepLines/>
      <w:spacing w:before="200" w:after="0"/>
      <w:outlineLvl w:val="4"/>
    </w:pPr>
    <w:rPr>
      <w:rFonts w:asciiTheme="majorHAnsi" w:eastAsiaTheme="majorEastAsia" w:hAnsiTheme="majorHAnsi" w:cstheme="majorBidi"/>
      <w:color w:val="3E3D42" w:themeColor="accent1" w:themeShade="7F"/>
    </w:rPr>
  </w:style>
  <w:style w:type="paragraph" w:styleId="Heading6">
    <w:name w:val="heading 6"/>
    <w:basedOn w:val="Normal"/>
    <w:next w:val="Normal"/>
    <w:link w:val="Heading6Char"/>
    <w:uiPriority w:val="9"/>
    <w:semiHidden/>
    <w:unhideWhenUsed/>
    <w:qFormat/>
    <w:rsid w:val="00763311"/>
    <w:pPr>
      <w:keepNext/>
      <w:keepLines/>
      <w:spacing w:before="200" w:after="0"/>
      <w:outlineLvl w:val="5"/>
    </w:pPr>
    <w:rPr>
      <w:rFonts w:asciiTheme="majorHAnsi" w:eastAsiaTheme="majorEastAsia" w:hAnsiTheme="majorHAnsi" w:cstheme="majorBidi"/>
      <w:i/>
      <w:iCs/>
      <w:color w:val="3E3D42" w:themeColor="accent1" w:themeShade="7F"/>
    </w:rPr>
  </w:style>
  <w:style w:type="paragraph" w:styleId="Heading7">
    <w:name w:val="heading 7"/>
    <w:basedOn w:val="Normal"/>
    <w:next w:val="Normal"/>
    <w:link w:val="Heading7Char"/>
    <w:uiPriority w:val="9"/>
    <w:semiHidden/>
    <w:unhideWhenUsed/>
    <w:qFormat/>
    <w:rsid w:val="007633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3311"/>
    <w:pPr>
      <w:keepNext/>
      <w:keepLines/>
      <w:spacing w:before="200" w:after="0"/>
      <w:outlineLvl w:val="7"/>
    </w:pPr>
    <w:rPr>
      <w:rFonts w:asciiTheme="majorHAnsi" w:eastAsiaTheme="majorEastAsia" w:hAnsiTheme="majorHAnsi" w:cstheme="majorBidi"/>
      <w:color w:val="7E7B85" w:themeColor="accent1"/>
      <w:sz w:val="20"/>
      <w:szCs w:val="20"/>
    </w:rPr>
  </w:style>
  <w:style w:type="paragraph" w:styleId="Heading9">
    <w:name w:val="heading 9"/>
    <w:basedOn w:val="Normal"/>
    <w:next w:val="Normal"/>
    <w:link w:val="Heading9Char"/>
    <w:uiPriority w:val="9"/>
    <w:semiHidden/>
    <w:unhideWhenUsed/>
    <w:qFormat/>
    <w:rsid w:val="0076331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D4B"/>
    <w:pPr>
      <w:tabs>
        <w:tab w:val="center" w:pos="4320"/>
        <w:tab w:val="right" w:pos="8640"/>
      </w:tabs>
    </w:pPr>
  </w:style>
  <w:style w:type="character" w:customStyle="1" w:styleId="HeaderChar">
    <w:name w:val="Header Char"/>
    <w:basedOn w:val="DefaultParagraphFont"/>
    <w:link w:val="Header"/>
    <w:uiPriority w:val="99"/>
    <w:rsid w:val="00F60D4B"/>
  </w:style>
  <w:style w:type="paragraph" w:styleId="Footer">
    <w:name w:val="footer"/>
    <w:basedOn w:val="Normal"/>
    <w:link w:val="FooterChar"/>
    <w:uiPriority w:val="99"/>
    <w:unhideWhenUsed/>
    <w:rsid w:val="00F60D4B"/>
    <w:pPr>
      <w:tabs>
        <w:tab w:val="center" w:pos="4320"/>
        <w:tab w:val="right" w:pos="8640"/>
      </w:tabs>
    </w:pPr>
  </w:style>
  <w:style w:type="character" w:customStyle="1" w:styleId="FooterChar">
    <w:name w:val="Footer Char"/>
    <w:basedOn w:val="DefaultParagraphFont"/>
    <w:link w:val="Footer"/>
    <w:uiPriority w:val="99"/>
    <w:rsid w:val="00F60D4B"/>
  </w:style>
  <w:style w:type="paragraph" w:styleId="BalloonText">
    <w:name w:val="Balloon Text"/>
    <w:basedOn w:val="Normal"/>
    <w:link w:val="BalloonTextChar"/>
    <w:uiPriority w:val="99"/>
    <w:semiHidden/>
    <w:unhideWhenUsed/>
    <w:rsid w:val="00F60D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D4B"/>
    <w:rPr>
      <w:rFonts w:ascii="Lucida Grande" w:hAnsi="Lucida Grande" w:cs="Lucida Grande"/>
      <w:sz w:val="18"/>
      <w:szCs w:val="18"/>
    </w:rPr>
  </w:style>
  <w:style w:type="character" w:customStyle="1" w:styleId="Heading1Char">
    <w:name w:val="Heading 1 Char"/>
    <w:aliases w:val="First Para Header Char"/>
    <w:basedOn w:val="DefaultParagraphFont"/>
    <w:link w:val="Heading1"/>
    <w:uiPriority w:val="9"/>
    <w:rsid w:val="00763311"/>
    <w:rPr>
      <w:rFonts w:asciiTheme="majorHAnsi" w:eastAsiaTheme="majorEastAsia" w:hAnsiTheme="majorHAnsi" w:cstheme="majorBidi"/>
      <w:b/>
      <w:bCs/>
      <w:color w:val="5E5C63" w:themeColor="accent1" w:themeShade="BF"/>
      <w:sz w:val="28"/>
      <w:szCs w:val="28"/>
    </w:rPr>
  </w:style>
  <w:style w:type="character" w:customStyle="1" w:styleId="Heading2Char">
    <w:name w:val="Heading 2 Char"/>
    <w:aliases w:val="Page titles Char"/>
    <w:basedOn w:val="DefaultParagraphFont"/>
    <w:link w:val="Heading2"/>
    <w:uiPriority w:val="9"/>
    <w:rsid w:val="00763311"/>
    <w:rPr>
      <w:rFonts w:asciiTheme="majorHAnsi" w:eastAsiaTheme="majorEastAsia" w:hAnsiTheme="majorHAnsi" w:cstheme="majorBidi"/>
      <w:b/>
      <w:bCs/>
      <w:color w:val="7E7B85" w:themeColor="accent1"/>
      <w:sz w:val="26"/>
      <w:szCs w:val="26"/>
    </w:rPr>
  </w:style>
  <w:style w:type="character" w:customStyle="1" w:styleId="Heading3Char">
    <w:name w:val="Heading 3 Char"/>
    <w:basedOn w:val="DefaultParagraphFont"/>
    <w:link w:val="Heading3"/>
    <w:uiPriority w:val="9"/>
    <w:rsid w:val="00763311"/>
    <w:rPr>
      <w:rFonts w:asciiTheme="majorHAnsi" w:eastAsiaTheme="majorEastAsia" w:hAnsiTheme="majorHAnsi" w:cstheme="majorBidi"/>
      <w:b/>
      <w:bCs/>
      <w:color w:val="7E7B85" w:themeColor="accent1"/>
    </w:rPr>
  </w:style>
  <w:style w:type="paragraph" w:styleId="ListParagraph">
    <w:name w:val="List Paragraph"/>
    <w:aliases w:val="Bulleted list,List Paragraph1,Recommendation,List Paragraph11,L,bullet point list"/>
    <w:basedOn w:val="Normal"/>
    <w:link w:val="ListParagraphChar"/>
    <w:uiPriority w:val="34"/>
    <w:qFormat/>
    <w:rsid w:val="00763311"/>
    <w:pPr>
      <w:ind w:left="720"/>
      <w:contextualSpacing/>
    </w:pPr>
  </w:style>
  <w:style w:type="character" w:styleId="PageNumber">
    <w:name w:val="page number"/>
    <w:basedOn w:val="DefaultParagraphFont"/>
    <w:uiPriority w:val="99"/>
    <w:semiHidden/>
    <w:unhideWhenUsed/>
    <w:rsid w:val="00E94047"/>
  </w:style>
  <w:style w:type="paragraph" w:styleId="ListBullet">
    <w:name w:val="List Bullet"/>
    <w:basedOn w:val="Normal"/>
    <w:uiPriority w:val="99"/>
    <w:unhideWhenUsed/>
    <w:rsid w:val="00FA43A5"/>
    <w:pPr>
      <w:numPr>
        <w:numId w:val="1"/>
      </w:numPr>
      <w:contextualSpacing/>
    </w:pPr>
  </w:style>
  <w:style w:type="paragraph" w:customStyle="1" w:styleId="FootnotesHeader">
    <w:name w:val="FootnotesHeader"/>
    <w:basedOn w:val="Heading3"/>
    <w:link w:val="FootnotesHeaderChar"/>
    <w:rsid w:val="00942A8F"/>
    <w:rPr>
      <w:i/>
      <w:color w:val="7E7A7B" w:themeColor="text2"/>
      <w:sz w:val="16"/>
    </w:rPr>
  </w:style>
  <w:style w:type="character" w:customStyle="1" w:styleId="FootnotesHeaderChar">
    <w:name w:val="FootnotesHeader Char"/>
    <w:basedOn w:val="Heading3Char"/>
    <w:link w:val="FootnotesHeader"/>
    <w:rsid w:val="00942A8F"/>
    <w:rPr>
      <w:rFonts w:asciiTheme="majorHAnsi" w:eastAsiaTheme="majorEastAsia" w:hAnsiTheme="majorHAnsi" w:cstheme="majorBidi"/>
      <w:b/>
      <w:bCs/>
      <w:i/>
      <w:color w:val="7E7A7B" w:themeColor="text2"/>
      <w:sz w:val="16"/>
    </w:rPr>
  </w:style>
  <w:style w:type="paragraph" w:customStyle="1" w:styleId="FootnotesNumbered">
    <w:name w:val="Footnotes Numbered"/>
    <w:rsid w:val="00BF0F15"/>
    <w:pPr>
      <w:numPr>
        <w:numId w:val="3"/>
      </w:numPr>
    </w:pPr>
    <w:rPr>
      <w:color w:val="7E7A7B" w:themeColor="text2"/>
      <w:sz w:val="16"/>
      <w:szCs w:val="19"/>
    </w:rPr>
  </w:style>
  <w:style w:type="paragraph" w:customStyle="1" w:styleId="CoverTitle">
    <w:name w:val="Cover Title"/>
    <w:rsid w:val="00BF38BE"/>
    <w:rPr>
      <w:color w:val="7E7A7B" w:themeColor="text2"/>
      <w:sz w:val="42"/>
      <w:szCs w:val="42"/>
    </w:rPr>
  </w:style>
  <w:style w:type="paragraph" w:customStyle="1" w:styleId="CoverFooter">
    <w:name w:val="Cover Footer"/>
    <w:next w:val="CoverTitle"/>
    <w:rsid w:val="00BF38BE"/>
    <w:rPr>
      <w:color w:val="CC1F2D" w:themeColor="accent2"/>
      <w:sz w:val="20"/>
      <w:szCs w:val="20"/>
    </w:rPr>
  </w:style>
  <w:style w:type="paragraph" w:styleId="FootnoteText">
    <w:name w:val="footnote text"/>
    <w:basedOn w:val="Normal"/>
    <w:link w:val="FootnoteTextChar"/>
    <w:uiPriority w:val="99"/>
    <w:unhideWhenUsed/>
    <w:rsid w:val="0061135B"/>
    <w:pPr>
      <w:spacing w:after="0" w:line="240" w:lineRule="auto"/>
    </w:pPr>
    <w:rPr>
      <w:sz w:val="24"/>
    </w:rPr>
  </w:style>
  <w:style w:type="character" w:customStyle="1" w:styleId="FootnoteTextChar">
    <w:name w:val="Footnote Text Char"/>
    <w:basedOn w:val="DefaultParagraphFont"/>
    <w:link w:val="FootnoteText"/>
    <w:uiPriority w:val="99"/>
    <w:rsid w:val="0061135B"/>
  </w:style>
  <w:style w:type="character" w:styleId="FootnoteReference">
    <w:name w:val="footnote reference"/>
    <w:basedOn w:val="DefaultParagraphFont"/>
    <w:uiPriority w:val="99"/>
    <w:unhideWhenUsed/>
    <w:rsid w:val="0061135B"/>
    <w:rPr>
      <w:vertAlign w:val="superscript"/>
    </w:rPr>
  </w:style>
  <w:style w:type="paragraph" w:styleId="TOC1">
    <w:name w:val="toc 1"/>
    <w:basedOn w:val="Normal"/>
    <w:next w:val="Normal"/>
    <w:autoRedefine/>
    <w:uiPriority w:val="39"/>
    <w:unhideWhenUsed/>
    <w:rsid w:val="007B09F0"/>
    <w:pPr>
      <w:spacing w:before="120" w:after="0"/>
    </w:pPr>
    <w:rPr>
      <w:b/>
    </w:rPr>
  </w:style>
  <w:style w:type="paragraph" w:styleId="TOC2">
    <w:name w:val="toc 2"/>
    <w:basedOn w:val="Normal"/>
    <w:next w:val="Normal"/>
    <w:autoRedefine/>
    <w:uiPriority w:val="39"/>
    <w:unhideWhenUsed/>
    <w:rsid w:val="007B09F0"/>
    <w:pPr>
      <w:spacing w:after="0"/>
      <w:ind w:left="200"/>
    </w:pPr>
    <w:rPr>
      <w:i/>
    </w:rPr>
  </w:style>
  <w:style w:type="paragraph" w:styleId="TOC3">
    <w:name w:val="toc 3"/>
    <w:basedOn w:val="Normal"/>
    <w:next w:val="Normal"/>
    <w:autoRedefine/>
    <w:uiPriority w:val="39"/>
    <w:unhideWhenUsed/>
    <w:rsid w:val="007B09F0"/>
    <w:pPr>
      <w:spacing w:after="0"/>
      <w:ind w:left="400"/>
    </w:pPr>
  </w:style>
  <w:style w:type="paragraph" w:styleId="TOC4">
    <w:name w:val="toc 4"/>
    <w:basedOn w:val="Normal"/>
    <w:next w:val="Normal"/>
    <w:autoRedefine/>
    <w:uiPriority w:val="39"/>
    <w:unhideWhenUsed/>
    <w:rsid w:val="007B09F0"/>
    <w:pPr>
      <w:spacing w:after="0"/>
      <w:ind w:left="600"/>
    </w:pPr>
    <w:rPr>
      <w:szCs w:val="20"/>
    </w:rPr>
  </w:style>
  <w:style w:type="paragraph" w:styleId="TOC5">
    <w:name w:val="toc 5"/>
    <w:basedOn w:val="Normal"/>
    <w:next w:val="Normal"/>
    <w:autoRedefine/>
    <w:uiPriority w:val="39"/>
    <w:unhideWhenUsed/>
    <w:rsid w:val="007B09F0"/>
    <w:pPr>
      <w:spacing w:after="0"/>
      <w:ind w:left="800"/>
    </w:pPr>
    <w:rPr>
      <w:szCs w:val="20"/>
    </w:rPr>
  </w:style>
  <w:style w:type="paragraph" w:styleId="TOC6">
    <w:name w:val="toc 6"/>
    <w:basedOn w:val="Normal"/>
    <w:next w:val="Normal"/>
    <w:autoRedefine/>
    <w:uiPriority w:val="39"/>
    <w:unhideWhenUsed/>
    <w:rsid w:val="007B09F0"/>
    <w:pPr>
      <w:spacing w:after="0"/>
      <w:ind w:left="1000"/>
    </w:pPr>
    <w:rPr>
      <w:szCs w:val="20"/>
    </w:rPr>
  </w:style>
  <w:style w:type="paragraph" w:styleId="TOC7">
    <w:name w:val="toc 7"/>
    <w:basedOn w:val="Normal"/>
    <w:next w:val="Normal"/>
    <w:autoRedefine/>
    <w:uiPriority w:val="39"/>
    <w:unhideWhenUsed/>
    <w:rsid w:val="007B09F0"/>
    <w:pPr>
      <w:spacing w:after="0"/>
      <w:ind w:left="1200"/>
    </w:pPr>
    <w:rPr>
      <w:szCs w:val="20"/>
    </w:rPr>
  </w:style>
  <w:style w:type="paragraph" w:styleId="TOC8">
    <w:name w:val="toc 8"/>
    <w:basedOn w:val="Normal"/>
    <w:next w:val="Normal"/>
    <w:autoRedefine/>
    <w:uiPriority w:val="39"/>
    <w:unhideWhenUsed/>
    <w:rsid w:val="007B09F0"/>
    <w:pPr>
      <w:spacing w:after="0"/>
      <w:ind w:left="1400"/>
    </w:pPr>
    <w:rPr>
      <w:szCs w:val="20"/>
    </w:rPr>
  </w:style>
  <w:style w:type="paragraph" w:styleId="TOC9">
    <w:name w:val="toc 9"/>
    <w:basedOn w:val="Normal"/>
    <w:next w:val="Normal"/>
    <w:autoRedefine/>
    <w:uiPriority w:val="39"/>
    <w:unhideWhenUsed/>
    <w:rsid w:val="007B09F0"/>
    <w:pPr>
      <w:spacing w:after="0"/>
      <w:ind w:left="1600"/>
    </w:pPr>
    <w:rPr>
      <w:szCs w:val="20"/>
    </w:rPr>
  </w:style>
  <w:style w:type="paragraph" w:styleId="Title">
    <w:name w:val="Title"/>
    <w:basedOn w:val="Normal"/>
    <w:next w:val="Normal"/>
    <w:link w:val="TitleChar"/>
    <w:uiPriority w:val="10"/>
    <w:qFormat/>
    <w:rsid w:val="00763311"/>
    <w:pPr>
      <w:pBdr>
        <w:bottom w:val="single" w:sz="8" w:space="4" w:color="7E7B85" w:themeColor="accent1"/>
      </w:pBdr>
      <w:spacing w:after="300" w:line="240" w:lineRule="auto"/>
      <w:contextualSpacing/>
    </w:pPr>
    <w:rPr>
      <w:rFonts w:asciiTheme="majorHAnsi" w:eastAsiaTheme="majorEastAsia" w:hAnsiTheme="majorHAnsi" w:cstheme="majorBidi"/>
      <w:color w:val="5E5B5C" w:themeColor="text2" w:themeShade="BF"/>
      <w:spacing w:val="5"/>
      <w:kern w:val="28"/>
      <w:sz w:val="52"/>
      <w:szCs w:val="52"/>
    </w:rPr>
  </w:style>
  <w:style w:type="character" w:customStyle="1" w:styleId="TitleChar">
    <w:name w:val="Title Char"/>
    <w:basedOn w:val="DefaultParagraphFont"/>
    <w:link w:val="Title"/>
    <w:uiPriority w:val="10"/>
    <w:rsid w:val="00763311"/>
    <w:rPr>
      <w:rFonts w:asciiTheme="majorHAnsi" w:eastAsiaTheme="majorEastAsia" w:hAnsiTheme="majorHAnsi" w:cstheme="majorBidi"/>
      <w:color w:val="5E5B5C" w:themeColor="text2" w:themeShade="BF"/>
      <w:spacing w:val="5"/>
      <w:kern w:val="28"/>
      <w:sz w:val="52"/>
      <w:szCs w:val="52"/>
    </w:rPr>
  </w:style>
  <w:style w:type="character" w:customStyle="1" w:styleId="textHeader">
    <w:name w:val="textHeader"/>
    <w:basedOn w:val="DefaultParagraphFont"/>
    <w:uiPriority w:val="1"/>
    <w:rsid w:val="008E65F3"/>
    <w:rPr>
      <w:rFonts w:asciiTheme="minorHAnsi" w:hAnsiTheme="minorHAnsi"/>
      <w:b/>
      <w:color w:val="CC1F2D" w:themeColor="accent2"/>
      <w:sz w:val="20"/>
    </w:rPr>
  </w:style>
  <w:style w:type="paragraph" w:styleId="Subtitle">
    <w:name w:val="Subtitle"/>
    <w:basedOn w:val="Normal"/>
    <w:next w:val="Normal"/>
    <w:link w:val="SubtitleChar"/>
    <w:uiPriority w:val="11"/>
    <w:qFormat/>
    <w:rsid w:val="00763311"/>
    <w:pPr>
      <w:numPr>
        <w:ilvl w:val="1"/>
      </w:numPr>
    </w:pPr>
    <w:rPr>
      <w:rFonts w:asciiTheme="majorHAnsi" w:eastAsiaTheme="majorEastAsia" w:hAnsiTheme="majorHAnsi" w:cstheme="majorBidi"/>
      <w:i/>
      <w:iCs/>
      <w:color w:val="7E7B85" w:themeColor="accent1"/>
      <w:spacing w:val="15"/>
      <w:sz w:val="24"/>
      <w:szCs w:val="24"/>
    </w:rPr>
  </w:style>
  <w:style w:type="character" w:customStyle="1" w:styleId="SubtitleChar">
    <w:name w:val="Subtitle Char"/>
    <w:basedOn w:val="DefaultParagraphFont"/>
    <w:link w:val="Subtitle"/>
    <w:uiPriority w:val="11"/>
    <w:rsid w:val="00763311"/>
    <w:rPr>
      <w:rFonts w:asciiTheme="majorHAnsi" w:eastAsiaTheme="majorEastAsia" w:hAnsiTheme="majorHAnsi" w:cstheme="majorBidi"/>
      <w:i/>
      <w:iCs/>
      <w:color w:val="7E7B85" w:themeColor="accent1"/>
      <w:spacing w:val="15"/>
      <w:sz w:val="24"/>
      <w:szCs w:val="24"/>
    </w:rPr>
  </w:style>
  <w:style w:type="character" w:styleId="CommentReference">
    <w:name w:val="annotation reference"/>
    <w:basedOn w:val="DefaultParagraphFont"/>
    <w:uiPriority w:val="99"/>
    <w:semiHidden/>
    <w:unhideWhenUsed/>
    <w:rsid w:val="001F5FD7"/>
    <w:rPr>
      <w:sz w:val="16"/>
      <w:szCs w:val="16"/>
    </w:rPr>
  </w:style>
  <w:style w:type="paragraph" w:styleId="CommentText">
    <w:name w:val="annotation text"/>
    <w:basedOn w:val="Normal"/>
    <w:link w:val="CommentTextChar"/>
    <w:uiPriority w:val="99"/>
    <w:semiHidden/>
    <w:unhideWhenUsed/>
    <w:rsid w:val="001F5FD7"/>
    <w:pPr>
      <w:spacing w:line="240" w:lineRule="auto"/>
    </w:pPr>
    <w:rPr>
      <w:szCs w:val="20"/>
    </w:rPr>
  </w:style>
  <w:style w:type="character" w:customStyle="1" w:styleId="CommentTextChar">
    <w:name w:val="Comment Text Char"/>
    <w:basedOn w:val="DefaultParagraphFont"/>
    <w:link w:val="CommentText"/>
    <w:uiPriority w:val="99"/>
    <w:semiHidden/>
    <w:rsid w:val="001F5FD7"/>
    <w:rPr>
      <w:sz w:val="20"/>
      <w:szCs w:val="20"/>
    </w:rPr>
  </w:style>
  <w:style w:type="paragraph" w:styleId="CommentSubject">
    <w:name w:val="annotation subject"/>
    <w:basedOn w:val="CommentText"/>
    <w:next w:val="CommentText"/>
    <w:link w:val="CommentSubjectChar"/>
    <w:uiPriority w:val="99"/>
    <w:semiHidden/>
    <w:unhideWhenUsed/>
    <w:rsid w:val="001F5FD7"/>
    <w:rPr>
      <w:b/>
      <w:bCs/>
    </w:rPr>
  </w:style>
  <w:style w:type="character" w:customStyle="1" w:styleId="CommentSubjectChar">
    <w:name w:val="Comment Subject Char"/>
    <w:basedOn w:val="CommentTextChar"/>
    <w:link w:val="CommentSubject"/>
    <w:uiPriority w:val="99"/>
    <w:semiHidden/>
    <w:rsid w:val="001F5FD7"/>
    <w:rPr>
      <w:b/>
      <w:bCs/>
      <w:sz w:val="20"/>
      <w:szCs w:val="20"/>
    </w:rPr>
  </w:style>
  <w:style w:type="character" w:styleId="Hyperlink">
    <w:name w:val="Hyperlink"/>
    <w:basedOn w:val="DefaultParagraphFont"/>
    <w:uiPriority w:val="99"/>
    <w:unhideWhenUsed/>
    <w:rsid w:val="001F1945"/>
    <w:rPr>
      <w:color w:val="CC1F2D" w:themeColor="hyperlink"/>
      <w:u w:val="single"/>
    </w:rPr>
  </w:style>
  <w:style w:type="character" w:customStyle="1" w:styleId="ListParagraphChar">
    <w:name w:val="List Paragraph Char"/>
    <w:aliases w:val="Bulleted list Char,List Paragraph1 Char,Recommendation Char,List Paragraph11 Char,L Char,bullet point list Char"/>
    <w:basedOn w:val="DefaultParagraphFont"/>
    <w:link w:val="ListParagraph"/>
    <w:uiPriority w:val="34"/>
    <w:locked/>
    <w:rsid w:val="00770BED"/>
  </w:style>
  <w:style w:type="paragraph" w:styleId="Revision">
    <w:name w:val="Revision"/>
    <w:hidden/>
    <w:uiPriority w:val="99"/>
    <w:semiHidden/>
    <w:rsid w:val="00F96C36"/>
    <w:rPr>
      <w:sz w:val="20"/>
    </w:rPr>
  </w:style>
  <w:style w:type="character" w:styleId="Emphasis">
    <w:name w:val="Emphasis"/>
    <w:basedOn w:val="DefaultParagraphFont"/>
    <w:uiPriority w:val="20"/>
    <w:qFormat/>
    <w:rsid w:val="00763311"/>
    <w:rPr>
      <w:i/>
      <w:iCs/>
    </w:rPr>
  </w:style>
  <w:style w:type="character" w:styleId="BookTitle">
    <w:name w:val="Book Title"/>
    <w:basedOn w:val="DefaultParagraphFont"/>
    <w:uiPriority w:val="33"/>
    <w:qFormat/>
    <w:rsid w:val="00763311"/>
    <w:rPr>
      <w:b/>
      <w:bCs/>
      <w:smallCaps/>
      <w:spacing w:val="5"/>
    </w:rPr>
  </w:style>
  <w:style w:type="character" w:customStyle="1" w:styleId="Heading4Char">
    <w:name w:val="Heading 4 Char"/>
    <w:basedOn w:val="DefaultParagraphFont"/>
    <w:link w:val="Heading4"/>
    <w:uiPriority w:val="9"/>
    <w:rsid w:val="00763311"/>
    <w:rPr>
      <w:rFonts w:asciiTheme="majorHAnsi" w:eastAsiaTheme="majorEastAsia" w:hAnsiTheme="majorHAnsi" w:cstheme="majorBidi"/>
      <w:b/>
      <w:bCs/>
      <w:i/>
      <w:iCs/>
      <w:color w:val="7E7B85" w:themeColor="accent1"/>
    </w:rPr>
  </w:style>
  <w:style w:type="character" w:styleId="SubtleEmphasis">
    <w:name w:val="Subtle Emphasis"/>
    <w:basedOn w:val="DefaultParagraphFont"/>
    <w:uiPriority w:val="19"/>
    <w:qFormat/>
    <w:rsid w:val="00763311"/>
    <w:rPr>
      <w:i/>
      <w:iCs/>
      <w:color w:val="808080" w:themeColor="text1" w:themeTint="7F"/>
    </w:rPr>
  </w:style>
  <w:style w:type="character" w:customStyle="1" w:styleId="Heading5Char">
    <w:name w:val="Heading 5 Char"/>
    <w:basedOn w:val="DefaultParagraphFont"/>
    <w:link w:val="Heading5"/>
    <w:uiPriority w:val="9"/>
    <w:rsid w:val="00763311"/>
    <w:rPr>
      <w:rFonts w:asciiTheme="majorHAnsi" w:eastAsiaTheme="majorEastAsia" w:hAnsiTheme="majorHAnsi" w:cstheme="majorBidi"/>
      <w:color w:val="3E3D42" w:themeColor="accent1" w:themeShade="7F"/>
    </w:rPr>
  </w:style>
  <w:style w:type="character" w:customStyle="1" w:styleId="Heading6Char">
    <w:name w:val="Heading 6 Char"/>
    <w:basedOn w:val="DefaultParagraphFont"/>
    <w:link w:val="Heading6"/>
    <w:uiPriority w:val="9"/>
    <w:semiHidden/>
    <w:rsid w:val="00763311"/>
    <w:rPr>
      <w:rFonts w:asciiTheme="majorHAnsi" w:eastAsiaTheme="majorEastAsia" w:hAnsiTheme="majorHAnsi" w:cstheme="majorBidi"/>
      <w:i/>
      <w:iCs/>
      <w:color w:val="3E3D42" w:themeColor="accent1" w:themeShade="7F"/>
    </w:rPr>
  </w:style>
  <w:style w:type="character" w:customStyle="1" w:styleId="Heading7Char">
    <w:name w:val="Heading 7 Char"/>
    <w:basedOn w:val="DefaultParagraphFont"/>
    <w:link w:val="Heading7"/>
    <w:uiPriority w:val="9"/>
    <w:semiHidden/>
    <w:rsid w:val="0076331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3311"/>
    <w:rPr>
      <w:rFonts w:asciiTheme="majorHAnsi" w:eastAsiaTheme="majorEastAsia" w:hAnsiTheme="majorHAnsi" w:cstheme="majorBidi"/>
      <w:color w:val="7E7B85" w:themeColor="accent1"/>
      <w:sz w:val="20"/>
      <w:szCs w:val="20"/>
    </w:rPr>
  </w:style>
  <w:style w:type="character" w:customStyle="1" w:styleId="Heading9Char">
    <w:name w:val="Heading 9 Char"/>
    <w:basedOn w:val="DefaultParagraphFont"/>
    <w:link w:val="Heading9"/>
    <w:uiPriority w:val="9"/>
    <w:semiHidden/>
    <w:rsid w:val="0076331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3311"/>
    <w:pPr>
      <w:spacing w:line="240" w:lineRule="auto"/>
    </w:pPr>
    <w:rPr>
      <w:b/>
      <w:bCs/>
      <w:color w:val="7E7B85" w:themeColor="accent1"/>
      <w:sz w:val="18"/>
      <w:szCs w:val="18"/>
    </w:rPr>
  </w:style>
  <w:style w:type="character" w:styleId="Strong">
    <w:name w:val="Strong"/>
    <w:basedOn w:val="DefaultParagraphFont"/>
    <w:uiPriority w:val="22"/>
    <w:qFormat/>
    <w:rsid w:val="00763311"/>
    <w:rPr>
      <w:b/>
      <w:bCs/>
    </w:rPr>
  </w:style>
  <w:style w:type="paragraph" w:styleId="NoSpacing">
    <w:name w:val="No Spacing"/>
    <w:uiPriority w:val="1"/>
    <w:qFormat/>
    <w:rsid w:val="00763311"/>
    <w:pPr>
      <w:spacing w:after="0" w:line="240" w:lineRule="auto"/>
    </w:pPr>
  </w:style>
  <w:style w:type="paragraph" w:styleId="Quote">
    <w:name w:val="Quote"/>
    <w:basedOn w:val="Normal"/>
    <w:next w:val="Normal"/>
    <w:link w:val="QuoteChar"/>
    <w:uiPriority w:val="29"/>
    <w:qFormat/>
    <w:rsid w:val="00763311"/>
    <w:rPr>
      <w:i/>
      <w:iCs/>
      <w:color w:val="000000" w:themeColor="text1"/>
    </w:rPr>
  </w:style>
  <w:style w:type="character" w:customStyle="1" w:styleId="QuoteChar">
    <w:name w:val="Quote Char"/>
    <w:basedOn w:val="DefaultParagraphFont"/>
    <w:link w:val="Quote"/>
    <w:uiPriority w:val="29"/>
    <w:rsid w:val="00763311"/>
    <w:rPr>
      <w:i/>
      <w:iCs/>
      <w:color w:val="000000" w:themeColor="text1"/>
    </w:rPr>
  </w:style>
  <w:style w:type="paragraph" w:styleId="IntenseQuote">
    <w:name w:val="Intense Quote"/>
    <w:basedOn w:val="Normal"/>
    <w:next w:val="Normal"/>
    <w:link w:val="IntenseQuoteChar"/>
    <w:uiPriority w:val="30"/>
    <w:qFormat/>
    <w:rsid w:val="00763311"/>
    <w:pPr>
      <w:pBdr>
        <w:bottom w:val="single" w:sz="4" w:space="4" w:color="7E7B85" w:themeColor="accent1"/>
      </w:pBdr>
      <w:spacing w:before="200" w:after="280"/>
      <w:ind w:left="936" w:right="936"/>
    </w:pPr>
    <w:rPr>
      <w:b/>
      <w:bCs/>
      <w:i/>
      <w:iCs/>
      <w:color w:val="7E7B85" w:themeColor="accent1"/>
    </w:rPr>
  </w:style>
  <w:style w:type="character" w:customStyle="1" w:styleId="IntenseQuoteChar">
    <w:name w:val="Intense Quote Char"/>
    <w:basedOn w:val="DefaultParagraphFont"/>
    <w:link w:val="IntenseQuote"/>
    <w:uiPriority w:val="30"/>
    <w:rsid w:val="00763311"/>
    <w:rPr>
      <w:b/>
      <w:bCs/>
      <w:i/>
      <w:iCs/>
      <w:color w:val="7E7B85" w:themeColor="accent1"/>
    </w:rPr>
  </w:style>
  <w:style w:type="character" w:styleId="IntenseEmphasis">
    <w:name w:val="Intense Emphasis"/>
    <w:basedOn w:val="DefaultParagraphFont"/>
    <w:uiPriority w:val="21"/>
    <w:qFormat/>
    <w:rsid w:val="00763311"/>
    <w:rPr>
      <w:b/>
      <w:bCs/>
      <w:i/>
      <w:iCs/>
      <w:color w:val="7E7B85" w:themeColor="accent1"/>
    </w:rPr>
  </w:style>
  <w:style w:type="character" w:styleId="SubtleReference">
    <w:name w:val="Subtle Reference"/>
    <w:basedOn w:val="DefaultParagraphFont"/>
    <w:uiPriority w:val="31"/>
    <w:qFormat/>
    <w:rsid w:val="00763311"/>
    <w:rPr>
      <w:smallCaps/>
      <w:color w:val="CC1F2D" w:themeColor="accent2"/>
      <w:u w:val="single"/>
    </w:rPr>
  </w:style>
  <w:style w:type="character" w:styleId="IntenseReference">
    <w:name w:val="Intense Reference"/>
    <w:basedOn w:val="DefaultParagraphFont"/>
    <w:uiPriority w:val="32"/>
    <w:qFormat/>
    <w:rsid w:val="00763311"/>
    <w:rPr>
      <w:b/>
      <w:bCs/>
      <w:smallCaps/>
      <w:color w:val="CC1F2D" w:themeColor="accent2"/>
      <w:spacing w:val="5"/>
      <w:u w:val="single"/>
    </w:rPr>
  </w:style>
  <w:style w:type="paragraph" w:styleId="TOCHeading">
    <w:name w:val="TOC Heading"/>
    <w:basedOn w:val="Heading1"/>
    <w:next w:val="Normal"/>
    <w:uiPriority w:val="39"/>
    <w:semiHidden/>
    <w:unhideWhenUsed/>
    <w:qFormat/>
    <w:rsid w:val="007633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molecules2medicine.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AMRI">
  <a:themeElements>
    <a:clrScheme name="AAMRI_colours">
      <a:dk1>
        <a:sysClr val="windowText" lastClr="000000"/>
      </a:dk1>
      <a:lt1>
        <a:sysClr val="window" lastClr="FFFFFF"/>
      </a:lt1>
      <a:dk2>
        <a:srgbClr val="7E7A7B"/>
      </a:dk2>
      <a:lt2>
        <a:srgbClr val="FFFFFF"/>
      </a:lt2>
      <a:accent1>
        <a:srgbClr val="7E7B85"/>
      </a:accent1>
      <a:accent2>
        <a:srgbClr val="CC1F2D"/>
      </a:accent2>
      <a:accent3>
        <a:srgbClr val="D61A69"/>
      </a:accent3>
      <a:accent4>
        <a:srgbClr val="89172F"/>
      </a:accent4>
      <a:accent5>
        <a:srgbClr val="3F3F3F"/>
      </a:accent5>
      <a:accent6>
        <a:srgbClr val="000000"/>
      </a:accent6>
      <a:hlink>
        <a:srgbClr val="CC1F2D"/>
      </a:hlink>
      <a:folHlink>
        <a:srgbClr val="89172F"/>
      </a:folHlink>
    </a:clrScheme>
    <a:fontScheme name="AAMRI_Arial">
      <a:majorFont>
        <a:latin typeface="Arial"/>
        <a:ea typeface=""/>
        <a:cs typeface=""/>
      </a:majorFont>
      <a:minorFont>
        <a:latin typeface="Arial"/>
        <a:ea typeface=""/>
        <a:cs typeface=""/>
      </a:minorFont>
    </a:fontScheme>
    <a:fmtScheme name="Autumn">
      <a:fillStyleLst>
        <a:solidFill>
          <a:schemeClr val="phClr"/>
        </a:solidFill>
        <a:gradFill rotWithShape="1">
          <a:gsLst>
            <a:gs pos="0">
              <a:schemeClr val="phClr">
                <a:tint val="70000"/>
                <a:lumMod val="110000"/>
              </a:schemeClr>
            </a:gs>
            <a:gs pos="100000">
              <a:schemeClr val="phClr">
                <a:tint val="90000"/>
              </a:schemeClr>
            </a:gs>
          </a:gsLst>
          <a:lin ang="5400000" scaled="1"/>
        </a:gradFill>
        <a:gradFill rotWithShape="1">
          <a:gsLst>
            <a:gs pos="0">
              <a:schemeClr val="phClr">
                <a:tint val="98000"/>
                <a:satMod val="120000"/>
                <a:lumMod val="110000"/>
              </a:schemeClr>
            </a:gs>
            <a:gs pos="100000">
              <a:schemeClr val="phClr">
                <a:shade val="90000"/>
                <a:lumMod val="9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98000"/>
                <a:shade val="100000"/>
                <a:hueMod val="108000"/>
                <a:satMod val="130000"/>
                <a:lumMod val="108000"/>
              </a:schemeClr>
            </a:gs>
            <a:gs pos="92000">
              <a:schemeClr val="phClr">
                <a:shade val="88000"/>
                <a:hueMod val="96000"/>
                <a:satMod val="120000"/>
                <a:lumMod val="74000"/>
              </a:schemeClr>
            </a:gs>
          </a:gsLst>
          <a:lin ang="5400000" scaled="1"/>
        </a:gradFill>
        <a:gradFill rotWithShape="1">
          <a:gsLst>
            <a:gs pos="0">
              <a:schemeClr val="phClr">
                <a:tint val="98000"/>
                <a:shade val="100000"/>
                <a:hueMod val="100000"/>
                <a:satMod val="130000"/>
                <a:lumMod val="112000"/>
              </a:schemeClr>
            </a:gs>
            <a:gs pos="100000">
              <a:schemeClr val="phClr">
                <a:shade val="84000"/>
                <a:hueMod val="96000"/>
                <a:satMod val="120000"/>
                <a:lumMod val="80000"/>
              </a:schemeClr>
            </a:gs>
          </a:gsLst>
          <a:path path="circle">
            <a:fillToRect l="50000" t="5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BCR1400038</SubmissionID>
    <OriginalFileName xmlns="ed110c73-9675-4a40-bedd-85eaf2417466">141128_Boosting Commercial Returns from Research_AAMRI Submission_NoAppendix1.docx</Original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2114E-CDC1-42FA-99F0-D178AD47DE41}"/>
</file>

<file path=customXml/itemProps2.xml><?xml version="1.0" encoding="utf-8"?>
<ds:datastoreItem xmlns:ds="http://schemas.openxmlformats.org/officeDocument/2006/customXml" ds:itemID="{E1D01C58-0521-4764-9103-B052449D5114}"/>
</file>

<file path=customXml/itemProps3.xml><?xml version="1.0" encoding="utf-8"?>
<ds:datastoreItem xmlns:ds="http://schemas.openxmlformats.org/officeDocument/2006/customXml" ds:itemID="{1C4194EB-6A6B-4CCA-93E0-C1738D681C95}"/>
</file>

<file path=customXml/itemProps4.xml><?xml version="1.0" encoding="utf-8"?>
<ds:datastoreItem xmlns:ds="http://schemas.openxmlformats.org/officeDocument/2006/customXml" ds:itemID="{1C754ED5-C0CC-40BC-BA5C-A1DB20B3EFD8}"/>
</file>

<file path=docProps/app.xml><?xml version="1.0" encoding="utf-8"?>
<Properties xmlns="http://schemas.openxmlformats.org/officeDocument/2006/extended-properties" xmlns:vt="http://schemas.openxmlformats.org/officeDocument/2006/docPropsVTypes">
  <Template>94F186EA.dotm</Template>
  <TotalTime>26</TotalTime>
  <Pages>15</Pages>
  <Words>5242</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2_Boosting_the_commercial_return_AssociationofAustralianMedicalResearchInstitutesAA_28112014_BCR1400038.docx</vt:lpstr>
    </vt:vector>
  </TitlesOfParts>
  <Company>Peel Design</Company>
  <LinksUpToDate>false</LinksUpToDate>
  <CharactersWithSpaces>35058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2_Boosting_the_commercial_return_AssociationofAustralianMedicalResearchInstitutesAA_28112014_BCR1400038.docx</dc:title>
  <dc:creator>Michael</dc:creator>
  <cp:lastModifiedBy>Drew Menzies-McVey</cp:lastModifiedBy>
  <cp:revision>5</cp:revision>
  <cp:lastPrinted>2014-08-14T22:02:00Z</cp:lastPrinted>
  <dcterms:created xsi:type="dcterms:W3CDTF">2014-11-28T01:20:00Z</dcterms:created>
  <dcterms:modified xsi:type="dcterms:W3CDTF">2015-03-09T23:48:00Z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