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rFonts w:ascii="Arial Narrow" w:hAnsi="Arial Narrow"/>
        </w:rPr>
        <w:id w:val="14272057"/>
        <w:docPartObj>
          <w:docPartGallery w:val="Cover Pages"/>
          <w:docPartUnique/>
        </w:docPartObj>
      </w:sdtPr>
      <w:sdtEndPr>
        <w:rPr>
          <w:b/>
          <w:color w:val="0078C1"/>
          <w:sz w:val="28"/>
          <w:szCs w:val="28"/>
        </w:rPr>
      </w:sdtEndPr>
      <w:sdtContent>
        <w:p w14:paraId="070B0031" w14:textId="77777777" w:rsidR="008F065F" w:rsidRPr="008F065F" w:rsidRDefault="008F065F" w:rsidP="008F065F">
          <w:pPr>
            <w:rPr>
              <w:rFonts w:ascii="Arial Narrow" w:hAnsi="Arial Narrow"/>
            </w:rPr>
          </w:pPr>
        </w:p>
        <w:tbl>
          <w:tblPr>
            <w:tblpPr w:leftFromText="187" w:rightFromText="187" w:horzAnchor="margin" w:tblpXSpec="right" w:tblpYSpec="top"/>
            <w:tblW w:w="2000" w:type="pct"/>
            <w:tblBorders>
              <w:top w:val="single" w:sz="36" w:space="0" w:color="0078C1"/>
              <w:bottom w:val="single" w:sz="36" w:space="0" w:color="0078C1"/>
              <w:insideH w:val="single" w:sz="36" w:space="0" w:color="0078C1"/>
              <w:insideV w:val="single" w:sz="36" w:space="0" w:color="9BBB59" w:themeColor="accent3"/>
            </w:tblBorders>
            <w:tblCellMar>
              <w:top w:w="360" w:type="dxa"/>
              <w:left w:w="115" w:type="dxa"/>
              <w:bottom w:w="360" w:type="dxa"/>
              <w:right w:w="115" w:type="dxa"/>
            </w:tblCellMar>
            <w:tblLook w:val="04A0" w:firstRow="1" w:lastRow="0" w:firstColumn="1" w:lastColumn="0" w:noHBand="0" w:noVBand="1"/>
          </w:tblPr>
          <w:tblGrid>
            <w:gridCol w:w="3702"/>
          </w:tblGrid>
          <w:tr w:rsidR="008F065F" w:rsidRPr="008F065F" w14:paraId="070B0033" w14:textId="77777777" w:rsidTr="00681188">
            <w:tc>
              <w:tcPr>
                <w:tcW w:w="0" w:type="auto"/>
              </w:tcPr>
              <w:p w14:paraId="070B0032" w14:textId="77777777" w:rsidR="008F065F" w:rsidRPr="008F065F" w:rsidRDefault="008F065F" w:rsidP="008F065F">
                <w:pPr>
                  <w:pStyle w:val="NoSpacing"/>
                  <w:rPr>
                    <w:rFonts w:ascii="Arial Narrow" w:eastAsiaTheme="majorEastAsia" w:hAnsi="Arial Narrow" w:cstheme="majorBidi"/>
                    <w:sz w:val="56"/>
                    <w:szCs w:val="56"/>
                  </w:rPr>
                </w:pPr>
                <w:r w:rsidRPr="008F065F">
                  <w:rPr>
                    <w:rFonts w:ascii="Arial Narrow" w:eastAsiaTheme="majorEastAsia" w:hAnsi="Arial Narrow" w:cstheme="majorBidi"/>
                    <w:sz w:val="56"/>
                    <w:szCs w:val="56"/>
                    <w:lang w:eastAsia="en-AU"/>
                  </w:rPr>
                  <w:t>Boosting the Commercial Returns from Research</w:t>
                </w:r>
              </w:p>
            </w:tc>
          </w:tr>
          <w:tr w:rsidR="008F065F" w:rsidRPr="008F065F" w14:paraId="070B0035" w14:textId="77777777" w:rsidTr="00681188">
            <w:sdt>
              <w:sdtPr>
                <w:rPr>
                  <w:rFonts w:ascii="Arial Narrow" w:eastAsiaTheme="majorEastAsia" w:hAnsi="Arial Narrow" w:cstheme="majorBidi"/>
                  <w:sz w:val="40"/>
                  <w:szCs w:val="40"/>
                  <w:lang w:eastAsia="en-AU"/>
                </w:rPr>
                <w:alias w:val="Subtitle"/>
                <w:id w:val="13553153"/>
                <w:dataBinding w:prefixMappings="xmlns:ns0='http://schemas.openxmlformats.org/package/2006/metadata/core-properties' xmlns:ns1='http://purl.org/dc/elements/1.1/'" w:xpath="/ns0:coreProperties[1]/ns1:subject[1]" w:storeItemID="{6C3C8BC8-F283-45AE-878A-BAB7291924A1}"/>
                <w:text/>
              </w:sdtPr>
              <w:sdtEndPr/>
              <w:sdtContent>
                <w:tc>
                  <w:tcPr>
                    <w:tcW w:w="0" w:type="auto"/>
                  </w:tcPr>
                  <w:p w14:paraId="070B0034" w14:textId="77777777" w:rsidR="008F065F" w:rsidRPr="008F065F" w:rsidRDefault="00700ECC" w:rsidP="008F065F">
                    <w:pPr>
                      <w:pStyle w:val="NoSpacing"/>
                      <w:rPr>
                        <w:rFonts w:ascii="Arial Narrow" w:hAnsi="Arial Narrow"/>
                        <w:sz w:val="40"/>
                        <w:szCs w:val="40"/>
                      </w:rPr>
                    </w:pPr>
                    <w:r>
                      <w:rPr>
                        <w:rFonts w:ascii="Arial Narrow" w:eastAsiaTheme="majorEastAsia" w:hAnsi="Arial Narrow" w:cstheme="majorBidi"/>
                        <w:sz w:val="40"/>
                        <w:szCs w:val="40"/>
                        <w:lang w:eastAsia="en-AU"/>
                      </w:rPr>
                      <w:t>Response from Victoria University</w:t>
                    </w:r>
                  </w:p>
                </w:tc>
              </w:sdtContent>
            </w:sdt>
          </w:tr>
          <w:tr w:rsidR="008F065F" w:rsidRPr="008F065F" w14:paraId="070B0037" w14:textId="77777777" w:rsidTr="00681188">
            <w:trPr>
              <w:trHeight w:val="424"/>
            </w:trPr>
            <w:tc>
              <w:tcPr>
                <w:tcW w:w="0" w:type="auto"/>
                <w:vAlign w:val="center"/>
              </w:tcPr>
              <w:p w14:paraId="070B0036" w14:textId="77777777" w:rsidR="008F065F" w:rsidRPr="008F065F" w:rsidRDefault="008F065F" w:rsidP="00681188">
                <w:pPr>
                  <w:pStyle w:val="NoSpacing"/>
                  <w:jc w:val="center"/>
                  <w:rPr>
                    <w:rFonts w:ascii="Arial Narrow" w:hAnsi="Arial Narrow"/>
                    <w:sz w:val="28"/>
                    <w:szCs w:val="28"/>
                  </w:rPr>
                </w:pPr>
                <w:r w:rsidRPr="008F065F">
                  <w:rPr>
                    <w:rFonts w:ascii="Arial Narrow" w:hAnsi="Arial Narrow" w:cs="Arial"/>
                    <w:noProof/>
                    <w:color w:val="000000"/>
                    <w:lang w:eastAsia="en-AU"/>
                  </w:rPr>
                  <w:drawing>
                    <wp:inline distT="0" distB="0" distL="0" distR="0" wp14:anchorId="070B006F" wp14:editId="070B0070">
                      <wp:extent cx="1949450" cy="228170"/>
                      <wp:effectExtent l="19050" t="0" r="0" b="0"/>
                      <wp:docPr id="4" name="Picture 3" descr="Victoria University | Internet">
                        <a:hlinkClick xmlns:a="http://schemas.openxmlformats.org/drawingml/2006/main" r:id="rId12" tooltip="&quot;Click here go to Victoria University Web sit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ictoria University | Internet">
                                <a:hlinkClick r:id="rId12" tooltip="&quot;Click here go to Victoria University Web site&quot;"/>
                              </pic:cNvPr>
                              <pic:cNvPicPr>
                                <a:picLocks noChangeAspect="1" noChangeArrowheads="1"/>
                              </pic:cNvPicPr>
                            </pic:nvPicPr>
                            <pic:blipFill>
                              <a:blip r:embed="rId13" cstate="print"/>
                              <a:srcRect/>
                              <a:stretch>
                                <a:fillRect/>
                              </a:stretch>
                            </pic:blipFill>
                            <pic:spPr bwMode="auto">
                              <a:xfrm>
                                <a:off x="0" y="0"/>
                                <a:ext cx="1949450" cy="228170"/>
                              </a:xfrm>
                              <a:prstGeom prst="rect">
                                <a:avLst/>
                              </a:prstGeom>
                              <a:noFill/>
                              <a:ln w="9525">
                                <a:noFill/>
                                <a:miter lim="800000"/>
                                <a:headEnd/>
                                <a:tailEnd/>
                              </a:ln>
                            </pic:spPr>
                          </pic:pic>
                        </a:graphicData>
                      </a:graphic>
                    </wp:inline>
                  </w:drawing>
                </w:r>
              </w:p>
            </w:tc>
          </w:tr>
        </w:tbl>
        <w:p w14:paraId="070B0038" w14:textId="77777777" w:rsidR="008F065F" w:rsidRPr="008F065F" w:rsidRDefault="008F065F" w:rsidP="008F065F">
          <w:pPr>
            <w:rPr>
              <w:rFonts w:ascii="Arial Narrow" w:hAnsi="Arial Narrow"/>
            </w:rPr>
          </w:pPr>
        </w:p>
        <w:p w14:paraId="070B0039" w14:textId="77777777" w:rsidR="008F065F" w:rsidRPr="008F065F" w:rsidRDefault="008F065F" w:rsidP="008F065F">
          <w:pPr>
            <w:rPr>
              <w:rFonts w:ascii="Arial Narrow" w:hAnsi="Arial Narrow"/>
              <w:b/>
              <w:color w:val="0078C1"/>
              <w:sz w:val="28"/>
              <w:szCs w:val="28"/>
            </w:rPr>
          </w:pPr>
          <w:r w:rsidRPr="008F065F">
            <w:rPr>
              <w:rFonts w:ascii="Arial Narrow" w:hAnsi="Arial Narrow"/>
              <w:b/>
              <w:color w:val="0078C1"/>
              <w:sz w:val="28"/>
              <w:szCs w:val="28"/>
            </w:rPr>
            <w:br w:type="page"/>
          </w:r>
        </w:p>
      </w:sdtContent>
    </w:sdt>
    <w:sdt>
      <w:sdtPr>
        <w:rPr>
          <w:rFonts w:ascii="Arial Narrow" w:eastAsiaTheme="minorHAnsi" w:hAnsi="Arial Narrow" w:cstheme="minorBidi"/>
          <w:b w:val="0"/>
          <w:bCs w:val="0"/>
          <w:color w:val="0078C1"/>
          <w:sz w:val="22"/>
          <w:szCs w:val="22"/>
        </w:rPr>
        <w:id w:val="783236337"/>
        <w:docPartObj>
          <w:docPartGallery w:val="Table of Contents"/>
          <w:docPartUnique/>
        </w:docPartObj>
      </w:sdtPr>
      <w:sdtEndPr>
        <w:rPr>
          <w:rFonts w:eastAsiaTheme="minorEastAsia"/>
          <w:noProof/>
          <w:color w:val="auto"/>
        </w:rPr>
      </w:sdtEndPr>
      <w:sdtContent>
        <w:p w14:paraId="070B003A" w14:textId="77777777" w:rsidR="008F065F" w:rsidRPr="008F065F" w:rsidRDefault="008F065F">
          <w:pPr>
            <w:pStyle w:val="TOCHeading"/>
            <w:rPr>
              <w:rFonts w:ascii="Arial Narrow" w:hAnsi="Arial Narrow"/>
              <w:color w:val="0078C1"/>
            </w:rPr>
          </w:pPr>
          <w:r w:rsidRPr="008F065F">
            <w:rPr>
              <w:rFonts w:ascii="Arial Narrow" w:hAnsi="Arial Narrow"/>
              <w:color w:val="0078C1"/>
            </w:rPr>
            <w:t>Contents</w:t>
          </w:r>
        </w:p>
        <w:p w14:paraId="070B003B" w14:textId="77777777" w:rsidR="008F065F" w:rsidRPr="008F065F" w:rsidRDefault="008F065F">
          <w:pPr>
            <w:pStyle w:val="TOC1"/>
            <w:tabs>
              <w:tab w:val="right" w:leader="dot" w:pos="9016"/>
            </w:tabs>
            <w:rPr>
              <w:rFonts w:ascii="Arial Narrow" w:hAnsi="Arial Narrow"/>
              <w:noProof/>
              <w:sz w:val="24"/>
              <w:szCs w:val="24"/>
            </w:rPr>
          </w:pPr>
          <w:r w:rsidRPr="008F065F">
            <w:rPr>
              <w:rFonts w:ascii="Arial Narrow" w:hAnsi="Arial Narrow"/>
            </w:rPr>
            <w:fldChar w:fldCharType="begin"/>
          </w:r>
          <w:r w:rsidRPr="008F065F">
            <w:rPr>
              <w:rFonts w:ascii="Arial Narrow" w:hAnsi="Arial Narrow"/>
            </w:rPr>
            <w:instrText xml:space="preserve"> TOC \o "1-3" \h \z \u </w:instrText>
          </w:r>
          <w:r w:rsidRPr="008F065F">
            <w:rPr>
              <w:rFonts w:ascii="Arial Narrow" w:hAnsi="Arial Narrow"/>
            </w:rPr>
            <w:fldChar w:fldCharType="separate"/>
          </w:r>
          <w:hyperlink w:anchor="_Toc404852509" w:history="1">
            <w:r w:rsidRPr="008F065F">
              <w:rPr>
                <w:rStyle w:val="Hyperlink"/>
                <w:rFonts w:ascii="Arial Narrow" w:hAnsi="Arial Narrow"/>
                <w:noProof/>
                <w:sz w:val="24"/>
                <w:szCs w:val="24"/>
              </w:rPr>
              <w:t>Introduction</w:t>
            </w:r>
            <w:r w:rsidRPr="008F065F">
              <w:rPr>
                <w:rFonts w:ascii="Arial Narrow" w:hAnsi="Arial Narrow"/>
                <w:noProof/>
                <w:webHidden/>
                <w:sz w:val="24"/>
                <w:szCs w:val="24"/>
              </w:rPr>
              <w:tab/>
            </w:r>
            <w:r w:rsidRPr="008F065F">
              <w:rPr>
                <w:rFonts w:ascii="Arial Narrow" w:hAnsi="Arial Narrow"/>
                <w:noProof/>
                <w:webHidden/>
                <w:sz w:val="24"/>
                <w:szCs w:val="24"/>
              </w:rPr>
              <w:fldChar w:fldCharType="begin"/>
            </w:r>
            <w:r w:rsidRPr="008F065F">
              <w:rPr>
                <w:rFonts w:ascii="Arial Narrow" w:hAnsi="Arial Narrow"/>
                <w:noProof/>
                <w:webHidden/>
                <w:sz w:val="24"/>
                <w:szCs w:val="24"/>
              </w:rPr>
              <w:instrText xml:space="preserve"> PAGEREF _Toc404852509 \h </w:instrText>
            </w:r>
            <w:r w:rsidRPr="008F065F">
              <w:rPr>
                <w:rFonts w:ascii="Arial Narrow" w:hAnsi="Arial Narrow"/>
                <w:noProof/>
                <w:webHidden/>
                <w:sz w:val="24"/>
                <w:szCs w:val="24"/>
              </w:rPr>
            </w:r>
            <w:r w:rsidRPr="008F065F">
              <w:rPr>
                <w:rFonts w:ascii="Arial Narrow" w:hAnsi="Arial Narrow"/>
                <w:noProof/>
                <w:webHidden/>
                <w:sz w:val="24"/>
                <w:szCs w:val="24"/>
              </w:rPr>
              <w:fldChar w:fldCharType="separate"/>
            </w:r>
            <w:r w:rsidR="00521553">
              <w:rPr>
                <w:rFonts w:ascii="Arial Narrow" w:hAnsi="Arial Narrow"/>
                <w:noProof/>
                <w:webHidden/>
                <w:sz w:val="24"/>
                <w:szCs w:val="24"/>
              </w:rPr>
              <w:t>3</w:t>
            </w:r>
            <w:r w:rsidRPr="008F065F">
              <w:rPr>
                <w:rFonts w:ascii="Arial Narrow" w:hAnsi="Arial Narrow"/>
                <w:noProof/>
                <w:webHidden/>
                <w:sz w:val="24"/>
                <w:szCs w:val="24"/>
              </w:rPr>
              <w:fldChar w:fldCharType="end"/>
            </w:r>
          </w:hyperlink>
        </w:p>
        <w:p w14:paraId="070B003C" w14:textId="77777777" w:rsidR="008F065F" w:rsidRPr="008F065F" w:rsidRDefault="00521553">
          <w:pPr>
            <w:pStyle w:val="TOC1"/>
            <w:tabs>
              <w:tab w:val="right" w:leader="dot" w:pos="9016"/>
            </w:tabs>
            <w:rPr>
              <w:rFonts w:ascii="Arial Narrow" w:hAnsi="Arial Narrow"/>
              <w:noProof/>
              <w:sz w:val="24"/>
              <w:szCs w:val="24"/>
            </w:rPr>
          </w:pPr>
          <w:hyperlink w:anchor="_Toc404852510" w:history="1">
            <w:r w:rsidR="008F065F" w:rsidRPr="008F065F">
              <w:rPr>
                <w:rStyle w:val="Hyperlink"/>
                <w:rFonts w:ascii="Arial Narrow" w:hAnsi="Arial Narrow"/>
                <w:noProof/>
                <w:sz w:val="24"/>
                <w:szCs w:val="24"/>
              </w:rPr>
              <w:t>Differentiating between engagement and commercial outcomes</w:t>
            </w:r>
            <w:r w:rsidR="008F065F" w:rsidRPr="008F065F">
              <w:rPr>
                <w:rFonts w:ascii="Arial Narrow" w:hAnsi="Arial Narrow"/>
                <w:noProof/>
                <w:webHidden/>
                <w:sz w:val="24"/>
                <w:szCs w:val="24"/>
              </w:rPr>
              <w:tab/>
            </w:r>
            <w:r w:rsidR="008F065F" w:rsidRPr="008F065F">
              <w:rPr>
                <w:rFonts w:ascii="Arial Narrow" w:hAnsi="Arial Narrow"/>
                <w:noProof/>
                <w:webHidden/>
                <w:sz w:val="24"/>
                <w:szCs w:val="24"/>
              </w:rPr>
              <w:fldChar w:fldCharType="begin"/>
            </w:r>
            <w:r w:rsidR="008F065F" w:rsidRPr="008F065F">
              <w:rPr>
                <w:rFonts w:ascii="Arial Narrow" w:hAnsi="Arial Narrow"/>
                <w:noProof/>
                <w:webHidden/>
                <w:sz w:val="24"/>
                <w:szCs w:val="24"/>
              </w:rPr>
              <w:instrText xml:space="preserve"> PAGEREF _Toc404852510 \h </w:instrText>
            </w:r>
            <w:r w:rsidR="008F065F" w:rsidRPr="008F065F">
              <w:rPr>
                <w:rFonts w:ascii="Arial Narrow" w:hAnsi="Arial Narrow"/>
                <w:noProof/>
                <w:webHidden/>
                <w:sz w:val="24"/>
                <w:szCs w:val="24"/>
              </w:rPr>
            </w:r>
            <w:r w:rsidR="008F065F" w:rsidRPr="008F065F">
              <w:rPr>
                <w:rFonts w:ascii="Arial Narrow" w:hAnsi="Arial Narrow"/>
                <w:noProof/>
                <w:webHidden/>
                <w:sz w:val="24"/>
                <w:szCs w:val="24"/>
              </w:rPr>
              <w:fldChar w:fldCharType="separate"/>
            </w:r>
            <w:r>
              <w:rPr>
                <w:rFonts w:ascii="Arial Narrow" w:hAnsi="Arial Narrow"/>
                <w:noProof/>
                <w:webHidden/>
                <w:sz w:val="24"/>
                <w:szCs w:val="24"/>
              </w:rPr>
              <w:t>3</w:t>
            </w:r>
            <w:r w:rsidR="008F065F" w:rsidRPr="008F065F">
              <w:rPr>
                <w:rFonts w:ascii="Arial Narrow" w:hAnsi="Arial Narrow"/>
                <w:noProof/>
                <w:webHidden/>
                <w:sz w:val="24"/>
                <w:szCs w:val="24"/>
              </w:rPr>
              <w:fldChar w:fldCharType="end"/>
            </w:r>
          </w:hyperlink>
        </w:p>
        <w:p w14:paraId="070B003D" w14:textId="77777777" w:rsidR="008F065F" w:rsidRPr="008F065F" w:rsidRDefault="00521553">
          <w:pPr>
            <w:pStyle w:val="TOC1"/>
            <w:tabs>
              <w:tab w:val="right" w:leader="dot" w:pos="9016"/>
            </w:tabs>
            <w:rPr>
              <w:rFonts w:ascii="Arial Narrow" w:hAnsi="Arial Narrow"/>
              <w:noProof/>
              <w:sz w:val="24"/>
              <w:szCs w:val="24"/>
            </w:rPr>
          </w:pPr>
          <w:hyperlink w:anchor="_Toc404852511" w:history="1">
            <w:r w:rsidR="008F065F" w:rsidRPr="008F065F">
              <w:rPr>
                <w:rStyle w:val="Hyperlink"/>
                <w:rFonts w:ascii="Arial Narrow" w:hAnsi="Arial Narrow"/>
                <w:noProof/>
                <w:sz w:val="24"/>
                <w:szCs w:val="24"/>
              </w:rPr>
              <w:t>Addressing Government Policy Barriers</w:t>
            </w:r>
            <w:r w:rsidR="008F065F" w:rsidRPr="008F065F">
              <w:rPr>
                <w:rFonts w:ascii="Arial Narrow" w:hAnsi="Arial Narrow"/>
                <w:noProof/>
                <w:webHidden/>
                <w:sz w:val="24"/>
                <w:szCs w:val="24"/>
              </w:rPr>
              <w:tab/>
            </w:r>
            <w:r w:rsidR="008F065F" w:rsidRPr="008F065F">
              <w:rPr>
                <w:rFonts w:ascii="Arial Narrow" w:hAnsi="Arial Narrow"/>
                <w:noProof/>
                <w:webHidden/>
                <w:sz w:val="24"/>
                <w:szCs w:val="24"/>
              </w:rPr>
              <w:fldChar w:fldCharType="begin"/>
            </w:r>
            <w:r w:rsidR="008F065F" w:rsidRPr="008F065F">
              <w:rPr>
                <w:rFonts w:ascii="Arial Narrow" w:hAnsi="Arial Narrow"/>
                <w:noProof/>
                <w:webHidden/>
                <w:sz w:val="24"/>
                <w:szCs w:val="24"/>
              </w:rPr>
              <w:instrText xml:space="preserve"> PAGEREF _Toc404852511 \h </w:instrText>
            </w:r>
            <w:r w:rsidR="008F065F" w:rsidRPr="008F065F">
              <w:rPr>
                <w:rFonts w:ascii="Arial Narrow" w:hAnsi="Arial Narrow"/>
                <w:noProof/>
                <w:webHidden/>
                <w:sz w:val="24"/>
                <w:szCs w:val="24"/>
              </w:rPr>
            </w:r>
            <w:r w:rsidR="008F065F" w:rsidRPr="008F065F">
              <w:rPr>
                <w:rFonts w:ascii="Arial Narrow" w:hAnsi="Arial Narrow"/>
                <w:noProof/>
                <w:webHidden/>
                <w:sz w:val="24"/>
                <w:szCs w:val="24"/>
              </w:rPr>
              <w:fldChar w:fldCharType="separate"/>
            </w:r>
            <w:r>
              <w:rPr>
                <w:rFonts w:ascii="Arial Narrow" w:hAnsi="Arial Narrow"/>
                <w:noProof/>
                <w:webHidden/>
                <w:sz w:val="24"/>
                <w:szCs w:val="24"/>
              </w:rPr>
              <w:t>4</w:t>
            </w:r>
            <w:r w:rsidR="008F065F" w:rsidRPr="008F065F">
              <w:rPr>
                <w:rFonts w:ascii="Arial Narrow" w:hAnsi="Arial Narrow"/>
                <w:noProof/>
                <w:webHidden/>
                <w:sz w:val="24"/>
                <w:szCs w:val="24"/>
              </w:rPr>
              <w:fldChar w:fldCharType="end"/>
            </w:r>
          </w:hyperlink>
        </w:p>
        <w:p w14:paraId="070B003E" w14:textId="77777777" w:rsidR="008F065F" w:rsidRPr="008F065F" w:rsidRDefault="00521553">
          <w:pPr>
            <w:pStyle w:val="TOC1"/>
            <w:tabs>
              <w:tab w:val="right" w:leader="dot" w:pos="9016"/>
            </w:tabs>
            <w:rPr>
              <w:rFonts w:ascii="Arial Narrow" w:hAnsi="Arial Narrow"/>
              <w:noProof/>
              <w:sz w:val="24"/>
              <w:szCs w:val="24"/>
            </w:rPr>
          </w:pPr>
          <w:hyperlink w:anchor="_Toc404852512" w:history="1">
            <w:r w:rsidR="008F065F" w:rsidRPr="008F065F">
              <w:rPr>
                <w:rStyle w:val="Hyperlink"/>
                <w:rFonts w:ascii="Arial Narrow" w:hAnsi="Arial Narrow"/>
                <w:noProof/>
                <w:sz w:val="24"/>
                <w:szCs w:val="24"/>
              </w:rPr>
              <w:t>Improving mobility and exchange</w:t>
            </w:r>
            <w:r w:rsidR="008F065F" w:rsidRPr="008F065F">
              <w:rPr>
                <w:rFonts w:ascii="Arial Narrow" w:hAnsi="Arial Narrow"/>
                <w:noProof/>
                <w:webHidden/>
                <w:sz w:val="24"/>
                <w:szCs w:val="24"/>
              </w:rPr>
              <w:tab/>
            </w:r>
            <w:r w:rsidR="008F065F" w:rsidRPr="008F065F">
              <w:rPr>
                <w:rFonts w:ascii="Arial Narrow" w:hAnsi="Arial Narrow"/>
                <w:noProof/>
                <w:webHidden/>
                <w:sz w:val="24"/>
                <w:szCs w:val="24"/>
              </w:rPr>
              <w:fldChar w:fldCharType="begin"/>
            </w:r>
            <w:r w:rsidR="008F065F" w:rsidRPr="008F065F">
              <w:rPr>
                <w:rFonts w:ascii="Arial Narrow" w:hAnsi="Arial Narrow"/>
                <w:noProof/>
                <w:webHidden/>
                <w:sz w:val="24"/>
                <w:szCs w:val="24"/>
              </w:rPr>
              <w:instrText xml:space="preserve"> PAGEREF _Toc404852512 \h </w:instrText>
            </w:r>
            <w:r w:rsidR="008F065F" w:rsidRPr="008F065F">
              <w:rPr>
                <w:rFonts w:ascii="Arial Narrow" w:hAnsi="Arial Narrow"/>
                <w:noProof/>
                <w:webHidden/>
                <w:sz w:val="24"/>
                <w:szCs w:val="24"/>
              </w:rPr>
            </w:r>
            <w:r w:rsidR="008F065F" w:rsidRPr="008F065F">
              <w:rPr>
                <w:rFonts w:ascii="Arial Narrow" w:hAnsi="Arial Narrow"/>
                <w:noProof/>
                <w:webHidden/>
                <w:sz w:val="24"/>
                <w:szCs w:val="24"/>
              </w:rPr>
              <w:fldChar w:fldCharType="separate"/>
            </w:r>
            <w:r>
              <w:rPr>
                <w:rFonts w:ascii="Arial Narrow" w:hAnsi="Arial Narrow"/>
                <w:noProof/>
                <w:webHidden/>
                <w:sz w:val="24"/>
                <w:szCs w:val="24"/>
              </w:rPr>
              <w:t>4</w:t>
            </w:r>
            <w:r w:rsidR="008F065F" w:rsidRPr="008F065F">
              <w:rPr>
                <w:rFonts w:ascii="Arial Narrow" w:hAnsi="Arial Narrow"/>
                <w:noProof/>
                <w:webHidden/>
                <w:sz w:val="24"/>
                <w:szCs w:val="24"/>
              </w:rPr>
              <w:fldChar w:fldCharType="end"/>
            </w:r>
          </w:hyperlink>
        </w:p>
        <w:p w14:paraId="070B003F" w14:textId="77777777" w:rsidR="008F065F" w:rsidRPr="008F065F" w:rsidRDefault="00521553">
          <w:pPr>
            <w:pStyle w:val="TOC1"/>
            <w:tabs>
              <w:tab w:val="right" w:leader="dot" w:pos="9016"/>
            </w:tabs>
            <w:rPr>
              <w:rFonts w:ascii="Arial Narrow" w:hAnsi="Arial Narrow"/>
              <w:noProof/>
              <w:sz w:val="24"/>
              <w:szCs w:val="24"/>
            </w:rPr>
          </w:pPr>
          <w:hyperlink w:anchor="_Toc404852513" w:history="1">
            <w:r w:rsidR="008F065F" w:rsidRPr="008F065F">
              <w:rPr>
                <w:rStyle w:val="Hyperlink"/>
                <w:rFonts w:ascii="Arial Narrow" w:hAnsi="Arial Narrow"/>
                <w:noProof/>
                <w:sz w:val="24"/>
                <w:szCs w:val="24"/>
              </w:rPr>
              <w:t>Applied and translational research and recognising discipline differences</w:t>
            </w:r>
            <w:r w:rsidR="008F065F" w:rsidRPr="008F065F">
              <w:rPr>
                <w:rFonts w:ascii="Arial Narrow" w:hAnsi="Arial Narrow"/>
                <w:noProof/>
                <w:webHidden/>
                <w:sz w:val="24"/>
                <w:szCs w:val="24"/>
              </w:rPr>
              <w:tab/>
            </w:r>
            <w:r w:rsidR="008F065F" w:rsidRPr="008F065F">
              <w:rPr>
                <w:rFonts w:ascii="Arial Narrow" w:hAnsi="Arial Narrow"/>
                <w:noProof/>
                <w:webHidden/>
                <w:sz w:val="24"/>
                <w:szCs w:val="24"/>
              </w:rPr>
              <w:fldChar w:fldCharType="begin"/>
            </w:r>
            <w:r w:rsidR="008F065F" w:rsidRPr="008F065F">
              <w:rPr>
                <w:rFonts w:ascii="Arial Narrow" w:hAnsi="Arial Narrow"/>
                <w:noProof/>
                <w:webHidden/>
                <w:sz w:val="24"/>
                <w:szCs w:val="24"/>
              </w:rPr>
              <w:instrText xml:space="preserve"> PAGEREF _Toc404852513 \h </w:instrText>
            </w:r>
            <w:r w:rsidR="008F065F" w:rsidRPr="008F065F">
              <w:rPr>
                <w:rFonts w:ascii="Arial Narrow" w:hAnsi="Arial Narrow"/>
                <w:noProof/>
                <w:webHidden/>
                <w:sz w:val="24"/>
                <w:szCs w:val="24"/>
              </w:rPr>
            </w:r>
            <w:r w:rsidR="008F065F" w:rsidRPr="008F065F">
              <w:rPr>
                <w:rFonts w:ascii="Arial Narrow" w:hAnsi="Arial Narrow"/>
                <w:noProof/>
                <w:webHidden/>
                <w:sz w:val="24"/>
                <w:szCs w:val="24"/>
              </w:rPr>
              <w:fldChar w:fldCharType="separate"/>
            </w:r>
            <w:r>
              <w:rPr>
                <w:rFonts w:ascii="Arial Narrow" w:hAnsi="Arial Narrow"/>
                <w:noProof/>
                <w:webHidden/>
                <w:sz w:val="24"/>
                <w:szCs w:val="24"/>
              </w:rPr>
              <w:t>4</w:t>
            </w:r>
            <w:r w:rsidR="008F065F" w:rsidRPr="008F065F">
              <w:rPr>
                <w:rFonts w:ascii="Arial Narrow" w:hAnsi="Arial Narrow"/>
                <w:noProof/>
                <w:webHidden/>
                <w:sz w:val="24"/>
                <w:szCs w:val="24"/>
              </w:rPr>
              <w:fldChar w:fldCharType="end"/>
            </w:r>
          </w:hyperlink>
        </w:p>
        <w:p w14:paraId="070B0040" w14:textId="77777777" w:rsidR="008F065F" w:rsidRPr="008F065F" w:rsidRDefault="00521553">
          <w:pPr>
            <w:pStyle w:val="TOC1"/>
            <w:tabs>
              <w:tab w:val="right" w:leader="dot" w:pos="9016"/>
            </w:tabs>
            <w:rPr>
              <w:rFonts w:ascii="Arial Narrow" w:hAnsi="Arial Narrow"/>
              <w:noProof/>
              <w:sz w:val="24"/>
              <w:szCs w:val="24"/>
            </w:rPr>
          </w:pPr>
          <w:hyperlink w:anchor="_Toc404852514" w:history="1">
            <w:r w:rsidR="008F065F" w:rsidRPr="008F065F">
              <w:rPr>
                <w:rStyle w:val="Hyperlink"/>
                <w:rFonts w:ascii="Arial Narrow" w:hAnsi="Arial Narrow"/>
                <w:noProof/>
                <w:sz w:val="24"/>
                <w:szCs w:val="24"/>
              </w:rPr>
              <w:t>Programs for Exchange</w:t>
            </w:r>
            <w:r w:rsidR="008F065F" w:rsidRPr="008F065F">
              <w:rPr>
                <w:rFonts w:ascii="Arial Narrow" w:hAnsi="Arial Narrow"/>
                <w:noProof/>
                <w:webHidden/>
                <w:sz w:val="24"/>
                <w:szCs w:val="24"/>
              </w:rPr>
              <w:tab/>
            </w:r>
            <w:r w:rsidR="008F065F" w:rsidRPr="008F065F">
              <w:rPr>
                <w:rFonts w:ascii="Arial Narrow" w:hAnsi="Arial Narrow"/>
                <w:noProof/>
                <w:webHidden/>
                <w:sz w:val="24"/>
                <w:szCs w:val="24"/>
              </w:rPr>
              <w:fldChar w:fldCharType="begin"/>
            </w:r>
            <w:r w:rsidR="008F065F" w:rsidRPr="008F065F">
              <w:rPr>
                <w:rFonts w:ascii="Arial Narrow" w:hAnsi="Arial Narrow"/>
                <w:noProof/>
                <w:webHidden/>
                <w:sz w:val="24"/>
                <w:szCs w:val="24"/>
              </w:rPr>
              <w:instrText xml:space="preserve"> PAGEREF _Toc404852514 \h </w:instrText>
            </w:r>
            <w:r w:rsidR="008F065F" w:rsidRPr="008F065F">
              <w:rPr>
                <w:rFonts w:ascii="Arial Narrow" w:hAnsi="Arial Narrow"/>
                <w:noProof/>
                <w:webHidden/>
                <w:sz w:val="24"/>
                <w:szCs w:val="24"/>
              </w:rPr>
            </w:r>
            <w:r w:rsidR="008F065F" w:rsidRPr="008F065F">
              <w:rPr>
                <w:rFonts w:ascii="Arial Narrow" w:hAnsi="Arial Narrow"/>
                <w:noProof/>
                <w:webHidden/>
                <w:sz w:val="24"/>
                <w:szCs w:val="24"/>
              </w:rPr>
              <w:fldChar w:fldCharType="separate"/>
            </w:r>
            <w:r>
              <w:rPr>
                <w:rFonts w:ascii="Arial Narrow" w:hAnsi="Arial Narrow"/>
                <w:noProof/>
                <w:webHidden/>
                <w:sz w:val="24"/>
                <w:szCs w:val="24"/>
              </w:rPr>
              <w:t>5</w:t>
            </w:r>
            <w:r w:rsidR="008F065F" w:rsidRPr="008F065F">
              <w:rPr>
                <w:rFonts w:ascii="Arial Narrow" w:hAnsi="Arial Narrow"/>
                <w:noProof/>
                <w:webHidden/>
                <w:sz w:val="24"/>
                <w:szCs w:val="24"/>
              </w:rPr>
              <w:fldChar w:fldCharType="end"/>
            </w:r>
          </w:hyperlink>
        </w:p>
        <w:p w14:paraId="070B0041" w14:textId="77777777" w:rsidR="008F065F" w:rsidRPr="008F065F" w:rsidRDefault="00521553">
          <w:pPr>
            <w:pStyle w:val="TOC1"/>
            <w:tabs>
              <w:tab w:val="right" w:leader="dot" w:pos="9016"/>
            </w:tabs>
            <w:rPr>
              <w:rFonts w:ascii="Arial Narrow" w:hAnsi="Arial Narrow"/>
              <w:noProof/>
              <w:sz w:val="24"/>
              <w:szCs w:val="24"/>
            </w:rPr>
          </w:pPr>
          <w:hyperlink w:anchor="_Toc404852515" w:history="1">
            <w:r w:rsidR="008F065F" w:rsidRPr="008F065F">
              <w:rPr>
                <w:rStyle w:val="Hyperlink"/>
                <w:rFonts w:ascii="Arial Narrow" w:hAnsi="Arial Narrow"/>
                <w:noProof/>
                <w:sz w:val="24"/>
                <w:szCs w:val="24"/>
              </w:rPr>
              <w:t>Tailoring programs to Australia’s industry profile</w:t>
            </w:r>
            <w:r w:rsidR="008F065F" w:rsidRPr="008F065F">
              <w:rPr>
                <w:rFonts w:ascii="Arial Narrow" w:hAnsi="Arial Narrow"/>
                <w:noProof/>
                <w:webHidden/>
                <w:sz w:val="24"/>
                <w:szCs w:val="24"/>
              </w:rPr>
              <w:tab/>
            </w:r>
            <w:r w:rsidR="008F065F" w:rsidRPr="008F065F">
              <w:rPr>
                <w:rFonts w:ascii="Arial Narrow" w:hAnsi="Arial Narrow"/>
                <w:noProof/>
                <w:webHidden/>
                <w:sz w:val="24"/>
                <w:szCs w:val="24"/>
              </w:rPr>
              <w:fldChar w:fldCharType="begin"/>
            </w:r>
            <w:r w:rsidR="008F065F" w:rsidRPr="008F065F">
              <w:rPr>
                <w:rFonts w:ascii="Arial Narrow" w:hAnsi="Arial Narrow"/>
                <w:noProof/>
                <w:webHidden/>
                <w:sz w:val="24"/>
                <w:szCs w:val="24"/>
              </w:rPr>
              <w:instrText xml:space="preserve"> PAGEREF _Toc404852515 \h </w:instrText>
            </w:r>
            <w:r w:rsidR="008F065F" w:rsidRPr="008F065F">
              <w:rPr>
                <w:rFonts w:ascii="Arial Narrow" w:hAnsi="Arial Narrow"/>
                <w:noProof/>
                <w:webHidden/>
                <w:sz w:val="24"/>
                <w:szCs w:val="24"/>
              </w:rPr>
            </w:r>
            <w:r w:rsidR="008F065F" w:rsidRPr="008F065F">
              <w:rPr>
                <w:rFonts w:ascii="Arial Narrow" w:hAnsi="Arial Narrow"/>
                <w:noProof/>
                <w:webHidden/>
                <w:sz w:val="24"/>
                <w:szCs w:val="24"/>
              </w:rPr>
              <w:fldChar w:fldCharType="separate"/>
            </w:r>
            <w:r>
              <w:rPr>
                <w:rFonts w:ascii="Arial Narrow" w:hAnsi="Arial Narrow"/>
                <w:noProof/>
                <w:webHidden/>
                <w:sz w:val="24"/>
                <w:szCs w:val="24"/>
              </w:rPr>
              <w:t>5</w:t>
            </w:r>
            <w:r w:rsidR="008F065F" w:rsidRPr="008F065F">
              <w:rPr>
                <w:rFonts w:ascii="Arial Narrow" w:hAnsi="Arial Narrow"/>
                <w:noProof/>
                <w:webHidden/>
                <w:sz w:val="24"/>
                <w:szCs w:val="24"/>
              </w:rPr>
              <w:fldChar w:fldCharType="end"/>
            </w:r>
          </w:hyperlink>
        </w:p>
        <w:p w14:paraId="070B0042" w14:textId="77777777" w:rsidR="008F065F" w:rsidRPr="008F065F" w:rsidRDefault="00521553">
          <w:pPr>
            <w:pStyle w:val="TOC1"/>
            <w:tabs>
              <w:tab w:val="right" w:leader="dot" w:pos="9016"/>
            </w:tabs>
            <w:rPr>
              <w:rFonts w:ascii="Arial Narrow" w:hAnsi="Arial Narrow"/>
              <w:noProof/>
              <w:sz w:val="24"/>
              <w:szCs w:val="24"/>
            </w:rPr>
          </w:pPr>
          <w:hyperlink w:anchor="_Toc404852516" w:history="1">
            <w:r w:rsidR="008F065F" w:rsidRPr="008F065F">
              <w:rPr>
                <w:rStyle w:val="Hyperlink"/>
                <w:rFonts w:ascii="Arial Narrow" w:hAnsi="Arial Narrow"/>
                <w:noProof/>
                <w:sz w:val="24"/>
                <w:szCs w:val="24"/>
              </w:rPr>
              <w:t>Small and Medium Sized Enterprises</w:t>
            </w:r>
            <w:r w:rsidR="008F065F" w:rsidRPr="008F065F">
              <w:rPr>
                <w:rFonts w:ascii="Arial Narrow" w:hAnsi="Arial Narrow"/>
                <w:noProof/>
                <w:webHidden/>
                <w:sz w:val="24"/>
                <w:szCs w:val="24"/>
              </w:rPr>
              <w:tab/>
            </w:r>
            <w:r w:rsidR="008F065F" w:rsidRPr="008F065F">
              <w:rPr>
                <w:rFonts w:ascii="Arial Narrow" w:hAnsi="Arial Narrow"/>
                <w:noProof/>
                <w:webHidden/>
                <w:sz w:val="24"/>
                <w:szCs w:val="24"/>
              </w:rPr>
              <w:fldChar w:fldCharType="begin"/>
            </w:r>
            <w:r w:rsidR="008F065F" w:rsidRPr="008F065F">
              <w:rPr>
                <w:rFonts w:ascii="Arial Narrow" w:hAnsi="Arial Narrow"/>
                <w:noProof/>
                <w:webHidden/>
                <w:sz w:val="24"/>
                <w:szCs w:val="24"/>
              </w:rPr>
              <w:instrText xml:space="preserve"> PAGEREF _Toc404852516 \h </w:instrText>
            </w:r>
            <w:r w:rsidR="008F065F" w:rsidRPr="008F065F">
              <w:rPr>
                <w:rFonts w:ascii="Arial Narrow" w:hAnsi="Arial Narrow"/>
                <w:noProof/>
                <w:webHidden/>
                <w:sz w:val="24"/>
                <w:szCs w:val="24"/>
              </w:rPr>
            </w:r>
            <w:r w:rsidR="008F065F" w:rsidRPr="008F065F">
              <w:rPr>
                <w:rFonts w:ascii="Arial Narrow" w:hAnsi="Arial Narrow"/>
                <w:noProof/>
                <w:webHidden/>
                <w:sz w:val="24"/>
                <w:szCs w:val="24"/>
              </w:rPr>
              <w:fldChar w:fldCharType="separate"/>
            </w:r>
            <w:r>
              <w:rPr>
                <w:rFonts w:ascii="Arial Narrow" w:hAnsi="Arial Narrow"/>
                <w:noProof/>
                <w:webHidden/>
                <w:sz w:val="24"/>
                <w:szCs w:val="24"/>
              </w:rPr>
              <w:t>5</w:t>
            </w:r>
            <w:r w:rsidR="008F065F" w:rsidRPr="008F065F">
              <w:rPr>
                <w:rFonts w:ascii="Arial Narrow" w:hAnsi="Arial Narrow"/>
                <w:noProof/>
                <w:webHidden/>
                <w:sz w:val="24"/>
                <w:szCs w:val="24"/>
              </w:rPr>
              <w:fldChar w:fldCharType="end"/>
            </w:r>
          </w:hyperlink>
        </w:p>
        <w:p w14:paraId="070B0043" w14:textId="77777777" w:rsidR="008F065F" w:rsidRPr="008F065F" w:rsidRDefault="00521553">
          <w:pPr>
            <w:pStyle w:val="TOC1"/>
            <w:tabs>
              <w:tab w:val="right" w:leader="dot" w:pos="9016"/>
            </w:tabs>
            <w:rPr>
              <w:rFonts w:ascii="Arial Narrow" w:hAnsi="Arial Narrow"/>
              <w:noProof/>
              <w:sz w:val="24"/>
              <w:szCs w:val="24"/>
            </w:rPr>
          </w:pPr>
          <w:hyperlink w:anchor="_Toc404852517" w:history="1">
            <w:r w:rsidR="008F065F" w:rsidRPr="008F065F">
              <w:rPr>
                <w:rStyle w:val="Hyperlink"/>
                <w:rFonts w:ascii="Arial Narrow" w:hAnsi="Arial Narrow"/>
                <w:noProof/>
                <w:sz w:val="24"/>
                <w:szCs w:val="24"/>
              </w:rPr>
              <w:t>Simplification of Intellectual Property</w:t>
            </w:r>
            <w:r w:rsidR="008F065F" w:rsidRPr="008F065F">
              <w:rPr>
                <w:rFonts w:ascii="Arial Narrow" w:hAnsi="Arial Narrow"/>
                <w:noProof/>
                <w:webHidden/>
                <w:sz w:val="24"/>
                <w:szCs w:val="24"/>
              </w:rPr>
              <w:tab/>
            </w:r>
            <w:r w:rsidR="008F065F" w:rsidRPr="008F065F">
              <w:rPr>
                <w:rFonts w:ascii="Arial Narrow" w:hAnsi="Arial Narrow"/>
                <w:noProof/>
                <w:webHidden/>
                <w:sz w:val="24"/>
                <w:szCs w:val="24"/>
              </w:rPr>
              <w:fldChar w:fldCharType="begin"/>
            </w:r>
            <w:r w:rsidR="008F065F" w:rsidRPr="008F065F">
              <w:rPr>
                <w:rFonts w:ascii="Arial Narrow" w:hAnsi="Arial Narrow"/>
                <w:noProof/>
                <w:webHidden/>
                <w:sz w:val="24"/>
                <w:szCs w:val="24"/>
              </w:rPr>
              <w:instrText xml:space="preserve"> PAGEREF _Toc404852517 \h </w:instrText>
            </w:r>
            <w:r w:rsidR="008F065F" w:rsidRPr="008F065F">
              <w:rPr>
                <w:rFonts w:ascii="Arial Narrow" w:hAnsi="Arial Narrow"/>
                <w:noProof/>
                <w:webHidden/>
                <w:sz w:val="24"/>
                <w:szCs w:val="24"/>
              </w:rPr>
            </w:r>
            <w:r w:rsidR="008F065F" w:rsidRPr="008F065F">
              <w:rPr>
                <w:rFonts w:ascii="Arial Narrow" w:hAnsi="Arial Narrow"/>
                <w:noProof/>
                <w:webHidden/>
                <w:sz w:val="24"/>
                <w:szCs w:val="24"/>
              </w:rPr>
              <w:fldChar w:fldCharType="separate"/>
            </w:r>
            <w:r>
              <w:rPr>
                <w:rFonts w:ascii="Arial Narrow" w:hAnsi="Arial Narrow"/>
                <w:noProof/>
                <w:webHidden/>
                <w:sz w:val="24"/>
                <w:szCs w:val="24"/>
              </w:rPr>
              <w:t>6</w:t>
            </w:r>
            <w:r w:rsidR="008F065F" w:rsidRPr="008F065F">
              <w:rPr>
                <w:rFonts w:ascii="Arial Narrow" w:hAnsi="Arial Narrow"/>
                <w:noProof/>
                <w:webHidden/>
                <w:sz w:val="24"/>
                <w:szCs w:val="24"/>
              </w:rPr>
              <w:fldChar w:fldCharType="end"/>
            </w:r>
          </w:hyperlink>
        </w:p>
        <w:p w14:paraId="070B0044" w14:textId="77777777" w:rsidR="008F065F" w:rsidRPr="008F065F" w:rsidRDefault="00521553">
          <w:pPr>
            <w:pStyle w:val="TOC1"/>
            <w:tabs>
              <w:tab w:val="right" w:leader="dot" w:pos="9016"/>
            </w:tabs>
            <w:rPr>
              <w:rFonts w:ascii="Arial Narrow" w:hAnsi="Arial Narrow"/>
              <w:noProof/>
            </w:rPr>
          </w:pPr>
          <w:hyperlink w:anchor="_Toc404852518" w:history="1">
            <w:r w:rsidR="008F065F" w:rsidRPr="008F065F">
              <w:rPr>
                <w:rStyle w:val="Hyperlink"/>
                <w:rFonts w:ascii="Arial Narrow" w:hAnsi="Arial Narrow"/>
                <w:noProof/>
                <w:sz w:val="24"/>
                <w:szCs w:val="24"/>
              </w:rPr>
              <w:t>Problems of Confidentiality</w:t>
            </w:r>
            <w:r w:rsidR="008F065F" w:rsidRPr="008F065F">
              <w:rPr>
                <w:rFonts w:ascii="Arial Narrow" w:hAnsi="Arial Narrow"/>
                <w:noProof/>
                <w:webHidden/>
                <w:sz w:val="24"/>
                <w:szCs w:val="24"/>
              </w:rPr>
              <w:tab/>
            </w:r>
            <w:r w:rsidR="008F065F" w:rsidRPr="008F065F">
              <w:rPr>
                <w:rFonts w:ascii="Arial Narrow" w:hAnsi="Arial Narrow"/>
                <w:noProof/>
                <w:webHidden/>
                <w:sz w:val="24"/>
                <w:szCs w:val="24"/>
              </w:rPr>
              <w:fldChar w:fldCharType="begin"/>
            </w:r>
            <w:r w:rsidR="008F065F" w:rsidRPr="008F065F">
              <w:rPr>
                <w:rFonts w:ascii="Arial Narrow" w:hAnsi="Arial Narrow"/>
                <w:noProof/>
                <w:webHidden/>
                <w:sz w:val="24"/>
                <w:szCs w:val="24"/>
              </w:rPr>
              <w:instrText xml:space="preserve"> PAGEREF _Toc404852518 \h </w:instrText>
            </w:r>
            <w:r w:rsidR="008F065F" w:rsidRPr="008F065F">
              <w:rPr>
                <w:rFonts w:ascii="Arial Narrow" w:hAnsi="Arial Narrow"/>
                <w:noProof/>
                <w:webHidden/>
                <w:sz w:val="24"/>
                <w:szCs w:val="24"/>
              </w:rPr>
            </w:r>
            <w:r w:rsidR="008F065F" w:rsidRPr="008F065F">
              <w:rPr>
                <w:rFonts w:ascii="Arial Narrow" w:hAnsi="Arial Narrow"/>
                <w:noProof/>
                <w:webHidden/>
                <w:sz w:val="24"/>
                <w:szCs w:val="24"/>
              </w:rPr>
              <w:fldChar w:fldCharType="separate"/>
            </w:r>
            <w:r>
              <w:rPr>
                <w:rFonts w:ascii="Arial Narrow" w:hAnsi="Arial Narrow"/>
                <w:noProof/>
                <w:webHidden/>
                <w:sz w:val="24"/>
                <w:szCs w:val="24"/>
              </w:rPr>
              <w:t>6</w:t>
            </w:r>
            <w:r w:rsidR="008F065F" w:rsidRPr="008F065F">
              <w:rPr>
                <w:rFonts w:ascii="Arial Narrow" w:hAnsi="Arial Narrow"/>
                <w:noProof/>
                <w:webHidden/>
                <w:sz w:val="24"/>
                <w:szCs w:val="24"/>
              </w:rPr>
              <w:fldChar w:fldCharType="end"/>
            </w:r>
          </w:hyperlink>
        </w:p>
        <w:p w14:paraId="070B0045" w14:textId="77777777" w:rsidR="008F065F" w:rsidRPr="008F065F" w:rsidRDefault="008F065F">
          <w:pPr>
            <w:rPr>
              <w:rFonts w:ascii="Arial Narrow" w:hAnsi="Arial Narrow"/>
            </w:rPr>
          </w:pPr>
          <w:r w:rsidRPr="008F065F">
            <w:rPr>
              <w:rFonts w:ascii="Arial Narrow" w:hAnsi="Arial Narrow"/>
              <w:b/>
              <w:bCs/>
              <w:noProof/>
            </w:rPr>
            <w:fldChar w:fldCharType="end"/>
          </w:r>
        </w:p>
      </w:sdtContent>
    </w:sdt>
    <w:p w14:paraId="070B0046" w14:textId="77777777" w:rsidR="008F065F" w:rsidRPr="008F065F" w:rsidRDefault="008F065F">
      <w:pPr>
        <w:rPr>
          <w:rFonts w:ascii="Arial Narrow" w:hAnsi="Arial Narrow"/>
          <w:b/>
          <w:color w:val="0078C1"/>
          <w:sz w:val="32"/>
          <w:szCs w:val="32"/>
        </w:rPr>
      </w:pPr>
      <w:r w:rsidRPr="008F065F">
        <w:rPr>
          <w:rFonts w:ascii="Arial Narrow" w:hAnsi="Arial Narrow"/>
          <w:b/>
          <w:color w:val="0078C1"/>
          <w:sz w:val="32"/>
          <w:szCs w:val="32"/>
        </w:rPr>
        <w:br w:type="page"/>
      </w:r>
    </w:p>
    <w:p w14:paraId="070B0047" w14:textId="77777777" w:rsidR="00591097" w:rsidRPr="008F065F" w:rsidRDefault="008F065F" w:rsidP="008F065F">
      <w:pPr>
        <w:pStyle w:val="Heading1"/>
        <w:keepNext w:val="0"/>
        <w:keepLines w:val="0"/>
        <w:spacing w:before="0"/>
        <w:rPr>
          <w:rFonts w:ascii="Arial Narrow" w:hAnsi="Arial Narrow"/>
          <w:color w:val="0078B7"/>
          <w:sz w:val="24"/>
          <w:szCs w:val="24"/>
        </w:rPr>
      </w:pPr>
      <w:bookmarkStart w:id="1" w:name="_Toc404852509"/>
      <w:r w:rsidRPr="008F065F">
        <w:rPr>
          <w:rFonts w:ascii="Arial Narrow" w:hAnsi="Arial Narrow"/>
          <w:color w:val="0078B7"/>
          <w:sz w:val="24"/>
          <w:szCs w:val="24"/>
        </w:rPr>
        <w:lastRenderedPageBreak/>
        <w:t>Introduction</w:t>
      </w:r>
      <w:bookmarkEnd w:id="1"/>
      <w:r w:rsidRPr="008F065F">
        <w:rPr>
          <w:rFonts w:ascii="Arial Narrow" w:hAnsi="Arial Narrow"/>
          <w:color w:val="0078B7"/>
          <w:sz w:val="24"/>
          <w:szCs w:val="24"/>
        </w:rPr>
        <w:t xml:space="preserve"> </w:t>
      </w:r>
    </w:p>
    <w:p w14:paraId="070B0048" w14:textId="77777777" w:rsidR="00591097" w:rsidRPr="008F065F" w:rsidRDefault="00591097">
      <w:pPr>
        <w:rPr>
          <w:rFonts w:ascii="Arial Narrow" w:hAnsi="Arial Narrow"/>
          <w:sz w:val="24"/>
          <w:szCs w:val="24"/>
        </w:rPr>
      </w:pPr>
      <w:r w:rsidRPr="008F065F">
        <w:rPr>
          <w:rFonts w:ascii="Arial Narrow" w:hAnsi="Arial Narrow"/>
          <w:sz w:val="24"/>
          <w:szCs w:val="24"/>
        </w:rPr>
        <w:t xml:space="preserve">Victoria University welcomes the opportunity to provide comment to the </w:t>
      </w:r>
      <w:r w:rsidRPr="00F27EB1">
        <w:rPr>
          <w:rStyle w:val="BookTitle"/>
        </w:rPr>
        <w:t>Boosting the Commercial Returns from Research</w:t>
      </w:r>
      <w:r w:rsidRPr="00B433B1">
        <w:rPr>
          <w:rFonts w:ascii="Arial Narrow" w:hAnsi="Arial Narrow"/>
          <w:i/>
          <w:sz w:val="24"/>
          <w:szCs w:val="24"/>
        </w:rPr>
        <w:t xml:space="preserve"> </w:t>
      </w:r>
      <w:r w:rsidRPr="008F065F">
        <w:rPr>
          <w:rFonts w:ascii="Arial Narrow" w:hAnsi="Arial Narrow"/>
          <w:sz w:val="24"/>
          <w:szCs w:val="24"/>
        </w:rPr>
        <w:t xml:space="preserve">Discuss Paper. </w:t>
      </w:r>
      <w:r w:rsidR="00FC6F95" w:rsidRPr="008F065F">
        <w:rPr>
          <w:rFonts w:ascii="Arial Narrow" w:hAnsi="Arial Narrow"/>
          <w:sz w:val="24"/>
          <w:szCs w:val="24"/>
        </w:rPr>
        <w:t xml:space="preserve">The aims of this review fit well with </w:t>
      </w:r>
      <w:r w:rsidR="0068653E">
        <w:rPr>
          <w:rFonts w:ascii="Arial Narrow" w:hAnsi="Arial Narrow"/>
          <w:sz w:val="24"/>
          <w:szCs w:val="24"/>
        </w:rPr>
        <w:t>the our</w:t>
      </w:r>
      <w:r w:rsidR="00FC6F95" w:rsidRPr="008F065F">
        <w:rPr>
          <w:rFonts w:ascii="Arial Narrow" w:hAnsi="Arial Narrow"/>
          <w:sz w:val="24"/>
          <w:szCs w:val="24"/>
        </w:rPr>
        <w:t xml:space="preserve"> desire and </w:t>
      </w:r>
      <w:r w:rsidRPr="008F065F">
        <w:rPr>
          <w:rFonts w:ascii="Arial Narrow" w:hAnsi="Arial Narrow"/>
          <w:sz w:val="24"/>
          <w:szCs w:val="24"/>
        </w:rPr>
        <w:t>long-held commitment</w:t>
      </w:r>
      <w:r w:rsidR="00FC6F95" w:rsidRPr="008F065F">
        <w:rPr>
          <w:rFonts w:ascii="Arial Narrow" w:hAnsi="Arial Narrow"/>
          <w:sz w:val="24"/>
          <w:szCs w:val="24"/>
        </w:rPr>
        <w:t xml:space="preserve"> and experience as a university renowned for its </w:t>
      </w:r>
      <w:r w:rsidRPr="008F065F">
        <w:rPr>
          <w:rFonts w:ascii="Arial Narrow" w:eastAsia="Times New Roman" w:hAnsi="Arial Narrow" w:cs="Arial"/>
          <w:sz w:val="24"/>
          <w:szCs w:val="24"/>
        </w:rPr>
        <w:t xml:space="preserve">deep engagement with industry and community and for producing research that has an impact </w:t>
      </w:r>
      <w:r w:rsidRPr="008F065F">
        <w:rPr>
          <w:rFonts w:ascii="Arial Narrow" w:hAnsi="Arial Narrow"/>
          <w:sz w:val="24"/>
          <w:szCs w:val="24"/>
        </w:rPr>
        <w:t xml:space="preserve">and makes a tangible difference to </w:t>
      </w:r>
      <w:r w:rsidR="0000156F" w:rsidRPr="008F065F">
        <w:rPr>
          <w:rFonts w:ascii="Arial Narrow" w:hAnsi="Arial Narrow"/>
          <w:sz w:val="24"/>
          <w:szCs w:val="24"/>
        </w:rPr>
        <w:t xml:space="preserve">industry and to </w:t>
      </w:r>
      <w:r w:rsidRPr="008F065F">
        <w:rPr>
          <w:rFonts w:ascii="Arial Narrow" w:hAnsi="Arial Narrow"/>
          <w:sz w:val="24"/>
          <w:szCs w:val="24"/>
        </w:rPr>
        <w:t xml:space="preserve">the lives of people. </w:t>
      </w:r>
    </w:p>
    <w:p w14:paraId="070B0049" w14:textId="77777777" w:rsidR="00FC6F95" w:rsidRPr="008F065F" w:rsidRDefault="00FC6F95">
      <w:pPr>
        <w:rPr>
          <w:rFonts w:ascii="Arial Narrow" w:hAnsi="Arial Narrow"/>
          <w:sz w:val="24"/>
          <w:szCs w:val="24"/>
        </w:rPr>
      </w:pPr>
      <w:r w:rsidRPr="008F065F">
        <w:rPr>
          <w:rFonts w:ascii="Arial Narrow" w:hAnsi="Arial Narrow"/>
          <w:sz w:val="24"/>
          <w:szCs w:val="24"/>
        </w:rPr>
        <w:t xml:space="preserve">The University wishes to call the review’s attention to a number of matters that it considers require consideration to maximise the commercial returns arising from research. </w:t>
      </w:r>
      <w:r w:rsidR="0000156F" w:rsidRPr="008F065F">
        <w:rPr>
          <w:rFonts w:ascii="Arial Narrow" w:hAnsi="Arial Narrow"/>
          <w:sz w:val="24"/>
          <w:szCs w:val="24"/>
        </w:rPr>
        <w:t>I</w:t>
      </w:r>
      <w:r w:rsidRPr="008F065F">
        <w:rPr>
          <w:rFonts w:ascii="Arial Narrow" w:hAnsi="Arial Narrow"/>
          <w:sz w:val="24"/>
          <w:szCs w:val="24"/>
        </w:rPr>
        <w:t>n broad terms</w:t>
      </w:r>
      <w:r w:rsidR="0000156F" w:rsidRPr="008F065F">
        <w:rPr>
          <w:rFonts w:ascii="Arial Narrow" w:hAnsi="Arial Narrow"/>
          <w:sz w:val="24"/>
          <w:szCs w:val="24"/>
        </w:rPr>
        <w:t>, the aim is to promote greater links and interaction between industry, community and the research sector, by:</w:t>
      </w:r>
    </w:p>
    <w:p w14:paraId="070B004A" w14:textId="77777777" w:rsidR="00FC6F95" w:rsidRPr="008F065F" w:rsidRDefault="00FC6F95" w:rsidP="00A01626">
      <w:pPr>
        <w:pStyle w:val="ListParagraph"/>
        <w:numPr>
          <w:ilvl w:val="0"/>
          <w:numId w:val="2"/>
        </w:numPr>
        <w:rPr>
          <w:rFonts w:ascii="Arial Narrow" w:hAnsi="Arial Narrow"/>
          <w:sz w:val="24"/>
          <w:szCs w:val="24"/>
        </w:rPr>
      </w:pPr>
      <w:r w:rsidRPr="008F065F">
        <w:rPr>
          <w:rFonts w:ascii="Arial Narrow" w:hAnsi="Arial Narrow"/>
          <w:sz w:val="24"/>
          <w:szCs w:val="24"/>
        </w:rPr>
        <w:t>Differentiating between engagement and commercial outcomes</w:t>
      </w:r>
    </w:p>
    <w:p w14:paraId="070B004B" w14:textId="77777777" w:rsidR="00FC6F95" w:rsidRPr="008F065F" w:rsidRDefault="00FC6F95" w:rsidP="00A01626">
      <w:pPr>
        <w:pStyle w:val="ListParagraph"/>
        <w:numPr>
          <w:ilvl w:val="0"/>
          <w:numId w:val="2"/>
        </w:numPr>
        <w:rPr>
          <w:rFonts w:ascii="Arial Narrow" w:hAnsi="Arial Narrow"/>
          <w:sz w:val="24"/>
          <w:szCs w:val="24"/>
        </w:rPr>
      </w:pPr>
      <w:r w:rsidRPr="008F065F">
        <w:rPr>
          <w:rFonts w:ascii="Arial Narrow" w:hAnsi="Arial Narrow"/>
          <w:sz w:val="24"/>
          <w:szCs w:val="24"/>
        </w:rPr>
        <w:t>Addressing government policy barriers</w:t>
      </w:r>
    </w:p>
    <w:p w14:paraId="070B004C" w14:textId="77777777" w:rsidR="00FC6F95" w:rsidRPr="008F065F" w:rsidRDefault="00FC6F95" w:rsidP="00A01626">
      <w:pPr>
        <w:pStyle w:val="ListParagraph"/>
        <w:numPr>
          <w:ilvl w:val="0"/>
          <w:numId w:val="2"/>
        </w:numPr>
        <w:rPr>
          <w:rFonts w:ascii="Arial Narrow" w:hAnsi="Arial Narrow"/>
          <w:sz w:val="24"/>
          <w:szCs w:val="24"/>
        </w:rPr>
      </w:pPr>
      <w:r w:rsidRPr="008F065F">
        <w:rPr>
          <w:rFonts w:ascii="Arial Narrow" w:hAnsi="Arial Narrow"/>
          <w:sz w:val="24"/>
          <w:szCs w:val="24"/>
        </w:rPr>
        <w:t>Improving mobility and exchange</w:t>
      </w:r>
    </w:p>
    <w:p w14:paraId="070B004D" w14:textId="77777777" w:rsidR="00691405" w:rsidRPr="008F065F" w:rsidRDefault="00220DB8" w:rsidP="00691405">
      <w:pPr>
        <w:pStyle w:val="ListParagraph"/>
        <w:numPr>
          <w:ilvl w:val="0"/>
          <w:numId w:val="2"/>
        </w:numPr>
        <w:rPr>
          <w:rFonts w:ascii="Arial Narrow" w:hAnsi="Arial Narrow"/>
          <w:sz w:val="24"/>
          <w:szCs w:val="24"/>
        </w:rPr>
      </w:pPr>
      <w:r w:rsidRPr="008F065F">
        <w:rPr>
          <w:rFonts w:ascii="Arial Narrow" w:hAnsi="Arial Narrow"/>
          <w:sz w:val="24"/>
          <w:szCs w:val="24"/>
        </w:rPr>
        <w:t>A</w:t>
      </w:r>
      <w:r w:rsidR="00FC6F95" w:rsidRPr="008F065F">
        <w:rPr>
          <w:rFonts w:ascii="Arial Narrow" w:hAnsi="Arial Narrow"/>
          <w:sz w:val="24"/>
          <w:szCs w:val="24"/>
        </w:rPr>
        <w:t>pplied and translational research</w:t>
      </w:r>
      <w:r w:rsidRPr="008F065F">
        <w:rPr>
          <w:rFonts w:ascii="Arial Narrow" w:hAnsi="Arial Narrow"/>
          <w:sz w:val="24"/>
          <w:szCs w:val="24"/>
        </w:rPr>
        <w:t xml:space="preserve"> and r</w:t>
      </w:r>
      <w:r w:rsidR="00691405" w:rsidRPr="008F065F">
        <w:rPr>
          <w:rFonts w:ascii="Arial Narrow" w:hAnsi="Arial Narrow"/>
          <w:sz w:val="24"/>
          <w:szCs w:val="24"/>
        </w:rPr>
        <w:t>ecognising discipline differences</w:t>
      </w:r>
    </w:p>
    <w:p w14:paraId="070B004E" w14:textId="77777777" w:rsidR="00FC6F95" w:rsidRPr="008F065F" w:rsidRDefault="00FC6F95" w:rsidP="00A01626">
      <w:pPr>
        <w:pStyle w:val="ListParagraph"/>
        <w:numPr>
          <w:ilvl w:val="0"/>
          <w:numId w:val="2"/>
        </w:numPr>
        <w:rPr>
          <w:rFonts w:ascii="Arial Narrow" w:hAnsi="Arial Narrow"/>
          <w:sz w:val="24"/>
          <w:szCs w:val="24"/>
        </w:rPr>
      </w:pPr>
      <w:r w:rsidRPr="008F065F">
        <w:rPr>
          <w:rFonts w:ascii="Arial Narrow" w:hAnsi="Arial Narrow"/>
          <w:sz w:val="24"/>
          <w:szCs w:val="24"/>
        </w:rPr>
        <w:t>Programs for exchange</w:t>
      </w:r>
    </w:p>
    <w:p w14:paraId="070B004F" w14:textId="77777777" w:rsidR="00FC6F95" w:rsidRPr="008F065F" w:rsidRDefault="00A01626" w:rsidP="00A01626">
      <w:pPr>
        <w:pStyle w:val="ListParagraph"/>
        <w:numPr>
          <w:ilvl w:val="0"/>
          <w:numId w:val="2"/>
        </w:numPr>
        <w:rPr>
          <w:rFonts w:ascii="Arial Narrow" w:hAnsi="Arial Narrow"/>
          <w:sz w:val="24"/>
          <w:szCs w:val="24"/>
        </w:rPr>
      </w:pPr>
      <w:r w:rsidRPr="008F065F">
        <w:rPr>
          <w:rFonts w:ascii="Arial Narrow" w:hAnsi="Arial Narrow"/>
          <w:sz w:val="24"/>
          <w:szCs w:val="24"/>
        </w:rPr>
        <w:t xml:space="preserve">Programs to </w:t>
      </w:r>
      <w:r w:rsidR="00FC6F95" w:rsidRPr="008F065F">
        <w:rPr>
          <w:rFonts w:ascii="Arial Narrow" w:hAnsi="Arial Narrow"/>
          <w:sz w:val="24"/>
          <w:szCs w:val="24"/>
        </w:rPr>
        <w:t>foster collaboration</w:t>
      </w:r>
    </w:p>
    <w:p w14:paraId="070B0050" w14:textId="77777777" w:rsidR="00FC6F95" w:rsidRPr="008F065F" w:rsidRDefault="00A01626" w:rsidP="00A01626">
      <w:pPr>
        <w:pStyle w:val="ListParagraph"/>
        <w:numPr>
          <w:ilvl w:val="0"/>
          <w:numId w:val="2"/>
        </w:numPr>
        <w:rPr>
          <w:rFonts w:ascii="Arial Narrow" w:hAnsi="Arial Narrow"/>
          <w:sz w:val="24"/>
          <w:szCs w:val="24"/>
        </w:rPr>
      </w:pPr>
      <w:r w:rsidRPr="008F065F">
        <w:rPr>
          <w:rFonts w:ascii="Arial Narrow" w:hAnsi="Arial Narrow"/>
          <w:sz w:val="24"/>
          <w:szCs w:val="24"/>
        </w:rPr>
        <w:t>Tailoring programs to Australia’s industry profile</w:t>
      </w:r>
    </w:p>
    <w:p w14:paraId="070B0051" w14:textId="77777777" w:rsidR="00FC6F95" w:rsidRPr="008F065F" w:rsidRDefault="00A01626" w:rsidP="00A01626">
      <w:pPr>
        <w:pStyle w:val="ListParagraph"/>
        <w:numPr>
          <w:ilvl w:val="0"/>
          <w:numId w:val="2"/>
        </w:numPr>
        <w:rPr>
          <w:rFonts w:ascii="Arial Narrow" w:hAnsi="Arial Narrow"/>
          <w:sz w:val="24"/>
          <w:szCs w:val="24"/>
        </w:rPr>
      </w:pPr>
      <w:r w:rsidRPr="008F065F">
        <w:rPr>
          <w:rFonts w:ascii="Arial Narrow" w:hAnsi="Arial Narrow"/>
          <w:sz w:val="24"/>
          <w:szCs w:val="24"/>
        </w:rPr>
        <w:t>Simplification of Intellectual Property</w:t>
      </w:r>
    </w:p>
    <w:p w14:paraId="070B0052" w14:textId="77777777" w:rsidR="0000156F" w:rsidRPr="008F065F" w:rsidRDefault="0000156F">
      <w:pPr>
        <w:rPr>
          <w:rFonts w:ascii="Arial Narrow" w:hAnsi="Arial Narrow"/>
          <w:sz w:val="24"/>
          <w:szCs w:val="24"/>
        </w:rPr>
      </w:pPr>
      <w:r w:rsidRPr="008F065F">
        <w:rPr>
          <w:rFonts w:ascii="Arial Narrow" w:hAnsi="Arial Narrow"/>
          <w:sz w:val="24"/>
          <w:szCs w:val="24"/>
        </w:rPr>
        <w:t xml:space="preserve">Each of these is </w:t>
      </w:r>
      <w:r w:rsidR="00C82600" w:rsidRPr="008F065F">
        <w:rPr>
          <w:rFonts w:ascii="Arial Narrow" w:hAnsi="Arial Narrow"/>
          <w:sz w:val="24"/>
          <w:szCs w:val="24"/>
        </w:rPr>
        <w:t>briefly discussed</w:t>
      </w:r>
      <w:r w:rsidRPr="008F065F">
        <w:rPr>
          <w:rFonts w:ascii="Arial Narrow" w:hAnsi="Arial Narrow"/>
          <w:sz w:val="24"/>
          <w:szCs w:val="24"/>
        </w:rPr>
        <w:t xml:space="preserve"> below.</w:t>
      </w:r>
    </w:p>
    <w:p w14:paraId="070B0053" w14:textId="77777777" w:rsidR="0000156F" w:rsidRPr="008F065F" w:rsidRDefault="003D3192" w:rsidP="008F065F">
      <w:pPr>
        <w:pStyle w:val="Heading1"/>
        <w:keepNext w:val="0"/>
        <w:keepLines w:val="0"/>
        <w:spacing w:before="0"/>
        <w:rPr>
          <w:rFonts w:ascii="Arial Narrow" w:hAnsi="Arial Narrow"/>
          <w:color w:val="0078B7"/>
          <w:sz w:val="24"/>
          <w:szCs w:val="24"/>
        </w:rPr>
      </w:pPr>
      <w:bookmarkStart w:id="2" w:name="_Toc404852510"/>
      <w:r w:rsidRPr="008F065F">
        <w:rPr>
          <w:rFonts w:ascii="Arial Narrow" w:hAnsi="Arial Narrow"/>
          <w:color w:val="0078B7"/>
          <w:sz w:val="24"/>
          <w:szCs w:val="24"/>
        </w:rPr>
        <w:t>Differentiating between engagement and commercial outcomes</w:t>
      </w:r>
      <w:bookmarkEnd w:id="2"/>
    </w:p>
    <w:p w14:paraId="070B0054" w14:textId="77777777" w:rsidR="00C82600" w:rsidRPr="008F065F" w:rsidRDefault="00C82600">
      <w:pPr>
        <w:rPr>
          <w:rFonts w:ascii="Arial Narrow" w:eastAsia="Times New Roman" w:hAnsi="Arial Narrow" w:cs="Arial"/>
          <w:sz w:val="24"/>
          <w:szCs w:val="24"/>
        </w:rPr>
      </w:pPr>
      <w:r w:rsidRPr="008F065F">
        <w:rPr>
          <w:rFonts w:ascii="Arial Narrow" w:eastAsia="Times New Roman" w:hAnsi="Arial Narrow" w:cs="Arial"/>
          <w:sz w:val="24"/>
          <w:szCs w:val="24"/>
        </w:rPr>
        <w:t xml:space="preserve">The Discussion Paper often makes mention of collaboration and engagement, and </w:t>
      </w:r>
      <w:r w:rsidR="0068653E">
        <w:rPr>
          <w:rFonts w:ascii="Arial Narrow" w:eastAsia="Times New Roman" w:hAnsi="Arial Narrow" w:cs="Arial"/>
          <w:sz w:val="24"/>
          <w:szCs w:val="24"/>
        </w:rPr>
        <w:t>implies</w:t>
      </w:r>
      <w:r w:rsidRPr="008F065F">
        <w:rPr>
          <w:rFonts w:ascii="Arial Narrow" w:eastAsia="Times New Roman" w:hAnsi="Arial Narrow" w:cs="Arial"/>
          <w:sz w:val="24"/>
          <w:szCs w:val="24"/>
        </w:rPr>
        <w:t xml:space="preserve"> that collaboration and engagement are interchangeable with a commercial research outcome. </w:t>
      </w:r>
      <w:r w:rsidR="00350E3E" w:rsidRPr="008F065F">
        <w:rPr>
          <w:rFonts w:ascii="Arial Narrow" w:eastAsia="Times New Roman" w:hAnsi="Arial Narrow" w:cs="Arial"/>
          <w:sz w:val="24"/>
          <w:szCs w:val="24"/>
        </w:rPr>
        <w:t>As the University has previous</w:t>
      </w:r>
      <w:r w:rsidR="00350E3E">
        <w:rPr>
          <w:rFonts w:ascii="Arial Narrow" w:eastAsia="Times New Roman" w:hAnsi="Arial Narrow" w:cs="Arial"/>
          <w:sz w:val="24"/>
          <w:szCs w:val="24"/>
        </w:rPr>
        <w:t>ly</w:t>
      </w:r>
      <w:r w:rsidR="00350E3E" w:rsidRPr="008F065F">
        <w:rPr>
          <w:rFonts w:ascii="Arial Narrow" w:eastAsia="Times New Roman" w:hAnsi="Arial Narrow" w:cs="Arial"/>
          <w:sz w:val="24"/>
          <w:szCs w:val="24"/>
        </w:rPr>
        <w:t xml:space="preserve"> noted:</w:t>
      </w:r>
    </w:p>
    <w:p w14:paraId="070B0055" w14:textId="77777777" w:rsidR="00C82600" w:rsidRPr="008F065F" w:rsidRDefault="00C82600" w:rsidP="00C82600">
      <w:pPr>
        <w:ind w:left="720"/>
        <w:jc w:val="both"/>
        <w:rPr>
          <w:rFonts w:ascii="Arial Narrow" w:hAnsi="Arial Narrow"/>
          <w:sz w:val="24"/>
          <w:szCs w:val="24"/>
        </w:rPr>
      </w:pPr>
      <w:r w:rsidRPr="00F27EB1">
        <w:rPr>
          <w:rStyle w:val="QuoteChar"/>
        </w:rPr>
        <w:t xml:space="preserve">Research Engagement: is defined as Research and related activities that are delivered, undertaken or performed with an external partner or partners, spanning the relationships spectrum from official/formalised partnerships through to informal interactions (e.g. running industry workshops for technology transfer, presentations at industry conferences, working with industry bodies, working with Cooperative Research Centres and Collaborative Research Networks, involvement in organisations such as </w:t>
      </w:r>
      <w:proofErr w:type="spellStart"/>
      <w:r w:rsidRPr="00F27EB1">
        <w:rPr>
          <w:rStyle w:val="QuoteChar"/>
        </w:rPr>
        <w:t>Unigateway</w:t>
      </w:r>
      <w:proofErr w:type="spellEnd"/>
      <w:r w:rsidRPr="00F27EB1">
        <w:rPr>
          <w:rStyle w:val="QuoteChar"/>
        </w:rPr>
        <w:t>, conferences</w:t>
      </w:r>
      <w:r w:rsidRPr="008F065F">
        <w:rPr>
          <w:rFonts w:ascii="Arial Narrow" w:hAnsi="Arial Narrow"/>
          <w:i/>
          <w:sz w:val="24"/>
          <w:szCs w:val="24"/>
        </w:rPr>
        <w:t xml:space="preserve"> ).</w:t>
      </w:r>
      <w:r w:rsidRPr="00350E3E">
        <w:rPr>
          <w:rStyle w:val="FootnoteReference"/>
          <w:rFonts w:ascii="Arial Narrow" w:hAnsi="Arial Narrow"/>
          <w:sz w:val="24"/>
          <w:szCs w:val="24"/>
        </w:rPr>
        <w:footnoteReference w:id="1"/>
      </w:r>
    </w:p>
    <w:p w14:paraId="070B0056" w14:textId="77777777" w:rsidR="00B433B1" w:rsidRDefault="00C82600" w:rsidP="00C82600">
      <w:pPr>
        <w:rPr>
          <w:rFonts w:ascii="Arial Narrow" w:eastAsia="Times New Roman" w:hAnsi="Arial Narrow" w:cs="Arial"/>
          <w:b/>
          <w:sz w:val="24"/>
          <w:szCs w:val="24"/>
        </w:rPr>
      </w:pPr>
      <w:r w:rsidRPr="008F065F">
        <w:rPr>
          <w:rFonts w:ascii="Arial Narrow" w:eastAsia="Times New Roman" w:hAnsi="Arial Narrow" w:cs="Arial"/>
          <w:sz w:val="24"/>
          <w:szCs w:val="24"/>
        </w:rPr>
        <w:t>The outcomes of such engagement and collaboration may or may not result in a commercial outcome. Therefore, if the aim is to produce programs to boost commercial research outcomes, consideration needs to be given to the difference between engagement and collaboration in the broader sense, and activities that result in research commercial outcomes</w:t>
      </w:r>
      <w:r w:rsidRPr="009365B8">
        <w:rPr>
          <w:rFonts w:ascii="Arial Narrow" w:eastAsia="Times New Roman" w:hAnsi="Arial Narrow" w:cs="Arial"/>
          <w:b/>
          <w:sz w:val="24"/>
          <w:szCs w:val="24"/>
        </w:rPr>
        <w:t xml:space="preserve">. </w:t>
      </w:r>
    </w:p>
    <w:p w14:paraId="070B0057" w14:textId="77777777" w:rsidR="00A02858" w:rsidRPr="0068653E" w:rsidRDefault="00A02858" w:rsidP="00C82600">
      <w:pPr>
        <w:rPr>
          <w:rFonts w:ascii="Arial Narrow" w:eastAsia="Times New Roman" w:hAnsi="Arial Narrow" w:cs="Arial"/>
          <w:sz w:val="24"/>
          <w:szCs w:val="24"/>
        </w:rPr>
      </w:pPr>
      <w:r w:rsidRPr="0068653E">
        <w:rPr>
          <w:rFonts w:ascii="Arial Narrow" w:eastAsia="Times New Roman" w:hAnsi="Arial Narrow" w:cs="Arial"/>
          <w:sz w:val="24"/>
          <w:szCs w:val="24"/>
        </w:rPr>
        <w:t xml:space="preserve">Since engagement/collaboration and commercial outcomes are often different things, a related point is the need to apply different metrics to their measurement.  Commercial metrics may often not be useful to measure engagement/collaboration; similarly engagement/collaboration metrics are not always useful as a measure of commercial outcomes. The University considers that any metrics </w:t>
      </w:r>
      <w:proofErr w:type="gramStart"/>
      <w:r w:rsidRPr="0068653E">
        <w:rPr>
          <w:rFonts w:ascii="Arial Narrow" w:eastAsia="Times New Roman" w:hAnsi="Arial Narrow" w:cs="Arial"/>
          <w:sz w:val="24"/>
          <w:szCs w:val="24"/>
        </w:rPr>
        <w:t>that are</w:t>
      </w:r>
      <w:proofErr w:type="gramEnd"/>
      <w:r w:rsidRPr="0068653E">
        <w:rPr>
          <w:rFonts w:ascii="Arial Narrow" w:eastAsia="Times New Roman" w:hAnsi="Arial Narrow" w:cs="Arial"/>
          <w:sz w:val="24"/>
          <w:szCs w:val="24"/>
        </w:rPr>
        <w:t xml:space="preserve"> used </w:t>
      </w:r>
      <w:r w:rsidRPr="0068653E">
        <w:rPr>
          <w:rFonts w:ascii="Arial Narrow" w:eastAsia="Times New Roman" w:hAnsi="Arial Narrow" w:cs="Arial"/>
          <w:sz w:val="24"/>
          <w:szCs w:val="24"/>
        </w:rPr>
        <w:lastRenderedPageBreak/>
        <w:t xml:space="preserve">or developed, while not being overly cumbersome, should </w:t>
      </w:r>
      <w:r w:rsidR="009365B8" w:rsidRPr="0068653E">
        <w:rPr>
          <w:rFonts w:ascii="Arial Narrow" w:eastAsia="Times New Roman" w:hAnsi="Arial Narrow" w:cs="Arial"/>
          <w:sz w:val="24"/>
          <w:szCs w:val="24"/>
        </w:rPr>
        <w:t xml:space="preserve">also </w:t>
      </w:r>
      <w:r w:rsidRPr="0068653E">
        <w:rPr>
          <w:rFonts w:ascii="Arial Narrow" w:eastAsia="Times New Roman" w:hAnsi="Arial Narrow" w:cs="Arial"/>
          <w:sz w:val="24"/>
          <w:szCs w:val="24"/>
        </w:rPr>
        <w:t>be sophisticated and nuanced</w:t>
      </w:r>
      <w:r w:rsidR="0068653E">
        <w:rPr>
          <w:rFonts w:ascii="Arial Narrow" w:eastAsia="Times New Roman" w:hAnsi="Arial Narrow" w:cs="Arial"/>
          <w:sz w:val="24"/>
          <w:szCs w:val="24"/>
        </w:rPr>
        <w:t>. A</w:t>
      </w:r>
      <w:r w:rsidRPr="0068653E">
        <w:rPr>
          <w:rFonts w:ascii="Arial Narrow" w:eastAsia="Times New Roman" w:hAnsi="Arial Narrow" w:cs="Arial"/>
          <w:sz w:val="24"/>
          <w:szCs w:val="24"/>
        </w:rPr>
        <w:t xml:space="preserve">ppropriate recognition </w:t>
      </w:r>
      <w:r w:rsidR="0068653E">
        <w:rPr>
          <w:rFonts w:ascii="Arial Narrow" w:eastAsia="Times New Roman" w:hAnsi="Arial Narrow" w:cs="Arial"/>
          <w:sz w:val="24"/>
          <w:szCs w:val="24"/>
        </w:rPr>
        <w:t xml:space="preserve">should also be </w:t>
      </w:r>
      <w:r w:rsidRPr="0068653E">
        <w:rPr>
          <w:rFonts w:ascii="Arial Narrow" w:eastAsia="Times New Roman" w:hAnsi="Arial Narrow" w:cs="Arial"/>
          <w:sz w:val="24"/>
          <w:szCs w:val="24"/>
        </w:rPr>
        <w:t xml:space="preserve">given to avoid potential negative or unintended </w:t>
      </w:r>
      <w:r w:rsidR="009365B8" w:rsidRPr="0068653E">
        <w:rPr>
          <w:rFonts w:ascii="Arial Narrow" w:eastAsia="Times New Roman" w:hAnsi="Arial Narrow" w:cs="Arial"/>
          <w:sz w:val="24"/>
          <w:szCs w:val="24"/>
        </w:rPr>
        <w:t>consequences</w:t>
      </w:r>
      <w:r w:rsidRPr="0068653E">
        <w:rPr>
          <w:rFonts w:ascii="Arial Narrow" w:eastAsia="Times New Roman" w:hAnsi="Arial Narrow" w:cs="Arial"/>
          <w:sz w:val="24"/>
          <w:szCs w:val="24"/>
        </w:rPr>
        <w:t>.</w:t>
      </w:r>
    </w:p>
    <w:p w14:paraId="070B0058" w14:textId="77777777" w:rsidR="00B433B1" w:rsidRPr="0068653E" w:rsidRDefault="00B433B1" w:rsidP="00C82600">
      <w:pPr>
        <w:rPr>
          <w:rFonts w:ascii="Arial Narrow" w:eastAsia="Times New Roman" w:hAnsi="Arial Narrow" w:cs="Arial"/>
          <w:sz w:val="24"/>
          <w:szCs w:val="24"/>
        </w:rPr>
      </w:pPr>
      <w:r w:rsidRPr="0068653E">
        <w:rPr>
          <w:rFonts w:ascii="Arial Narrow" w:eastAsia="Times New Roman" w:hAnsi="Arial Narrow" w:cs="Arial"/>
          <w:sz w:val="24"/>
          <w:szCs w:val="24"/>
        </w:rPr>
        <w:t>Any policies that are developed to promote engagement/collaboration and commercial outcomes in a broader sense should be cognisant of government’s large role as a facilitator of engagement and commercial research outcomes</w:t>
      </w:r>
      <w:r w:rsidR="00700ECC" w:rsidRPr="0068653E">
        <w:rPr>
          <w:rFonts w:ascii="Arial Narrow" w:eastAsia="Times New Roman" w:hAnsi="Arial Narrow" w:cs="Arial"/>
          <w:sz w:val="24"/>
          <w:szCs w:val="24"/>
        </w:rPr>
        <w:t xml:space="preserve">, particularly </w:t>
      </w:r>
      <w:r w:rsidRPr="0068653E">
        <w:rPr>
          <w:rFonts w:ascii="Arial Narrow" w:eastAsia="Times New Roman" w:hAnsi="Arial Narrow" w:cs="Arial"/>
          <w:sz w:val="24"/>
          <w:szCs w:val="24"/>
        </w:rPr>
        <w:t xml:space="preserve">through </w:t>
      </w:r>
      <w:r w:rsidR="00700ECC" w:rsidRPr="0068653E">
        <w:rPr>
          <w:rFonts w:ascii="Arial Narrow" w:eastAsia="Times New Roman" w:hAnsi="Arial Narrow" w:cs="Arial"/>
          <w:sz w:val="24"/>
          <w:szCs w:val="24"/>
        </w:rPr>
        <w:t xml:space="preserve">government </w:t>
      </w:r>
      <w:r w:rsidRPr="0068653E">
        <w:rPr>
          <w:rFonts w:ascii="Arial Narrow" w:eastAsia="Times New Roman" w:hAnsi="Arial Narrow" w:cs="Arial"/>
          <w:sz w:val="24"/>
          <w:szCs w:val="24"/>
        </w:rPr>
        <w:t xml:space="preserve">promotion of partnerships and via </w:t>
      </w:r>
      <w:r w:rsidR="00700ECC" w:rsidRPr="0068653E">
        <w:rPr>
          <w:rFonts w:ascii="Arial Narrow" w:eastAsia="Times New Roman" w:hAnsi="Arial Narrow" w:cs="Arial"/>
          <w:sz w:val="24"/>
          <w:szCs w:val="24"/>
        </w:rPr>
        <w:t xml:space="preserve">government </w:t>
      </w:r>
      <w:r w:rsidRPr="0068653E">
        <w:rPr>
          <w:rFonts w:ascii="Arial Narrow" w:eastAsia="Times New Roman" w:hAnsi="Arial Narrow" w:cs="Arial"/>
          <w:sz w:val="24"/>
          <w:szCs w:val="24"/>
        </w:rPr>
        <w:t xml:space="preserve">purchasing power and </w:t>
      </w:r>
      <w:r w:rsidR="00700ECC" w:rsidRPr="0068653E">
        <w:rPr>
          <w:rFonts w:ascii="Arial Narrow" w:eastAsia="Times New Roman" w:hAnsi="Arial Narrow" w:cs="Arial"/>
          <w:sz w:val="24"/>
          <w:szCs w:val="24"/>
        </w:rPr>
        <w:t xml:space="preserve">policies. </w:t>
      </w:r>
    </w:p>
    <w:p w14:paraId="070B0059" w14:textId="77777777" w:rsidR="009365B8" w:rsidRPr="0068653E" w:rsidRDefault="009365B8" w:rsidP="00C82600">
      <w:pPr>
        <w:rPr>
          <w:rFonts w:ascii="Arial Narrow" w:eastAsia="Times New Roman" w:hAnsi="Arial Narrow" w:cs="Arial"/>
          <w:sz w:val="24"/>
          <w:szCs w:val="24"/>
        </w:rPr>
      </w:pPr>
      <w:r w:rsidRPr="0068653E">
        <w:rPr>
          <w:rFonts w:ascii="Arial Narrow" w:eastAsia="Times New Roman" w:hAnsi="Arial Narrow" w:cs="Arial"/>
          <w:sz w:val="24"/>
          <w:szCs w:val="24"/>
        </w:rPr>
        <w:t xml:space="preserve">Finally, </w:t>
      </w:r>
      <w:r w:rsidR="00B433B1" w:rsidRPr="0068653E">
        <w:rPr>
          <w:rFonts w:ascii="Arial Narrow" w:eastAsia="Times New Roman" w:hAnsi="Arial Narrow" w:cs="Arial"/>
          <w:sz w:val="24"/>
          <w:szCs w:val="24"/>
        </w:rPr>
        <w:t xml:space="preserve">care should be taken to ensure that policies </w:t>
      </w:r>
      <w:r w:rsidRPr="0068653E">
        <w:rPr>
          <w:rFonts w:ascii="Arial Narrow" w:eastAsia="Times New Roman" w:hAnsi="Arial Narrow" w:cs="Arial"/>
          <w:sz w:val="24"/>
          <w:szCs w:val="24"/>
        </w:rPr>
        <w:t xml:space="preserve">developed/implemented to promote engagement and commercial research outcomes </w:t>
      </w:r>
      <w:r w:rsidR="00B433B1" w:rsidRPr="0068653E">
        <w:rPr>
          <w:rFonts w:ascii="Arial Narrow" w:eastAsia="Times New Roman" w:hAnsi="Arial Narrow" w:cs="Arial"/>
          <w:sz w:val="24"/>
          <w:szCs w:val="24"/>
        </w:rPr>
        <w:t xml:space="preserve">avoid focusing solely on universities that  already have well-developed capacity (often a product of decades of public investment) but </w:t>
      </w:r>
      <w:r w:rsidRPr="0068653E">
        <w:rPr>
          <w:rFonts w:ascii="Arial Narrow" w:eastAsia="Times New Roman" w:hAnsi="Arial Narrow" w:cs="Arial"/>
          <w:sz w:val="24"/>
          <w:szCs w:val="24"/>
        </w:rPr>
        <w:t>be struck</w:t>
      </w:r>
      <w:r w:rsidR="00B433B1" w:rsidRPr="0068653E">
        <w:rPr>
          <w:rFonts w:ascii="Arial Narrow" w:eastAsia="Times New Roman" w:hAnsi="Arial Narrow" w:cs="Arial"/>
          <w:sz w:val="24"/>
          <w:szCs w:val="24"/>
        </w:rPr>
        <w:t xml:space="preserve"> so as to enable the ent</w:t>
      </w:r>
      <w:r w:rsidR="0068653E">
        <w:rPr>
          <w:rFonts w:ascii="Arial Narrow" w:eastAsia="Times New Roman" w:hAnsi="Arial Narrow" w:cs="Arial"/>
          <w:sz w:val="24"/>
          <w:szCs w:val="24"/>
        </w:rPr>
        <w:t>i</w:t>
      </w:r>
      <w:r w:rsidR="00B433B1" w:rsidRPr="0068653E">
        <w:rPr>
          <w:rFonts w:ascii="Arial Narrow" w:eastAsia="Times New Roman" w:hAnsi="Arial Narrow" w:cs="Arial"/>
          <w:sz w:val="24"/>
          <w:szCs w:val="24"/>
        </w:rPr>
        <w:t>re sector to effectively engage with industry/community and boost commercial research outcomes</w:t>
      </w:r>
      <w:r w:rsidRPr="0068653E">
        <w:rPr>
          <w:rFonts w:ascii="Arial Narrow" w:eastAsia="Times New Roman" w:hAnsi="Arial Narrow" w:cs="Arial"/>
          <w:sz w:val="24"/>
          <w:szCs w:val="24"/>
        </w:rPr>
        <w:t xml:space="preserve">. </w:t>
      </w:r>
    </w:p>
    <w:p w14:paraId="070B005A" w14:textId="77777777" w:rsidR="0011385F" w:rsidRPr="008F065F" w:rsidRDefault="0011385F" w:rsidP="008F065F">
      <w:pPr>
        <w:pStyle w:val="Heading1"/>
        <w:spacing w:before="0"/>
        <w:rPr>
          <w:rFonts w:ascii="Arial Narrow" w:hAnsi="Arial Narrow"/>
          <w:color w:val="0078B7"/>
          <w:sz w:val="24"/>
          <w:szCs w:val="24"/>
        </w:rPr>
      </w:pPr>
      <w:bookmarkStart w:id="3" w:name="_Toc404852511"/>
      <w:r w:rsidRPr="008F065F">
        <w:rPr>
          <w:rFonts w:ascii="Arial Narrow" w:hAnsi="Arial Narrow"/>
          <w:color w:val="0078B7"/>
          <w:sz w:val="24"/>
          <w:szCs w:val="24"/>
        </w:rPr>
        <w:t>Addressing Government Policy Barriers</w:t>
      </w:r>
      <w:bookmarkEnd w:id="3"/>
    </w:p>
    <w:p w14:paraId="070B005B" w14:textId="77777777" w:rsidR="0011385F" w:rsidRPr="008F065F" w:rsidRDefault="0011385F" w:rsidP="008F065F">
      <w:pPr>
        <w:keepNext/>
        <w:keepLines/>
        <w:rPr>
          <w:rFonts w:ascii="Arial Narrow" w:eastAsia="Times New Roman" w:hAnsi="Arial Narrow" w:cs="Arial"/>
          <w:color w:val="0078C1"/>
          <w:sz w:val="24"/>
          <w:szCs w:val="24"/>
        </w:rPr>
      </w:pPr>
      <w:r w:rsidRPr="008F065F">
        <w:rPr>
          <w:rFonts w:ascii="Arial Narrow" w:hAnsi="Arial Narrow"/>
          <w:sz w:val="24"/>
          <w:szCs w:val="24"/>
        </w:rPr>
        <w:t>The Commonwealth’s ERA initiative ‘</w:t>
      </w:r>
      <w:r w:rsidRPr="00F27EB1">
        <w:rPr>
          <w:rStyle w:val="Emphasis"/>
        </w:rPr>
        <w:t>rewards</w:t>
      </w:r>
      <w:r w:rsidRPr="008F065F">
        <w:rPr>
          <w:rFonts w:ascii="Arial Narrow" w:hAnsi="Arial Narrow"/>
          <w:sz w:val="24"/>
          <w:szCs w:val="24"/>
        </w:rPr>
        <w:t>’ research excellence by measuring it according to traditional academic metrics, including publication in top-ranking academic journals. On the other hand, the aims outlined in the Discussion Paper are to reward/recognise research activity performance that has a direct impact on industry, government and community clients</w:t>
      </w:r>
      <w:r w:rsidR="00691405" w:rsidRPr="008F065F">
        <w:rPr>
          <w:rFonts w:ascii="Arial Narrow" w:hAnsi="Arial Narrow"/>
          <w:sz w:val="24"/>
          <w:szCs w:val="24"/>
        </w:rPr>
        <w:t>, especially those that provide</w:t>
      </w:r>
      <w:r w:rsidRPr="008F065F">
        <w:rPr>
          <w:rFonts w:ascii="Arial Narrow" w:hAnsi="Arial Narrow"/>
          <w:sz w:val="24"/>
          <w:szCs w:val="24"/>
        </w:rPr>
        <w:t xml:space="preserve"> a commercial return. Often, the latter form of </w:t>
      </w:r>
      <w:r w:rsidR="00691405" w:rsidRPr="008F065F">
        <w:rPr>
          <w:rFonts w:ascii="Arial Narrow" w:hAnsi="Arial Narrow"/>
          <w:sz w:val="24"/>
          <w:szCs w:val="24"/>
        </w:rPr>
        <w:t xml:space="preserve">research </w:t>
      </w:r>
      <w:r w:rsidRPr="008F065F">
        <w:rPr>
          <w:rFonts w:ascii="Arial Narrow" w:hAnsi="Arial Narrow"/>
          <w:sz w:val="24"/>
          <w:szCs w:val="24"/>
        </w:rPr>
        <w:t xml:space="preserve">engagement </w:t>
      </w:r>
      <w:r w:rsidR="00691405" w:rsidRPr="008F065F">
        <w:rPr>
          <w:rFonts w:ascii="Arial Narrow" w:hAnsi="Arial Narrow"/>
          <w:sz w:val="24"/>
          <w:szCs w:val="24"/>
        </w:rPr>
        <w:t xml:space="preserve">results in activities that </w:t>
      </w:r>
      <w:r w:rsidRPr="008F065F">
        <w:rPr>
          <w:rFonts w:ascii="Arial Narrow" w:hAnsi="Arial Narrow"/>
          <w:sz w:val="24"/>
          <w:szCs w:val="24"/>
        </w:rPr>
        <w:t>do not achieve results in terms of ERA recognition</w:t>
      </w:r>
      <w:r w:rsidR="00691405" w:rsidRPr="008F065F">
        <w:rPr>
          <w:rFonts w:ascii="Arial Narrow" w:hAnsi="Arial Narrow"/>
          <w:sz w:val="24"/>
          <w:szCs w:val="24"/>
        </w:rPr>
        <w:t xml:space="preserve">, and indeed, ERA provides direct disincentives to such activities. The result </w:t>
      </w:r>
      <w:r w:rsidRPr="008F065F">
        <w:rPr>
          <w:rFonts w:ascii="Arial Narrow" w:hAnsi="Arial Narrow"/>
          <w:sz w:val="24"/>
          <w:szCs w:val="24"/>
        </w:rPr>
        <w:t xml:space="preserve">is </w:t>
      </w:r>
      <w:proofErr w:type="gramStart"/>
      <w:r w:rsidRPr="008F065F">
        <w:rPr>
          <w:rFonts w:ascii="Arial Narrow" w:hAnsi="Arial Narrow"/>
          <w:sz w:val="24"/>
          <w:szCs w:val="24"/>
        </w:rPr>
        <w:t>a disconnect</w:t>
      </w:r>
      <w:proofErr w:type="gramEnd"/>
      <w:r w:rsidRPr="008F065F">
        <w:rPr>
          <w:rFonts w:ascii="Arial Narrow" w:hAnsi="Arial Narrow"/>
          <w:sz w:val="24"/>
          <w:szCs w:val="24"/>
        </w:rPr>
        <w:t xml:space="preserve"> between the aims of ERA and the aims of </w:t>
      </w:r>
      <w:r w:rsidR="00691405" w:rsidRPr="008F065F">
        <w:rPr>
          <w:rFonts w:ascii="Arial Narrow" w:hAnsi="Arial Narrow"/>
          <w:sz w:val="24"/>
          <w:szCs w:val="24"/>
        </w:rPr>
        <w:t xml:space="preserve">greater industry engagement and research commercialisation </w:t>
      </w:r>
      <w:r w:rsidRPr="008F065F">
        <w:rPr>
          <w:rFonts w:ascii="Arial Narrow" w:hAnsi="Arial Narrow"/>
          <w:sz w:val="24"/>
          <w:szCs w:val="24"/>
        </w:rPr>
        <w:t>that require</w:t>
      </w:r>
      <w:r w:rsidR="0068653E">
        <w:rPr>
          <w:rFonts w:ascii="Arial Narrow" w:hAnsi="Arial Narrow"/>
          <w:sz w:val="24"/>
          <w:szCs w:val="24"/>
        </w:rPr>
        <w:t>s</w:t>
      </w:r>
      <w:r w:rsidRPr="008F065F">
        <w:rPr>
          <w:rFonts w:ascii="Arial Narrow" w:hAnsi="Arial Narrow"/>
          <w:sz w:val="24"/>
          <w:szCs w:val="24"/>
        </w:rPr>
        <w:t xml:space="preserve"> resolution. </w:t>
      </w:r>
      <w:r w:rsidR="00691405" w:rsidRPr="008F065F">
        <w:rPr>
          <w:rFonts w:ascii="Arial Narrow" w:hAnsi="Arial Narrow"/>
          <w:sz w:val="24"/>
          <w:szCs w:val="24"/>
        </w:rPr>
        <w:t xml:space="preserve">The </w:t>
      </w:r>
      <w:r w:rsidR="00412004" w:rsidRPr="008F065F">
        <w:rPr>
          <w:rFonts w:ascii="Arial Narrow" w:hAnsi="Arial Narrow"/>
          <w:sz w:val="24"/>
          <w:szCs w:val="24"/>
        </w:rPr>
        <w:t>University</w:t>
      </w:r>
      <w:r w:rsidR="00691405" w:rsidRPr="008F065F">
        <w:rPr>
          <w:rFonts w:ascii="Arial Narrow" w:hAnsi="Arial Narrow"/>
          <w:sz w:val="24"/>
          <w:szCs w:val="24"/>
        </w:rPr>
        <w:t xml:space="preserve"> considers that </w:t>
      </w:r>
      <w:r w:rsidR="00412004" w:rsidRPr="008F065F">
        <w:rPr>
          <w:rFonts w:ascii="Arial Narrow" w:hAnsi="Arial Narrow"/>
          <w:sz w:val="24"/>
          <w:szCs w:val="24"/>
        </w:rPr>
        <w:t xml:space="preserve">this must be addressed to achieve </w:t>
      </w:r>
      <w:r w:rsidR="00691405" w:rsidRPr="008F065F">
        <w:rPr>
          <w:rFonts w:ascii="Arial Narrow" w:hAnsi="Arial Narrow"/>
          <w:sz w:val="24"/>
          <w:szCs w:val="24"/>
        </w:rPr>
        <w:t xml:space="preserve">greater research </w:t>
      </w:r>
      <w:r w:rsidR="00412004" w:rsidRPr="008F065F">
        <w:rPr>
          <w:rFonts w:ascii="Arial Narrow" w:hAnsi="Arial Narrow"/>
          <w:sz w:val="24"/>
          <w:szCs w:val="24"/>
        </w:rPr>
        <w:t xml:space="preserve">commercialisation, in particular </w:t>
      </w:r>
      <w:r w:rsidRPr="008F065F">
        <w:rPr>
          <w:rFonts w:ascii="Arial Narrow" w:hAnsi="Arial Narrow"/>
          <w:sz w:val="24"/>
          <w:szCs w:val="24"/>
        </w:rPr>
        <w:t>by excising those elements of ERA that provide a direct disincentive for undertaking collaborative/engagement activities</w:t>
      </w:r>
      <w:r w:rsidR="00412004" w:rsidRPr="008F065F">
        <w:rPr>
          <w:rFonts w:ascii="Arial Narrow" w:hAnsi="Arial Narrow"/>
          <w:sz w:val="24"/>
          <w:szCs w:val="24"/>
        </w:rPr>
        <w:t xml:space="preserve"> with industry and community and thwarting any resultant commercial research opportunities</w:t>
      </w:r>
      <w:r w:rsidRPr="008F065F">
        <w:rPr>
          <w:rFonts w:ascii="Arial Narrow" w:hAnsi="Arial Narrow"/>
          <w:sz w:val="24"/>
          <w:szCs w:val="24"/>
        </w:rPr>
        <w:t>.</w:t>
      </w:r>
    </w:p>
    <w:p w14:paraId="070B005C" w14:textId="77777777" w:rsidR="0011385F" w:rsidRPr="008F065F" w:rsidRDefault="0011385F" w:rsidP="008F065F">
      <w:pPr>
        <w:pStyle w:val="Heading1"/>
        <w:keepNext w:val="0"/>
        <w:keepLines w:val="0"/>
        <w:spacing w:before="0"/>
        <w:rPr>
          <w:rFonts w:ascii="Arial Narrow" w:hAnsi="Arial Narrow"/>
          <w:color w:val="0078B7"/>
          <w:sz w:val="24"/>
          <w:szCs w:val="24"/>
        </w:rPr>
      </w:pPr>
      <w:bookmarkStart w:id="4" w:name="_Toc404852512"/>
      <w:r w:rsidRPr="008F065F">
        <w:rPr>
          <w:rFonts w:ascii="Arial Narrow" w:hAnsi="Arial Narrow"/>
          <w:color w:val="0078B7"/>
          <w:sz w:val="24"/>
          <w:szCs w:val="24"/>
        </w:rPr>
        <w:t>Improving mobility and exchange</w:t>
      </w:r>
      <w:bookmarkEnd w:id="4"/>
    </w:p>
    <w:p w14:paraId="070B005D" w14:textId="77777777" w:rsidR="0011385F" w:rsidRPr="008F065F" w:rsidRDefault="00691405">
      <w:pPr>
        <w:rPr>
          <w:rFonts w:ascii="Arial Narrow" w:eastAsia="Times New Roman" w:hAnsi="Arial Narrow" w:cs="Arial"/>
          <w:sz w:val="24"/>
          <w:szCs w:val="24"/>
        </w:rPr>
      </w:pPr>
      <w:r w:rsidRPr="008F065F">
        <w:rPr>
          <w:rFonts w:ascii="Arial Narrow" w:eastAsia="Times New Roman" w:hAnsi="Arial Narrow" w:cs="Arial"/>
          <w:sz w:val="24"/>
          <w:szCs w:val="24"/>
        </w:rPr>
        <w:t>A key mechanism for greater research commercialisation is to ensure greater exchange of ideas and interaction between university research, industry and community. The discussion paper notes that the presence of researchers in Australian industry is low by international standards.</w:t>
      </w:r>
    </w:p>
    <w:p w14:paraId="070B005E" w14:textId="77777777" w:rsidR="00691405" w:rsidRPr="0068653E" w:rsidRDefault="00691405">
      <w:pPr>
        <w:rPr>
          <w:rFonts w:ascii="Arial Narrow" w:eastAsia="Times New Roman" w:hAnsi="Arial Narrow" w:cs="Arial"/>
          <w:sz w:val="24"/>
          <w:szCs w:val="24"/>
        </w:rPr>
      </w:pPr>
      <w:r w:rsidRPr="008F065F">
        <w:rPr>
          <w:rFonts w:ascii="Arial Narrow" w:eastAsia="Times New Roman" w:hAnsi="Arial Narrow" w:cs="Arial"/>
          <w:sz w:val="24"/>
          <w:szCs w:val="24"/>
        </w:rPr>
        <w:t xml:space="preserve">The University considers that the Commonwealth should explore mechanisms to facilitate greater researcher and industry mobility. The programs or initiatives should explore ways to enable researchers to be embedded within industry settings and assist with problems encountered by industry. Similarly, </w:t>
      </w:r>
      <w:r w:rsidR="0068653E">
        <w:rPr>
          <w:rFonts w:ascii="Arial Narrow" w:eastAsia="Times New Roman" w:hAnsi="Arial Narrow" w:cs="Arial"/>
          <w:sz w:val="24"/>
          <w:szCs w:val="24"/>
        </w:rPr>
        <w:t>programs</w:t>
      </w:r>
      <w:r w:rsidRPr="008F065F">
        <w:rPr>
          <w:rFonts w:ascii="Arial Narrow" w:eastAsia="Times New Roman" w:hAnsi="Arial Narrow" w:cs="Arial"/>
          <w:sz w:val="24"/>
          <w:szCs w:val="24"/>
        </w:rPr>
        <w:t xml:space="preserve"> should enable industry participants to be embedded within university environments to gain from the experience but also to provide university researchers with knowledge and expertise of industry.</w:t>
      </w:r>
      <w:r w:rsidR="009365B8">
        <w:rPr>
          <w:rFonts w:ascii="Arial Narrow" w:eastAsia="Times New Roman" w:hAnsi="Arial Narrow" w:cs="Arial"/>
          <w:sz w:val="24"/>
          <w:szCs w:val="24"/>
        </w:rPr>
        <w:t xml:space="preserve"> </w:t>
      </w:r>
      <w:r w:rsidR="00B433B1" w:rsidRPr="0068653E">
        <w:rPr>
          <w:rFonts w:ascii="Arial Narrow" w:eastAsia="Times New Roman" w:hAnsi="Arial Narrow" w:cs="Arial"/>
          <w:sz w:val="24"/>
          <w:szCs w:val="24"/>
        </w:rPr>
        <w:t xml:space="preserve">Related to this, </w:t>
      </w:r>
      <w:r w:rsidR="009365B8" w:rsidRPr="0068653E">
        <w:rPr>
          <w:rFonts w:ascii="Arial Narrow" w:eastAsia="Times New Roman" w:hAnsi="Arial Narrow" w:cs="Arial"/>
          <w:sz w:val="24"/>
          <w:szCs w:val="24"/>
        </w:rPr>
        <w:t xml:space="preserve">the University encourages the government to support the continuance of the Cooperative Research Centres model as a vehicle for mobility, interaction and exchange. </w:t>
      </w:r>
    </w:p>
    <w:p w14:paraId="070B005F" w14:textId="77777777" w:rsidR="0011385F" w:rsidRPr="008F065F" w:rsidRDefault="00220DB8" w:rsidP="008F065F">
      <w:pPr>
        <w:pStyle w:val="Heading1"/>
        <w:keepNext w:val="0"/>
        <w:keepLines w:val="0"/>
        <w:spacing w:before="0"/>
        <w:rPr>
          <w:rFonts w:ascii="Arial Narrow" w:hAnsi="Arial Narrow"/>
          <w:color w:val="0078B7"/>
          <w:sz w:val="24"/>
          <w:szCs w:val="24"/>
        </w:rPr>
      </w:pPr>
      <w:bookmarkStart w:id="5" w:name="_Toc404852513"/>
      <w:r w:rsidRPr="008F065F">
        <w:rPr>
          <w:rFonts w:ascii="Arial Narrow" w:hAnsi="Arial Narrow"/>
          <w:color w:val="0078B7"/>
          <w:sz w:val="24"/>
          <w:szCs w:val="24"/>
        </w:rPr>
        <w:t>A</w:t>
      </w:r>
      <w:r w:rsidR="0011385F" w:rsidRPr="008F065F">
        <w:rPr>
          <w:rFonts w:ascii="Arial Narrow" w:hAnsi="Arial Narrow"/>
          <w:color w:val="0078B7"/>
          <w:sz w:val="24"/>
          <w:szCs w:val="24"/>
        </w:rPr>
        <w:t>pplied and translational research</w:t>
      </w:r>
      <w:r w:rsidRPr="008F065F">
        <w:rPr>
          <w:rFonts w:ascii="Arial Narrow" w:hAnsi="Arial Narrow"/>
          <w:color w:val="0078B7"/>
          <w:sz w:val="24"/>
          <w:szCs w:val="24"/>
        </w:rPr>
        <w:t xml:space="preserve"> and recognising discipline differences</w:t>
      </w:r>
      <w:bookmarkEnd w:id="5"/>
    </w:p>
    <w:p w14:paraId="070B0060" w14:textId="77777777" w:rsidR="00220DB8" w:rsidRPr="008F065F" w:rsidRDefault="00220DB8" w:rsidP="00691405">
      <w:pPr>
        <w:rPr>
          <w:rFonts w:ascii="Arial Narrow" w:hAnsi="Arial Narrow"/>
          <w:sz w:val="24"/>
          <w:szCs w:val="24"/>
        </w:rPr>
      </w:pPr>
      <w:r w:rsidRPr="008F065F">
        <w:rPr>
          <w:rFonts w:ascii="Arial Narrow" w:eastAsia="Times New Roman" w:hAnsi="Arial Narrow" w:cs="Arial"/>
          <w:sz w:val="24"/>
          <w:szCs w:val="24"/>
        </w:rPr>
        <w:t>Research is often conceived as operating along a spectrum, with fundamental or basic research at one end, and applied and translational at the other.</w:t>
      </w:r>
      <w:r w:rsidRPr="008F065F">
        <w:rPr>
          <w:rFonts w:ascii="Arial Narrow" w:hAnsi="Arial Narrow"/>
          <w:sz w:val="24"/>
          <w:szCs w:val="24"/>
        </w:rPr>
        <w:t xml:space="preserve"> Boosting the commercial activities of research implies greater activity at the applied and translation end of the spectrum. This is because applied and translational research is envisaged as that which is ‘</w:t>
      </w:r>
      <w:r w:rsidRPr="00F27EB1">
        <w:rPr>
          <w:rStyle w:val="Emphasis"/>
        </w:rPr>
        <w:t>motivated</w:t>
      </w:r>
      <w:r w:rsidRPr="008F065F">
        <w:rPr>
          <w:rFonts w:ascii="Arial Narrow" w:hAnsi="Arial Narrow"/>
          <w:sz w:val="24"/>
          <w:szCs w:val="24"/>
        </w:rPr>
        <w:t>’ to create and demonstrate practical use of fundamental knowledge. In the case of translational research, it goes further than ‘</w:t>
      </w:r>
      <w:r w:rsidRPr="00F27EB1">
        <w:rPr>
          <w:rStyle w:val="Emphasis"/>
        </w:rPr>
        <w:t>demonstration</w:t>
      </w:r>
      <w:r w:rsidRPr="008F065F">
        <w:rPr>
          <w:rFonts w:ascii="Arial Narrow" w:hAnsi="Arial Narrow"/>
          <w:sz w:val="24"/>
          <w:szCs w:val="24"/>
        </w:rPr>
        <w:t xml:space="preserve">’ towards </w:t>
      </w:r>
      <w:r w:rsidRPr="00F27EB1">
        <w:rPr>
          <w:rStyle w:val="Emphasis"/>
        </w:rPr>
        <w:t>adoption</w:t>
      </w:r>
      <w:r w:rsidRPr="008F065F">
        <w:rPr>
          <w:rFonts w:ascii="Arial Narrow" w:hAnsi="Arial Narrow"/>
          <w:i/>
          <w:sz w:val="24"/>
          <w:szCs w:val="24"/>
        </w:rPr>
        <w:t xml:space="preserve"> </w:t>
      </w:r>
      <w:r w:rsidRPr="008F065F">
        <w:rPr>
          <w:rFonts w:ascii="Arial Narrow" w:hAnsi="Arial Narrow"/>
          <w:sz w:val="24"/>
          <w:szCs w:val="24"/>
        </w:rPr>
        <w:t xml:space="preserve">and/or </w:t>
      </w:r>
      <w:r w:rsidRPr="00F27EB1">
        <w:rPr>
          <w:rStyle w:val="Emphasis"/>
        </w:rPr>
        <w:t>change</w:t>
      </w:r>
      <w:r w:rsidRPr="008F065F">
        <w:rPr>
          <w:rFonts w:ascii="Arial Narrow" w:hAnsi="Arial Narrow"/>
          <w:i/>
          <w:sz w:val="24"/>
          <w:szCs w:val="24"/>
        </w:rPr>
        <w:t xml:space="preserve"> </w:t>
      </w:r>
      <w:r w:rsidRPr="008F065F">
        <w:rPr>
          <w:rFonts w:ascii="Arial Narrow" w:hAnsi="Arial Narrow"/>
          <w:sz w:val="24"/>
          <w:szCs w:val="24"/>
        </w:rPr>
        <w:t xml:space="preserve">in institutional and/or social structures and in human practice and </w:t>
      </w:r>
      <w:r w:rsidRPr="008F065F">
        <w:rPr>
          <w:rFonts w:ascii="Arial Narrow" w:hAnsi="Arial Narrow"/>
          <w:sz w:val="24"/>
          <w:szCs w:val="24"/>
        </w:rPr>
        <w:lastRenderedPageBreak/>
        <w:t>custom. This may be in an industry setting such as through the adoption of a new and improved production process, but similarly it could apply through the adoption of new clinical practice in health or social policy settings.</w:t>
      </w:r>
    </w:p>
    <w:p w14:paraId="070B0061" w14:textId="77777777" w:rsidR="00220DB8" w:rsidRPr="008F065F" w:rsidRDefault="00C025A8" w:rsidP="00691405">
      <w:pPr>
        <w:rPr>
          <w:rFonts w:ascii="Arial Narrow" w:hAnsi="Arial Narrow"/>
          <w:sz w:val="24"/>
          <w:szCs w:val="24"/>
        </w:rPr>
      </w:pPr>
      <w:r w:rsidRPr="008F065F">
        <w:rPr>
          <w:rFonts w:ascii="Arial Narrow" w:hAnsi="Arial Narrow"/>
          <w:sz w:val="24"/>
          <w:szCs w:val="24"/>
        </w:rPr>
        <w:t xml:space="preserve">It is easily seen that the kind of applied and translational research outcome will be different for different disciplines. Improved production processes </w:t>
      </w:r>
      <w:r w:rsidR="0068653E">
        <w:rPr>
          <w:rFonts w:ascii="Arial Narrow" w:hAnsi="Arial Narrow"/>
          <w:sz w:val="24"/>
          <w:szCs w:val="24"/>
        </w:rPr>
        <w:t>f</w:t>
      </w:r>
      <w:r w:rsidRPr="008F065F">
        <w:rPr>
          <w:rFonts w:ascii="Arial Narrow" w:hAnsi="Arial Narrow"/>
          <w:sz w:val="24"/>
          <w:szCs w:val="24"/>
        </w:rPr>
        <w:t>or discreet product</w:t>
      </w:r>
      <w:r w:rsidR="0068653E">
        <w:rPr>
          <w:rFonts w:ascii="Arial Narrow" w:hAnsi="Arial Narrow"/>
          <w:sz w:val="24"/>
          <w:szCs w:val="24"/>
        </w:rPr>
        <w:t>s</w:t>
      </w:r>
      <w:r w:rsidRPr="008F065F">
        <w:rPr>
          <w:rFonts w:ascii="Arial Narrow" w:hAnsi="Arial Narrow"/>
          <w:sz w:val="24"/>
          <w:szCs w:val="24"/>
        </w:rPr>
        <w:t xml:space="preserve"> would be more likely to arise from research activity in the engineering, health and science disciplines, while the humanities and social sciences would likely have outcomes that have less tangible and less easily measure</w:t>
      </w:r>
      <w:r w:rsidR="0068653E">
        <w:rPr>
          <w:rFonts w:ascii="Arial Narrow" w:hAnsi="Arial Narrow"/>
          <w:sz w:val="24"/>
          <w:szCs w:val="24"/>
        </w:rPr>
        <w:t>d</w:t>
      </w:r>
      <w:r w:rsidRPr="008F065F">
        <w:rPr>
          <w:rFonts w:ascii="Arial Narrow" w:hAnsi="Arial Narrow"/>
          <w:sz w:val="24"/>
          <w:szCs w:val="24"/>
        </w:rPr>
        <w:t xml:space="preserve"> benefit</w:t>
      </w:r>
      <w:r w:rsidR="0068653E">
        <w:rPr>
          <w:rFonts w:ascii="Arial Narrow" w:hAnsi="Arial Narrow"/>
          <w:sz w:val="24"/>
          <w:szCs w:val="24"/>
        </w:rPr>
        <w:t>s</w:t>
      </w:r>
      <w:r w:rsidRPr="008F065F">
        <w:rPr>
          <w:rFonts w:ascii="Arial Narrow" w:hAnsi="Arial Narrow"/>
          <w:sz w:val="24"/>
          <w:szCs w:val="24"/>
        </w:rPr>
        <w:t xml:space="preserve"> in commercial terms. However, in a broader context, each could be shown to provide economic benefits. The difference would be in terms of whether those benefits are direct or indirect, easily measure</w:t>
      </w:r>
      <w:r w:rsidR="0068653E">
        <w:rPr>
          <w:rFonts w:ascii="Arial Narrow" w:hAnsi="Arial Narrow"/>
          <w:sz w:val="24"/>
          <w:szCs w:val="24"/>
        </w:rPr>
        <w:t>d</w:t>
      </w:r>
      <w:r w:rsidRPr="008F065F">
        <w:rPr>
          <w:rFonts w:ascii="Arial Narrow" w:hAnsi="Arial Narrow"/>
          <w:sz w:val="24"/>
          <w:szCs w:val="24"/>
        </w:rPr>
        <w:t xml:space="preserve"> or less tangible. </w:t>
      </w:r>
    </w:p>
    <w:p w14:paraId="070B0062" w14:textId="77777777" w:rsidR="0011385F" w:rsidRPr="008F065F" w:rsidRDefault="00C86F12">
      <w:pPr>
        <w:rPr>
          <w:rFonts w:ascii="Arial Narrow" w:eastAsia="Times New Roman" w:hAnsi="Arial Narrow" w:cs="Arial"/>
          <w:sz w:val="24"/>
          <w:szCs w:val="24"/>
        </w:rPr>
      </w:pPr>
      <w:r w:rsidRPr="008F065F">
        <w:rPr>
          <w:rFonts w:ascii="Arial Narrow" w:eastAsia="Times New Roman" w:hAnsi="Arial Narrow" w:cs="Arial"/>
          <w:sz w:val="24"/>
          <w:szCs w:val="24"/>
        </w:rPr>
        <w:t xml:space="preserve">The University considers that both types of outcome should be accounted for within any program designed to boost the commercial outcomes associated with research. </w:t>
      </w:r>
    </w:p>
    <w:p w14:paraId="070B0063" w14:textId="77777777" w:rsidR="0011385F" w:rsidRPr="008F065F" w:rsidRDefault="0011385F" w:rsidP="008F065F">
      <w:pPr>
        <w:pStyle w:val="Heading1"/>
        <w:keepNext w:val="0"/>
        <w:keepLines w:val="0"/>
        <w:spacing w:before="0"/>
        <w:rPr>
          <w:rFonts w:ascii="Arial Narrow" w:hAnsi="Arial Narrow"/>
          <w:color w:val="0078B7"/>
          <w:sz w:val="24"/>
          <w:szCs w:val="24"/>
        </w:rPr>
      </w:pPr>
      <w:bookmarkStart w:id="6" w:name="_Toc404852514"/>
      <w:r w:rsidRPr="008F065F">
        <w:rPr>
          <w:rFonts w:ascii="Arial Narrow" w:hAnsi="Arial Narrow"/>
          <w:color w:val="0078B7"/>
          <w:sz w:val="24"/>
          <w:szCs w:val="24"/>
        </w:rPr>
        <w:t>Programs for Exchange</w:t>
      </w:r>
      <w:bookmarkEnd w:id="6"/>
    </w:p>
    <w:p w14:paraId="070B0064" w14:textId="77777777" w:rsidR="00A0539B" w:rsidRPr="008F065F" w:rsidRDefault="00F92F05">
      <w:pPr>
        <w:rPr>
          <w:rFonts w:ascii="Arial Narrow" w:eastAsia="Times New Roman" w:hAnsi="Arial Narrow" w:cs="Arial"/>
          <w:sz w:val="24"/>
          <w:szCs w:val="24"/>
        </w:rPr>
      </w:pPr>
      <w:r w:rsidRPr="008F065F">
        <w:rPr>
          <w:rFonts w:ascii="Arial Narrow" w:eastAsia="Times New Roman" w:hAnsi="Arial Narrow" w:cs="Arial"/>
          <w:sz w:val="24"/>
          <w:szCs w:val="24"/>
        </w:rPr>
        <w:t>Victoria University currently has a website that showcases various technologies produced by its researchers</w:t>
      </w:r>
      <w:r w:rsidR="00A0539B" w:rsidRPr="008F065F">
        <w:rPr>
          <w:rFonts w:ascii="Arial Narrow" w:eastAsia="Times New Roman" w:hAnsi="Arial Narrow" w:cs="Arial"/>
          <w:sz w:val="24"/>
          <w:szCs w:val="24"/>
        </w:rPr>
        <w:t xml:space="preserve">. The aim of this website is to advertise commercial opportunities arising from Victoria University research to industry. No doubt, other universities have similar websites and programs. </w:t>
      </w:r>
    </w:p>
    <w:p w14:paraId="070B0065" w14:textId="77777777" w:rsidR="0011385F" w:rsidRPr="008F065F" w:rsidRDefault="00A0539B">
      <w:pPr>
        <w:rPr>
          <w:rFonts w:ascii="Arial Narrow" w:eastAsia="Times New Roman" w:hAnsi="Arial Narrow" w:cs="Arial"/>
          <w:sz w:val="24"/>
          <w:szCs w:val="24"/>
        </w:rPr>
      </w:pPr>
      <w:r w:rsidRPr="008F065F">
        <w:rPr>
          <w:rFonts w:ascii="Arial Narrow" w:eastAsia="Times New Roman" w:hAnsi="Arial Narrow" w:cs="Arial"/>
          <w:sz w:val="24"/>
          <w:szCs w:val="24"/>
        </w:rPr>
        <w:t>The University considers that such a program could be further develo</w:t>
      </w:r>
      <w:r w:rsidR="0068653E">
        <w:rPr>
          <w:rFonts w:ascii="Arial Narrow" w:eastAsia="Times New Roman" w:hAnsi="Arial Narrow" w:cs="Arial"/>
          <w:sz w:val="24"/>
          <w:szCs w:val="24"/>
        </w:rPr>
        <w:t>ped to be sector-</w:t>
      </w:r>
      <w:r w:rsidRPr="008F065F">
        <w:rPr>
          <w:rFonts w:ascii="Arial Narrow" w:eastAsia="Times New Roman" w:hAnsi="Arial Narrow" w:cs="Arial"/>
          <w:sz w:val="24"/>
          <w:szCs w:val="24"/>
        </w:rPr>
        <w:t>wide. It would involve the creation of a website or similar platform where universities and research organisations can advise potential industry and community partners of their research ‘wares’, but similarly, the website could be used by industry and community to advertise requirements or to express a desire for research collaboration. The benefits of a s</w:t>
      </w:r>
      <w:r w:rsidR="0068653E">
        <w:rPr>
          <w:rFonts w:ascii="Arial Narrow" w:eastAsia="Times New Roman" w:hAnsi="Arial Narrow" w:cs="Arial"/>
          <w:sz w:val="24"/>
          <w:szCs w:val="24"/>
        </w:rPr>
        <w:t>ectoral-wide program are that it</w:t>
      </w:r>
      <w:r w:rsidRPr="008F065F">
        <w:rPr>
          <w:rFonts w:ascii="Arial Narrow" w:eastAsia="Times New Roman" w:hAnsi="Arial Narrow" w:cs="Arial"/>
          <w:sz w:val="24"/>
          <w:szCs w:val="24"/>
        </w:rPr>
        <w:t xml:space="preserve"> provides a ‘one-stop shop’, an easily located central location for interaction and exchange. Consideration should </w:t>
      </w:r>
      <w:r w:rsidR="0068653E">
        <w:rPr>
          <w:rFonts w:ascii="Arial Narrow" w:eastAsia="Times New Roman" w:hAnsi="Arial Narrow" w:cs="Arial"/>
          <w:sz w:val="24"/>
          <w:szCs w:val="24"/>
        </w:rPr>
        <w:t xml:space="preserve">also </w:t>
      </w:r>
      <w:r w:rsidRPr="008F065F">
        <w:rPr>
          <w:rFonts w:ascii="Arial Narrow" w:eastAsia="Times New Roman" w:hAnsi="Arial Narrow" w:cs="Arial"/>
          <w:sz w:val="24"/>
          <w:szCs w:val="24"/>
        </w:rPr>
        <w:t xml:space="preserve">be given to international exchanges. Indeed, the Government should explore whether such an international exchange currently exists, and determine if it is a suitable platform for Australian industry, </w:t>
      </w:r>
      <w:r w:rsidR="00C82600" w:rsidRPr="008F065F">
        <w:rPr>
          <w:rFonts w:ascii="Arial Narrow" w:eastAsia="Times New Roman" w:hAnsi="Arial Narrow" w:cs="Arial"/>
          <w:sz w:val="24"/>
          <w:szCs w:val="24"/>
        </w:rPr>
        <w:t>community</w:t>
      </w:r>
      <w:r w:rsidRPr="008F065F">
        <w:rPr>
          <w:rFonts w:ascii="Arial Narrow" w:eastAsia="Times New Roman" w:hAnsi="Arial Narrow" w:cs="Arial"/>
          <w:sz w:val="24"/>
          <w:szCs w:val="24"/>
        </w:rPr>
        <w:t xml:space="preserve"> and researchers. </w:t>
      </w:r>
    </w:p>
    <w:p w14:paraId="070B0066" w14:textId="77777777" w:rsidR="0011385F" w:rsidRPr="008F065F" w:rsidRDefault="0011385F" w:rsidP="008F065F">
      <w:pPr>
        <w:pStyle w:val="Heading1"/>
        <w:keepNext w:val="0"/>
        <w:keepLines w:val="0"/>
        <w:spacing w:before="0"/>
        <w:rPr>
          <w:rFonts w:ascii="Arial Narrow" w:hAnsi="Arial Narrow"/>
          <w:color w:val="0078B7"/>
          <w:sz w:val="24"/>
          <w:szCs w:val="24"/>
        </w:rPr>
      </w:pPr>
      <w:bookmarkStart w:id="7" w:name="_Toc404852515"/>
      <w:r w:rsidRPr="008F065F">
        <w:rPr>
          <w:rFonts w:ascii="Arial Narrow" w:hAnsi="Arial Narrow"/>
          <w:color w:val="0078B7"/>
          <w:sz w:val="24"/>
          <w:szCs w:val="24"/>
        </w:rPr>
        <w:t>Tailoring programs to Australia’s industry profile</w:t>
      </w:r>
      <w:bookmarkEnd w:id="7"/>
    </w:p>
    <w:p w14:paraId="070B0067" w14:textId="77777777" w:rsidR="00B433B1" w:rsidRPr="00B433B1" w:rsidRDefault="00927040">
      <w:pPr>
        <w:rPr>
          <w:rFonts w:ascii="Arial Narrow" w:hAnsi="Arial Narrow"/>
          <w:b/>
          <w:sz w:val="24"/>
          <w:szCs w:val="24"/>
        </w:rPr>
      </w:pPr>
      <w:r w:rsidRPr="008F065F">
        <w:rPr>
          <w:rFonts w:ascii="Arial Narrow" w:hAnsi="Arial Narrow"/>
          <w:sz w:val="24"/>
          <w:szCs w:val="24"/>
        </w:rPr>
        <w:t>As the discussion paper notes, Austral</w:t>
      </w:r>
      <w:r w:rsidR="0068653E">
        <w:rPr>
          <w:rFonts w:ascii="Arial Narrow" w:hAnsi="Arial Narrow"/>
          <w:sz w:val="24"/>
          <w:szCs w:val="24"/>
        </w:rPr>
        <w:t>ian industry tends to be adopters</w:t>
      </w:r>
      <w:r w:rsidRPr="008F065F">
        <w:rPr>
          <w:rFonts w:ascii="Arial Narrow" w:hAnsi="Arial Narrow"/>
          <w:sz w:val="24"/>
          <w:szCs w:val="24"/>
        </w:rPr>
        <w:t xml:space="preserve"> and users of technology and innovation as opposed to being the generators. The University considers that policies and procedures that are developed to encourage greater commercial research outcomes must be structured to </w:t>
      </w:r>
      <w:r w:rsidRPr="0068653E">
        <w:rPr>
          <w:rFonts w:ascii="Arial Narrow" w:hAnsi="Arial Narrow"/>
          <w:sz w:val="24"/>
          <w:szCs w:val="24"/>
        </w:rPr>
        <w:t>recognise this reality</w:t>
      </w:r>
      <w:r w:rsidR="00B433B1" w:rsidRPr="0068653E">
        <w:rPr>
          <w:rFonts w:ascii="Arial Narrow" w:hAnsi="Arial Narrow"/>
          <w:sz w:val="24"/>
          <w:szCs w:val="24"/>
        </w:rPr>
        <w:t>, and where possible, designed so as to encourage and support new and emerging technologies, systems and industries.</w:t>
      </w:r>
      <w:r w:rsidR="009365B8" w:rsidRPr="0068653E">
        <w:rPr>
          <w:rFonts w:ascii="Arial Narrow" w:hAnsi="Arial Narrow"/>
          <w:sz w:val="24"/>
          <w:szCs w:val="24"/>
        </w:rPr>
        <w:t xml:space="preserve"> </w:t>
      </w:r>
      <w:r w:rsidRPr="0068653E">
        <w:rPr>
          <w:rFonts w:ascii="Arial Narrow" w:hAnsi="Arial Narrow"/>
          <w:sz w:val="24"/>
          <w:szCs w:val="24"/>
        </w:rPr>
        <w:t xml:space="preserve">Given that many Australian </w:t>
      </w:r>
      <w:r w:rsidR="00A142F2" w:rsidRPr="0068653E">
        <w:rPr>
          <w:rFonts w:ascii="Arial Narrow" w:hAnsi="Arial Narrow"/>
          <w:sz w:val="24"/>
          <w:szCs w:val="24"/>
        </w:rPr>
        <w:t>companies</w:t>
      </w:r>
      <w:r w:rsidRPr="0068653E">
        <w:rPr>
          <w:rFonts w:ascii="Arial Narrow" w:hAnsi="Arial Narrow"/>
          <w:sz w:val="24"/>
          <w:szCs w:val="24"/>
        </w:rPr>
        <w:t xml:space="preserve"> are local</w:t>
      </w:r>
      <w:r w:rsidRPr="008F065F">
        <w:rPr>
          <w:rFonts w:ascii="Arial Narrow" w:hAnsi="Arial Narrow"/>
          <w:sz w:val="24"/>
          <w:szCs w:val="24"/>
        </w:rPr>
        <w:t xml:space="preserve"> arms of multi-national </w:t>
      </w:r>
      <w:r w:rsidR="00A142F2" w:rsidRPr="008F065F">
        <w:rPr>
          <w:rFonts w:ascii="Arial Narrow" w:hAnsi="Arial Narrow"/>
          <w:sz w:val="24"/>
          <w:szCs w:val="24"/>
        </w:rPr>
        <w:t>corporations with bases overseas</w:t>
      </w:r>
      <w:r w:rsidRPr="008F065F">
        <w:rPr>
          <w:rFonts w:ascii="Arial Narrow" w:hAnsi="Arial Narrow"/>
          <w:sz w:val="24"/>
          <w:szCs w:val="24"/>
        </w:rPr>
        <w:t xml:space="preserve">, policies should have scope to enable </w:t>
      </w:r>
      <w:r w:rsidR="00A142F2" w:rsidRPr="008F065F">
        <w:rPr>
          <w:rFonts w:ascii="Arial Narrow" w:hAnsi="Arial Narrow"/>
          <w:sz w:val="24"/>
          <w:szCs w:val="24"/>
        </w:rPr>
        <w:t>collaboration</w:t>
      </w:r>
      <w:r w:rsidRPr="008F065F">
        <w:rPr>
          <w:rFonts w:ascii="Arial Narrow" w:hAnsi="Arial Narrow"/>
          <w:sz w:val="24"/>
          <w:szCs w:val="24"/>
        </w:rPr>
        <w:t xml:space="preserve"> with parent companies in </w:t>
      </w:r>
      <w:r w:rsidR="00A142F2" w:rsidRPr="008F065F">
        <w:rPr>
          <w:rFonts w:ascii="Arial Narrow" w:hAnsi="Arial Narrow"/>
          <w:sz w:val="24"/>
          <w:szCs w:val="24"/>
        </w:rPr>
        <w:t>overseas</w:t>
      </w:r>
      <w:r w:rsidRPr="008F065F">
        <w:rPr>
          <w:rFonts w:ascii="Arial Narrow" w:hAnsi="Arial Narrow"/>
          <w:sz w:val="24"/>
          <w:szCs w:val="24"/>
        </w:rPr>
        <w:t xml:space="preserve"> locations. </w:t>
      </w:r>
    </w:p>
    <w:p w14:paraId="070B0068" w14:textId="77777777" w:rsidR="00A142F2" w:rsidRPr="008F065F" w:rsidRDefault="00A142F2" w:rsidP="008F065F">
      <w:pPr>
        <w:pStyle w:val="Heading1"/>
        <w:keepNext w:val="0"/>
        <w:keepLines w:val="0"/>
        <w:spacing w:before="0"/>
        <w:rPr>
          <w:rFonts w:ascii="Arial Narrow" w:hAnsi="Arial Narrow"/>
          <w:color w:val="0078B7"/>
          <w:sz w:val="24"/>
          <w:szCs w:val="24"/>
        </w:rPr>
      </w:pPr>
      <w:bookmarkStart w:id="8" w:name="_Toc404852516"/>
      <w:r w:rsidRPr="008F065F">
        <w:rPr>
          <w:rFonts w:ascii="Arial Narrow" w:hAnsi="Arial Narrow"/>
          <w:color w:val="0078B7"/>
          <w:sz w:val="24"/>
          <w:szCs w:val="24"/>
        </w:rPr>
        <w:t>Small and Medium Sized Enterprises</w:t>
      </w:r>
      <w:bookmarkEnd w:id="8"/>
    </w:p>
    <w:p w14:paraId="070B0069" w14:textId="77777777" w:rsidR="00A142F2" w:rsidRPr="008F065F" w:rsidRDefault="00A142F2">
      <w:pPr>
        <w:rPr>
          <w:rFonts w:ascii="Arial Narrow" w:hAnsi="Arial Narrow"/>
          <w:sz w:val="24"/>
          <w:szCs w:val="24"/>
        </w:rPr>
      </w:pPr>
      <w:r w:rsidRPr="008F065F">
        <w:rPr>
          <w:rFonts w:ascii="Arial Narrow" w:hAnsi="Arial Narrow"/>
          <w:sz w:val="24"/>
          <w:szCs w:val="24"/>
        </w:rPr>
        <w:t xml:space="preserve">The University considers that policies should take into account the needs of different firm sizes. The ability for small to medium sized enterprises to engage with university research is often hampered by a relative lack of resources, or a lack of experience and knowledge of how to optimally engage with the research sector. The University considers that the government should explore policies that would enable </w:t>
      </w:r>
      <w:r w:rsidR="00F92F05" w:rsidRPr="008F065F">
        <w:rPr>
          <w:rFonts w:ascii="Arial Narrow" w:hAnsi="Arial Narrow"/>
          <w:sz w:val="24"/>
          <w:szCs w:val="24"/>
        </w:rPr>
        <w:t>each firm type to successfully engage with the research community.</w:t>
      </w:r>
    </w:p>
    <w:p w14:paraId="070B006A" w14:textId="77777777" w:rsidR="00C82600" w:rsidRPr="008F065F" w:rsidRDefault="00C82600">
      <w:pPr>
        <w:rPr>
          <w:rFonts w:ascii="Arial Narrow" w:hAnsi="Arial Narrow"/>
          <w:sz w:val="24"/>
          <w:szCs w:val="24"/>
        </w:rPr>
      </w:pPr>
      <w:r w:rsidRPr="008F065F">
        <w:rPr>
          <w:rFonts w:ascii="Arial Narrow" w:hAnsi="Arial Narrow"/>
          <w:sz w:val="24"/>
          <w:szCs w:val="24"/>
        </w:rPr>
        <w:lastRenderedPageBreak/>
        <w:t>Firm size should also be taken into account with respect to funding programs. Generally</w:t>
      </w:r>
      <w:r w:rsidR="0068653E">
        <w:rPr>
          <w:rFonts w:ascii="Arial Narrow" w:hAnsi="Arial Narrow"/>
          <w:sz w:val="24"/>
          <w:szCs w:val="24"/>
        </w:rPr>
        <w:t>,</w:t>
      </w:r>
      <w:r w:rsidRPr="008F065F">
        <w:rPr>
          <w:rFonts w:ascii="Arial Narrow" w:hAnsi="Arial Narrow"/>
          <w:sz w:val="24"/>
          <w:szCs w:val="24"/>
        </w:rPr>
        <w:t xml:space="preserve"> smaller firms have less ability to take advantage of existing programs to facilitate and provide incentives for collaborations, such as the tax incentive schemes. Such firms would instead be better served by grant programs that inject funds directly towards some purpose or goal. The University considers that the Government should consider various grant options to enable greater collaboration and boost research commercial activities. Consideration should also be given to considering how current tax incentive schemes could be simplified or ‘</w:t>
      </w:r>
      <w:r w:rsidRPr="00F27EB1">
        <w:rPr>
          <w:rStyle w:val="Emphasis"/>
        </w:rPr>
        <w:t>tweaked</w:t>
      </w:r>
      <w:r w:rsidRPr="008F065F">
        <w:rPr>
          <w:rFonts w:ascii="Arial Narrow" w:hAnsi="Arial Narrow"/>
          <w:sz w:val="24"/>
          <w:szCs w:val="24"/>
        </w:rPr>
        <w:t xml:space="preserve">’ to enable greater use by small and medium sized enterprises. </w:t>
      </w:r>
    </w:p>
    <w:p w14:paraId="070B006B" w14:textId="77777777" w:rsidR="0011385F" w:rsidRPr="008F065F" w:rsidRDefault="0011385F" w:rsidP="008F065F">
      <w:pPr>
        <w:pStyle w:val="Heading1"/>
        <w:keepNext w:val="0"/>
        <w:keepLines w:val="0"/>
        <w:spacing w:before="0"/>
        <w:rPr>
          <w:rFonts w:ascii="Arial Narrow" w:hAnsi="Arial Narrow"/>
          <w:color w:val="0078B7"/>
          <w:sz w:val="24"/>
          <w:szCs w:val="24"/>
        </w:rPr>
      </w:pPr>
      <w:bookmarkStart w:id="9" w:name="_Toc404852517"/>
      <w:r w:rsidRPr="008F065F">
        <w:rPr>
          <w:rFonts w:ascii="Arial Narrow" w:hAnsi="Arial Narrow"/>
          <w:color w:val="0078B7"/>
          <w:sz w:val="24"/>
          <w:szCs w:val="24"/>
        </w:rPr>
        <w:t>Simplification of Intellectual Property</w:t>
      </w:r>
      <w:bookmarkEnd w:id="9"/>
    </w:p>
    <w:p w14:paraId="070B006C" w14:textId="77777777" w:rsidR="0011385F" w:rsidRPr="008F065F" w:rsidRDefault="00A0539B">
      <w:pPr>
        <w:rPr>
          <w:rFonts w:ascii="Arial Narrow" w:eastAsia="Times New Roman" w:hAnsi="Arial Narrow" w:cs="Arial"/>
          <w:sz w:val="24"/>
          <w:szCs w:val="24"/>
        </w:rPr>
      </w:pPr>
      <w:r w:rsidRPr="008F065F">
        <w:rPr>
          <w:rFonts w:ascii="Arial Narrow" w:eastAsia="Times New Roman" w:hAnsi="Arial Narrow" w:cs="Arial"/>
          <w:sz w:val="24"/>
          <w:szCs w:val="24"/>
        </w:rPr>
        <w:t xml:space="preserve">The University considers that greater international and research commercial outcomes would be </w:t>
      </w:r>
      <w:r w:rsidR="00C82600" w:rsidRPr="008F065F">
        <w:rPr>
          <w:rFonts w:ascii="Arial Narrow" w:eastAsia="Times New Roman" w:hAnsi="Arial Narrow" w:cs="Arial"/>
          <w:sz w:val="24"/>
          <w:szCs w:val="24"/>
        </w:rPr>
        <w:t>facilitated</w:t>
      </w:r>
      <w:r w:rsidRPr="008F065F">
        <w:rPr>
          <w:rFonts w:ascii="Arial Narrow" w:eastAsia="Times New Roman" w:hAnsi="Arial Narrow" w:cs="Arial"/>
          <w:sz w:val="24"/>
          <w:szCs w:val="24"/>
        </w:rPr>
        <w:t xml:space="preserve"> by simplifying the requirements and regulations around intellectual property and broadening </w:t>
      </w:r>
      <w:r w:rsidR="00491655">
        <w:rPr>
          <w:rFonts w:ascii="Arial Narrow" w:eastAsia="Times New Roman" w:hAnsi="Arial Narrow" w:cs="Arial"/>
          <w:sz w:val="24"/>
          <w:szCs w:val="24"/>
        </w:rPr>
        <w:t xml:space="preserve">the </w:t>
      </w:r>
      <w:r w:rsidRPr="008F065F">
        <w:rPr>
          <w:rFonts w:ascii="Arial Narrow" w:eastAsia="Times New Roman" w:hAnsi="Arial Narrow" w:cs="Arial"/>
          <w:sz w:val="24"/>
          <w:szCs w:val="24"/>
        </w:rPr>
        <w:t xml:space="preserve">definition of benefits. As an example, the University considers </w:t>
      </w:r>
      <w:r w:rsidR="00491655">
        <w:rPr>
          <w:rFonts w:ascii="Arial Narrow" w:eastAsia="Times New Roman" w:hAnsi="Arial Narrow" w:cs="Arial"/>
          <w:sz w:val="24"/>
          <w:szCs w:val="24"/>
        </w:rPr>
        <w:t>an</w:t>
      </w:r>
      <w:r w:rsidRPr="008F065F">
        <w:rPr>
          <w:rFonts w:ascii="Arial Narrow" w:eastAsia="Times New Roman" w:hAnsi="Arial Narrow" w:cs="Arial"/>
          <w:sz w:val="24"/>
          <w:szCs w:val="24"/>
        </w:rPr>
        <w:t xml:space="preserve"> approach </w:t>
      </w:r>
      <w:r w:rsidR="00491655">
        <w:rPr>
          <w:rFonts w:ascii="Arial Narrow" w:eastAsia="Times New Roman" w:hAnsi="Arial Narrow" w:cs="Arial"/>
          <w:sz w:val="24"/>
          <w:szCs w:val="24"/>
        </w:rPr>
        <w:t xml:space="preserve">worth exploring is that </w:t>
      </w:r>
      <w:r w:rsidRPr="008F065F">
        <w:rPr>
          <w:rFonts w:ascii="Arial Narrow" w:eastAsia="Times New Roman" w:hAnsi="Arial Narrow" w:cs="Arial"/>
          <w:sz w:val="24"/>
          <w:szCs w:val="24"/>
        </w:rPr>
        <w:t xml:space="preserve">taken by the Defence Science Technology Organisation, which </w:t>
      </w:r>
      <w:r w:rsidR="00C82600" w:rsidRPr="008F065F">
        <w:rPr>
          <w:rFonts w:ascii="Arial Narrow" w:eastAsia="Times New Roman" w:hAnsi="Arial Narrow" w:cs="Arial"/>
          <w:sz w:val="24"/>
          <w:szCs w:val="24"/>
        </w:rPr>
        <w:t>provide</w:t>
      </w:r>
      <w:r w:rsidR="00491655">
        <w:rPr>
          <w:rFonts w:ascii="Arial Narrow" w:eastAsia="Times New Roman" w:hAnsi="Arial Narrow" w:cs="Arial"/>
          <w:sz w:val="24"/>
          <w:szCs w:val="24"/>
        </w:rPr>
        <w:t>s</w:t>
      </w:r>
      <w:r w:rsidR="00C82600" w:rsidRPr="008F065F">
        <w:rPr>
          <w:rFonts w:ascii="Arial Narrow" w:eastAsia="Times New Roman" w:hAnsi="Arial Narrow" w:cs="Arial"/>
          <w:sz w:val="24"/>
          <w:szCs w:val="24"/>
        </w:rPr>
        <w:t xml:space="preserve"> its intellectual property to industry in order to enhance defence capability while also seeking to generate national wealth creation, sometimes at the expense of its own revenue creation.</w:t>
      </w:r>
    </w:p>
    <w:p w14:paraId="070B006D" w14:textId="77777777" w:rsidR="008F065F" w:rsidRPr="008F065F" w:rsidRDefault="008F065F" w:rsidP="008F065F">
      <w:pPr>
        <w:pStyle w:val="Heading1"/>
        <w:spacing w:before="0"/>
        <w:rPr>
          <w:rFonts w:ascii="Arial Narrow" w:hAnsi="Arial Narrow"/>
          <w:color w:val="0078B7"/>
          <w:sz w:val="24"/>
          <w:szCs w:val="24"/>
        </w:rPr>
      </w:pPr>
      <w:bookmarkStart w:id="10" w:name="_Toc404852518"/>
      <w:r w:rsidRPr="008F065F">
        <w:rPr>
          <w:rFonts w:ascii="Arial Narrow" w:hAnsi="Arial Narrow"/>
          <w:color w:val="0078B7"/>
          <w:sz w:val="24"/>
          <w:szCs w:val="24"/>
        </w:rPr>
        <w:t>Problems of Confidentiality</w:t>
      </w:r>
      <w:bookmarkEnd w:id="10"/>
    </w:p>
    <w:p w14:paraId="070B006E" w14:textId="77777777" w:rsidR="008F065F" w:rsidRPr="008F065F" w:rsidRDefault="008F065F" w:rsidP="008F065F">
      <w:pPr>
        <w:keepNext/>
        <w:keepLines/>
        <w:rPr>
          <w:rFonts w:ascii="Arial Narrow" w:eastAsia="Times New Roman" w:hAnsi="Arial Narrow" w:cs="Arial"/>
        </w:rPr>
      </w:pPr>
      <w:r w:rsidRPr="008F065F">
        <w:rPr>
          <w:rFonts w:ascii="Arial Narrow" w:eastAsia="Times New Roman" w:hAnsi="Arial Narrow" w:cs="Arial"/>
          <w:sz w:val="24"/>
          <w:szCs w:val="24"/>
        </w:rPr>
        <w:t xml:space="preserve">Greater interaction and collaboration with the hope for greater commercial outcomes will often entail greater confidentiality with respect to research activities. </w:t>
      </w:r>
      <w:r w:rsidRPr="008F065F">
        <w:rPr>
          <w:rFonts w:ascii="Arial Narrow" w:hAnsi="Arial Narrow"/>
          <w:sz w:val="24"/>
          <w:szCs w:val="24"/>
        </w:rPr>
        <w:t>Often, the result is that research outcomes cannot be released, and the ability to apply research outcomes to others is limited, meaning that the potential benefits arising from a publicly funded university research are limited. The impact may also be more direct, in the limited ability for university researcher</w:t>
      </w:r>
      <w:r w:rsidR="00491655">
        <w:rPr>
          <w:rFonts w:ascii="Arial Narrow" w:hAnsi="Arial Narrow"/>
          <w:sz w:val="24"/>
          <w:szCs w:val="24"/>
        </w:rPr>
        <w:t>s</w:t>
      </w:r>
      <w:r w:rsidRPr="008F065F">
        <w:rPr>
          <w:rFonts w:ascii="Arial Narrow" w:hAnsi="Arial Narrow"/>
          <w:sz w:val="24"/>
          <w:szCs w:val="24"/>
        </w:rPr>
        <w:t xml:space="preserve"> to report or publish outcomes arising from the research interaction, with implications for the university’s performance in other government programs (such as ERA). Care must be given to ensure that this is addressed in the design of any program or initiative to encourage greater commercial outcomes</w:t>
      </w:r>
      <w:r w:rsidRPr="008F065F">
        <w:rPr>
          <w:rFonts w:ascii="Arial Narrow" w:hAnsi="Arial Narrow"/>
        </w:rPr>
        <w:t xml:space="preserve"> in research. </w:t>
      </w:r>
    </w:p>
    <w:sectPr w:rsidR="008F065F" w:rsidRPr="008F065F" w:rsidSect="00307DD4">
      <w:footerReference w:type="default" r:id="rId1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0B0073" w14:textId="77777777" w:rsidR="00C82600" w:rsidRDefault="00C82600" w:rsidP="00C82600">
      <w:pPr>
        <w:spacing w:after="0" w:line="240" w:lineRule="auto"/>
      </w:pPr>
      <w:r>
        <w:separator/>
      </w:r>
    </w:p>
  </w:endnote>
  <w:endnote w:type="continuationSeparator" w:id="0">
    <w:p w14:paraId="070B0074" w14:textId="77777777" w:rsidR="00C82600" w:rsidRDefault="00C82600" w:rsidP="00C826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6652697"/>
      <w:docPartObj>
        <w:docPartGallery w:val="Page Numbers (Bottom of Page)"/>
        <w:docPartUnique/>
      </w:docPartObj>
    </w:sdtPr>
    <w:sdtEndPr>
      <w:rPr>
        <w:rFonts w:ascii="Arial Narrow" w:hAnsi="Arial Narrow"/>
        <w:noProof/>
      </w:rPr>
    </w:sdtEndPr>
    <w:sdtContent>
      <w:p w14:paraId="070B0075" w14:textId="77777777" w:rsidR="00C82600" w:rsidRPr="00307DD4" w:rsidRDefault="00C82600">
        <w:pPr>
          <w:pStyle w:val="Footer"/>
          <w:jc w:val="center"/>
          <w:rPr>
            <w:rFonts w:ascii="Arial Narrow" w:hAnsi="Arial Narrow"/>
          </w:rPr>
        </w:pPr>
        <w:r w:rsidRPr="00307DD4">
          <w:rPr>
            <w:rFonts w:ascii="Arial Narrow" w:hAnsi="Arial Narrow"/>
          </w:rPr>
          <w:fldChar w:fldCharType="begin"/>
        </w:r>
        <w:r w:rsidRPr="00307DD4">
          <w:rPr>
            <w:rFonts w:ascii="Arial Narrow" w:hAnsi="Arial Narrow"/>
          </w:rPr>
          <w:instrText xml:space="preserve"> PAGE   \* MERGEFORMAT </w:instrText>
        </w:r>
        <w:r w:rsidRPr="00307DD4">
          <w:rPr>
            <w:rFonts w:ascii="Arial Narrow" w:hAnsi="Arial Narrow"/>
          </w:rPr>
          <w:fldChar w:fldCharType="separate"/>
        </w:r>
        <w:r w:rsidR="00521553">
          <w:rPr>
            <w:rFonts w:ascii="Arial Narrow" w:hAnsi="Arial Narrow"/>
            <w:noProof/>
          </w:rPr>
          <w:t>2</w:t>
        </w:r>
        <w:r w:rsidRPr="00307DD4">
          <w:rPr>
            <w:rFonts w:ascii="Arial Narrow" w:hAnsi="Arial Narrow"/>
            <w:noProof/>
          </w:rPr>
          <w:fldChar w:fldCharType="end"/>
        </w:r>
      </w:p>
    </w:sdtContent>
  </w:sdt>
  <w:p w14:paraId="070B0076" w14:textId="77777777" w:rsidR="00C82600" w:rsidRDefault="00C826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0B0071" w14:textId="77777777" w:rsidR="00C82600" w:rsidRDefault="00C82600" w:rsidP="00C82600">
      <w:pPr>
        <w:spacing w:after="0" w:line="240" w:lineRule="auto"/>
      </w:pPr>
      <w:r>
        <w:separator/>
      </w:r>
    </w:p>
  </w:footnote>
  <w:footnote w:type="continuationSeparator" w:id="0">
    <w:p w14:paraId="070B0072" w14:textId="77777777" w:rsidR="00C82600" w:rsidRDefault="00C82600" w:rsidP="00C82600">
      <w:pPr>
        <w:spacing w:after="0" w:line="240" w:lineRule="auto"/>
      </w:pPr>
      <w:r>
        <w:continuationSeparator/>
      </w:r>
    </w:p>
  </w:footnote>
  <w:footnote w:id="1">
    <w:p w14:paraId="070B0077" w14:textId="77777777" w:rsidR="00C82600" w:rsidRPr="008F065F" w:rsidRDefault="00C82600">
      <w:pPr>
        <w:pStyle w:val="FootnoteText"/>
        <w:rPr>
          <w:rFonts w:ascii="Arial Narrow" w:hAnsi="Arial Narrow"/>
        </w:rPr>
      </w:pPr>
      <w:r w:rsidRPr="008F065F">
        <w:rPr>
          <w:rStyle w:val="FootnoteReference"/>
          <w:rFonts w:ascii="Arial Narrow" w:hAnsi="Arial Narrow"/>
        </w:rPr>
        <w:footnoteRef/>
      </w:r>
      <w:r w:rsidRPr="008F065F">
        <w:rPr>
          <w:rFonts w:ascii="Arial Narrow" w:hAnsi="Arial Narrow"/>
        </w:rPr>
        <w:t xml:space="preserve"> </w:t>
      </w:r>
      <w:proofErr w:type="gramStart"/>
      <w:r w:rsidRPr="008F065F">
        <w:rPr>
          <w:rFonts w:ascii="Arial Narrow" w:hAnsi="Arial Narrow"/>
        </w:rPr>
        <w:t>Victoria University submission to “Assessing the wider benefits arising from university-based research”</w:t>
      </w:r>
      <w:r w:rsidR="008F065F" w:rsidRPr="008F065F">
        <w:rPr>
          <w:rFonts w:ascii="Arial Narrow" w:hAnsi="Arial Narrow"/>
        </w:rPr>
        <w:t xml:space="preserve"> Discussion Paper</w:t>
      </w:r>
      <w:r w:rsidR="008F065F">
        <w:rPr>
          <w:rFonts w:ascii="Arial Narrow" w:hAnsi="Arial Narrow"/>
        </w:rPr>
        <w:t xml:space="preserve"> (2013)</w:t>
      </w:r>
      <w:r w:rsidR="008F065F" w:rsidRPr="008F065F">
        <w:rPr>
          <w:rFonts w:ascii="Arial Narrow" w:hAnsi="Arial Narrow"/>
        </w:rPr>
        <w:t>.</w:t>
      </w:r>
      <w:proofErr w:type="gramEnd"/>
      <w:r w:rsidR="008F065F" w:rsidRPr="008F065F">
        <w:rPr>
          <w:rFonts w:ascii="Arial Narrow" w:hAnsi="Arial Narrow"/>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1805A7"/>
    <w:multiLevelType w:val="hybridMultilevel"/>
    <w:tmpl w:val="08527FC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nsid w:val="79C554B7"/>
    <w:multiLevelType w:val="hybridMultilevel"/>
    <w:tmpl w:val="9118B49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1097"/>
    <w:rsid w:val="0000156F"/>
    <w:rsid w:val="0011385F"/>
    <w:rsid w:val="00220DB8"/>
    <w:rsid w:val="00303F0D"/>
    <w:rsid w:val="00307DD4"/>
    <w:rsid w:val="00350E3E"/>
    <w:rsid w:val="003D3192"/>
    <w:rsid w:val="00412004"/>
    <w:rsid w:val="00491655"/>
    <w:rsid w:val="004A3CB3"/>
    <w:rsid w:val="004F5422"/>
    <w:rsid w:val="00521553"/>
    <w:rsid w:val="00591097"/>
    <w:rsid w:val="0068653E"/>
    <w:rsid w:val="00691405"/>
    <w:rsid w:val="00700ECC"/>
    <w:rsid w:val="008F065F"/>
    <w:rsid w:val="00927040"/>
    <w:rsid w:val="009365B8"/>
    <w:rsid w:val="00A01626"/>
    <w:rsid w:val="00A02858"/>
    <w:rsid w:val="00A0539B"/>
    <w:rsid w:val="00A142F2"/>
    <w:rsid w:val="00A427F3"/>
    <w:rsid w:val="00B433B1"/>
    <w:rsid w:val="00B454E6"/>
    <w:rsid w:val="00C025A8"/>
    <w:rsid w:val="00C82600"/>
    <w:rsid w:val="00C86F12"/>
    <w:rsid w:val="00DA60B1"/>
    <w:rsid w:val="00F27EB1"/>
    <w:rsid w:val="00F92F05"/>
    <w:rsid w:val="00FC6F95"/>
    <w:rsid w:val="00FE230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B0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60B1"/>
  </w:style>
  <w:style w:type="paragraph" w:styleId="Heading1">
    <w:name w:val="heading 1"/>
    <w:basedOn w:val="Normal"/>
    <w:next w:val="Normal"/>
    <w:link w:val="Heading1Char"/>
    <w:uiPriority w:val="9"/>
    <w:qFormat/>
    <w:rsid w:val="00DA60B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A60B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A60B1"/>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A60B1"/>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A60B1"/>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DA60B1"/>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DA60B1"/>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A60B1"/>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DA60B1"/>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60B1"/>
    <w:pPr>
      <w:ind w:left="720"/>
      <w:contextualSpacing/>
    </w:pPr>
  </w:style>
  <w:style w:type="character" w:styleId="Hyperlink">
    <w:name w:val="Hyperlink"/>
    <w:basedOn w:val="DefaultParagraphFont"/>
    <w:uiPriority w:val="99"/>
    <w:unhideWhenUsed/>
    <w:rsid w:val="00C82600"/>
    <w:rPr>
      <w:color w:val="0000FF"/>
      <w:u w:val="single"/>
    </w:rPr>
  </w:style>
  <w:style w:type="paragraph" w:styleId="Header">
    <w:name w:val="header"/>
    <w:basedOn w:val="Normal"/>
    <w:link w:val="HeaderChar"/>
    <w:uiPriority w:val="99"/>
    <w:unhideWhenUsed/>
    <w:rsid w:val="00C826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2600"/>
  </w:style>
  <w:style w:type="paragraph" w:styleId="Footer">
    <w:name w:val="footer"/>
    <w:basedOn w:val="Normal"/>
    <w:link w:val="FooterChar"/>
    <w:uiPriority w:val="99"/>
    <w:unhideWhenUsed/>
    <w:rsid w:val="00C826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2600"/>
  </w:style>
  <w:style w:type="paragraph" w:styleId="FootnoteText">
    <w:name w:val="footnote text"/>
    <w:basedOn w:val="Normal"/>
    <w:link w:val="FootnoteTextChar"/>
    <w:uiPriority w:val="99"/>
    <w:semiHidden/>
    <w:unhideWhenUsed/>
    <w:rsid w:val="00C8260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82600"/>
    <w:rPr>
      <w:sz w:val="20"/>
      <w:szCs w:val="20"/>
    </w:rPr>
  </w:style>
  <w:style w:type="character" w:styleId="FootnoteReference">
    <w:name w:val="footnote reference"/>
    <w:basedOn w:val="DefaultParagraphFont"/>
    <w:uiPriority w:val="99"/>
    <w:semiHidden/>
    <w:unhideWhenUsed/>
    <w:rsid w:val="00C82600"/>
    <w:rPr>
      <w:vertAlign w:val="superscript"/>
    </w:rPr>
  </w:style>
  <w:style w:type="paragraph" w:styleId="NoSpacing">
    <w:name w:val="No Spacing"/>
    <w:link w:val="NoSpacingChar"/>
    <w:uiPriority w:val="1"/>
    <w:qFormat/>
    <w:rsid w:val="00DA60B1"/>
    <w:pPr>
      <w:spacing w:after="0" w:line="240" w:lineRule="auto"/>
    </w:pPr>
  </w:style>
  <w:style w:type="character" w:customStyle="1" w:styleId="NoSpacingChar">
    <w:name w:val="No Spacing Char"/>
    <w:basedOn w:val="DefaultParagraphFont"/>
    <w:link w:val="NoSpacing"/>
    <w:uiPriority w:val="1"/>
    <w:rsid w:val="008F065F"/>
  </w:style>
  <w:style w:type="paragraph" w:styleId="BalloonText">
    <w:name w:val="Balloon Text"/>
    <w:basedOn w:val="Normal"/>
    <w:link w:val="BalloonTextChar"/>
    <w:uiPriority w:val="99"/>
    <w:semiHidden/>
    <w:unhideWhenUsed/>
    <w:rsid w:val="008F06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065F"/>
    <w:rPr>
      <w:rFonts w:ascii="Tahoma" w:hAnsi="Tahoma" w:cs="Tahoma"/>
      <w:sz w:val="16"/>
      <w:szCs w:val="16"/>
    </w:rPr>
  </w:style>
  <w:style w:type="character" w:customStyle="1" w:styleId="Heading1Char">
    <w:name w:val="Heading 1 Char"/>
    <w:basedOn w:val="DefaultParagraphFont"/>
    <w:link w:val="Heading1"/>
    <w:uiPriority w:val="9"/>
    <w:rsid w:val="00DA60B1"/>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DA60B1"/>
    <w:pPr>
      <w:outlineLvl w:val="9"/>
    </w:pPr>
  </w:style>
  <w:style w:type="paragraph" w:styleId="TOC1">
    <w:name w:val="toc 1"/>
    <w:basedOn w:val="Normal"/>
    <w:next w:val="Normal"/>
    <w:autoRedefine/>
    <w:uiPriority w:val="39"/>
    <w:unhideWhenUsed/>
    <w:rsid w:val="008F065F"/>
    <w:pPr>
      <w:spacing w:after="100"/>
    </w:pPr>
  </w:style>
  <w:style w:type="character" w:styleId="BookTitle">
    <w:name w:val="Book Title"/>
    <w:basedOn w:val="DefaultParagraphFont"/>
    <w:uiPriority w:val="33"/>
    <w:qFormat/>
    <w:rsid w:val="00DA60B1"/>
    <w:rPr>
      <w:b/>
      <w:bCs/>
      <w:smallCaps/>
      <w:spacing w:val="5"/>
    </w:rPr>
  </w:style>
  <w:style w:type="paragraph" w:styleId="Quote">
    <w:name w:val="Quote"/>
    <w:basedOn w:val="Normal"/>
    <w:next w:val="Normal"/>
    <w:link w:val="QuoteChar"/>
    <w:uiPriority w:val="29"/>
    <w:qFormat/>
    <w:rsid w:val="00DA60B1"/>
    <w:rPr>
      <w:i/>
      <w:iCs/>
      <w:color w:val="000000" w:themeColor="text1"/>
    </w:rPr>
  </w:style>
  <w:style w:type="character" w:customStyle="1" w:styleId="QuoteChar">
    <w:name w:val="Quote Char"/>
    <w:basedOn w:val="DefaultParagraphFont"/>
    <w:link w:val="Quote"/>
    <w:uiPriority w:val="29"/>
    <w:rsid w:val="00DA60B1"/>
    <w:rPr>
      <w:i/>
      <w:iCs/>
      <w:color w:val="000000" w:themeColor="text1"/>
    </w:rPr>
  </w:style>
  <w:style w:type="character" w:styleId="Emphasis">
    <w:name w:val="Emphasis"/>
    <w:basedOn w:val="DefaultParagraphFont"/>
    <w:uiPriority w:val="20"/>
    <w:qFormat/>
    <w:rsid w:val="00DA60B1"/>
    <w:rPr>
      <w:i/>
      <w:iCs/>
    </w:rPr>
  </w:style>
  <w:style w:type="character" w:customStyle="1" w:styleId="Heading2Char">
    <w:name w:val="Heading 2 Char"/>
    <w:basedOn w:val="DefaultParagraphFont"/>
    <w:link w:val="Heading2"/>
    <w:uiPriority w:val="9"/>
    <w:semiHidden/>
    <w:rsid w:val="00DA60B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DA60B1"/>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DA60B1"/>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DA60B1"/>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DA60B1"/>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DA60B1"/>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DA60B1"/>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DA60B1"/>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DA60B1"/>
    <w:pPr>
      <w:spacing w:line="240" w:lineRule="auto"/>
    </w:pPr>
    <w:rPr>
      <w:b/>
      <w:bCs/>
      <w:color w:val="4F81BD" w:themeColor="accent1"/>
      <w:sz w:val="18"/>
      <w:szCs w:val="18"/>
    </w:rPr>
  </w:style>
  <w:style w:type="paragraph" w:styleId="Title">
    <w:name w:val="Title"/>
    <w:basedOn w:val="Normal"/>
    <w:next w:val="Normal"/>
    <w:link w:val="TitleChar"/>
    <w:uiPriority w:val="10"/>
    <w:qFormat/>
    <w:rsid w:val="00DA60B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A60B1"/>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DA60B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DA60B1"/>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DA60B1"/>
    <w:rPr>
      <w:b/>
      <w:bCs/>
    </w:rPr>
  </w:style>
  <w:style w:type="paragraph" w:styleId="IntenseQuote">
    <w:name w:val="Intense Quote"/>
    <w:basedOn w:val="Normal"/>
    <w:next w:val="Normal"/>
    <w:link w:val="IntenseQuoteChar"/>
    <w:uiPriority w:val="30"/>
    <w:qFormat/>
    <w:rsid w:val="00DA60B1"/>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DA60B1"/>
    <w:rPr>
      <w:b/>
      <w:bCs/>
      <w:i/>
      <w:iCs/>
      <w:color w:val="4F81BD" w:themeColor="accent1"/>
    </w:rPr>
  </w:style>
  <w:style w:type="character" w:styleId="SubtleEmphasis">
    <w:name w:val="Subtle Emphasis"/>
    <w:basedOn w:val="DefaultParagraphFont"/>
    <w:uiPriority w:val="19"/>
    <w:qFormat/>
    <w:rsid w:val="00DA60B1"/>
    <w:rPr>
      <w:i/>
      <w:iCs/>
      <w:color w:val="808080" w:themeColor="text1" w:themeTint="7F"/>
    </w:rPr>
  </w:style>
  <w:style w:type="character" w:styleId="IntenseEmphasis">
    <w:name w:val="Intense Emphasis"/>
    <w:basedOn w:val="DefaultParagraphFont"/>
    <w:uiPriority w:val="21"/>
    <w:qFormat/>
    <w:rsid w:val="00DA60B1"/>
    <w:rPr>
      <w:b/>
      <w:bCs/>
      <w:i/>
      <w:iCs/>
      <w:color w:val="4F81BD" w:themeColor="accent1"/>
    </w:rPr>
  </w:style>
  <w:style w:type="character" w:styleId="SubtleReference">
    <w:name w:val="Subtle Reference"/>
    <w:basedOn w:val="DefaultParagraphFont"/>
    <w:uiPriority w:val="31"/>
    <w:qFormat/>
    <w:rsid w:val="00DA60B1"/>
    <w:rPr>
      <w:smallCaps/>
      <w:color w:val="C0504D" w:themeColor="accent2"/>
      <w:u w:val="single"/>
    </w:rPr>
  </w:style>
  <w:style w:type="character" w:styleId="IntenseReference">
    <w:name w:val="Intense Reference"/>
    <w:basedOn w:val="DefaultParagraphFont"/>
    <w:uiPriority w:val="32"/>
    <w:qFormat/>
    <w:rsid w:val="00DA60B1"/>
    <w:rPr>
      <w:b/>
      <w:bCs/>
      <w:smallCaps/>
      <w:color w:val="C0504D" w:themeColor="accent2"/>
      <w:spacing w:val="5"/>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60B1"/>
  </w:style>
  <w:style w:type="paragraph" w:styleId="Heading1">
    <w:name w:val="heading 1"/>
    <w:basedOn w:val="Normal"/>
    <w:next w:val="Normal"/>
    <w:link w:val="Heading1Char"/>
    <w:uiPriority w:val="9"/>
    <w:qFormat/>
    <w:rsid w:val="00DA60B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A60B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A60B1"/>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A60B1"/>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A60B1"/>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DA60B1"/>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DA60B1"/>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A60B1"/>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DA60B1"/>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60B1"/>
    <w:pPr>
      <w:ind w:left="720"/>
      <w:contextualSpacing/>
    </w:pPr>
  </w:style>
  <w:style w:type="character" w:styleId="Hyperlink">
    <w:name w:val="Hyperlink"/>
    <w:basedOn w:val="DefaultParagraphFont"/>
    <w:uiPriority w:val="99"/>
    <w:unhideWhenUsed/>
    <w:rsid w:val="00C82600"/>
    <w:rPr>
      <w:color w:val="0000FF"/>
      <w:u w:val="single"/>
    </w:rPr>
  </w:style>
  <w:style w:type="paragraph" w:styleId="Header">
    <w:name w:val="header"/>
    <w:basedOn w:val="Normal"/>
    <w:link w:val="HeaderChar"/>
    <w:uiPriority w:val="99"/>
    <w:unhideWhenUsed/>
    <w:rsid w:val="00C826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2600"/>
  </w:style>
  <w:style w:type="paragraph" w:styleId="Footer">
    <w:name w:val="footer"/>
    <w:basedOn w:val="Normal"/>
    <w:link w:val="FooterChar"/>
    <w:uiPriority w:val="99"/>
    <w:unhideWhenUsed/>
    <w:rsid w:val="00C826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2600"/>
  </w:style>
  <w:style w:type="paragraph" w:styleId="FootnoteText">
    <w:name w:val="footnote text"/>
    <w:basedOn w:val="Normal"/>
    <w:link w:val="FootnoteTextChar"/>
    <w:uiPriority w:val="99"/>
    <w:semiHidden/>
    <w:unhideWhenUsed/>
    <w:rsid w:val="00C8260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82600"/>
    <w:rPr>
      <w:sz w:val="20"/>
      <w:szCs w:val="20"/>
    </w:rPr>
  </w:style>
  <w:style w:type="character" w:styleId="FootnoteReference">
    <w:name w:val="footnote reference"/>
    <w:basedOn w:val="DefaultParagraphFont"/>
    <w:uiPriority w:val="99"/>
    <w:semiHidden/>
    <w:unhideWhenUsed/>
    <w:rsid w:val="00C82600"/>
    <w:rPr>
      <w:vertAlign w:val="superscript"/>
    </w:rPr>
  </w:style>
  <w:style w:type="paragraph" w:styleId="NoSpacing">
    <w:name w:val="No Spacing"/>
    <w:link w:val="NoSpacingChar"/>
    <w:uiPriority w:val="1"/>
    <w:qFormat/>
    <w:rsid w:val="00DA60B1"/>
    <w:pPr>
      <w:spacing w:after="0" w:line="240" w:lineRule="auto"/>
    </w:pPr>
  </w:style>
  <w:style w:type="character" w:customStyle="1" w:styleId="NoSpacingChar">
    <w:name w:val="No Spacing Char"/>
    <w:basedOn w:val="DefaultParagraphFont"/>
    <w:link w:val="NoSpacing"/>
    <w:uiPriority w:val="1"/>
    <w:rsid w:val="008F065F"/>
  </w:style>
  <w:style w:type="paragraph" w:styleId="BalloonText">
    <w:name w:val="Balloon Text"/>
    <w:basedOn w:val="Normal"/>
    <w:link w:val="BalloonTextChar"/>
    <w:uiPriority w:val="99"/>
    <w:semiHidden/>
    <w:unhideWhenUsed/>
    <w:rsid w:val="008F06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065F"/>
    <w:rPr>
      <w:rFonts w:ascii="Tahoma" w:hAnsi="Tahoma" w:cs="Tahoma"/>
      <w:sz w:val="16"/>
      <w:szCs w:val="16"/>
    </w:rPr>
  </w:style>
  <w:style w:type="character" w:customStyle="1" w:styleId="Heading1Char">
    <w:name w:val="Heading 1 Char"/>
    <w:basedOn w:val="DefaultParagraphFont"/>
    <w:link w:val="Heading1"/>
    <w:uiPriority w:val="9"/>
    <w:rsid w:val="00DA60B1"/>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DA60B1"/>
    <w:pPr>
      <w:outlineLvl w:val="9"/>
    </w:pPr>
  </w:style>
  <w:style w:type="paragraph" w:styleId="TOC1">
    <w:name w:val="toc 1"/>
    <w:basedOn w:val="Normal"/>
    <w:next w:val="Normal"/>
    <w:autoRedefine/>
    <w:uiPriority w:val="39"/>
    <w:unhideWhenUsed/>
    <w:rsid w:val="008F065F"/>
    <w:pPr>
      <w:spacing w:after="100"/>
    </w:pPr>
  </w:style>
  <w:style w:type="character" w:styleId="BookTitle">
    <w:name w:val="Book Title"/>
    <w:basedOn w:val="DefaultParagraphFont"/>
    <w:uiPriority w:val="33"/>
    <w:qFormat/>
    <w:rsid w:val="00DA60B1"/>
    <w:rPr>
      <w:b/>
      <w:bCs/>
      <w:smallCaps/>
      <w:spacing w:val="5"/>
    </w:rPr>
  </w:style>
  <w:style w:type="paragraph" w:styleId="Quote">
    <w:name w:val="Quote"/>
    <w:basedOn w:val="Normal"/>
    <w:next w:val="Normal"/>
    <w:link w:val="QuoteChar"/>
    <w:uiPriority w:val="29"/>
    <w:qFormat/>
    <w:rsid w:val="00DA60B1"/>
    <w:rPr>
      <w:i/>
      <w:iCs/>
      <w:color w:val="000000" w:themeColor="text1"/>
    </w:rPr>
  </w:style>
  <w:style w:type="character" w:customStyle="1" w:styleId="QuoteChar">
    <w:name w:val="Quote Char"/>
    <w:basedOn w:val="DefaultParagraphFont"/>
    <w:link w:val="Quote"/>
    <w:uiPriority w:val="29"/>
    <w:rsid w:val="00DA60B1"/>
    <w:rPr>
      <w:i/>
      <w:iCs/>
      <w:color w:val="000000" w:themeColor="text1"/>
    </w:rPr>
  </w:style>
  <w:style w:type="character" w:styleId="Emphasis">
    <w:name w:val="Emphasis"/>
    <w:basedOn w:val="DefaultParagraphFont"/>
    <w:uiPriority w:val="20"/>
    <w:qFormat/>
    <w:rsid w:val="00DA60B1"/>
    <w:rPr>
      <w:i/>
      <w:iCs/>
    </w:rPr>
  </w:style>
  <w:style w:type="character" w:customStyle="1" w:styleId="Heading2Char">
    <w:name w:val="Heading 2 Char"/>
    <w:basedOn w:val="DefaultParagraphFont"/>
    <w:link w:val="Heading2"/>
    <w:uiPriority w:val="9"/>
    <w:semiHidden/>
    <w:rsid w:val="00DA60B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DA60B1"/>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DA60B1"/>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DA60B1"/>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DA60B1"/>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DA60B1"/>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DA60B1"/>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DA60B1"/>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DA60B1"/>
    <w:pPr>
      <w:spacing w:line="240" w:lineRule="auto"/>
    </w:pPr>
    <w:rPr>
      <w:b/>
      <w:bCs/>
      <w:color w:val="4F81BD" w:themeColor="accent1"/>
      <w:sz w:val="18"/>
      <w:szCs w:val="18"/>
    </w:rPr>
  </w:style>
  <w:style w:type="paragraph" w:styleId="Title">
    <w:name w:val="Title"/>
    <w:basedOn w:val="Normal"/>
    <w:next w:val="Normal"/>
    <w:link w:val="TitleChar"/>
    <w:uiPriority w:val="10"/>
    <w:qFormat/>
    <w:rsid w:val="00DA60B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A60B1"/>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DA60B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DA60B1"/>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DA60B1"/>
    <w:rPr>
      <w:b/>
      <w:bCs/>
    </w:rPr>
  </w:style>
  <w:style w:type="paragraph" w:styleId="IntenseQuote">
    <w:name w:val="Intense Quote"/>
    <w:basedOn w:val="Normal"/>
    <w:next w:val="Normal"/>
    <w:link w:val="IntenseQuoteChar"/>
    <w:uiPriority w:val="30"/>
    <w:qFormat/>
    <w:rsid w:val="00DA60B1"/>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DA60B1"/>
    <w:rPr>
      <w:b/>
      <w:bCs/>
      <w:i/>
      <w:iCs/>
      <w:color w:val="4F81BD" w:themeColor="accent1"/>
    </w:rPr>
  </w:style>
  <w:style w:type="character" w:styleId="SubtleEmphasis">
    <w:name w:val="Subtle Emphasis"/>
    <w:basedOn w:val="DefaultParagraphFont"/>
    <w:uiPriority w:val="19"/>
    <w:qFormat/>
    <w:rsid w:val="00DA60B1"/>
    <w:rPr>
      <w:i/>
      <w:iCs/>
      <w:color w:val="808080" w:themeColor="text1" w:themeTint="7F"/>
    </w:rPr>
  </w:style>
  <w:style w:type="character" w:styleId="IntenseEmphasis">
    <w:name w:val="Intense Emphasis"/>
    <w:basedOn w:val="DefaultParagraphFont"/>
    <w:uiPriority w:val="21"/>
    <w:qFormat/>
    <w:rsid w:val="00DA60B1"/>
    <w:rPr>
      <w:b/>
      <w:bCs/>
      <w:i/>
      <w:iCs/>
      <w:color w:val="4F81BD" w:themeColor="accent1"/>
    </w:rPr>
  </w:style>
  <w:style w:type="character" w:styleId="SubtleReference">
    <w:name w:val="Subtle Reference"/>
    <w:basedOn w:val="DefaultParagraphFont"/>
    <w:uiPriority w:val="31"/>
    <w:qFormat/>
    <w:rsid w:val="00DA60B1"/>
    <w:rPr>
      <w:smallCaps/>
      <w:color w:val="C0504D" w:themeColor="accent2"/>
      <w:u w:val="single"/>
    </w:rPr>
  </w:style>
  <w:style w:type="character" w:styleId="IntenseReference">
    <w:name w:val="Intense Reference"/>
    <w:basedOn w:val="DefaultParagraphFont"/>
    <w:uiPriority w:val="32"/>
    <w:qFormat/>
    <w:rsid w:val="00DA60B1"/>
    <w:rPr>
      <w:b/>
      <w:bCs/>
      <w:smallCaps/>
      <w:color w:val="C0504D" w:themeColor="accent2"/>
      <w:spacing w:val="5"/>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870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gif"/><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vu.edu.a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umentVisibility xmlns="ed110c73-9675-4a40-bedd-85eaf2417466">Public</DocumentVisibility>
    <ApproverNotes xmlns="ed110c73-9675-4a40-bedd-85eaf2417466" xsi:nil="true"/>
    <DocumentStatus xmlns="ed110c73-9675-4a40-bedd-85eaf2417466">CompletedAccessible</DocumentStatus>
    <DocumentType xmlns="ed110c73-9675-4a40-bedd-85eaf2417466">SubmissionDoc</DocumentType>
    <SubmissionID xmlns="ed110c73-9675-4a40-bedd-85eaf2417466">BCR1400033</SubmissionID>
    <OriginalFileName xmlns="ed110c73-9675-4a40-bedd-85eaf2417466">Boosting the Commercial Returns from Research FINAL.docx</OriginalFileNam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532659050105A4BB64EC7FE4940F188" ma:contentTypeVersion="6" ma:contentTypeDescription="Create a new document." ma:contentTypeScope="" ma:versionID="30af37d55298fa54ee7cc145298a8809">
  <xsd:schema xmlns:xsd="http://www.w3.org/2001/XMLSchema" xmlns:xs="http://www.w3.org/2001/XMLSchema" xmlns:p="http://schemas.microsoft.com/office/2006/metadata/properties" xmlns:ns2="ed110c73-9675-4a40-bedd-85eaf2417466" targetNamespace="http://schemas.microsoft.com/office/2006/metadata/properties" ma:root="true" ma:fieldsID="91248dea6c99aebf2c8210347db92905" ns2:_="">
    <xsd:import namespace="ed110c73-9675-4a40-bedd-85eaf2417466"/>
    <xsd:element name="properties">
      <xsd:complexType>
        <xsd:sequence>
          <xsd:element name="documentManagement">
            <xsd:complexType>
              <xsd:all>
                <xsd:element ref="ns2:SubmissionID"/>
                <xsd:element ref="ns2:DocumentType"/>
                <xsd:element ref="ns2:DocumentStatus"/>
                <xsd:element ref="ns2:DocumentVisibility"/>
                <xsd:element ref="ns2:ApproverNotes" minOccurs="0"/>
                <xsd:element ref="ns2:Original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110c73-9675-4a40-bedd-85eaf2417466" elementFormDefault="qualified">
    <xsd:import namespace="http://schemas.microsoft.com/office/2006/documentManagement/types"/>
    <xsd:import namespace="http://schemas.microsoft.com/office/infopath/2007/PartnerControls"/>
    <xsd:element name="SubmissionID" ma:index="8" ma:displayName="SubmissionID" ma:description="The matching SubmissionID for this document. Internal use only." ma:indexed="true" ma:internalName="SubmissionID">
      <xsd:simpleType>
        <xsd:restriction base="dms:Text"/>
      </xsd:simpleType>
    </xsd:element>
    <xsd:element name="DocumentType" ma:index="9" ma:displayName="DocumentType" ma:description="Indicates the document type." ma:internalName="DocumentType">
      <xsd:simpleType>
        <xsd:restriction base="dms:Choice">
          <xsd:enumeration value="SubmissionDoc"/>
          <xsd:enumeration value="AppendixDoc"/>
          <xsd:enumeration value="OtherDoc"/>
        </xsd:restriction>
      </xsd:simpleType>
    </xsd:element>
    <xsd:element name="DocumentStatus" ma:index="10" ma:displayName="DocumentStatus" ma:description="Indicates if the document is currently being processed or completed (accessible or not accessible or exempt)" ma:indexed="true" ma:internalName="DocumentStatus">
      <xsd:simpleType>
        <xsd:restriction base="dms:Choice">
          <xsd:enumeration value="Submitted"/>
          <xsd:enumeration value="Processing"/>
          <xsd:enumeration value="CompletedAccessible"/>
          <xsd:enumeration value="CompletedNotAccessible"/>
          <xsd:enumeration value="CompletedNotAccessibleExempt"/>
          <xsd:enumeration value="CompletedPrivate"/>
          <xsd:enumeration value="Declined"/>
          <xsd:enumeration value="Withdrawn"/>
        </xsd:restriction>
      </xsd:simpleType>
    </xsd:element>
    <xsd:element name="DocumentVisibility" ma:index="11" ma:displayName="DocumentVisibility" ma:description="Indicates whether the document can be seen publically. Internal use only." ma:internalName="DocumentVisibility">
      <xsd:simpleType>
        <xsd:restriction base="dms:Choice">
          <xsd:enumeration value="Public"/>
          <xsd:enumeration value="Hidden"/>
        </xsd:restriction>
      </xsd:simpleType>
    </xsd:element>
    <xsd:element name="ApproverNotes" ma:index="12" nillable="true" ma:displayName="ApproverNotes" ma:description="For adhoc comments by Approvers as required" ma:internalName="ApproverNotes">
      <xsd:simpleType>
        <xsd:restriction base="dms:Note">
          <xsd:maxLength value="255"/>
        </xsd:restriction>
      </xsd:simpleType>
    </xsd:element>
    <xsd:element name="OriginalFileName" ma:index="13" nillable="true" ma:displayName="OriginalFileName" ma:description="The original uploaded filename. Internal use only." ma:internalName="OriginalFileNam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A45BE3-ACE0-436A-8158-97D026895740}"/>
</file>

<file path=customXml/itemProps2.xml><?xml version="1.0" encoding="utf-8"?>
<ds:datastoreItem xmlns:ds="http://schemas.openxmlformats.org/officeDocument/2006/customXml" ds:itemID="{0C0AB922-C2B0-41BD-B18B-B3E700A59083}"/>
</file>

<file path=customXml/itemProps3.xml><?xml version="1.0" encoding="utf-8"?>
<ds:datastoreItem xmlns:ds="http://schemas.openxmlformats.org/officeDocument/2006/customXml" ds:itemID="{15AA3F40-9085-4B37-8930-726EF868D7DF}"/>
</file>

<file path=customXml/itemProps4.xml><?xml version="1.0" encoding="utf-8"?>
<ds:datastoreItem xmlns:ds="http://schemas.openxmlformats.org/officeDocument/2006/customXml" ds:itemID="{B891766E-F0B8-42AE-BBF1-1B4CF65A4E3B}"/>
</file>

<file path=docProps/app.xml><?xml version="1.0" encoding="utf-8"?>
<Properties xmlns="http://schemas.openxmlformats.org/officeDocument/2006/extended-properties" xmlns:vt="http://schemas.openxmlformats.org/officeDocument/2006/docPropsVTypes">
  <Template>479FCF2.dotm</Template>
  <TotalTime>8</TotalTime>
  <Pages>6</Pages>
  <Words>1948</Words>
  <Characters>11107</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2_Boosting_the_commercial_return_VictoriaUniversity_28112014_BCR1400033.docx</vt:lpstr>
    </vt:vector>
  </TitlesOfParts>
  <Company>Victoria University</Company>
  <LinksUpToDate>false</LinksUpToDate>
  <CharactersWithSpaces>13029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2_Boosting_the_commercial_return_VictoriaUniversity_28112014_BCR1400033.docx</dc:title>
  <dc:subject>Response from Victoria University</dc:subject>
  <dc:creator>Victoria University</dc:creator>
  <cp:lastModifiedBy>Joyce Hotchkis</cp:lastModifiedBy>
  <cp:revision>5</cp:revision>
  <cp:lastPrinted>2015-02-26T06:09:00Z</cp:lastPrinted>
  <dcterms:created xsi:type="dcterms:W3CDTF">2014-11-28T00:17:00Z</dcterms:created>
  <dcterms:modified xsi:type="dcterms:W3CDTF">2015-02-26T06:09:00Z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0x0101009532659050105A4BB64EC7FE4940F188</vt:lpwstr>
  </property>
</Properties>
</file>