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C36F7" w14:textId="7291F0B5" w:rsidR="00FD5C2A" w:rsidRDefault="00EE0D7D" w:rsidP="00AF5BCB">
      <w:pPr>
        <w:pStyle w:val="Title"/>
      </w:pPr>
      <w:bookmarkStart w:id="0" w:name="_GoBack"/>
      <w:bookmarkEnd w:id="0"/>
      <w:r>
        <w:t xml:space="preserve">Boosting the Commercial Returns on Research – </w:t>
      </w:r>
      <w:proofErr w:type="spellStart"/>
      <w:r>
        <w:t>NICTA</w:t>
      </w:r>
      <w:proofErr w:type="spellEnd"/>
      <w:r>
        <w:t xml:space="preserve"> Submission</w:t>
      </w:r>
      <w:r w:rsidR="00ED2886">
        <w:rPr>
          <w:rStyle w:val="FootnoteReference"/>
        </w:rPr>
        <w:footnoteReference w:id="2"/>
      </w:r>
    </w:p>
    <w:p w14:paraId="4821F0D4" w14:textId="2C37AE4E" w:rsidR="004E60D1" w:rsidRDefault="00686F12" w:rsidP="00FD5C2A">
      <w:r>
        <w:t xml:space="preserve">This submission addresses how to increase the </w:t>
      </w:r>
      <w:r>
        <w:rPr>
          <w:i/>
        </w:rPr>
        <w:t xml:space="preserve">rate </w:t>
      </w:r>
      <w:r w:rsidRPr="0074439D">
        <w:t xml:space="preserve">of </w:t>
      </w:r>
      <w:r>
        <w:t xml:space="preserve">commercial </w:t>
      </w:r>
      <w:r w:rsidRPr="0074439D">
        <w:t>retur</w:t>
      </w:r>
      <w:r>
        <w:t>n on research.   We recognise that t</w:t>
      </w:r>
      <w:r w:rsidR="00850F14">
        <w:t>here are two</w:t>
      </w:r>
      <w:r w:rsidR="00FD5C2A">
        <w:t xml:space="preserve"> </w:t>
      </w:r>
      <w:r w:rsidR="00850F14">
        <w:t xml:space="preserve">approaches </w:t>
      </w:r>
      <w:r w:rsidR="00FD5C2A">
        <w:t xml:space="preserve">to </w:t>
      </w:r>
      <w:r w:rsidR="002643E1">
        <w:t>“</w:t>
      </w:r>
      <w:r w:rsidR="00FD5C2A">
        <w:t>boost the commercial returns from research</w:t>
      </w:r>
      <w:r w:rsidR="002643E1">
        <w:t>”</w:t>
      </w:r>
      <w:r w:rsidR="00FD5C2A">
        <w:t xml:space="preserve"> </w:t>
      </w:r>
      <w:r w:rsidR="00850F14">
        <w:t xml:space="preserve">– to do more research, and to increase the </w:t>
      </w:r>
      <w:r w:rsidR="00850F14" w:rsidRPr="00AF5BCB">
        <w:rPr>
          <w:i/>
        </w:rPr>
        <w:t>rate</w:t>
      </w:r>
      <w:r w:rsidR="00850F14">
        <w:t xml:space="preserve"> of commercial return from research </w:t>
      </w:r>
      <w:r w:rsidR="003F2CD9">
        <w:t>done</w:t>
      </w:r>
      <w:r w:rsidR="00850F14">
        <w:t>.</w:t>
      </w:r>
      <w:r w:rsidR="002503F3">
        <w:t xml:space="preserve"> </w:t>
      </w:r>
      <w:r w:rsidR="00FD5C2A">
        <w:t>Relative to OECD compar</w:t>
      </w:r>
      <w:r w:rsidR="002503F3">
        <w:t xml:space="preserve">isons, Australia’s investment in research is </w:t>
      </w:r>
      <w:r w:rsidR="000C1F9F">
        <w:t>low</w:t>
      </w:r>
      <w:r w:rsidR="00850F14">
        <w:t xml:space="preserve">, so it is worth considering whether this investment should be increased overall.  This submission, however, </w:t>
      </w:r>
      <w:r>
        <w:t xml:space="preserve">focuses on </w:t>
      </w:r>
      <w:r w:rsidR="00850F14">
        <w:t>how to</w:t>
      </w:r>
      <w:r w:rsidR="0074439D">
        <w:t xml:space="preserve"> increase the </w:t>
      </w:r>
      <w:r w:rsidR="0074439D">
        <w:rPr>
          <w:i/>
        </w:rPr>
        <w:t xml:space="preserve">rate </w:t>
      </w:r>
      <w:r w:rsidR="0074439D" w:rsidRPr="0074439D">
        <w:t xml:space="preserve">of </w:t>
      </w:r>
      <w:r w:rsidR="002503F3">
        <w:t xml:space="preserve">commercial </w:t>
      </w:r>
      <w:r w:rsidR="0074439D" w:rsidRPr="0074439D">
        <w:t>retur</w:t>
      </w:r>
      <w:r w:rsidR="002503F3">
        <w:t>n on research</w:t>
      </w:r>
      <w:r w:rsidR="003F2CD9">
        <w:t xml:space="preserve">.  We </w:t>
      </w:r>
      <w:r w:rsidR="00A4081A">
        <w:t>offer the following points,</w:t>
      </w:r>
      <w:r w:rsidR="00EA0D73">
        <w:t xml:space="preserve"> which also serve</w:t>
      </w:r>
      <w:r w:rsidR="00A4081A">
        <w:t xml:space="preserve"> as a table of contents to our submission:</w:t>
      </w:r>
    </w:p>
    <w:p w14:paraId="3F08CC30" w14:textId="77777777" w:rsidR="00205C46" w:rsidRPr="00A4081A" w:rsidRDefault="00205C46" w:rsidP="00FD5C2A"/>
    <w:p w14:paraId="271544D4" w14:textId="52FB9DE9" w:rsidR="00AF5BCB" w:rsidRPr="00990348" w:rsidRDefault="00850F14" w:rsidP="00990348">
      <w:pPr>
        <w:pStyle w:val="TOC1"/>
        <w:rPr>
          <w:b w:val="0"/>
          <w:noProof/>
          <w:color w:val="000000" w:themeColor="text1"/>
        </w:rPr>
      </w:pPr>
      <w:r w:rsidRPr="00AF5BCB">
        <w:rPr>
          <w:b w:val="0"/>
          <w:color w:val="000000" w:themeColor="text1"/>
        </w:rPr>
        <w:fldChar w:fldCharType="begin"/>
      </w:r>
      <w:r w:rsidRPr="00AF5BCB">
        <w:rPr>
          <w:b w:val="0"/>
          <w:color w:val="000000" w:themeColor="text1"/>
        </w:rPr>
        <w:instrText xml:space="preserve"> TOC \o "1-3" </w:instrText>
      </w:r>
      <w:r w:rsidRPr="00AF5BCB">
        <w:rPr>
          <w:b w:val="0"/>
          <w:color w:val="000000" w:themeColor="text1"/>
        </w:rPr>
        <w:fldChar w:fldCharType="separate"/>
      </w:r>
      <w:r w:rsidR="00AF5BCB" w:rsidRPr="00AF5BCB">
        <w:rPr>
          <w:b w:val="0"/>
          <w:noProof/>
          <w:color w:val="000000" w:themeColor="text1"/>
        </w:rPr>
        <w:t>1)</w:t>
      </w:r>
      <w:r w:rsidR="00AF5BCB" w:rsidRPr="00AF5BCB">
        <w:rPr>
          <w:rFonts w:asciiTheme="minorHAnsi" w:hAnsiTheme="minorHAnsi"/>
          <w:b w:val="0"/>
          <w:noProof/>
          <w:color w:val="000000" w:themeColor="text1"/>
          <w:lang w:eastAsia="ja-JP"/>
        </w:rPr>
        <w:tab/>
      </w:r>
      <w:r w:rsidR="00AF5BCB" w:rsidRPr="00AF5BCB">
        <w:rPr>
          <w:b w:val="0"/>
          <w:noProof/>
          <w:color w:val="000000" w:themeColor="text1"/>
        </w:rPr>
        <w:t>There is no evidence that performance based research funding incentives work</w:t>
      </w:r>
      <w:r w:rsidR="00AF5BCB" w:rsidRPr="00AF5BCB">
        <w:rPr>
          <w:b w:val="0"/>
          <w:noProof/>
          <w:color w:val="000000" w:themeColor="text1"/>
        </w:rPr>
        <w:tab/>
      </w:r>
      <w:r w:rsidR="00AF5BCB" w:rsidRPr="00AF5BCB">
        <w:rPr>
          <w:b w:val="0"/>
          <w:noProof/>
          <w:color w:val="000000" w:themeColor="text1"/>
        </w:rPr>
        <w:fldChar w:fldCharType="begin"/>
      </w:r>
      <w:r w:rsidR="00AF5BCB" w:rsidRPr="00AF5BCB">
        <w:rPr>
          <w:b w:val="0"/>
          <w:noProof/>
          <w:color w:val="000000" w:themeColor="text1"/>
        </w:rPr>
        <w:instrText xml:space="preserve"> PAGEREF _Toc278718402 \h </w:instrText>
      </w:r>
      <w:r w:rsidR="00AF5BCB" w:rsidRPr="00AF5BCB">
        <w:rPr>
          <w:b w:val="0"/>
          <w:noProof/>
          <w:color w:val="000000" w:themeColor="text1"/>
        </w:rPr>
      </w:r>
      <w:r w:rsidR="00AF5BCB" w:rsidRPr="00AF5BCB">
        <w:rPr>
          <w:b w:val="0"/>
          <w:noProof/>
          <w:color w:val="000000" w:themeColor="text1"/>
        </w:rPr>
        <w:fldChar w:fldCharType="separate"/>
      </w:r>
      <w:r w:rsidR="0050242C">
        <w:rPr>
          <w:b w:val="0"/>
          <w:noProof/>
          <w:color w:val="000000" w:themeColor="text1"/>
        </w:rPr>
        <w:t>2</w:t>
      </w:r>
      <w:r w:rsidR="00AF5BCB" w:rsidRPr="00AF5BCB">
        <w:rPr>
          <w:b w:val="0"/>
          <w:noProof/>
          <w:color w:val="000000" w:themeColor="text1"/>
        </w:rPr>
        <w:fldChar w:fldCharType="end"/>
      </w:r>
    </w:p>
    <w:p w14:paraId="205B366A" w14:textId="19E5DFC5" w:rsidR="00AF5BCB" w:rsidRPr="00990348" w:rsidRDefault="00AF5BCB" w:rsidP="00990348">
      <w:pPr>
        <w:pStyle w:val="TOC1"/>
        <w:rPr>
          <w:b w:val="0"/>
          <w:noProof/>
          <w:color w:val="000000" w:themeColor="text1"/>
        </w:rPr>
      </w:pPr>
      <w:r w:rsidRPr="00AF5BCB">
        <w:rPr>
          <w:b w:val="0"/>
          <w:noProof/>
          <w:color w:val="000000" w:themeColor="text1"/>
        </w:rPr>
        <w:t>2)</w:t>
      </w:r>
      <w:r w:rsidRPr="00AF5BCB">
        <w:rPr>
          <w:rFonts w:asciiTheme="minorHAnsi" w:hAnsiTheme="minorHAnsi"/>
          <w:b w:val="0"/>
          <w:noProof/>
          <w:color w:val="000000" w:themeColor="text1"/>
          <w:lang w:eastAsia="ja-JP"/>
        </w:rPr>
        <w:tab/>
      </w:r>
      <w:r w:rsidRPr="00AF5BCB">
        <w:rPr>
          <w:b w:val="0"/>
          <w:noProof/>
          <w:color w:val="000000" w:themeColor="text1"/>
        </w:rPr>
        <w:t>Institutional culture matters for research results; it is known what works and there are Australian examples</w:t>
      </w:r>
      <w:r w:rsidRPr="00AF5BCB">
        <w:rPr>
          <w:b w:val="0"/>
          <w:noProof/>
          <w:color w:val="000000" w:themeColor="text1"/>
        </w:rPr>
        <w:tab/>
      </w:r>
      <w:r w:rsidRPr="00AF5BCB">
        <w:rPr>
          <w:b w:val="0"/>
          <w:noProof/>
          <w:color w:val="000000" w:themeColor="text1"/>
        </w:rPr>
        <w:fldChar w:fldCharType="begin"/>
      </w:r>
      <w:r w:rsidRPr="00AF5BCB">
        <w:rPr>
          <w:b w:val="0"/>
          <w:noProof/>
          <w:color w:val="000000" w:themeColor="text1"/>
        </w:rPr>
        <w:instrText xml:space="preserve"> PAGEREF _Toc278718403 \h </w:instrText>
      </w:r>
      <w:r w:rsidRPr="00AF5BCB">
        <w:rPr>
          <w:b w:val="0"/>
          <w:noProof/>
          <w:color w:val="000000" w:themeColor="text1"/>
        </w:rPr>
      </w:r>
      <w:r w:rsidRPr="00AF5BCB">
        <w:rPr>
          <w:b w:val="0"/>
          <w:noProof/>
          <w:color w:val="000000" w:themeColor="text1"/>
        </w:rPr>
        <w:fldChar w:fldCharType="separate"/>
      </w:r>
      <w:r w:rsidR="0050242C">
        <w:rPr>
          <w:b w:val="0"/>
          <w:noProof/>
          <w:color w:val="000000" w:themeColor="text1"/>
        </w:rPr>
        <w:t>5</w:t>
      </w:r>
      <w:r w:rsidRPr="00AF5BCB">
        <w:rPr>
          <w:b w:val="0"/>
          <w:noProof/>
          <w:color w:val="000000" w:themeColor="text1"/>
        </w:rPr>
        <w:fldChar w:fldCharType="end"/>
      </w:r>
    </w:p>
    <w:p w14:paraId="66433C86" w14:textId="22C6402A" w:rsidR="00AF5BCB" w:rsidRPr="00990348" w:rsidRDefault="00AF5BCB" w:rsidP="00990348">
      <w:pPr>
        <w:pStyle w:val="TOC1"/>
        <w:rPr>
          <w:b w:val="0"/>
          <w:noProof/>
          <w:color w:val="000000" w:themeColor="text1"/>
        </w:rPr>
      </w:pPr>
      <w:r w:rsidRPr="00AF5BCB">
        <w:rPr>
          <w:b w:val="0"/>
          <w:noProof/>
          <w:color w:val="000000" w:themeColor="text1"/>
        </w:rPr>
        <w:t>3)</w:t>
      </w:r>
      <w:r w:rsidRPr="00AF5BCB">
        <w:rPr>
          <w:rFonts w:asciiTheme="minorHAnsi" w:hAnsiTheme="minorHAnsi"/>
          <w:b w:val="0"/>
          <w:noProof/>
          <w:color w:val="000000" w:themeColor="text1"/>
          <w:lang w:eastAsia="ja-JP"/>
        </w:rPr>
        <w:tab/>
      </w:r>
      <w:r w:rsidRPr="00AF5BCB">
        <w:rPr>
          <w:b w:val="0"/>
          <w:noProof/>
          <w:color w:val="000000" w:themeColor="text1"/>
        </w:rPr>
        <w:t>There are Australian research institutions with the right culture – they should be preserved and replicated</w:t>
      </w:r>
      <w:r w:rsidRPr="00AF5BCB">
        <w:rPr>
          <w:b w:val="0"/>
          <w:noProof/>
          <w:color w:val="000000" w:themeColor="text1"/>
        </w:rPr>
        <w:tab/>
      </w:r>
      <w:r w:rsidRPr="00AF5BCB">
        <w:rPr>
          <w:b w:val="0"/>
          <w:noProof/>
          <w:color w:val="000000" w:themeColor="text1"/>
        </w:rPr>
        <w:fldChar w:fldCharType="begin"/>
      </w:r>
      <w:r w:rsidRPr="00AF5BCB">
        <w:rPr>
          <w:b w:val="0"/>
          <w:noProof/>
          <w:color w:val="000000" w:themeColor="text1"/>
        </w:rPr>
        <w:instrText xml:space="preserve"> PAGEREF _Toc278718404 \h </w:instrText>
      </w:r>
      <w:r w:rsidRPr="00AF5BCB">
        <w:rPr>
          <w:b w:val="0"/>
          <w:noProof/>
          <w:color w:val="000000" w:themeColor="text1"/>
        </w:rPr>
      </w:r>
      <w:r w:rsidRPr="00AF5BCB">
        <w:rPr>
          <w:b w:val="0"/>
          <w:noProof/>
          <w:color w:val="000000" w:themeColor="text1"/>
        </w:rPr>
        <w:fldChar w:fldCharType="separate"/>
      </w:r>
      <w:r w:rsidR="0050242C">
        <w:rPr>
          <w:b w:val="0"/>
          <w:noProof/>
          <w:color w:val="000000" w:themeColor="text1"/>
        </w:rPr>
        <w:t>10</w:t>
      </w:r>
      <w:r w:rsidRPr="00AF5BCB">
        <w:rPr>
          <w:b w:val="0"/>
          <w:noProof/>
          <w:color w:val="000000" w:themeColor="text1"/>
        </w:rPr>
        <w:fldChar w:fldCharType="end"/>
      </w:r>
    </w:p>
    <w:p w14:paraId="3C75CD7A" w14:textId="2A985C8F" w:rsidR="00AF5BCB" w:rsidRPr="00990348" w:rsidRDefault="00AF5BCB" w:rsidP="00990348">
      <w:pPr>
        <w:pStyle w:val="TOC1"/>
        <w:rPr>
          <w:b w:val="0"/>
          <w:noProof/>
          <w:color w:val="000000" w:themeColor="text1"/>
        </w:rPr>
      </w:pPr>
      <w:r w:rsidRPr="00AF5BCB">
        <w:rPr>
          <w:b w:val="0"/>
          <w:noProof/>
          <w:color w:val="000000" w:themeColor="text1"/>
        </w:rPr>
        <w:t>4)</w:t>
      </w:r>
      <w:r w:rsidRPr="00AF5BCB">
        <w:rPr>
          <w:rFonts w:asciiTheme="minorHAnsi" w:hAnsiTheme="minorHAnsi"/>
          <w:b w:val="0"/>
          <w:noProof/>
          <w:color w:val="000000" w:themeColor="text1"/>
          <w:lang w:eastAsia="ja-JP"/>
        </w:rPr>
        <w:tab/>
      </w:r>
      <w:r w:rsidRPr="00AF5BCB">
        <w:rPr>
          <w:b w:val="0"/>
          <w:noProof/>
          <w:color w:val="000000" w:themeColor="text1"/>
        </w:rPr>
        <w:t>Absorptive capacity matters, and can be improved by better aligning public research spend with industry needs</w:t>
      </w:r>
      <w:r w:rsidRPr="00AF5BCB">
        <w:rPr>
          <w:b w:val="0"/>
          <w:noProof/>
          <w:color w:val="000000" w:themeColor="text1"/>
        </w:rPr>
        <w:tab/>
      </w:r>
      <w:r w:rsidRPr="00AF5BCB">
        <w:rPr>
          <w:b w:val="0"/>
          <w:noProof/>
          <w:color w:val="000000" w:themeColor="text1"/>
        </w:rPr>
        <w:fldChar w:fldCharType="begin"/>
      </w:r>
      <w:r w:rsidRPr="00AF5BCB">
        <w:rPr>
          <w:b w:val="0"/>
          <w:noProof/>
          <w:color w:val="000000" w:themeColor="text1"/>
        </w:rPr>
        <w:instrText xml:space="preserve"> PAGEREF _Toc278718405 \h </w:instrText>
      </w:r>
      <w:r w:rsidRPr="00AF5BCB">
        <w:rPr>
          <w:b w:val="0"/>
          <w:noProof/>
          <w:color w:val="000000" w:themeColor="text1"/>
        </w:rPr>
      </w:r>
      <w:r w:rsidRPr="00AF5BCB">
        <w:rPr>
          <w:b w:val="0"/>
          <w:noProof/>
          <w:color w:val="000000" w:themeColor="text1"/>
        </w:rPr>
        <w:fldChar w:fldCharType="separate"/>
      </w:r>
      <w:r w:rsidR="0050242C">
        <w:rPr>
          <w:b w:val="0"/>
          <w:noProof/>
          <w:color w:val="000000" w:themeColor="text1"/>
        </w:rPr>
        <w:t>12</w:t>
      </w:r>
      <w:r w:rsidRPr="00AF5BCB">
        <w:rPr>
          <w:b w:val="0"/>
          <w:noProof/>
          <w:color w:val="000000" w:themeColor="text1"/>
        </w:rPr>
        <w:fldChar w:fldCharType="end"/>
      </w:r>
    </w:p>
    <w:p w14:paraId="0E589146" w14:textId="32239080" w:rsidR="00AF5BCB" w:rsidRPr="00990348" w:rsidRDefault="00AF5BCB" w:rsidP="00990348">
      <w:pPr>
        <w:pStyle w:val="TOC1"/>
        <w:rPr>
          <w:b w:val="0"/>
          <w:noProof/>
          <w:color w:val="000000" w:themeColor="text1"/>
        </w:rPr>
      </w:pPr>
      <w:r w:rsidRPr="00AF5BCB">
        <w:rPr>
          <w:b w:val="0"/>
          <w:noProof/>
          <w:color w:val="000000" w:themeColor="text1"/>
        </w:rPr>
        <w:t>5)</w:t>
      </w:r>
      <w:r w:rsidRPr="00AF5BCB">
        <w:rPr>
          <w:rFonts w:asciiTheme="minorHAnsi" w:hAnsiTheme="minorHAnsi"/>
          <w:b w:val="0"/>
          <w:noProof/>
          <w:color w:val="000000" w:themeColor="text1"/>
          <w:lang w:eastAsia="ja-JP"/>
        </w:rPr>
        <w:tab/>
      </w:r>
      <w:r w:rsidRPr="00AF5BCB">
        <w:rPr>
          <w:b w:val="0"/>
          <w:noProof/>
          <w:color w:val="000000" w:themeColor="text1"/>
        </w:rPr>
        <w:t>There is a huge difference between generating a return for the country and appropriating the return by a given institution</w:t>
      </w:r>
      <w:r w:rsidRPr="00AF5BCB">
        <w:rPr>
          <w:b w:val="0"/>
          <w:noProof/>
          <w:color w:val="000000" w:themeColor="text1"/>
        </w:rPr>
        <w:tab/>
      </w:r>
      <w:r w:rsidRPr="00AF5BCB">
        <w:rPr>
          <w:b w:val="0"/>
          <w:noProof/>
          <w:color w:val="000000" w:themeColor="text1"/>
        </w:rPr>
        <w:fldChar w:fldCharType="begin"/>
      </w:r>
      <w:r w:rsidRPr="00AF5BCB">
        <w:rPr>
          <w:b w:val="0"/>
          <w:noProof/>
          <w:color w:val="000000" w:themeColor="text1"/>
        </w:rPr>
        <w:instrText xml:space="preserve"> PAGEREF _Toc278718406 \h </w:instrText>
      </w:r>
      <w:r w:rsidRPr="00AF5BCB">
        <w:rPr>
          <w:b w:val="0"/>
          <w:noProof/>
          <w:color w:val="000000" w:themeColor="text1"/>
        </w:rPr>
      </w:r>
      <w:r w:rsidRPr="00AF5BCB">
        <w:rPr>
          <w:b w:val="0"/>
          <w:noProof/>
          <w:color w:val="000000" w:themeColor="text1"/>
        </w:rPr>
        <w:fldChar w:fldCharType="separate"/>
      </w:r>
      <w:r w:rsidR="0050242C">
        <w:rPr>
          <w:b w:val="0"/>
          <w:noProof/>
          <w:color w:val="000000" w:themeColor="text1"/>
        </w:rPr>
        <w:t>12</w:t>
      </w:r>
      <w:r w:rsidRPr="00AF5BCB">
        <w:rPr>
          <w:b w:val="0"/>
          <w:noProof/>
          <w:color w:val="000000" w:themeColor="text1"/>
        </w:rPr>
        <w:fldChar w:fldCharType="end"/>
      </w:r>
    </w:p>
    <w:p w14:paraId="76C9D6A2" w14:textId="196B3AF8" w:rsidR="00AF5BCB" w:rsidRPr="00990348" w:rsidRDefault="00AF5BCB" w:rsidP="00990348">
      <w:pPr>
        <w:pStyle w:val="TOC1"/>
        <w:rPr>
          <w:b w:val="0"/>
          <w:noProof/>
          <w:color w:val="000000" w:themeColor="text1"/>
        </w:rPr>
      </w:pPr>
      <w:r w:rsidRPr="00AF5BCB">
        <w:rPr>
          <w:b w:val="0"/>
          <w:noProof/>
          <w:color w:val="000000" w:themeColor="text1"/>
        </w:rPr>
        <w:t>6)</w:t>
      </w:r>
      <w:r w:rsidRPr="00AF5BCB">
        <w:rPr>
          <w:rFonts w:asciiTheme="minorHAnsi" w:hAnsiTheme="minorHAnsi"/>
          <w:b w:val="0"/>
          <w:noProof/>
          <w:color w:val="000000" w:themeColor="text1"/>
          <w:lang w:eastAsia="ja-JP"/>
        </w:rPr>
        <w:tab/>
      </w:r>
      <w:r w:rsidRPr="00AF5BCB">
        <w:rPr>
          <w:b w:val="0"/>
          <w:noProof/>
          <w:color w:val="000000" w:themeColor="text1"/>
        </w:rPr>
        <w:t>Industry sectors are the wrong way to focus research effort; technological and innovative capacity is the right way</w:t>
      </w:r>
      <w:r w:rsidRPr="00AF5BCB">
        <w:rPr>
          <w:b w:val="0"/>
          <w:noProof/>
          <w:color w:val="000000" w:themeColor="text1"/>
        </w:rPr>
        <w:tab/>
      </w:r>
      <w:r w:rsidRPr="00AF5BCB">
        <w:rPr>
          <w:b w:val="0"/>
          <w:noProof/>
          <w:color w:val="000000" w:themeColor="text1"/>
        </w:rPr>
        <w:fldChar w:fldCharType="begin"/>
      </w:r>
      <w:r w:rsidRPr="00AF5BCB">
        <w:rPr>
          <w:b w:val="0"/>
          <w:noProof/>
          <w:color w:val="000000" w:themeColor="text1"/>
        </w:rPr>
        <w:instrText xml:space="preserve"> PAGEREF _Toc278718407 \h </w:instrText>
      </w:r>
      <w:r w:rsidRPr="00AF5BCB">
        <w:rPr>
          <w:b w:val="0"/>
          <w:noProof/>
          <w:color w:val="000000" w:themeColor="text1"/>
        </w:rPr>
      </w:r>
      <w:r w:rsidRPr="00AF5BCB">
        <w:rPr>
          <w:b w:val="0"/>
          <w:noProof/>
          <w:color w:val="000000" w:themeColor="text1"/>
        </w:rPr>
        <w:fldChar w:fldCharType="separate"/>
      </w:r>
      <w:r w:rsidR="0050242C">
        <w:rPr>
          <w:b w:val="0"/>
          <w:noProof/>
          <w:color w:val="000000" w:themeColor="text1"/>
        </w:rPr>
        <w:t>15</w:t>
      </w:r>
      <w:r w:rsidRPr="00AF5BCB">
        <w:rPr>
          <w:b w:val="0"/>
          <w:noProof/>
          <w:color w:val="000000" w:themeColor="text1"/>
        </w:rPr>
        <w:fldChar w:fldCharType="end"/>
      </w:r>
    </w:p>
    <w:p w14:paraId="383C0B80" w14:textId="41C205F9" w:rsidR="00AF5BCB" w:rsidRPr="00990348" w:rsidRDefault="00AF5BCB" w:rsidP="00990348">
      <w:pPr>
        <w:pStyle w:val="TOC1"/>
        <w:rPr>
          <w:b w:val="0"/>
          <w:noProof/>
          <w:color w:val="000000" w:themeColor="text1"/>
        </w:rPr>
      </w:pPr>
      <w:r w:rsidRPr="00AF5BCB">
        <w:rPr>
          <w:b w:val="0"/>
          <w:noProof/>
          <w:color w:val="000000" w:themeColor="text1"/>
        </w:rPr>
        <w:t>7)</w:t>
      </w:r>
      <w:r w:rsidRPr="00AF5BCB">
        <w:rPr>
          <w:rFonts w:asciiTheme="minorHAnsi" w:hAnsiTheme="minorHAnsi"/>
          <w:b w:val="0"/>
          <w:noProof/>
          <w:color w:val="000000" w:themeColor="text1"/>
          <w:lang w:eastAsia="ja-JP"/>
        </w:rPr>
        <w:tab/>
      </w:r>
      <w:r w:rsidRPr="00AF5BCB">
        <w:rPr>
          <w:b w:val="0"/>
          <w:noProof/>
          <w:color w:val="000000" w:themeColor="text1"/>
        </w:rPr>
        <w:t>Improving the assessment of research systems makes sense, but that does not mean more KPIs</w:t>
      </w:r>
      <w:r w:rsidRPr="00AF5BCB">
        <w:rPr>
          <w:b w:val="0"/>
          <w:noProof/>
          <w:color w:val="000000" w:themeColor="text1"/>
        </w:rPr>
        <w:tab/>
      </w:r>
      <w:r w:rsidRPr="00AF5BCB">
        <w:rPr>
          <w:b w:val="0"/>
          <w:noProof/>
          <w:color w:val="000000" w:themeColor="text1"/>
        </w:rPr>
        <w:fldChar w:fldCharType="begin"/>
      </w:r>
      <w:r w:rsidRPr="00AF5BCB">
        <w:rPr>
          <w:b w:val="0"/>
          <w:noProof/>
          <w:color w:val="000000" w:themeColor="text1"/>
        </w:rPr>
        <w:instrText xml:space="preserve"> PAGEREF _Toc278718408 \h </w:instrText>
      </w:r>
      <w:r w:rsidRPr="00AF5BCB">
        <w:rPr>
          <w:b w:val="0"/>
          <w:noProof/>
          <w:color w:val="000000" w:themeColor="text1"/>
        </w:rPr>
      </w:r>
      <w:r w:rsidRPr="00AF5BCB">
        <w:rPr>
          <w:b w:val="0"/>
          <w:noProof/>
          <w:color w:val="000000" w:themeColor="text1"/>
        </w:rPr>
        <w:fldChar w:fldCharType="separate"/>
      </w:r>
      <w:r w:rsidR="0050242C">
        <w:rPr>
          <w:b w:val="0"/>
          <w:noProof/>
          <w:color w:val="000000" w:themeColor="text1"/>
        </w:rPr>
        <w:t>17</w:t>
      </w:r>
      <w:r w:rsidRPr="00AF5BCB">
        <w:rPr>
          <w:b w:val="0"/>
          <w:noProof/>
          <w:color w:val="000000" w:themeColor="text1"/>
        </w:rPr>
        <w:fldChar w:fldCharType="end"/>
      </w:r>
    </w:p>
    <w:p w14:paraId="63CC4D55" w14:textId="4B6BFF0B" w:rsidR="00AF5BCB" w:rsidRPr="00990348" w:rsidRDefault="00AF5BCB" w:rsidP="00990348">
      <w:pPr>
        <w:pStyle w:val="TOC1"/>
        <w:rPr>
          <w:b w:val="0"/>
          <w:noProof/>
          <w:color w:val="000000" w:themeColor="text1"/>
        </w:rPr>
      </w:pPr>
      <w:r w:rsidRPr="00AF5BCB">
        <w:rPr>
          <w:b w:val="0"/>
          <w:noProof/>
          <w:color w:val="000000" w:themeColor="text1"/>
        </w:rPr>
        <w:t>8)</w:t>
      </w:r>
      <w:r w:rsidRPr="00AF5BCB">
        <w:rPr>
          <w:rFonts w:asciiTheme="minorHAnsi" w:hAnsiTheme="minorHAnsi"/>
          <w:b w:val="0"/>
          <w:noProof/>
          <w:color w:val="000000" w:themeColor="text1"/>
          <w:lang w:eastAsia="ja-JP"/>
        </w:rPr>
        <w:tab/>
      </w:r>
      <w:r w:rsidRPr="00AF5BCB">
        <w:rPr>
          <w:b w:val="0"/>
          <w:noProof/>
          <w:color w:val="000000" w:themeColor="text1"/>
        </w:rPr>
        <w:t>Research training matters, and there are Australian models of how to do it well which can be replicated</w:t>
      </w:r>
      <w:r w:rsidRPr="00AF5BCB">
        <w:rPr>
          <w:b w:val="0"/>
          <w:noProof/>
          <w:color w:val="000000" w:themeColor="text1"/>
        </w:rPr>
        <w:tab/>
      </w:r>
      <w:r w:rsidRPr="00AF5BCB">
        <w:rPr>
          <w:b w:val="0"/>
          <w:noProof/>
          <w:color w:val="000000" w:themeColor="text1"/>
        </w:rPr>
        <w:fldChar w:fldCharType="begin"/>
      </w:r>
      <w:r w:rsidRPr="00AF5BCB">
        <w:rPr>
          <w:b w:val="0"/>
          <w:noProof/>
          <w:color w:val="000000" w:themeColor="text1"/>
        </w:rPr>
        <w:instrText xml:space="preserve"> PAGEREF _Toc278718409 \h </w:instrText>
      </w:r>
      <w:r w:rsidRPr="00AF5BCB">
        <w:rPr>
          <w:b w:val="0"/>
          <w:noProof/>
          <w:color w:val="000000" w:themeColor="text1"/>
        </w:rPr>
      </w:r>
      <w:r w:rsidRPr="00AF5BCB">
        <w:rPr>
          <w:b w:val="0"/>
          <w:noProof/>
          <w:color w:val="000000" w:themeColor="text1"/>
        </w:rPr>
        <w:fldChar w:fldCharType="separate"/>
      </w:r>
      <w:r w:rsidR="0050242C">
        <w:rPr>
          <w:b w:val="0"/>
          <w:noProof/>
          <w:color w:val="000000" w:themeColor="text1"/>
        </w:rPr>
        <w:t>18</w:t>
      </w:r>
      <w:r w:rsidRPr="00AF5BCB">
        <w:rPr>
          <w:b w:val="0"/>
          <w:noProof/>
          <w:color w:val="000000" w:themeColor="text1"/>
        </w:rPr>
        <w:fldChar w:fldCharType="end"/>
      </w:r>
    </w:p>
    <w:p w14:paraId="6E78B06D" w14:textId="77777777" w:rsidR="00AF5BCB" w:rsidRPr="00AF5BCB" w:rsidRDefault="00AF5BCB">
      <w:pPr>
        <w:pStyle w:val="TOC1"/>
        <w:rPr>
          <w:rFonts w:asciiTheme="minorHAnsi" w:hAnsiTheme="minorHAnsi"/>
          <w:b w:val="0"/>
          <w:noProof/>
          <w:color w:val="000000" w:themeColor="text1"/>
          <w:lang w:eastAsia="ja-JP"/>
        </w:rPr>
      </w:pPr>
      <w:r w:rsidRPr="00AF5BCB">
        <w:rPr>
          <w:b w:val="0"/>
          <w:noProof/>
          <w:color w:val="000000" w:themeColor="text1"/>
        </w:rPr>
        <w:t>9)</w:t>
      </w:r>
      <w:r w:rsidRPr="00AF5BCB">
        <w:rPr>
          <w:rFonts w:asciiTheme="minorHAnsi" w:hAnsiTheme="minorHAnsi"/>
          <w:b w:val="0"/>
          <w:noProof/>
          <w:color w:val="000000" w:themeColor="text1"/>
          <w:lang w:eastAsia="ja-JP"/>
        </w:rPr>
        <w:tab/>
      </w:r>
      <w:r w:rsidRPr="00AF5BCB">
        <w:rPr>
          <w:b w:val="0"/>
          <w:noProof/>
          <w:color w:val="000000" w:themeColor="text1"/>
        </w:rPr>
        <w:t>Preservation of research funding is essential – run the country like a business</w:t>
      </w:r>
      <w:r w:rsidRPr="00AF5BCB">
        <w:rPr>
          <w:b w:val="0"/>
          <w:noProof/>
          <w:color w:val="000000" w:themeColor="text1"/>
        </w:rPr>
        <w:tab/>
      </w:r>
      <w:r w:rsidRPr="00AF5BCB">
        <w:rPr>
          <w:b w:val="0"/>
          <w:noProof/>
          <w:color w:val="000000" w:themeColor="text1"/>
        </w:rPr>
        <w:fldChar w:fldCharType="begin"/>
      </w:r>
      <w:r w:rsidRPr="00AF5BCB">
        <w:rPr>
          <w:b w:val="0"/>
          <w:noProof/>
          <w:color w:val="000000" w:themeColor="text1"/>
        </w:rPr>
        <w:instrText xml:space="preserve"> PAGEREF _Toc278718410 \h </w:instrText>
      </w:r>
      <w:r w:rsidRPr="00AF5BCB">
        <w:rPr>
          <w:b w:val="0"/>
          <w:noProof/>
          <w:color w:val="000000" w:themeColor="text1"/>
        </w:rPr>
      </w:r>
      <w:r w:rsidRPr="00AF5BCB">
        <w:rPr>
          <w:b w:val="0"/>
          <w:noProof/>
          <w:color w:val="000000" w:themeColor="text1"/>
        </w:rPr>
        <w:fldChar w:fldCharType="separate"/>
      </w:r>
      <w:r w:rsidR="0050242C">
        <w:rPr>
          <w:b w:val="0"/>
          <w:noProof/>
          <w:color w:val="000000" w:themeColor="text1"/>
        </w:rPr>
        <w:t>19</w:t>
      </w:r>
      <w:r w:rsidRPr="00AF5BCB">
        <w:rPr>
          <w:b w:val="0"/>
          <w:noProof/>
          <w:color w:val="000000" w:themeColor="text1"/>
        </w:rPr>
        <w:fldChar w:fldCharType="end"/>
      </w:r>
    </w:p>
    <w:p w14:paraId="4A540C2C" w14:textId="6571BB10" w:rsidR="009A249E" w:rsidRPr="00AF5BCB" w:rsidRDefault="00850F14" w:rsidP="00FD5C2A">
      <w:pPr>
        <w:rPr>
          <w:color w:val="000000" w:themeColor="text1"/>
        </w:rPr>
      </w:pPr>
      <w:r w:rsidRPr="00AF5BCB">
        <w:rPr>
          <w:rFonts w:asciiTheme="majorHAnsi" w:hAnsiTheme="majorHAnsi"/>
          <w:color w:val="000000" w:themeColor="text1"/>
        </w:rPr>
        <w:fldChar w:fldCharType="end"/>
      </w:r>
    </w:p>
    <w:p w14:paraId="55323D1E" w14:textId="0F8625A2" w:rsidR="00E21C6B" w:rsidRPr="00EE4E4C" w:rsidRDefault="009A249E" w:rsidP="00EE4E4C">
      <w:pPr>
        <w:pStyle w:val="Heading1"/>
        <w:numPr>
          <w:ilvl w:val="0"/>
          <w:numId w:val="5"/>
        </w:numPr>
      </w:pPr>
      <w:bookmarkStart w:id="1" w:name="_Ref278571396"/>
      <w:bookmarkStart w:id="2" w:name="_Toc278623269"/>
      <w:bookmarkStart w:id="3" w:name="_Toc278626593"/>
      <w:bookmarkStart w:id="4" w:name="_Toc278718402"/>
      <w:r>
        <w:lastRenderedPageBreak/>
        <w:t>There is n</w:t>
      </w:r>
      <w:r w:rsidR="00297238" w:rsidRPr="00EE4E4C">
        <w:t>o evidence that p</w:t>
      </w:r>
      <w:r w:rsidR="00E21C6B" w:rsidRPr="00EE4E4C">
        <w:t xml:space="preserve">erformance based research funding </w:t>
      </w:r>
      <w:r w:rsidR="00297238" w:rsidRPr="00EE4E4C">
        <w:t xml:space="preserve">incentives </w:t>
      </w:r>
      <w:r w:rsidR="00E21C6B" w:rsidRPr="00EE4E4C">
        <w:t>work</w:t>
      </w:r>
      <w:bookmarkEnd w:id="1"/>
      <w:bookmarkEnd w:id="2"/>
      <w:bookmarkEnd w:id="3"/>
      <w:bookmarkEnd w:id="4"/>
      <w:r w:rsidR="004E60D1">
        <w:t xml:space="preserve"> </w:t>
      </w:r>
    </w:p>
    <w:p w14:paraId="6EBC8136" w14:textId="7456E490" w:rsidR="008B4526" w:rsidRDefault="00297238" w:rsidP="00E21C6B">
      <w:pPr>
        <w:rPr>
          <w:rFonts w:cs="Arial"/>
          <w:color w:val="000000"/>
        </w:rPr>
      </w:pPr>
      <w:r>
        <w:t>The call for submissions lists several possible mechanisms to boost the commercial returns of research. The first (“</w:t>
      </w:r>
      <w:r w:rsidRPr="002073D7">
        <w:rPr>
          <w:rStyle w:val="QuoteChar"/>
        </w:rPr>
        <w:t>adjusting research funding mechanisms to provide greater incentives for collaboration between research and industry</w:t>
      </w:r>
      <w:r>
        <w:t>”) is predicated on the notion that “Performance Based Research Funding” can actually materially affect the outcomes</w:t>
      </w:r>
      <w:r w:rsidR="00C35E2F">
        <w:t xml:space="preserve"> in a positive manner</w:t>
      </w:r>
      <w:r>
        <w:t>. However</w:t>
      </w:r>
      <w:r w:rsidR="008B4526">
        <w:t xml:space="preserve">, </w:t>
      </w:r>
      <w:r w:rsidR="008B4526" w:rsidRPr="00297238">
        <w:t>as</w:t>
      </w:r>
      <w:r>
        <w:t xml:space="preserve"> is explained clearly in the very </w:t>
      </w:r>
      <w:r w:rsidR="002503F3">
        <w:t>source</w:t>
      </w:r>
      <w:r w:rsidRPr="008B4526">
        <w:rPr>
          <w:rStyle w:val="FootnoteReference"/>
          <w:rFonts w:cs="Arial"/>
          <w:color w:val="000000"/>
        </w:rPr>
        <w:footnoteReference w:id="3"/>
      </w:r>
      <w:r w:rsidR="002503F3" w:rsidRPr="008B4526">
        <w:t xml:space="preserve"> </w:t>
      </w:r>
      <w:r w:rsidR="002503F3">
        <w:t>the government quotes</w:t>
      </w:r>
      <w:r>
        <w:t xml:space="preserve"> in its own paper</w:t>
      </w:r>
      <w:r>
        <w:rPr>
          <w:rStyle w:val="FootnoteReference"/>
        </w:rPr>
        <w:footnoteReference w:id="4"/>
      </w:r>
      <w:r>
        <w:t>,</w:t>
      </w:r>
      <w:r w:rsidR="002503F3">
        <w:t xml:space="preserve"> </w:t>
      </w:r>
      <w:r>
        <w:t xml:space="preserve">there is </w:t>
      </w:r>
      <w:r w:rsidRPr="002073D7">
        <w:rPr>
          <w:rStyle w:val="Emphasis"/>
        </w:rPr>
        <w:t xml:space="preserve">no compelling empirical evidence that </w:t>
      </w:r>
      <w:r w:rsidR="000C1F9F" w:rsidRPr="002073D7">
        <w:rPr>
          <w:rStyle w:val="Emphasis"/>
        </w:rPr>
        <w:t>performance based incentives make any p</w:t>
      </w:r>
      <w:r w:rsidRPr="002073D7">
        <w:rPr>
          <w:rStyle w:val="Emphasis"/>
        </w:rPr>
        <w:t>ositive difference in research and there is</w:t>
      </w:r>
      <w:r w:rsidR="000C1F9F" w:rsidRPr="002073D7">
        <w:rPr>
          <w:rStyle w:val="Emphasis"/>
        </w:rPr>
        <w:t xml:space="preserve"> evidence they induce harm</w:t>
      </w:r>
      <w:r w:rsidR="00533652">
        <w:t>. Th</w:t>
      </w:r>
      <w:r w:rsidR="00CA3375">
        <w:t>us th</w:t>
      </w:r>
      <w:r w:rsidR="00533652">
        <w:t>e claim</w:t>
      </w:r>
      <w:r w:rsidR="00CA3375">
        <w:rPr>
          <w:rStyle w:val="FootnoteReference"/>
        </w:rPr>
        <w:footnoteReference w:id="5"/>
      </w:r>
      <w:r w:rsidR="00533652">
        <w:t xml:space="preserve"> </w:t>
      </w:r>
      <w:r w:rsidR="00533652" w:rsidRPr="00CA3375">
        <w:t>“</w:t>
      </w:r>
      <w:r w:rsidR="00533652" w:rsidRPr="002073D7">
        <w:rPr>
          <w:rStyle w:val="QuoteChar"/>
        </w:rPr>
        <w:t>To improve the commercial outcomes from publicly funded research, the u</w:t>
      </w:r>
      <w:r w:rsidR="00CA3375" w:rsidRPr="002073D7">
        <w:rPr>
          <w:rStyle w:val="QuoteChar"/>
        </w:rPr>
        <w:t>nderlying incentives must shift</w:t>
      </w:r>
      <w:r w:rsidR="00CA3375">
        <w:rPr>
          <w:rFonts w:cs="Arial"/>
          <w:color w:val="000000"/>
        </w:rPr>
        <w:t>” i</w:t>
      </w:r>
      <w:r w:rsidR="00533652" w:rsidRPr="00CA3375">
        <w:rPr>
          <w:rFonts w:cs="Arial"/>
          <w:color w:val="000000"/>
        </w:rPr>
        <w:t>s not based on evidence.</w:t>
      </w:r>
      <w:r w:rsidR="00D15752" w:rsidRPr="00CA3375">
        <w:rPr>
          <w:rFonts w:cs="Arial"/>
          <w:color w:val="000000"/>
        </w:rPr>
        <w:t xml:space="preserve">  </w:t>
      </w:r>
    </w:p>
    <w:p w14:paraId="7183F408" w14:textId="448B5E53" w:rsidR="00944AE0" w:rsidRDefault="008B4526" w:rsidP="008B4526">
      <w:pPr>
        <w:rPr>
          <w:rFonts w:cs="Arial"/>
          <w:color w:val="000000"/>
        </w:rPr>
      </w:pPr>
      <w:r>
        <w:rPr>
          <w:rFonts w:cs="Arial"/>
          <w:color w:val="000000"/>
        </w:rPr>
        <w:t xml:space="preserve">As </w:t>
      </w:r>
      <w:r w:rsidR="00574E6E">
        <w:rPr>
          <w:rFonts w:cs="Arial"/>
          <w:color w:val="000000"/>
        </w:rPr>
        <w:t>Linda Butler states</w:t>
      </w:r>
      <w:r>
        <w:rPr>
          <w:rFonts w:cs="Arial"/>
          <w:color w:val="000000"/>
        </w:rPr>
        <w:t xml:space="preserve"> on p</w:t>
      </w:r>
      <w:r w:rsidRPr="008B4526">
        <w:rPr>
          <w:rFonts w:cs="Arial"/>
          <w:color w:val="000000"/>
        </w:rPr>
        <w:t xml:space="preserve">age 128 of the </w:t>
      </w:r>
      <w:r>
        <w:rPr>
          <w:rFonts w:cs="Arial"/>
          <w:color w:val="000000"/>
        </w:rPr>
        <w:t xml:space="preserve">source </w:t>
      </w:r>
      <w:r w:rsidR="00704407">
        <w:rPr>
          <w:rFonts w:cs="Arial"/>
          <w:color w:val="000000"/>
        </w:rPr>
        <w:t>cited</w:t>
      </w:r>
      <w:r w:rsidRPr="008B4526">
        <w:rPr>
          <w:rFonts w:cs="Arial"/>
          <w:color w:val="000000"/>
        </w:rPr>
        <w:t xml:space="preserve"> </w:t>
      </w:r>
      <w:r w:rsidRPr="002073D7">
        <w:rPr>
          <w:rStyle w:val="BookTitle"/>
        </w:rPr>
        <w:t xml:space="preserve">Performance </w:t>
      </w:r>
      <w:r w:rsidR="00574E6E" w:rsidRPr="002073D7">
        <w:rPr>
          <w:rStyle w:val="BookTitle"/>
        </w:rPr>
        <w:t>B</w:t>
      </w:r>
      <w:r w:rsidRPr="002073D7">
        <w:rPr>
          <w:rStyle w:val="BookTitle"/>
        </w:rPr>
        <w:t xml:space="preserve">ased Funding for Public Research in Tertiary Institutions </w:t>
      </w:r>
    </w:p>
    <w:p w14:paraId="6E35C0B4" w14:textId="31AE734A" w:rsidR="00944AE0" w:rsidRPr="008B4526" w:rsidRDefault="008B4526" w:rsidP="00104D16">
      <w:pPr>
        <w:ind w:left="720"/>
        <w:rPr>
          <w:rFonts w:cs="Arial"/>
          <w:color w:val="000000"/>
        </w:rPr>
      </w:pPr>
      <w:r w:rsidRPr="008B4526">
        <w:rPr>
          <w:rFonts w:cs="Arial"/>
          <w:color w:val="000000"/>
        </w:rPr>
        <w:t>“</w:t>
      </w:r>
      <w:r w:rsidRPr="002073D7">
        <w:rPr>
          <w:rStyle w:val="QuoteChar"/>
        </w:rPr>
        <w:t>Assessing the impact of performance-based research funding systems is a fraught exercise, which perhaps explains the paucity of broad author</w:t>
      </w:r>
      <w:r w:rsidR="000426E9" w:rsidRPr="002073D7">
        <w:rPr>
          <w:rStyle w:val="QuoteChar"/>
        </w:rPr>
        <w:t>it</w:t>
      </w:r>
      <w:r w:rsidRPr="002073D7">
        <w:rPr>
          <w:rStyle w:val="QuoteChar"/>
        </w:rPr>
        <w:t xml:space="preserve">ative texts on the subject. The literature is full of words like ‘likely’, ‘potential’, and ‘possible’ but contains relatively few concrete examples that examine the impact of </w:t>
      </w:r>
      <w:proofErr w:type="spellStart"/>
      <w:r w:rsidRPr="002073D7">
        <w:rPr>
          <w:rStyle w:val="QuoteChar"/>
        </w:rPr>
        <w:t>PRFS</w:t>
      </w:r>
      <w:proofErr w:type="spellEnd"/>
      <w:r w:rsidRPr="002073D7">
        <w:rPr>
          <w:rStyle w:val="QuoteChar"/>
        </w:rPr>
        <w:t xml:space="preserve"> in detail, either through investigative data analyses or well-structured survey/qualitative investigations</w:t>
      </w:r>
      <w:r w:rsidRPr="008B4526">
        <w:rPr>
          <w:rFonts w:cs="Arial"/>
          <w:color w:val="000000"/>
        </w:rPr>
        <w:t>.”</w:t>
      </w:r>
    </w:p>
    <w:p w14:paraId="49E6BFC1" w14:textId="0C89AF42" w:rsidR="008B4526" w:rsidRDefault="008B4526" w:rsidP="008B4526">
      <w:pPr>
        <w:rPr>
          <w:rFonts w:cs="Arial"/>
          <w:color w:val="000000"/>
        </w:rPr>
      </w:pPr>
      <w:r w:rsidRPr="008B4526">
        <w:rPr>
          <w:rFonts w:cs="Arial"/>
          <w:color w:val="000000"/>
        </w:rPr>
        <w:t xml:space="preserve">Later (page 130) </w:t>
      </w:r>
      <w:r>
        <w:rPr>
          <w:rFonts w:cs="Arial"/>
          <w:color w:val="000000"/>
        </w:rPr>
        <w:t>Butler</w:t>
      </w:r>
      <w:r w:rsidRPr="008B4526">
        <w:rPr>
          <w:rFonts w:cs="Arial"/>
          <w:color w:val="000000"/>
        </w:rPr>
        <w:t xml:space="preserve"> says “</w:t>
      </w:r>
      <w:r w:rsidRPr="002073D7">
        <w:rPr>
          <w:rStyle w:val="QuoteChar"/>
        </w:rPr>
        <w:t>It is clear that the bulk of the evidence is based on the United Kingdom’s RAE</w:t>
      </w:r>
      <w:r w:rsidR="00574E6E">
        <w:rPr>
          <w:rFonts w:cs="Arial"/>
          <w:color w:val="000000"/>
        </w:rPr>
        <w:t>.</w:t>
      </w:r>
      <w:r w:rsidRPr="008B4526">
        <w:rPr>
          <w:rFonts w:cs="Arial"/>
          <w:color w:val="000000"/>
        </w:rPr>
        <w:t>”</w:t>
      </w:r>
    </w:p>
    <w:p w14:paraId="50B5F711" w14:textId="1915347F" w:rsidR="008B4526" w:rsidRDefault="008B4526" w:rsidP="00E21C6B">
      <w:pPr>
        <w:rPr>
          <w:rFonts w:cs="Arial"/>
          <w:color w:val="000000"/>
        </w:rPr>
      </w:pPr>
      <w:r w:rsidRPr="008B4526">
        <w:rPr>
          <w:rFonts w:cs="Arial"/>
          <w:color w:val="000000"/>
        </w:rPr>
        <w:t xml:space="preserve">Her conclusions are clear: there is </w:t>
      </w:r>
      <w:r w:rsidR="00EE3BFE" w:rsidRPr="002073D7">
        <w:rPr>
          <w:rStyle w:val="Emphasis"/>
        </w:rPr>
        <w:t>no</w:t>
      </w:r>
      <w:r w:rsidRPr="008B4526">
        <w:rPr>
          <w:rFonts w:cs="Arial"/>
          <w:color w:val="000000"/>
        </w:rPr>
        <w:t xml:space="preserve"> compelling evidence about the efficacy; such schemes are readily gamed;</w:t>
      </w:r>
      <w:r w:rsidR="00726FBD">
        <w:rPr>
          <w:rFonts w:cs="Arial"/>
          <w:color w:val="000000"/>
        </w:rPr>
        <w:t xml:space="preserve"> and</w:t>
      </w:r>
      <w:r w:rsidRPr="008B4526">
        <w:rPr>
          <w:rFonts w:cs="Arial"/>
          <w:color w:val="000000"/>
        </w:rPr>
        <w:t xml:space="preserve"> there are many deleterious unintended </w:t>
      </w:r>
      <w:r w:rsidR="00EE3BFE" w:rsidRPr="008B4526">
        <w:rPr>
          <w:rFonts w:cs="Arial"/>
          <w:color w:val="000000"/>
        </w:rPr>
        <w:t>consequences</w:t>
      </w:r>
      <w:r w:rsidRPr="008B4526">
        <w:rPr>
          <w:rFonts w:cs="Arial"/>
          <w:color w:val="000000"/>
        </w:rPr>
        <w:t>. And this is hardly a surprise – any experience</w:t>
      </w:r>
      <w:r w:rsidR="00EE3BFE">
        <w:rPr>
          <w:rFonts w:cs="Arial"/>
          <w:color w:val="000000"/>
        </w:rPr>
        <w:t>d world-class</w:t>
      </w:r>
      <w:r w:rsidRPr="008B4526">
        <w:rPr>
          <w:rFonts w:cs="Arial"/>
          <w:color w:val="000000"/>
        </w:rPr>
        <w:t xml:space="preserve"> research leader knows </w:t>
      </w:r>
      <w:r w:rsidR="000E59BD">
        <w:rPr>
          <w:rFonts w:cs="Arial"/>
          <w:color w:val="000000"/>
        </w:rPr>
        <w:t xml:space="preserve">from experience that </w:t>
      </w:r>
      <w:r w:rsidR="008C3402">
        <w:rPr>
          <w:rFonts w:cs="Arial"/>
          <w:color w:val="000000"/>
        </w:rPr>
        <w:t>simple-minded</w:t>
      </w:r>
      <w:r w:rsidR="00EE3BFE">
        <w:rPr>
          <w:rFonts w:cs="Arial"/>
          <w:color w:val="000000"/>
        </w:rPr>
        <w:t xml:space="preserve"> funding incentives</w:t>
      </w:r>
      <w:r w:rsidRPr="008B4526">
        <w:rPr>
          <w:rFonts w:cs="Arial"/>
          <w:color w:val="000000"/>
        </w:rPr>
        <w:t xml:space="preserve"> </w:t>
      </w:r>
      <w:r w:rsidR="00EE3BFE">
        <w:rPr>
          <w:rFonts w:cs="Arial"/>
          <w:color w:val="000000"/>
        </w:rPr>
        <w:t>are</w:t>
      </w:r>
      <w:r w:rsidRPr="008B4526">
        <w:rPr>
          <w:rFonts w:cs="Arial"/>
          <w:color w:val="000000"/>
        </w:rPr>
        <w:t xml:space="preserve"> </w:t>
      </w:r>
      <w:r w:rsidR="00EE3BFE">
        <w:rPr>
          <w:rFonts w:cs="Arial"/>
          <w:color w:val="000000"/>
        </w:rPr>
        <w:t xml:space="preserve">a </w:t>
      </w:r>
      <w:r w:rsidR="000E59BD">
        <w:rPr>
          <w:rFonts w:cs="Arial"/>
          <w:color w:val="000000"/>
        </w:rPr>
        <w:t xml:space="preserve">very poor </w:t>
      </w:r>
      <w:r w:rsidR="00EE3BFE">
        <w:rPr>
          <w:rFonts w:cs="Arial"/>
          <w:color w:val="000000"/>
        </w:rPr>
        <w:t>way</w:t>
      </w:r>
      <w:r w:rsidR="00574E6E">
        <w:rPr>
          <w:rFonts w:cs="Arial"/>
          <w:color w:val="000000"/>
        </w:rPr>
        <w:t xml:space="preserve"> to</w:t>
      </w:r>
      <w:r w:rsidR="00EE3BFE">
        <w:rPr>
          <w:rFonts w:cs="Arial"/>
          <w:color w:val="000000"/>
        </w:rPr>
        <w:t xml:space="preserve"> </w:t>
      </w:r>
      <w:r w:rsidRPr="008B4526">
        <w:rPr>
          <w:rFonts w:cs="Arial"/>
          <w:color w:val="000000"/>
        </w:rPr>
        <w:t>motivate researchers</w:t>
      </w:r>
      <w:r w:rsidR="00574E6E">
        <w:rPr>
          <w:rFonts w:cs="Arial"/>
          <w:color w:val="000000"/>
        </w:rPr>
        <w:t xml:space="preserve"> (see point </w:t>
      </w:r>
      <w:r w:rsidR="00574E6E">
        <w:rPr>
          <w:rFonts w:cs="Arial"/>
          <w:color w:val="000000"/>
        </w:rPr>
        <w:fldChar w:fldCharType="begin"/>
      </w:r>
      <w:r w:rsidR="00574E6E">
        <w:rPr>
          <w:rFonts w:cs="Arial"/>
          <w:color w:val="000000"/>
        </w:rPr>
        <w:instrText xml:space="preserve"> REF _Ref278701205 \r \h </w:instrText>
      </w:r>
      <w:r w:rsidR="00574E6E">
        <w:rPr>
          <w:rFonts w:cs="Arial"/>
          <w:color w:val="000000"/>
        </w:rPr>
      </w:r>
      <w:r w:rsidR="00574E6E">
        <w:rPr>
          <w:rFonts w:cs="Arial"/>
          <w:color w:val="000000"/>
        </w:rPr>
        <w:fldChar w:fldCharType="separate"/>
      </w:r>
      <w:r w:rsidR="0050242C">
        <w:rPr>
          <w:rFonts w:cs="Arial"/>
          <w:color w:val="000000"/>
        </w:rPr>
        <w:t>2)</w:t>
      </w:r>
      <w:r w:rsidR="00574E6E">
        <w:rPr>
          <w:rFonts w:cs="Arial"/>
          <w:color w:val="000000"/>
        </w:rPr>
        <w:fldChar w:fldCharType="end"/>
      </w:r>
      <w:r w:rsidR="00574E6E">
        <w:rPr>
          <w:rFonts w:cs="Arial"/>
          <w:color w:val="000000"/>
        </w:rPr>
        <w:t xml:space="preserve"> below on page </w:t>
      </w:r>
      <w:r w:rsidR="00574E6E">
        <w:rPr>
          <w:rFonts w:cs="Arial"/>
          <w:color w:val="000000"/>
        </w:rPr>
        <w:fldChar w:fldCharType="begin"/>
      </w:r>
      <w:r w:rsidR="00574E6E">
        <w:rPr>
          <w:rFonts w:cs="Arial"/>
          <w:color w:val="000000"/>
        </w:rPr>
        <w:instrText xml:space="preserve"> PAGEREF _Ref278701187 \h </w:instrText>
      </w:r>
      <w:r w:rsidR="00574E6E">
        <w:rPr>
          <w:rFonts w:cs="Arial"/>
          <w:color w:val="000000"/>
        </w:rPr>
      </w:r>
      <w:r w:rsidR="00574E6E">
        <w:rPr>
          <w:rFonts w:cs="Arial"/>
          <w:color w:val="000000"/>
        </w:rPr>
        <w:fldChar w:fldCharType="separate"/>
      </w:r>
      <w:r w:rsidR="0050242C">
        <w:rPr>
          <w:rFonts w:cs="Arial"/>
          <w:noProof/>
          <w:color w:val="000000"/>
        </w:rPr>
        <w:t>4</w:t>
      </w:r>
      <w:r w:rsidR="00574E6E">
        <w:rPr>
          <w:rFonts w:cs="Arial"/>
          <w:color w:val="000000"/>
        </w:rPr>
        <w:fldChar w:fldCharType="end"/>
      </w:r>
      <w:r w:rsidR="00574E6E">
        <w:rPr>
          <w:rFonts w:cs="Arial"/>
          <w:color w:val="000000"/>
        </w:rPr>
        <w:t>)</w:t>
      </w:r>
      <w:r w:rsidRPr="008B4526">
        <w:rPr>
          <w:rFonts w:cs="Arial"/>
          <w:color w:val="000000"/>
        </w:rPr>
        <w:t xml:space="preserve">. But this does not matter because there are some great ways that demonstrably work. </w:t>
      </w:r>
    </w:p>
    <w:p w14:paraId="22D86CE1" w14:textId="5D8BA47B" w:rsidR="00EE3BFE" w:rsidRDefault="00EE3BFE" w:rsidP="00E21C6B">
      <w:pPr>
        <w:rPr>
          <w:rFonts w:cs="Arial"/>
          <w:color w:val="000000"/>
        </w:rPr>
      </w:pPr>
      <w:r>
        <w:rPr>
          <w:rFonts w:cs="Arial"/>
          <w:color w:val="000000"/>
        </w:rPr>
        <w:lastRenderedPageBreak/>
        <w:t xml:space="preserve">Even more compelling evidence for the claim here comes from Silicon Valley and Stanford. </w:t>
      </w:r>
      <w:r w:rsidR="00CA3375">
        <w:rPr>
          <w:rFonts w:cs="Arial"/>
          <w:color w:val="000000"/>
        </w:rPr>
        <w:t>Stanford University is unquestionably credited as the source of Silicon Valley</w:t>
      </w:r>
      <w:r>
        <w:rPr>
          <w:rFonts w:cs="Arial"/>
          <w:color w:val="000000"/>
        </w:rPr>
        <w:t>. Stanford</w:t>
      </w:r>
      <w:r w:rsidR="00CA3375">
        <w:rPr>
          <w:rFonts w:cs="Arial"/>
          <w:color w:val="000000"/>
        </w:rPr>
        <w:t xml:space="preserve"> continues to generate vast wealth for the US through the entrepreneurial activity arising from </w:t>
      </w:r>
      <w:r>
        <w:rPr>
          <w:rFonts w:cs="Arial"/>
          <w:color w:val="000000"/>
        </w:rPr>
        <w:t>Stanford’s</w:t>
      </w:r>
      <w:r w:rsidR="00CA3375">
        <w:rPr>
          <w:rFonts w:cs="Arial"/>
          <w:color w:val="000000"/>
        </w:rPr>
        <w:t xml:space="preserve"> research. </w:t>
      </w:r>
      <w:r w:rsidR="00CA3375" w:rsidRPr="002073D7">
        <w:rPr>
          <w:rStyle w:val="Emphasis"/>
        </w:rPr>
        <w:t>There are no incentives at Stanford to encourage this</w:t>
      </w:r>
      <w:r>
        <w:rPr>
          <w:rFonts w:cs="Arial"/>
          <w:color w:val="000000"/>
        </w:rPr>
        <w:t>, apart from Stanford’s willingness to offer leaves of absence to its professors</w:t>
      </w:r>
      <w:r w:rsidR="00CA3375">
        <w:rPr>
          <w:rFonts w:cs="Arial"/>
          <w:color w:val="000000"/>
        </w:rPr>
        <w:t>. The promotion criteria</w:t>
      </w:r>
      <w:r w:rsidR="00CA3375">
        <w:rPr>
          <w:rStyle w:val="FootnoteReference"/>
          <w:rFonts w:cs="Arial"/>
          <w:color w:val="000000"/>
        </w:rPr>
        <w:footnoteReference w:id="6"/>
      </w:r>
      <w:r w:rsidR="00CA3375">
        <w:rPr>
          <w:rFonts w:cs="Arial"/>
          <w:color w:val="000000"/>
        </w:rPr>
        <w:t xml:space="preserve"> do not even mention once “</w:t>
      </w:r>
      <w:r w:rsidR="00CA3375" w:rsidRPr="002073D7">
        <w:rPr>
          <w:rStyle w:val="QuoteChar"/>
        </w:rPr>
        <w:t>commercialization</w:t>
      </w:r>
      <w:r w:rsidR="00CA3375">
        <w:rPr>
          <w:rFonts w:cs="Arial"/>
          <w:color w:val="000000"/>
        </w:rPr>
        <w:t>”, “</w:t>
      </w:r>
      <w:r w:rsidR="00CA3375" w:rsidRPr="002073D7">
        <w:rPr>
          <w:rStyle w:val="QuoteChar"/>
        </w:rPr>
        <w:t>industry engagement</w:t>
      </w:r>
      <w:r w:rsidR="00CA3375">
        <w:rPr>
          <w:rFonts w:cs="Arial"/>
          <w:color w:val="000000"/>
        </w:rPr>
        <w:t>”, “</w:t>
      </w:r>
      <w:r w:rsidR="00CA3375" w:rsidRPr="002073D7">
        <w:rPr>
          <w:rStyle w:val="QuoteChar"/>
        </w:rPr>
        <w:t>entrepreneurial activities</w:t>
      </w:r>
      <w:r w:rsidR="00CA3375">
        <w:rPr>
          <w:rFonts w:cs="Arial"/>
          <w:color w:val="000000"/>
        </w:rPr>
        <w:t xml:space="preserve">”. Academic promotion at Stanford is </w:t>
      </w:r>
      <w:r w:rsidR="00CA3375" w:rsidRPr="002073D7">
        <w:rPr>
          <w:rStyle w:val="Emphasis"/>
        </w:rPr>
        <w:t>entirely</w:t>
      </w:r>
      <w:r w:rsidR="00CA3375">
        <w:rPr>
          <w:rFonts w:cs="Arial"/>
          <w:color w:val="000000"/>
        </w:rPr>
        <w:t xml:space="preserve"> based on excellence in research and teaching.</w:t>
      </w:r>
    </w:p>
    <w:p w14:paraId="2308B222" w14:textId="5131F34D" w:rsidR="008B4526" w:rsidRDefault="00EE3BFE" w:rsidP="00E21C6B">
      <w:pPr>
        <w:rPr>
          <w:rFonts w:cs="Arial"/>
          <w:color w:val="000000"/>
        </w:rPr>
      </w:pPr>
      <w:r>
        <w:rPr>
          <w:rFonts w:cs="Arial"/>
          <w:color w:val="000000"/>
        </w:rPr>
        <w:t>Thus</w:t>
      </w:r>
      <w:r w:rsidR="00726FBD">
        <w:rPr>
          <w:rFonts w:cs="Arial"/>
          <w:color w:val="000000"/>
        </w:rPr>
        <w:t xml:space="preserve"> not only is</w:t>
      </w:r>
      <w:r>
        <w:rPr>
          <w:rFonts w:cs="Arial"/>
          <w:color w:val="000000"/>
        </w:rPr>
        <w:t xml:space="preserve"> there is no positive evidence that si</w:t>
      </w:r>
      <w:r w:rsidR="00726FBD">
        <w:rPr>
          <w:rFonts w:cs="Arial"/>
          <w:color w:val="000000"/>
        </w:rPr>
        <w:t>mple-minded incentives help, but what is arguably</w:t>
      </w:r>
      <w:r>
        <w:rPr>
          <w:rFonts w:cs="Arial"/>
          <w:color w:val="000000"/>
        </w:rPr>
        <w:t xml:space="preserve"> the world’s best place for achieving commercial returns on research do</w:t>
      </w:r>
      <w:r w:rsidR="00726FBD">
        <w:rPr>
          <w:rFonts w:cs="Arial"/>
          <w:color w:val="000000"/>
        </w:rPr>
        <w:t>es</w:t>
      </w:r>
      <w:r>
        <w:rPr>
          <w:rFonts w:cs="Arial"/>
          <w:color w:val="000000"/>
        </w:rPr>
        <w:t xml:space="preserve"> not try to so incentivize researchers. It is an idea wholly without merit, evidence or sense. The only explanation for its recurrent appeal to governments is well explained in James C. Scott’s</w:t>
      </w:r>
      <w:r w:rsidR="007069BE">
        <w:rPr>
          <w:rFonts w:cs="Arial"/>
          <w:color w:val="000000"/>
        </w:rPr>
        <w:t xml:space="preserve"> book</w:t>
      </w:r>
      <w:r>
        <w:rPr>
          <w:rFonts w:cs="Arial"/>
          <w:color w:val="000000"/>
        </w:rPr>
        <w:t xml:space="preserve"> </w:t>
      </w:r>
      <w:r w:rsidRPr="002073D7">
        <w:rPr>
          <w:rStyle w:val="BookTitle"/>
        </w:rPr>
        <w:t>Seeing Like a State: How Certain Schemes to Improve the Human Condition Have Failed</w:t>
      </w:r>
      <w:r>
        <w:rPr>
          <w:rStyle w:val="FootnoteReference"/>
          <w:rFonts w:cs="Arial"/>
          <w:i/>
          <w:color w:val="000000"/>
        </w:rPr>
        <w:footnoteReference w:id="7"/>
      </w:r>
      <w:r>
        <w:rPr>
          <w:rFonts w:cs="Arial"/>
          <w:color w:val="000000"/>
        </w:rPr>
        <w:t xml:space="preserve"> </w:t>
      </w:r>
      <w:r w:rsidR="00211A63">
        <w:rPr>
          <w:rFonts w:cs="Arial"/>
          <w:color w:val="000000"/>
        </w:rPr>
        <w:t xml:space="preserve">- states value </w:t>
      </w:r>
      <w:r w:rsidR="00211A63" w:rsidRPr="002073D7">
        <w:rPr>
          <w:rStyle w:val="Emphasis"/>
        </w:rPr>
        <w:t>legibility</w:t>
      </w:r>
      <w:r w:rsidR="00211A63">
        <w:rPr>
          <w:rFonts w:cs="Arial"/>
          <w:i/>
          <w:color w:val="000000"/>
        </w:rPr>
        <w:t xml:space="preserve"> </w:t>
      </w:r>
      <w:r w:rsidR="00211A63">
        <w:rPr>
          <w:rFonts w:cs="Arial"/>
          <w:color w:val="000000"/>
        </w:rPr>
        <w:t>over outcomes</w:t>
      </w:r>
      <w:r w:rsidR="007069BE">
        <w:rPr>
          <w:rFonts w:cs="Arial"/>
          <w:color w:val="000000"/>
        </w:rPr>
        <w:t xml:space="preserve"> – it is considered more important to be able to accurately account for things, tha</w:t>
      </w:r>
      <w:r w:rsidR="00EA733A">
        <w:rPr>
          <w:rFonts w:cs="Arial"/>
          <w:color w:val="000000"/>
        </w:rPr>
        <w:t>n</w:t>
      </w:r>
      <w:r w:rsidR="007069BE">
        <w:rPr>
          <w:rFonts w:cs="Arial"/>
          <w:color w:val="000000"/>
        </w:rPr>
        <w:t xml:space="preserve"> to achieve a good outcome</w:t>
      </w:r>
      <w:r w:rsidR="00211A63">
        <w:rPr>
          <w:rFonts w:cs="Arial"/>
          <w:color w:val="000000"/>
        </w:rPr>
        <w:t xml:space="preserve">; </w:t>
      </w:r>
      <w:r w:rsidR="007069BE">
        <w:rPr>
          <w:rFonts w:cs="Arial"/>
          <w:color w:val="000000"/>
        </w:rPr>
        <w:t>it is more important to appear to have control over a process, than have the process lead to good outcomes</w:t>
      </w:r>
      <w:r w:rsidR="00211A63">
        <w:rPr>
          <w:rFonts w:cs="Arial"/>
          <w:color w:val="000000"/>
        </w:rPr>
        <w:t>. The notion of exerting control over what is perhaps one of the most difficult creative act</w:t>
      </w:r>
      <w:r w:rsidR="007069BE">
        <w:rPr>
          <w:rFonts w:cs="Arial"/>
          <w:color w:val="000000"/>
        </w:rPr>
        <w:t xml:space="preserve">s known to </w:t>
      </w:r>
      <w:r w:rsidR="00EA733A">
        <w:rPr>
          <w:rFonts w:cs="Arial"/>
          <w:color w:val="000000"/>
        </w:rPr>
        <w:t xml:space="preserve">humankind </w:t>
      </w:r>
      <w:r w:rsidR="007069BE">
        <w:rPr>
          <w:rFonts w:cs="Arial"/>
          <w:color w:val="000000"/>
        </w:rPr>
        <w:t>by tuning KPIs would be laughable if it were not so damaging</w:t>
      </w:r>
      <w:r w:rsidR="00211A63">
        <w:rPr>
          <w:rFonts w:cs="Arial"/>
          <w:color w:val="000000"/>
        </w:rPr>
        <w:t>.</w:t>
      </w:r>
    </w:p>
    <w:p w14:paraId="7940A823" w14:textId="044FAB0A" w:rsidR="00650EC0" w:rsidRPr="00CA3375" w:rsidRDefault="00211A63" w:rsidP="00E21C6B">
      <w:pPr>
        <w:rPr>
          <w:rFonts w:cs="Arial"/>
          <w:color w:val="000000"/>
        </w:rPr>
      </w:pPr>
      <w:r>
        <w:rPr>
          <w:rFonts w:cs="Arial"/>
          <w:color w:val="000000"/>
        </w:rPr>
        <w:t>Finally, t</w:t>
      </w:r>
      <w:r w:rsidR="008B4526">
        <w:rPr>
          <w:rFonts w:cs="Arial"/>
          <w:color w:val="000000"/>
        </w:rPr>
        <w:t>he government’s report</w:t>
      </w:r>
      <w:r w:rsidR="00C35E2F">
        <w:rPr>
          <w:rStyle w:val="FootnoteReference"/>
          <w:rFonts w:cs="Arial"/>
          <w:color w:val="000000"/>
        </w:rPr>
        <w:footnoteReference w:id="8"/>
      </w:r>
      <w:r w:rsidR="008B4526">
        <w:rPr>
          <w:rFonts w:cs="Arial"/>
          <w:color w:val="000000"/>
        </w:rPr>
        <w:t xml:space="preserve"> also claims </w:t>
      </w:r>
      <w:r w:rsidR="008B4526" w:rsidRPr="008B4526">
        <w:rPr>
          <w:rFonts w:cs="Arial"/>
          <w:color w:val="000000"/>
        </w:rPr>
        <w:t>“</w:t>
      </w:r>
      <w:r w:rsidR="008B4526" w:rsidRPr="002073D7">
        <w:rPr>
          <w:rStyle w:val="QuoteChar"/>
        </w:rPr>
        <w:t>Australia’s research output (in terms of publications and citations) ranks highly in the OECD on indicators of research quality</w:t>
      </w:r>
      <w:r w:rsidR="008B4526" w:rsidRPr="008B4526">
        <w:rPr>
          <w:rFonts w:cs="Arial"/>
          <w:color w:val="000000"/>
        </w:rPr>
        <w:t xml:space="preserve">.”  </w:t>
      </w:r>
      <w:r w:rsidR="008B4526">
        <w:rPr>
          <w:rFonts w:cs="Arial"/>
          <w:color w:val="000000"/>
        </w:rPr>
        <w:t>Comparison with alternate analyses</w:t>
      </w:r>
      <w:r w:rsidR="008B4526">
        <w:rPr>
          <w:rStyle w:val="FootnoteReference"/>
          <w:rFonts w:cs="Arial"/>
          <w:color w:val="000000"/>
        </w:rPr>
        <w:footnoteReference w:id="9"/>
      </w:r>
      <w:r w:rsidR="008B4526">
        <w:rPr>
          <w:rFonts w:cs="Arial"/>
          <w:color w:val="000000"/>
        </w:rPr>
        <w:t xml:space="preserve"> of OECD statistics suggests this is generous.</w:t>
      </w:r>
      <w:r>
        <w:rPr>
          <w:rFonts w:cs="Arial"/>
          <w:color w:val="000000"/>
        </w:rPr>
        <w:t xml:space="preserve"> A different interpretation is support</w:t>
      </w:r>
      <w:r w:rsidR="00704407">
        <w:rPr>
          <w:rFonts w:cs="Arial"/>
          <w:color w:val="000000"/>
        </w:rPr>
        <w:t>ed</w:t>
      </w:r>
      <w:r>
        <w:rPr>
          <w:rFonts w:cs="Arial"/>
          <w:color w:val="000000"/>
        </w:rPr>
        <w:t xml:space="preserve"> by the analysis of Giovanni </w:t>
      </w:r>
      <w:proofErr w:type="spellStart"/>
      <w:r>
        <w:rPr>
          <w:rFonts w:cs="Arial"/>
          <w:color w:val="000000"/>
        </w:rPr>
        <w:t>Dosi</w:t>
      </w:r>
      <w:proofErr w:type="spellEnd"/>
      <w:r w:rsidR="001A1220">
        <w:rPr>
          <w:rStyle w:val="FootnoteReference"/>
          <w:rFonts w:cs="Arial"/>
          <w:color w:val="000000"/>
        </w:rPr>
        <w:footnoteReference w:id="10"/>
      </w:r>
      <w:r w:rsidR="001A1220">
        <w:rPr>
          <w:rFonts w:cs="Arial"/>
          <w:color w:val="000000"/>
        </w:rPr>
        <w:t xml:space="preserve"> </w:t>
      </w:r>
      <w:r w:rsidR="00F44759">
        <w:rPr>
          <w:rFonts w:cs="Arial"/>
          <w:color w:val="000000"/>
        </w:rPr>
        <w:t>and coauthors</w:t>
      </w:r>
      <w:r w:rsidR="001A1220">
        <w:rPr>
          <w:rFonts w:cs="Arial"/>
          <w:color w:val="000000"/>
        </w:rPr>
        <w:t>.</w:t>
      </w:r>
      <w:r w:rsidR="00F44759">
        <w:rPr>
          <w:rFonts w:cs="Arial"/>
          <w:color w:val="000000"/>
        </w:rPr>
        <w:t xml:space="preserve"> They have </w:t>
      </w:r>
      <w:r w:rsidR="000426E9">
        <w:rPr>
          <w:rFonts w:cs="Arial"/>
          <w:color w:val="000000"/>
        </w:rPr>
        <w:t>analyzed</w:t>
      </w:r>
      <w:r w:rsidR="00F44759">
        <w:rPr>
          <w:rStyle w:val="FootnoteReference"/>
          <w:rFonts w:cs="Arial"/>
          <w:color w:val="000000"/>
        </w:rPr>
        <w:footnoteReference w:id="11"/>
      </w:r>
      <w:r w:rsidR="00F44759">
        <w:rPr>
          <w:rFonts w:cs="Arial"/>
          <w:color w:val="000000"/>
        </w:rPr>
        <w:t xml:space="preserve"> the “</w:t>
      </w:r>
      <w:r w:rsidR="00F44759" w:rsidRPr="002073D7">
        <w:rPr>
          <w:rStyle w:val="QuoteChar"/>
        </w:rPr>
        <w:t>European Paradox</w:t>
      </w:r>
      <w:r w:rsidR="00F44759">
        <w:rPr>
          <w:rFonts w:cs="Arial"/>
          <w:color w:val="000000"/>
        </w:rPr>
        <w:t xml:space="preserve">” </w:t>
      </w:r>
      <w:r w:rsidR="00650EC0">
        <w:rPr>
          <w:rFonts w:cs="Arial"/>
          <w:color w:val="000000"/>
        </w:rPr>
        <w:t>which</w:t>
      </w:r>
    </w:p>
    <w:p w14:paraId="2B88B6A2" w14:textId="7F615ED8" w:rsidR="00650EC0" w:rsidRDefault="00650EC0" w:rsidP="00104D16">
      <w:pPr>
        <w:ind w:left="720"/>
        <w:rPr>
          <w:rFonts w:cs="Times"/>
          <w:color w:val="000000"/>
          <w:szCs w:val="20"/>
        </w:rPr>
      </w:pPr>
      <w:proofErr w:type="gramStart"/>
      <w:r w:rsidRPr="002073D7">
        <w:rPr>
          <w:rStyle w:val="QuoteChar"/>
        </w:rPr>
        <w:lastRenderedPageBreak/>
        <w:t>refers</w:t>
      </w:r>
      <w:proofErr w:type="gramEnd"/>
      <w:r w:rsidRPr="002073D7">
        <w:rPr>
          <w:rStyle w:val="QuoteChar"/>
        </w:rPr>
        <w:t xml:space="preserve"> to the conjecture that EU countries play a leading global role in terms of top-level scientific output, but lag behind in the ability to convert this strength into wealth-generating innovations</w:t>
      </w:r>
      <w:r w:rsidRPr="00650EC0">
        <w:rPr>
          <w:rFonts w:cs="Times"/>
          <w:color w:val="000000"/>
          <w:szCs w:val="20"/>
        </w:rPr>
        <w:t>.</w:t>
      </w:r>
    </w:p>
    <w:p w14:paraId="451159C0" w14:textId="558077DB" w:rsidR="00650EC0" w:rsidRDefault="00650EC0" w:rsidP="00E21C6B">
      <w:pPr>
        <w:rPr>
          <w:rFonts w:cs="Times"/>
          <w:color w:val="000000"/>
          <w:szCs w:val="20"/>
        </w:rPr>
      </w:pPr>
      <w:r>
        <w:rPr>
          <w:rFonts w:cs="Times"/>
          <w:color w:val="000000"/>
          <w:szCs w:val="20"/>
        </w:rPr>
        <w:t xml:space="preserve">The similarity of the European complaint with the Australian one under consideration is remarkable.  Their analysis, as economists trying to understand the situation, not self-interested actors </w:t>
      </w:r>
      <w:r w:rsidR="00726FBD">
        <w:rPr>
          <w:rFonts w:cs="Times"/>
          <w:color w:val="000000"/>
          <w:szCs w:val="20"/>
        </w:rPr>
        <w:t>with a stake in the situation</w:t>
      </w:r>
      <w:r>
        <w:rPr>
          <w:rFonts w:cs="Times"/>
          <w:color w:val="000000"/>
          <w:szCs w:val="20"/>
        </w:rPr>
        <w:t xml:space="preserve">, is extremely pertinent. They distill a long </w:t>
      </w:r>
      <w:r w:rsidR="00E224DD">
        <w:rPr>
          <w:rFonts w:cs="Times"/>
          <w:color w:val="000000"/>
          <w:szCs w:val="20"/>
        </w:rPr>
        <w:t>history</w:t>
      </w:r>
      <w:r>
        <w:rPr>
          <w:rFonts w:cs="Times"/>
          <w:color w:val="000000"/>
          <w:szCs w:val="20"/>
        </w:rPr>
        <w:t xml:space="preserve"> of detailed </w:t>
      </w:r>
      <w:r w:rsidR="00E224DD">
        <w:rPr>
          <w:rFonts w:cs="Times"/>
          <w:color w:val="000000"/>
          <w:szCs w:val="20"/>
        </w:rPr>
        <w:t xml:space="preserve">empirical </w:t>
      </w:r>
      <w:r>
        <w:rPr>
          <w:rFonts w:cs="Times"/>
          <w:color w:val="000000"/>
          <w:szCs w:val="20"/>
        </w:rPr>
        <w:t>economic analysis into seven “</w:t>
      </w:r>
      <w:r w:rsidRPr="002073D7">
        <w:rPr>
          <w:rStyle w:val="QuoteChar"/>
        </w:rPr>
        <w:t>stylized facts</w:t>
      </w:r>
      <w:r>
        <w:rPr>
          <w:rFonts w:cs="Times"/>
          <w:color w:val="000000"/>
          <w:szCs w:val="20"/>
        </w:rPr>
        <w:t>” (page 1</w:t>
      </w:r>
      <w:r w:rsidR="00704407">
        <w:rPr>
          <w:rFonts w:cs="Times"/>
          <w:color w:val="000000"/>
          <w:szCs w:val="20"/>
        </w:rPr>
        <w:t>452</w:t>
      </w:r>
      <w:r w:rsidR="00726FBD">
        <w:rPr>
          <w:rFonts w:cs="Times"/>
          <w:color w:val="000000"/>
          <w:szCs w:val="20"/>
        </w:rPr>
        <w:t>), which</w:t>
      </w:r>
      <w:r w:rsidR="00704407">
        <w:rPr>
          <w:rFonts w:cs="Times"/>
          <w:color w:val="000000"/>
          <w:szCs w:val="20"/>
        </w:rPr>
        <w:t xml:space="preserve"> are worth quoting at length </w:t>
      </w:r>
      <w:r>
        <w:rPr>
          <w:rFonts w:cs="Times"/>
          <w:color w:val="000000"/>
          <w:szCs w:val="20"/>
        </w:rPr>
        <w:t>(</w:t>
      </w:r>
      <w:r w:rsidR="00704407">
        <w:rPr>
          <w:rFonts w:cs="Times"/>
          <w:color w:val="000000"/>
          <w:szCs w:val="20"/>
        </w:rPr>
        <w:t xml:space="preserve">the many </w:t>
      </w:r>
      <w:r>
        <w:rPr>
          <w:rFonts w:cs="Times"/>
          <w:color w:val="000000"/>
          <w:szCs w:val="20"/>
        </w:rPr>
        <w:t xml:space="preserve">references </w:t>
      </w:r>
      <w:r w:rsidR="00704407">
        <w:rPr>
          <w:rFonts w:cs="Times"/>
          <w:color w:val="000000"/>
          <w:szCs w:val="20"/>
        </w:rPr>
        <w:t xml:space="preserve">are </w:t>
      </w:r>
      <w:r>
        <w:rPr>
          <w:rFonts w:cs="Times"/>
          <w:color w:val="000000"/>
          <w:szCs w:val="20"/>
        </w:rPr>
        <w:t>omitted</w:t>
      </w:r>
      <w:r w:rsidR="00704407">
        <w:rPr>
          <w:rFonts w:cs="Times"/>
          <w:color w:val="000000"/>
          <w:szCs w:val="20"/>
        </w:rPr>
        <w:t>, but can be found in the paper</w:t>
      </w:r>
      <w:r>
        <w:rPr>
          <w:rFonts w:cs="Times"/>
          <w:color w:val="000000"/>
          <w:szCs w:val="20"/>
        </w:rPr>
        <w:t>):</w:t>
      </w:r>
    </w:p>
    <w:p w14:paraId="372B933B" w14:textId="62B44E97" w:rsidR="00650EC0" w:rsidRPr="00650EC0" w:rsidRDefault="00650EC0" w:rsidP="00650EC0">
      <w:pPr>
        <w:pStyle w:val="ListParagraph"/>
        <w:numPr>
          <w:ilvl w:val="0"/>
          <w:numId w:val="3"/>
        </w:numPr>
        <w:rPr>
          <w:rFonts w:cs="Times"/>
          <w:color w:val="000000"/>
          <w:szCs w:val="20"/>
        </w:rPr>
      </w:pPr>
      <w:r w:rsidRPr="00650EC0">
        <w:rPr>
          <w:rFonts w:cs="Times"/>
          <w:color w:val="000000"/>
          <w:szCs w:val="20"/>
        </w:rPr>
        <w:t xml:space="preserve">Contrary to the claim </w:t>
      </w:r>
      <w:r>
        <w:rPr>
          <w:rFonts w:cs="Times"/>
          <w:color w:val="000000"/>
          <w:szCs w:val="20"/>
        </w:rPr>
        <w:t>that scientific and technologi</w:t>
      </w:r>
      <w:r w:rsidRPr="00650EC0">
        <w:rPr>
          <w:rFonts w:cs="Times"/>
          <w:color w:val="000000"/>
          <w:szCs w:val="20"/>
        </w:rPr>
        <w:t xml:space="preserve">cal </w:t>
      </w:r>
      <w:r w:rsidRPr="002073D7">
        <w:rPr>
          <w:rStyle w:val="Emphasis"/>
        </w:rPr>
        <w:t>knowledge</w:t>
      </w:r>
      <w:r w:rsidRPr="00650EC0">
        <w:rPr>
          <w:rFonts w:cs="Times"/>
          <w:i/>
          <w:iCs/>
          <w:color w:val="000000"/>
          <w:szCs w:val="20"/>
        </w:rPr>
        <w:t xml:space="preserve"> </w:t>
      </w:r>
      <w:r w:rsidRPr="00650EC0">
        <w:rPr>
          <w:rFonts w:cs="Times"/>
          <w:color w:val="000000"/>
          <w:szCs w:val="20"/>
        </w:rPr>
        <w:t>can be increasingly reduced to sheer ‘</w:t>
      </w:r>
      <w:r w:rsidRPr="002073D7">
        <w:rPr>
          <w:rStyle w:val="QuoteChar"/>
        </w:rPr>
        <w:t>information</w:t>
      </w:r>
      <w:r w:rsidRPr="00650EC0">
        <w:rPr>
          <w:rFonts w:cs="Times"/>
          <w:color w:val="000000"/>
          <w:szCs w:val="20"/>
        </w:rPr>
        <w:t>’, the dist</w:t>
      </w:r>
      <w:r>
        <w:rPr>
          <w:rFonts w:cs="Times"/>
          <w:color w:val="000000"/>
          <w:szCs w:val="20"/>
        </w:rPr>
        <w:t>inction between the two contin</w:t>
      </w:r>
      <w:r w:rsidRPr="00650EC0">
        <w:rPr>
          <w:rFonts w:cs="Times"/>
          <w:color w:val="000000"/>
          <w:szCs w:val="20"/>
        </w:rPr>
        <w:t xml:space="preserve">ues to be highly relevant. </w:t>
      </w:r>
      <w:r w:rsidRPr="002073D7">
        <w:rPr>
          <w:rStyle w:val="Emphasis"/>
        </w:rPr>
        <w:t>A good deal of knowledge is, and is likely to continue to be, rather ‘sticky’, organization- and people-embodied, and often also spatially clustered</w:t>
      </w:r>
      <w:r w:rsidRPr="00650EC0">
        <w:rPr>
          <w:rFonts w:cs="Times"/>
          <w:i/>
          <w:iCs/>
          <w:color w:val="000000"/>
          <w:szCs w:val="20"/>
        </w:rPr>
        <w:t xml:space="preserve">. </w:t>
      </w:r>
      <w:r w:rsidRPr="00650EC0">
        <w:rPr>
          <w:rFonts w:cs="Times"/>
          <w:color w:val="000000"/>
          <w:szCs w:val="20"/>
        </w:rPr>
        <w:t>Related to this is the persistence of widespread agglomeration phenome</w:t>
      </w:r>
      <w:r w:rsidR="00704407">
        <w:rPr>
          <w:rFonts w:cs="Times"/>
          <w:color w:val="000000"/>
          <w:szCs w:val="20"/>
        </w:rPr>
        <w:t>na driven by top-level research.</w:t>
      </w:r>
      <w:r w:rsidR="00884B5D">
        <w:rPr>
          <w:rFonts w:cs="Times"/>
          <w:color w:val="000000"/>
          <w:szCs w:val="20"/>
        </w:rPr>
        <w:br/>
      </w:r>
    </w:p>
    <w:p w14:paraId="1DBBFF40" w14:textId="3A37E59A" w:rsidR="00650EC0" w:rsidRPr="00650EC0" w:rsidRDefault="00650EC0" w:rsidP="00650EC0">
      <w:pPr>
        <w:pStyle w:val="ListParagraph"/>
        <w:numPr>
          <w:ilvl w:val="0"/>
          <w:numId w:val="3"/>
        </w:numPr>
        <w:rPr>
          <w:rFonts w:cs="Times"/>
          <w:color w:val="000000"/>
          <w:szCs w:val="20"/>
        </w:rPr>
      </w:pPr>
      <w:r w:rsidRPr="002073D7">
        <w:rPr>
          <w:rStyle w:val="Emphasis"/>
        </w:rPr>
        <w:t>Useful academic research is good academic research</w:t>
      </w:r>
      <w:r w:rsidRPr="00650EC0">
        <w:rPr>
          <w:rFonts w:cs="Times"/>
          <w:color w:val="000000"/>
          <w:szCs w:val="20"/>
        </w:rPr>
        <w:t>. “</w:t>
      </w:r>
      <w:r w:rsidRPr="002073D7">
        <w:rPr>
          <w:rStyle w:val="QuoteChar"/>
        </w:rPr>
        <w:t>Systematic evidence from the US shows that the academic research that corporate practitioners find most useful is publicly funded, performed in research universities, publishe</w:t>
      </w:r>
      <w:r w:rsidR="00704407" w:rsidRPr="002073D7">
        <w:rPr>
          <w:rStyle w:val="QuoteChar"/>
        </w:rPr>
        <w:t>d in prestigious referred jour</w:t>
      </w:r>
      <w:r w:rsidRPr="002073D7">
        <w:rPr>
          <w:rStyle w:val="QuoteChar"/>
        </w:rPr>
        <w:t>nals</w:t>
      </w:r>
      <w:r w:rsidRPr="00650EC0">
        <w:rPr>
          <w:rFonts w:cs="Times"/>
          <w:color w:val="000000"/>
          <w:szCs w:val="20"/>
        </w:rPr>
        <w:t>” and frequentl</w:t>
      </w:r>
      <w:r w:rsidR="00704407">
        <w:rPr>
          <w:rFonts w:cs="Times"/>
          <w:color w:val="000000"/>
          <w:szCs w:val="20"/>
        </w:rPr>
        <w:t>y cited by academics themselves.</w:t>
      </w:r>
      <w:r w:rsidR="00884B5D">
        <w:rPr>
          <w:rFonts w:cs="Times"/>
          <w:color w:val="000000"/>
          <w:szCs w:val="20"/>
        </w:rPr>
        <w:br/>
      </w:r>
    </w:p>
    <w:p w14:paraId="503BF24C" w14:textId="0D700A42" w:rsidR="00650EC0" w:rsidRPr="00650EC0" w:rsidRDefault="00650EC0" w:rsidP="00650EC0">
      <w:pPr>
        <w:pStyle w:val="ListParagraph"/>
        <w:numPr>
          <w:ilvl w:val="0"/>
          <w:numId w:val="3"/>
        </w:numPr>
        <w:rPr>
          <w:rFonts w:cs="Times"/>
          <w:color w:val="000000"/>
          <w:szCs w:val="20"/>
        </w:rPr>
      </w:pPr>
      <w:bookmarkStart w:id="5" w:name="_Ref278701187"/>
      <w:r w:rsidRPr="002073D7">
        <w:rPr>
          <w:rStyle w:val="Emphasis"/>
        </w:rPr>
        <w:t>Government funding</w:t>
      </w:r>
      <w:r w:rsidR="00704407" w:rsidRPr="002073D7">
        <w:rPr>
          <w:rStyle w:val="Emphasis"/>
        </w:rPr>
        <w:t xml:space="preserve"> of basic research is responsi</w:t>
      </w:r>
      <w:r w:rsidRPr="002073D7">
        <w:rPr>
          <w:rStyle w:val="Emphasis"/>
        </w:rPr>
        <w:t>ble, especially in the US, for most major scientific advances</w:t>
      </w:r>
      <w:r w:rsidRPr="00650EC0">
        <w:rPr>
          <w:rFonts w:cs="Times"/>
          <w:color w:val="000000"/>
          <w:szCs w:val="20"/>
        </w:rPr>
        <w:t>, including in</w:t>
      </w:r>
      <w:r w:rsidR="00704407">
        <w:rPr>
          <w:rFonts w:cs="Times"/>
          <w:color w:val="000000"/>
          <w:szCs w:val="20"/>
        </w:rPr>
        <w:t xml:space="preserve"> the fields of information sciences and biosciences.</w:t>
      </w:r>
      <w:bookmarkEnd w:id="5"/>
      <w:r w:rsidR="00884B5D">
        <w:rPr>
          <w:rFonts w:cs="Times"/>
          <w:color w:val="000000"/>
          <w:szCs w:val="20"/>
        </w:rPr>
        <w:br/>
      </w:r>
    </w:p>
    <w:p w14:paraId="26CB225B" w14:textId="1E463A21" w:rsidR="00650EC0" w:rsidRPr="00650EC0" w:rsidRDefault="00650EC0" w:rsidP="00650EC0">
      <w:pPr>
        <w:pStyle w:val="ListParagraph"/>
        <w:numPr>
          <w:ilvl w:val="0"/>
          <w:numId w:val="3"/>
        </w:numPr>
        <w:rPr>
          <w:rFonts w:cs="Times"/>
          <w:color w:val="000000"/>
          <w:szCs w:val="20"/>
        </w:rPr>
      </w:pPr>
      <w:r w:rsidRPr="00650EC0">
        <w:rPr>
          <w:rFonts w:cs="Times"/>
          <w:color w:val="000000"/>
          <w:szCs w:val="20"/>
        </w:rPr>
        <w:t xml:space="preserve">The proportion of </w:t>
      </w:r>
      <w:r w:rsidRPr="002073D7">
        <w:rPr>
          <w:rStyle w:val="Emphasis"/>
        </w:rPr>
        <w:t>university research that is business financed is very low everywhere</w:t>
      </w:r>
      <w:r w:rsidRPr="00650EC0">
        <w:rPr>
          <w:rFonts w:cs="Times"/>
          <w:i/>
          <w:iCs/>
          <w:color w:val="000000"/>
          <w:szCs w:val="20"/>
        </w:rPr>
        <w:t xml:space="preserve"> </w:t>
      </w:r>
      <w:r w:rsidRPr="00650EC0">
        <w:rPr>
          <w:rFonts w:cs="Times"/>
          <w:color w:val="000000"/>
          <w:szCs w:val="20"/>
        </w:rPr>
        <w:t xml:space="preserve">(typically less than 10%) and </w:t>
      </w:r>
      <w:r w:rsidRPr="002073D7">
        <w:rPr>
          <w:rStyle w:val="Emphasis"/>
        </w:rPr>
        <w:t>lower in the US than in Europe</w:t>
      </w:r>
      <w:r w:rsidR="00704407">
        <w:rPr>
          <w:rFonts w:cs="Times"/>
          <w:color w:val="000000"/>
          <w:szCs w:val="20"/>
        </w:rPr>
        <w:t>.</w:t>
      </w:r>
      <w:r w:rsidR="00884B5D">
        <w:rPr>
          <w:rFonts w:cs="Times"/>
          <w:color w:val="000000"/>
          <w:szCs w:val="20"/>
        </w:rPr>
        <w:br/>
      </w:r>
    </w:p>
    <w:p w14:paraId="59F1C13E" w14:textId="0730C7A7" w:rsidR="00650EC0" w:rsidRPr="00650EC0" w:rsidRDefault="00650EC0" w:rsidP="00650EC0">
      <w:pPr>
        <w:pStyle w:val="ListParagraph"/>
        <w:numPr>
          <w:ilvl w:val="0"/>
          <w:numId w:val="3"/>
        </w:numPr>
        <w:rPr>
          <w:rFonts w:cs="Times"/>
          <w:color w:val="000000"/>
          <w:szCs w:val="20"/>
        </w:rPr>
      </w:pPr>
      <w:r w:rsidRPr="002073D7">
        <w:rPr>
          <w:rStyle w:val="Emphasis"/>
        </w:rPr>
        <w:t xml:space="preserve">The expansion of US </w:t>
      </w:r>
      <w:proofErr w:type="gramStart"/>
      <w:r w:rsidRPr="002073D7">
        <w:rPr>
          <w:rStyle w:val="Emphasis"/>
        </w:rPr>
        <w:t>university</w:t>
      </w:r>
      <w:proofErr w:type="gramEnd"/>
      <w:r w:rsidRPr="002073D7">
        <w:rPr>
          <w:rStyle w:val="Emphasis"/>
        </w:rPr>
        <w:t xml:space="preserve"> patenting has resulted in a rapid decline of the patent quality and value</w:t>
      </w:r>
      <w:r w:rsidR="00704407">
        <w:rPr>
          <w:rFonts w:cs="Times"/>
          <w:color w:val="000000"/>
          <w:szCs w:val="20"/>
        </w:rPr>
        <w:t>.</w:t>
      </w:r>
      <w:r w:rsidR="00884B5D">
        <w:rPr>
          <w:rFonts w:cs="Times"/>
          <w:color w:val="000000"/>
          <w:szCs w:val="20"/>
        </w:rPr>
        <w:br/>
      </w:r>
    </w:p>
    <w:p w14:paraId="2A8F4C9A" w14:textId="756805F7" w:rsidR="00650EC0" w:rsidRPr="00650EC0" w:rsidRDefault="00650EC0" w:rsidP="00650EC0">
      <w:pPr>
        <w:pStyle w:val="ListParagraph"/>
        <w:numPr>
          <w:ilvl w:val="0"/>
          <w:numId w:val="3"/>
        </w:numPr>
        <w:rPr>
          <w:rFonts w:cs="Times"/>
          <w:color w:val="000000"/>
          <w:szCs w:val="20"/>
        </w:rPr>
      </w:pPr>
      <w:r w:rsidRPr="002073D7">
        <w:rPr>
          <w:rStyle w:val="Emphasis"/>
        </w:rPr>
        <w:t>Increases in licensi</w:t>
      </w:r>
      <w:r w:rsidR="00704407" w:rsidRPr="002073D7">
        <w:rPr>
          <w:rStyle w:val="Emphasis"/>
        </w:rPr>
        <w:t>ng income in leading US univer</w:t>
      </w:r>
      <w:r w:rsidRPr="002073D7">
        <w:rPr>
          <w:rStyle w:val="Emphasis"/>
        </w:rPr>
        <w:t>sities are concentrated in biotech and software</w:t>
      </w:r>
      <w:r w:rsidRPr="00650EC0">
        <w:rPr>
          <w:rFonts w:cs="Times"/>
          <w:color w:val="000000"/>
          <w:szCs w:val="20"/>
        </w:rPr>
        <w:t>, and have preceded the Bayh–Dole Act. Moreover, income flows from licensing are quite small as compared to the overall university budget; in most cases, they are unable to cover even the administrative costs of the ‘</w:t>
      </w:r>
      <w:r w:rsidRPr="002073D7">
        <w:rPr>
          <w:rStyle w:val="QuoteChar"/>
        </w:rPr>
        <w:t>technology-transfer office</w:t>
      </w:r>
      <w:r w:rsidRPr="00650EC0">
        <w:rPr>
          <w:rFonts w:cs="Times"/>
          <w:color w:val="000000"/>
          <w:szCs w:val="20"/>
        </w:rPr>
        <w:t xml:space="preserve">’ in charge of them! At the same time, anecdotal evidence begins to hint at the ways the new appropriation regimes for public research tend to corrupt the ethos of researchers and to twist their research agendas, and in the US even </w:t>
      </w:r>
      <w:r w:rsidRPr="002073D7">
        <w:rPr>
          <w:rStyle w:val="QuoteChar"/>
        </w:rPr>
        <w:t>“[s]</w:t>
      </w:r>
      <w:proofErr w:type="spellStart"/>
      <w:r w:rsidRPr="002073D7">
        <w:rPr>
          <w:rStyle w:val="QuoteChar"/>
        </w:rPr>
        <w:t>ome</w:t>
      </w:r>
      <w:proofErr w:type="spellEnd"/>
      <w:r w:rsidRPr="002073D7">
        <w:rPr>
          <w:rStyle w:val="QuoteChar"/>
        </w:rPr>
        <w:t xml:space="preserve"> of the nation’s largest and most technology- intensive firms are beginning to worry aloud that increased industrial support for research is disrupting, distorting, and damaging the underlying educational and research missions of the university, retarding advances in basic science that underlie these firms’ long-term future</w:t>
      </w:r>
      <w:r w:rsidR="00704407">
        <w:rPr>
          <w:rFonts w:cs="Times"/>
          <w:color w:val="000000"/>
          <w:szCs w:val="20"/>
        </w:rPr>
        <w:t>.</w:t>
      </w:r>
      <w:r w:rsidRPr="00650EC0">
        <w:rPr>
          <w:rFonts w:cs="Times"/>
          <w:color w:val="000000"/>
          <w:szCs w:val="20"/>
        </w:rPr>
        <w:t xml:space="preserve">” </w:t>
      </w:r>
      <w:r w:rsidR="00884B5D">
        <w:rPr>
          <w:rFonts w:cs="Times"/>
          <w:color w:val="000000"/>
          <w:szCs w:val="20"/>
        </w:rPr>
        <w:br/>
      </w:r>
    </w:p>
    <w:p w14:paraId="2EFC95D3" w14:textId="7A81D078" w:rsidR="00650EC0" w:rsidRPr="004A6CDE" w:rsidRDefault="00650EC0" w:rsidP="00E21C6B">
      <w:pPr>
        <w:pStyle w:val="ListParagraph"/>
        <w:numPr>
          <w:ilvl w:val="0"/>
          <w:numId w:val="3"/>
        </w:numPr>
        <w:rPr>
          <w:rFonts w:cs="Arial"/>
          <w:color w:val="000000"/>
        </w:rPr>
      </w:pPr>
      <w:r w:rsidRPr="004A6CDE">
        <w:rPr>
          <w:rFonts w:cs="Times"/>
          <w:color w:val="000000"/>
          <w:szCs w:val="20"/>
        </w:rPr>
        <w:lastRenderedPageBreak/>
        <w:t xml:space="preserve">Interestingly, </w:t>
      </w:r>
      <w:r w:rsidRPr="002073D7">
        <w:rPr>
          <w:rStyle w:val="Emphasis"/>
        </w:rPr>
        <w:t>only very rarely has a critique of the Open Science System and the public funding of</w:t>
      </w:r>
      <w:r w:rsidR="00704407" w:rsidRPr="002073D7">
        <w:rPr>
          <w:rStyle w:val="Emphasis"/>
        </w:rPr>
        <w:t xml:space="preserve"> </w:t>
      </w:r>
      <w:r w:rsidRPr="002073D7">
        <w:rPr>
          <w:rStyle w:val="Emphasis"/>
        </w:rPr>
        <w:t>basic research come from corporate users</w:t>
      </w:r>
      <w:r w:rsidRPr="004A6CDE">
        <w:rPr>
          <w:rFonts w:cs="Times"/>
          <w:color w:val="000000"/>
          <w:szCs w:val="20"/>
        </w:rPr>
        <w:t>, except for peripheral countries and peripheral entrepreneurs (such as Italian ones, hoping to transform universities into some sort of free training subsidiaries). On the contrary, notably, “</w:t>
      </w:r>
      <w:r w:rsidRPr="002073D7">
        <w:rPr>
          <w:rStyle w:val="QuoteChar"/>
        </w:rPr>
        <w:t>in the UK, where critical rhetoric is among the stron</w:t>
      </w:r>
      <w:r w:rsidR="00704407" w:rsidRPr="002073D7">
        <w:rPr>
          <w:rStyle w:val="QuoteChar"/>
        </w:rPr>
        <w:t>gest, it comes mainly from gov</w:t>
      </w:r>
      <w:r w:rsidRPr="002073D7">
        <w:rPr>
          <w:rStyle w:val="QuoteChar"/>
        </w:rPr>
        <w:t>ernment sources. . . In the US, companies like IBM have complained recen</w:t>
      </w:r>
      <w:r w:rsidR="000426E9" w:rsidRPr="002073D7">
        <w:rPr>
          <w:rStyle w:val="QuoteChar"/>
        </w:rPr>
        <w:t>tly about the potentially harm</w:t>
      </w:r>
      <w:r w:rsidRPr="002073D7">
        <w:rPr>
          <w:rStyle w:val="QuoteChar"/>
        </w:rPr>
        <w:t>ful effects on future competitiveness of reduction in public support to academic research in the physical sciences</w:t>
      </w:r>
      <w:r w:rsidR="00704407" w:rsidRPr="004A6CDE">
        <w:rPr>
          <w:rFonts w:cs="Times"/>
          <w:color w:val="000000"/>
          <w:szCs w:val="20"/>
        </w:rPr>
        <w:t>.</w:t>
      </w:r>
      <w:r w:rsidRPr="004A6CDE">
        <w:rPr>
          <w:rFonts w:cs="Times"/>
          <w:color w:val="000000"/>
          <w:szCs w:val="20"/>
        </w:rPr>
        <w:t xml:space="preserve">” </w:t>
      </w:r>
    </w:p>
    <w:p w14:paraId="600B53E3" w14:textId="77777777" w:rsidR="004A6CDE" w:rsidRPr="004A6CDE" w:rsidRDefault="004A6CDE" w:rsidP="004A6CDE">
      <w:pPr>
        <w:pStyle w:val="ListParagraph"/>
        <w:rPr>
          <w:rFonts w:cs="Arial"/>
          <w:color w:val="000000"/>
        </w:rPr>
      </w:pPr>
    </w:p>
    <w:p w14:paraId="795DC652" w14:textId="4937A75D" w:rsidR="00874FEC" w:rsidRDefault="00704407" w:rsidP="00185DE9">
      <w:r>
        <w:t>The paper concludes</w:t>
      </w:r>
      <w:r w:rsidR="00726FBD">
        <w:t xml:space="preserve"> with recommendations which are also worth quoting</w:t>
      </w:r>
      <w:r>
        <w:t xml:space="preserve">: </w:t>
      </w:r>
    </w:p>
    <w:p w14:paraId="7BCFEF5D" w14:textId="771C8555" w:rsidR="00704407" w:rsidRPr="00704407" w:rsidRDefault="00704407" w:rsidP="00104D16">
      <w:pPr>
        <w:ind w:left="720"/>
      </w:pPr>
      <w:r w:rsidRPr="00704407">
        <w:t xml:space="preserve">First, </w:t>
      </w:r>
      <w:r w:rsidRPr="002073D7">
        <w:rPr>
          <w:rStyle w:val="Emphasis"/>
        </w:rPr>
        <w:t>increase support for high quality basic science</w:t>
      </w:r>
      <w:r w:rsidRPr="00704407">
        <w:t>, through agile institutions much like the American National Science Foundation (NSF) and relying on world-class peer-review</w:t>
      </w:r>
      <w:r w:rsidR="005D2674">
        <w:t>…</w:t>
      </w:r>
    </w:p>
    <w:p w14:paraId="731EB6EC" w14:textId="1C33F2F6" w:rsidR="00704407" w:rsidRPr="00704407" w:rsidRDefault="00704407" w:rsidP="00104D16">
      <w:pPr>
        <w:ind w:left="720"/>
      </w:pPr>
      <w:r w:rsidRPr="002073D7">
        <w:rPr>
          <w:rStyle w:val="Emphasis"/>
        </w:rPr>
        <w:t>Second, fully acknowledge the differences within the higher education system</w:t>
      </w:r>
      <w:r w:rsidRPr="00704407">
        <w:rPr>
          <w:i/>
          <w:iCs/>
        </w:rPr>
        <w:t xml:space="preserve"> </w:t>
      </w:r>
      <w:r w:rsidRPr="00704407">
        <w:t>between research-cum- graduate teaching universities and other forms of tertiary education discussed above. The well-placed emphasis on the role of the first type of institutions often comes under the heading of the ‘</w:t>
      </w:r>
      <w:r w:rsidRPr="002073D7">
        <w:rPr>
          <w:rStyle w:val="QuoteChar"/>
        </w:rPr>
        <w:t>Humboldt model</w:t>
      </w:r>
      <w:r w:rsidRPr="00704407">
        <w:t>’ as pioneered by Germany more than a century ago….</w:t>
      </w:r>
    </w:p>
    <w:p w14:paraId="7C5C6A8D" w14:textId="0FFC7C32" w:rsidR="00704407" w:rsidRPr="00704407" w:rsidRDefault="00704407" w:rsidP="00104D16">
      <w:pPr>
        <w:ind w:left="720"/>
      </w:pPr>
      <w:r w:rsidRPr="00704407">
        <w:t>Third, push back the boundaries between public or ‘</w:t>
      </w:r>
      <w:r w:rsidRPr="002073D7">
        <w:rPr>
          <w:rStyle w:val="QuoteChar"/>
        </w:rPr>
        <w:t>open</w:t>
      </w:r>
      <w:r w:rsidRPr="00704407">
        <w:t xml:space="preserve">’ research and appropriable research. One often forgets that </w:t>
      </w:r>
      <w:proofErr w:type="spellStart"/>
      <w:r w:rsidRPr="00704407">
        <w:t>appropriability</w:t>
      </w:r>
      <w:proofErr w:type="spellEnd"/>
      <w:r w:rsidRPr="00704407">
        <w:t xml:space="preserve"> is socially justified only in so far it provides an incentive to innovation itself.</w:t>
      </w:r>
    </w:p>
    <w:p w14:paraId="37B85260" w14:textId="64353FD0" w:rsidR="00205C46" w:rsidRDefault="00704407" w:rsidP="00104D16">
      <w:pPr>
        <w:ind w:left="720"/>
      </w:pPr>
      <w:r w:rsidRPr="00704407">
        <w:t xml:space="preserve">Fourth, develop large-scale, technologically daring missions justifiable in terms of their intrinsic social and political value and able to match in terms of size and ambition the US (often more military-oriented) programs. </w:t>
      </w:r>
      <w:r>
        <w:t>“</w:t>
      </w:r>
      <w:r w:rsidRPr="002073D7">
        <w:rPr>
          <w:rStyle w:val="QuoteChar"/>
        </w:rPr>
        <w:t>Scandinavian countries and Switzerland are able to mobilize considerable resources for high quality basic research without the massive defense and health expenditures of the world’s only superpower</w:t>
      </w:r>
      <w:r w:rsidR="00E224DD">
        <w:t>.</w:t>
      </w:r>
      <w:r w:rsidRPr="00704407">
        <w:t>”</w:t>
      </w:r>
    </w:p>
    <w:p w14:paraId="1C0F9A42" w14:textId="5428BB8A" w:rsidR="00205C46" w:rsidRPr="00205C46" w:rsidRDefault="00205C46" w:rsidP="00205C46">
      <w:r>
        <w:t>All of these conclusions make perfect sense and are directly translatable to Australia.</w:t>
      </w:r>
    </w:p>
    <w:p w14:paraId="513B8C64" w14:textId="4B2255E8" w:rsidR="00E21C6B" w:rsidRPr="00EE4E4C" w:rsidRDefault="009A249E" w:rsidP="00EE4E4C">
      <w:pPr>
        <w:pStyle w:val="Heading1"/>
        <w:numPr>
          <w:ilvl w:val="0"/>
          <w:numId w:val="5"/>
        </w:numPr>
      </w:pPr>
      <w:bookmarkStart w:id="6" w:name="_Toc278623271"/>
      <w:bookmarkStart w:id="7" w:name="_Toc278626595"/>
      <w:bookmarkStart w:id="8" w:name="_Ref278701205"/>
      <w:bookmarkStart w:id="9" w:name="_Toc278718403"/>
      <w:r>
        <w:t>Institutional c</w:t>
      </w:r>
      <w:r w:rsidR="00E21C6B" w:rsidRPr="00EE4E4C">
        <w:t>ulture matters</w:t>
      </w:r>
      <w:r>
        <w:t xml:space="preserve"> for research results</w:t>
      </w:r>
      <w:r w:rsidR="00794636">
        <w:t>; it is known what works and there are Australian examples</w:t>
      </w:r>
      <w:bookmarkEnd w:id="6"/>
      <w:bookmarkEnd w:id="7"/>
      <w:bookmarkEnd w:id="8"/>
      <w:bookmarkEnd w:id="9"/>
    </w:p>
    <w:p w14:paraId="35569C0B" w14:textId="69DDEA7F" w:rsidR="007069BE" w:rsidRDefault="001F7081" w:rsidP="00E21C6B">
      <w:r>
        <w:t>The previous point gives an example of an institution with the right culture</w:t>
      </w:r>
      <w:r w:rsidR="007069BE">
        <w:t xml:space="preserve"> (</w:t>
      </w:r>
      <w:proofErr w:type="spellStart"/>
      <w:r w:rsidR="007069BE">
        <w:t>NICTA</w:t>
      </w:r>
      <w:proofErr w:type="spellEnd"/>
      <w:r w:rsidR="007069BE">
        <w:t>)</w:t>
      </w:r>
      <w:r>
        <w:t xml:space="preserve">. In contrast to the glaring lack of evidence that simple minded incentives make a difference (see point </w:t>
      </w:r>
      <w:r>
        <w:fldChar w:fldCharType="begin"/>
      </w:r>
      <w:r>
        <w:instrText xml:space="preserve"> REF _Ref278571396 \r \h </w:instrText>
      </w:r>
      <w:r>
        <w:fldChar w:fldCharType="separate"/>
      </w:r>
      <w:r w:rsidR="0050242C">
        <w:t>1)</w:t>
      </w:r>
      <w:r>
        <w:fldChar w:fldCharType="end"/>
      </w:r>
      <w:r>
        <w:t xml:space="preserve">, there </w:t>
      </w:r>
      <w:r>
        <w:rPr>
          <w:i/>
        </w:rPr>
        <w:t>is</w:t>
      </w:r>
      <w:r>
        <w:t xml:space="preserve"> compelling, replicated, detailed empirical evidence that getting the culture right is essential for excellent research outcomes. </w:t>
      </w:r>
    </w:p>
    <w:p w14:paraId="50B50A4B" w14:textId="017A0579" w:rsidR="00393023" w:rsidRDefault="007069BE" w:rsidP="00E21C6B">
      <w:r>
        <w:lastRenderedPageBreak/>
        <w:t>Renowned sociologist Rogers Hollingsworth</w:t>
      </w:r>
      <w:r w:rsidR="00162D14">
        <w:rPr>
          <w:rStyle w:val="FootnoteReference"/>
        </w:rPr>
        <w:footnoteReference w:id="12"/>
      </w:r>
      <w:r w:rsidR="00205C46">
        <w:t xml:space="preserve"> has made a multi-decade study of the institutional determinants of scientific success. He wanted to determine </w:t>
      </w:r>
      <w:proofErr w:type="gramStart"/>
      <w:r w:rsidR="00205C46">
        <w:t>what were the institutional factors that affected whether major scientific breakthroughs occurred</w:t>
      </w:r>
      <w:proofErr w:type="gramEnd"/>
      <w:r w:rsidR="00205C46">
        <w:t xml:space="preserve">. That is, what makes the difference between </w:t>
      </w:r>
      <w:r w:rsidR="00205C46" w:rsidRPr="00726FBD">
        <w:rPr>
          <w:i/>
        </w:rPr>
        <w:t>merely good</w:t>
      </w:r>
      <w:r w:rsidR="00205C46">
        <w:t xml:space="preserve"> and </w:t>
      </w:r>
      <w:r w:rsidR="00205C46" w:rsidRPr="00726FBD">
        <w:rPr>
          <w:i/>
        </w:rPr>
        <w:t>outstanding</w:t>
      </w:r>
      <w:r w:rsidR="00205C46">
        <w:t xml:space="preserve"> science. This matters very much for the issue under consideration because as alluded to in Point </w:t>
      </w:r>
      <w:r w:rsidR="00205C46">
        <w:fldChar w:fldCharType="begin"/>
      </w:r>
      <w:r w:rsidR="00205C46">
        <w:instrText xml:space="preserve"> REF _Ref278571396 \r \h </w:instrText>
      </w:r>
      <w:r w:rsidR="00205C46">
        <w:fldChar w:fldCharType="separate"/>
      </w:r>
      <w:r w:rsidR="0050242C">
        <w:t>1)</w:t>
      </w:r>
      <w:r w:rsidR="00205C46">
        <w:fldChar w:fldCharType="end"/>
      </w:r>
      <w:r w:rsidR="00205C46">
        <w:t>, the research that has the greatest commercial interest is typically the research that makes the largest breakthrough. Hollingsworth found</w:t>
      </w:r>
      <w:r w:rsidR="00205C46">
        <w:rPr>
          <w:rStyle w:val="FootnoteReference"/>
        </w:rPr>
        <w:footnoteReference w:id="13"/>
      </w:r>
      <w:r w:rsidR="00205C46">
        <w:t xml:space="preserve"> </w:t>
      </w:r>
    </w:p>
    <w:p w14:paraId="5994FE59" w14:textId="4130A5AF" w:rsidR="00205C46" w:rsidRDefault="00393023" w:rsidP="00104D16">
      <w:pPr>
        <w:ind w:left="720"/>
      </w:pPr>
      <w:r w:rsidRPr="00393023">
        <w:t>The society likely to have numerous breakthr</w:t>
      </w:r>
      <w:r>
        <w:t>oughs is one with a weak insti</w:t>
      </w:r>
      <w:r w:rsidRPr="00393023">
        <w:t>tutional environment that permits a high degree of nonconformity and high- risk research. My in-depth, cross-national, and cross-temporal organizational study of 291 major discoveries in the twentiet</w:t>
      </w:r>
      <w:r>
        <w:t>h century demonstrates that ma</w:t>
      </w:r>
      <w:r w:rsidRPr="00393023">
        <w:t>jor discoveries have tended to occur more frequently in organizational contexts that were relatively small and had high degrees of autonomy, flexibility, and the capacity to adapt rapidly to the fast pace of change in the global environment of science.</w:t>
      </w:r>
    </w:p>
    <w:p w14:paraId="7FEA9381" w14:textId="77777777" w:rsidR="0050242C" w:rsidRPr="00104D16" w:rsidRDefault="00393023" w:rsidP="00104D16">
      <w:r>
        <w:t xml:space="preserve">He further found </w:t>
      </w:r>
      <w:r w:rsidR="00726FBD">
        <w:t xml:space="preserve">common elements to </w:t>
      </w:r>
      <w:r>
        <w:t xml:space="preserve">environments that hampered </w:t>
      </w:r>
      <w:r w:rsidR="00726FBD">
        <w:t>the making of major discoveries;</w:t>
      </w:r>
      <w:r>
        <w:t xml:space="preserve"> his results </w:t>
      </w:r>
      <w:proofErr w:type="spellStart"/>
      <w:r>
        <w:t>summarised</w:t>
      </w:r>
      <w:proofErr w:type="spellEnd"/>
      <w:r>
        <w:t xml:space="preserve"> in </w:t>
      </w:r>
      <w:r w:rsidR="00824E8E">
        <w:fldChar w:fldCharType="begin"/>
      </w:r>
      <w:r w:rsidR="00824E8E">
        <w:instrText xml:space="preserve"> REF _Ref278573125 \h </w:instrText>
      </w:r>
      <w:r w:rsidR="00824E8E">
        <w:fldChar w:fldCharType="separate"/>
      </w:r>
    </w:p>
    <w:p w14:paraId="1139B972" w14:textId="58B55A28" w:rsidR="00D65DBF" w:rsidRPr="00726FBD" w:rsidRDefault="0050242C" w:rsidP="00726FBD">
      <w:proofErr w:type="gramStart"/>
      <w:r w:rsidRPr="008C46B4">
        <w:t xml:space="preserve">Table </w:t>
      </w:r>
      <w:r>
        <w:rPr>
          <w:noProof/>
        </w:rPr>
        <w:t>1</w:t>
      </w:r>
      <w:r w:rsidR="00824E8E">
        <w:fldChar w:fldCharType="end"/>
      </w:r>
      <w:r w:rsidR="008C3402">
        <w:t xml:space="preserve"> below</w:t>
      </w:r>
      <w:r w:rsidR="00824E8E">
        <w:t>.</w:t>
      </w:r>
      <w:proofErr w:type="gramEnd"/>
      <w:r w:rsidR="002643E1">
        <w:t xml:space="preserve"> They have been corroborated by other studies such as that by </w:t>
      </w:r>
      <w:proofErr w:type="spellStart"/>
      <w:r w:rsidR="002643E1">
        <w:t>Heinze</w:t>
      </w:r>
      <w:proofErr w:type="spellEnd"/>
      <w:r w:rsidR="002643E1">
        <w:t xml:space="preserve"> et al</w:t>
      </w:r>
      <w:r w:rsidR="00765982">
        <w:t>.</w:t>
      </w:r>
      <w:r w:rsidR="002643E1">
        <w:rPr>
          <w:rStyle w:val="FootnoteReference"/>
        </w:rPr>
        <w:footnoteReference w:id="14"/>
      </w:r>
      <w:r w:rsidR="002643E1">
        <w:t xml:space="preserve"> who </w:t>
      </w:r>
      <w:r w:rsidR="00D65DBF">
        <w:t xml:space="preserve">showed that outstanding scientific outcomes typically come from </w:t>
      </w:r>
      <w:r w:rsidR="00B953C6" w:rsidRPr="00726FBD">
        <w:t>s</w:t>
      </w:r>
      <w:r w:rsidR="00D65DBF" w:rsidRPr="00726FBD">
        <w:t>mall groups</w:t>
      </w:r>
      <w:r w:rsidR="00B953C6" w:rsidRPr="00726FBD">
        <w:t xml:space="preserve"> which</w:t>
      </w:r>
    </w:p>
    <w:p w14:paraId="6E8C1377" w14:textId="01F87F22" w:rsidR="00D65DBF" w:rsidRPr="00D65DBF" w:rsidRDefault="00B953C6" w:rsidP="00D65DBF">
      <w:pPr>
        <w:numPr>
          <w:ilvl w:val="0"/>
          <w:numId w:val="6"/>
        </w:numPr>
        <w:ind w:left="1080"/>
      </w:pPr>
      <w:r>
        <w:t xml:space="preserve">Have </w:t>
      </w:r>
      <w:r w:rsidR="00D65DBF" w:rsidRPr="00D65DBF">
        <w:t>high autonomy</w:t>
      </w:r>
    </w:p>
    <w:p w14:paraId="0ED3C042" w14:textId="3531EF94" w:rsidR="00D65DBF" w:rsidRPr="00D65DBF" w:rsidRDefault="00B953C6" w:rsidP="00D65DBF">
      <w:pPr>
        <w:numPr>
          <w:ilvl w:val="0"/>
          <w:numId w:val="6"/>
        </w:numPr>
        <w:ind w:left="1080"/>
      </w:pPr>
      <w:r>
        <w:t xml:space="preserve">Have </w:t>
      </w:r>
      <w:r w:rsidR="00D65DBF" w:rsidRPr="00D65DBF">
        <w:t>complementary variety of scientific skills (not all clones)</w:t>
      </w:r>
    </w:p>
    <w:p w14:paraId="6C83598C" w14:textId="4A68FBE6" w:rsidR="00D65DBF" w:rsidRPr="00D65DBF" w:rsidRDefault="00B953C6" w:rsidP="00D65DBF">
      <w:pPr>
        <w:numPr>
          <w:ilvl w:val="0"/>
          <w:numId w:val="6"/>
        </w:numPr>
        <w:ind w:left="1080"/>
      </w:pPr>
      <w:r>
        <w:t>C</w:t>
      </w:r>
      <w:r w:rsidR="00D65DBF" w:rsidRPr="00D65DBF">
        <w:t>ommunicate widely externally</w:t>
      </w:r>
    </w:p>
    <w:p w14:paraId="4ED63FDC" w14:textId="359562C7" w:rsidR="00D65DBF" w:rsidRDefault="00B953C6" w:rsidP="00D65DBF">
      <w:pPr>
        <w:numPr>
          <w:ilvl w:val="0"/>
          <w:numId w:val="6"/>
        </w:numPr>
        <w:ind w:left="1080"/>
      </w:pPr>
      <w:r>
        <w:t>Have</w:t>
      </w:r>
      <w:r w:rsidR="00D65DBF" w:rsidRPr="00D65DBF">
        <w:t> “</w:t>
      </w:r>
      <w:r w:rsidR="00D65DBF" w:rsidRPr="002073D7">
        <w:rPr>
          <w:rStyle w:val="QuoteChar"/>
        </w:rPr>
        <w:t>facilitating leadership</w:t>
      </w:r>
      <w:r w:rsidR="00D65DBF" w:rsidRPr="00D65DBF">
        <w:t>”</w:t>
      </w:r>
    </w:p>
    <w:p w14:paraId="526C9D42" w14:textId="452C4126" w:rsidR="00D65DBF" w:rsidRPr="00D65DBF" w:rsidRDefault="00814811" w:rsidP="00D65DBF">
      <w:pPr>
        <w:numPr>
          <w:ilvl w:val="0"/>
          <w:numId w:val="6"/>
        </w:numPr>
        <w:ind w:left="1080"/>
      </w:pPr>
      <w:r>
        <w:t>Have</w:t>
      </w:r>
      <w:r w:rsidR="00D65DBF" w:rsidRPr="00D65DBF">
        <w:t xml:space="preserve"> flexible research funding (funds are </w:t>
      </w:r>
      <w:r w:rsidR="00D65DBF" w:rsidRPr="002073D7">
        <w:rPr>
          <w:rStyle w:val="Emphasis"/>
        </w:rPr>
        <w:t>not</w:t>
      </w:r>
      <w:r w:rsidR="00D65DBF" w:rsidRPr="00D65DBF">
        <w:t> earmarked)</w:t>
      </w:r>
    </w:p>
    <w:p w14:paraId="3410D51B" w14:textId="77777777" w:rsidR="00944AE0" w:rsidRDefault="00944AE0" w:rsidP="00765982"/>
    <w:p w14:paraId="278DBF69" w14:textId="7F2FCEE6" w:rsidR="002073D7" w:rsidRPr="00104D16" w:rsidRDefault="00765982" w:rsidP="00104D16">
      <w:r>
        <w:t>The latter point is particular pertinent in the current context</w:t>
      </w:r>
      <w:r w:rsidR="00726FBD">
        <w:t>.</w:t>
      </w:r>
      <w:r>
        <w:t xml:space="preserve"> </w:t>
      </w:r>
      <w:bookmarkStart w:id="10" w:name="_Ref278573125"/>
    </w:p>
    <w:p w14:paraId="199CF797" w14:textId="03F4F458" w:rsidR="00393023" w:rsidRDefault="002073D7" w:rsidP="002073D7">
      <w:r w:rsidRPr="008C46B4">
        <w:lastRenderedPageBreak/>
        <w:t xml:space="preserve">Table </w:t>
      </w:r>
      <w:r w:rsidR="0050242C">
        <w:fldChar w:fldCharType="begin"/>
      </w:r>
      <w:r w:rsidR="0050242C">
        <w:instrText xml:space="preserve"> SEQ Table \* ARABIC </w:instrText>
      </w:r>
      <w:r w:rsidR="0050242C">
        <w:fldChar w:fldCharType="separate"/>
      </w:r>
      <w:proofErr w:type="gramStart"/>
      <w:r w:rsidR="0050242C">
        <w:rPr>
          <w:noProof/>
        </w:rPr>
        <w:t>1</w:t>
      </w:r>
      <w:r w:rsidR="0050242C">
        <w:rPr>
          <w:noProof/>
        </w:rPr>
        <w:fldChar w:fldCharType="end"/>
      </w:r>
      <w:bookmarkEnd w:id="10"/>
      <w:r w:rsidRPr="008C46B4">
        <w:t xml:space="preserve"> Characteristics</w:t>
      </w:r>
      <w:proofErr w:type="gramEnd"/>
      <w:r w:rsidRPr="008C46B4">
        <w:t xml:space="preserve"> of Organizational Contexts Constraining the Making of Major Discoveries</w:t>
      </w:r>
    </w:p>
    <w:tbl>
      <w:tblPr>
        <w:tblStyle w:val="MediumGrid1-Accent1"/>
        <w:tblW w:w="0" w:type="auto"/>
        <w:tblInd w:w="108" w:type="dxa"/>
        <w:tblLook w:val="04A0" w:firstRow="1" w:lastRow="0" w:firstColumn="1" w:lastColumn="0" w:noHBand="0" w:noVBand="1"/>
      </w:tblPr>
      <w:tblGrid>
        <w:gridCol w:w="2552"/>
        <w:gridCol w:w="5856"/>
      </w:tblGrid>
      <w:tr w:rsidR="00C7396E" w:rsidRPr="00393023" w14:paraId="493CA663" w14:textId="77777777" w:rsidTr="00C73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77069233" w14:textId="77777777" w:rsidR="00393023" w:rsidRPr="00393023" w:rsidRDefault="00393023" w:rsidP="00393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20"/>
              </w:rPr>
            </w:pPr>
            <w:r w:rsidRPr="00393023">
              <w:rPr>
                <w:rFonts w:cs="Helvetica"/>
                <w:color w:val="141413"/>
                <w:sz w:val="20"/>
                <w:szCs w:val="20"/>
              </w:rPr>
              <w:t>Differentiation</w:t>
            </w:r>
          </w:p>
          <w:p w14:paraId="6614349F" w14:textId="252C6403" w:rsidR="00393023" w:rsidRPr="00393023" w:rsidRDefault="00393023" w:rsidP="00393023">
            <w:pPr>
              <w:rPr>
                <w:sz w:val="20"/>
                <w:szCs w:val="20"/>
              </w:rPr>
            </w:pPr>
          </w:p>
        </w:tc>
        <w:tc>
          <w:tcPr>
            <w:tcW w:w="5856" w:type="dxa"/>
          </w:tcPr>
          <w:p w14:paraId="3033AB3A" w14:textId="6ACC592E" w:rsidR="00393023" w:rsidRPr="00C7396E" w:rsidRDefault="00393023" w:rsidP="00C739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Helvetica"/>
                <w:b w:val="0"/>
                <w:color w:val="141413"/>
                <w:sz w:val="20"/>
                <w:szCs w:val="20"/>
              </w:rPr>
            </w:pPr>
            <w:r w:rsidRPr="00C7396E">
              <w:rPr>
                <w:rFonts w:cs="Helvetica"/>
                <w:b w:val="0"/>
                <w:color w:val="141413"/>
                <w:sz w:val="20"/>
                <w:szCs w:val="20"/>
              </w:rPr>
              <w:t>Organizations with sharp boundaries among subunits, the delegation of recruitment exclusively to department or other subunit level, the delegation of responsibility for extramural funding to the department or other subunit level.</w:t>
            </w:r>
          </w:p>
        </w:tc>
      </w:tr>
      <w:tr w:rsidR="00C7396E" w:rsidRPr="00393023" w14:paraId="0522DBA0" w14:textId="77777777" w:rsidTr="00C73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330599BD" w14:textId="77777777" w:rsidR="00393023" w:rsidRPr="00393023" w:rsidRDefault="00393023" w:rsidP="00393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20"/>
              </w:rPr>
            </w:pPr>
            <w:r w:rsidRPr="00393023">
              <w:rPr>
                <w:rFonts w:cs="Helvetica"/>
                <w:color w:val="141413"/>
                <w:sz w:val="20"/>
                <w:szCs w:val="20"/>
              </w:rPr>
              <w:t>Hierarchical authority</w:t>
            </w:r>
          </w:p>
          <w:p w14:paraId="36C80765" w14:textId="3B839D0F" w:rsidR="00393023" w:rsidRPr="00393023" w:rsidRDefault="00393023" w:rsidP="00393023">
            <w:pPr>
              <w:rPr>
                <w:sz w:val="20"/>
                <w:szCs w:val="20"/>
              </w:rPr>
            </w:pPr>
          </w:p>
        </w:tc>
        <w:tc>
          <w:tcPr>
            <w:tcW w:w="5856" w:type="dxa"/>
          </w:tcPr>
          <w:p w14:paraId="687BEAD1" w14:textId="77777777" w:rsidR="00393023" w:rsidRPr="00393023" w:rsidRDefault="00393023" w:rsidP="00393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Helvetica"/>
                <w:color w:val="141413"/>
                <w:sz w:val="20"/>
                <w:szCs w:val="20"/>
              </w:rPr>
            </w:pPr>
            <w:r w:rsidRPr="00393023">
              <w:rPr>
                <w:rFonts w:cs="Helvetica"/>
                <w:color w:val="141413"/>
                <w:sz w:val="20"/>
                <w:szCs w:val="20"/>
              </w:rPr>
              <w:t>Organizations were very hierarchical when they experienced centralized</w:t>
            </w:r>
          </w:p>
          <w:p w14:paraId="74EC3328" w14:textId="77777777" w:rsidR="00393023" w:rsidRPr="00393023" w:rsidRDefault="00393023" w:rsidP="00393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Helvetica"/>
                <w:color w:val="141413"/>
                <w:sz w:val="20"/>
                <w:szCs w:val="20"/>
              </w:rPr>
            </w:pPr>
            <w:r w:rsidRPr="00393023">
              <w:rPr>
                <w:rFonts w:cs="Helvetica"/>
                <w:color w:val="141413"/>
                <w:sz w:val="20"/>
                <w:szCs w:val="20"/>
              </w:rPr>
              <w:t>(a) decision-making about research programs;</w:t>
            </w:r>
          </w:p>
          <w:p w14:paraId="24738091" w14:textId="77777777" w:rsidR="00393023" w:rsidRPr="00393023" w:rsidRDefault="00393023" w:rsidP="00393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Helvetica"/>
                <w:color w:val="141413"/>
                <w:sz w:val="20"/>
                <w:szCs w:val="20"/>
              </w:rPr>
            </w:pPr>
            <w:r w:rsidRPr="00393023">
              <w:rPr>
                <w:rFonts w:cs="Helvetica"/>
                <w:color w:val="141413"/>
                <w:sz w:val="20"/>
                <w:szCs w:val="20"/>
              </w:rPr>
              <w:t>(b) decision-making about number of personnel;</w:t>
            </w:r>
          </w:p>
          <w:p w14:paraId="7E17F80A" w14:textId="77777777" w:rsidR="00393023" w:rsidRPr="00393023" w:rsidRDefault="00393023" w:rsidP="00393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Helvetica"/>
                <w:color w:val="141413"/>
                <w:sz w:val="20"/>
                <w:szCs w:val="20"/>
              </w:rPr>
            </w:pPr>
            <w:r w:rsidRPr="00393023">
              <w:rPr>
                <w:rFonts w:cs="Helvetica"/>
                <w:color w:val="141413"/>
                <w:sz w:val="20"/>
                <w:szCs w:val="20"/>
              </w:rPr>
              <w:t>(c) control over work conditions;</w:t>
            </w:r>
          </w:p>
          <w:p w14:paraId="32D088F5" w14:textId="5DD3C3CC" w:rsidR="00393023" w:rsidRPr="00C7396E" w:rsidRDefault="00393023" w:rsidP="00C739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Helvetica"/>
                <w:color w:val="141413"/>
                <w:sz w:val="20"/>
                <w:szCs w:val="20"/>
              </w:rPr>
            </w:pPr>
            <w:r w:rsidRPr="00393023">
              <w:rPr>
                <w:rFonts w:cs="Helvetica"/>
                <w:color w:val="141413"/>
                <w:sz w:val="20"/>
                <w:szCs w:val="20"/>
              </w:rPr>
              <w:t xml:space="preserve">(d) </w:t>
            </w:r>
            <w:proofErr w:type="gramStart"/>
            <w:r w:rsidRPr="00393023">
              <w:rPr>
                <w:rFonts w:cs="Helvetica"/>
                <w:color w:val="141413"/>
                <w:sz w:val="20"/>
                <w:szCs w:val="20"/>
              </w:rPr>
              <w:t>budgetary</w:t>
            </w:r>
            <w:proofErr w:type="gramEnd"/>
            <w:r w:rsidRPr="00393023">
              <w:rPr>
                <w:rFonts w:cs="Helvetica"/>
                <w:color w:val="141413"/>
                <w:sz w:val="20"/>
                <w:szCs w:val="20"/>
              </w:rPr>
              <w:t xml:space="preserve"> control.</w:t>
            </w:r>
          </w:p>
        </w:tc>
      </w:tr>
      <w:tr w:rsidR="00393023" w:rsidRPr="00393023" w14:paraId="760AA8BD" w14:textId="77777777" w:rsidTr="00C7396E">
        <w:tc>
          <w:tcPr>
            <w:cnfStyle w:val="001000000000" w:firstRow="0" w:lastRow="0" w:firstColumn="1" w:lastColumn="0" w:oddVBand="0" w:evenVBand="0" w:oddHBand="0" w:evenHBand="0" w:firstRowFirstColumn="0" w:firstRowLastColumn="0" w:lastRowFirstColumn="0" w:lastRowLastColumn="0"/>
            <w:tcW w:w="2552" w:type="dxa"/>
          </w:tcPr>
          <w:p w14:paraId="432D0D75" w14:textId="0181F6A6" w:rsidR="00393023" w:rsidRPr="00393023" w:rsidRDefault="00393023" w:rsidP="00393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20"/>
              </w:rPr>
            </w:pPr>
            <w:r w:rsidRPr="00393023">
              <w:rPr>
                <w:rFonts w:cs="Helvetica"/>
                <w:color w:val="141413"/>
                <w:sz w:val="20"/>
                <w:szCs w:val="20"/>
              </w:rPr>
              <w:t xml:space="preserve">Bureaucratic coordination </w:t>
            </w:r>
          </w:p>
          <w:p w14:paraId="25503A94" w14:textId="20D29FC8" w:rsidR="00393023" w:rsidRPr="00393023" w:rsidRDefault="00393023" w:rsidP="00393023">
            <w:pPr>
              <w:rPr>
                <w:sz w:val="20"/>
                <w:szCs w:val="20"/>
              </w:rPr>
            </w:pPr>
          </w:p>
        </w:tc>
        <w:tc>
          <w:tcPr>
            <w:tcW w:w="5856" w:type="dxa"/>
          </w:tcPr>
          <w:p w14:paraId="11E4151D" w14:textId="200B4114" w:rsidR="00393023" w:rsidRPr="00C7396E" w:rsidRDefault="00393023" w:rsidP="00C739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Helvetica"/>
                <w:color w:val="141413"/>
                <w:sz w:val="20"/>
                <w:szCs w:val="20"/>
              </w:rPr>
            </w:pPr>
            <w:r w:rsidRPr="00393023">
              <w:rPr>
                <w:rFonts w:cs="Helvetica"/>
                <w:color w:val="141413"/>
                <w:sz w:val="20"/>
                <w:szCs w:val="20"/>
              </w:rPr>
              <w:t>Organizations with high levels of standardization for rules and procedures.</w:t>
            </w:r>
          </w:p>
        </w:tc>
      </w:tr>
      <w:tr w:rsidR="00C7396E" w:rsidRPr="00393023" w14:paraId="7D0AF8F8" w14:textId="77777777" w:rsidTr="00C73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11F84523" w14:textId="71DFF17A" w:rsidR="00393023" w:rsidRPr="00393023" w:rsidRDefault="00393023" w:rsidP="00E21C6B">
            <w:pPr>
              <w:rPr>
                <w:sz w:val="20"/>
                <w:szCs w:val="20"/>
              </w:rPr>
            </w:pPr>
            <w:proofErr w:type="spellStart"/>
            <w:r w:rsidRPr="00393023">
              <w:rPr>
                <w:rFonts w:cs="Helvetica"/>
                <w:color w:val="141413"/>
                <w:sz w:val="20"/>
                <w:szCs w:val="20"/>
              </w:rPr>
              <w:t>Hyperdiversity</w:t>
            </w:r>
            <w:proofErr w:type="spellEnd"/>
          </w:p>
        </w:tc>
        <w:tc>
          <w:tcPr>
            <w:tcW w:w="5856" w:type="dxa"/>
          </w:tcPr>
          <w:p w14:paraId="7C810788" w14:textId="4B4880AA" w:rsidR="00393023" w:rsidRPr="00393023" w:rsidRDefault="00393023" w:rsidP="00393023">
            <w:pPr>
              <w:keepNext/>
              <w:cnfStyle w:val="000000100000" w:firstRow="0" w:lastRow="0" w:firstColumn="0" w:lastColumn="0" w:oddVBand="0" w:evenVBand="0" w:oddHBand="1" w:evenHBand="0" w:firstRowFirstColumn="0" w:firstRowLastColumn="0" w:lastRowFirstColumn="0" w:lastRowLastColumn="0"/>
              <w:rPr>
                <w:sz w:val="20"/>
                <w:szCs w:val="20"/>
              </w:rPr>
            </w:pPr>
            <w:r w:rsidRPr="00393023">
              <w:rPr>
                <w:rFonts w:cs="Helvetica"/>
                <w:color w:val="141413"/>
                <w:sz w:val="20"/>
                <w:szCs w:val="20"/>
              </w:rPr>
              <w:t>This was the presence of diversity to such a deleterious degree that there could not be effective communication among actors in different fields of science or even in similar fields.</w:t>
            </w:r>
          </w:p>
        </w:tc>
      </w:tr>
    </w:tbl>
    <w:p w14:paraId="5B4455B2" w14:textId="5E54F359" w:rsidR="00397360" w:rsidRDefault="00D65DBF" w:rsidP="00E21C6B">
      <w:r>
        <w:t>The famous</w:t>
      </w:r>
      <w:r w:rsidR="00C7396E">
        <w:t xml:space="preserve"> economic historian Nathan Rosenberg</w:t>
      </w:r>
      <w:r w:rsidR="00C7396E">
        <w:rPr>
          <w:rStyle w:val="FootnoteReference"/>
        </w:rPr>
        <w:footnoteReference w:id="15"/>
      </w:r>
      <w:r w:rsidR="00C7396E">
        <w:t xml:space="preserve"> has argued that </w:t>
      </w:r>
      <w:r w:rsidR="00C7396E" w:rsidRPr="007F3516">
        <w:rPr>
          <w:rStyle w:val="BookTitle"/>
        </w:rPr>
        <w:t>How the West Grew Rich</w:t>
      </w:r>
      <w:r w:rsidR="00C7396E">
        <w:rPr>
          <w:rStyle w:val="FootnoteReference"/>
          <w:i/>
        </w:rPr>
        <w:footnoteReference w:id="16"/>
      </w:r>
      <w:r w:rsidR="00C87185">
        <w:t xml:space="preserve"> was by loos</w:t>
      </w:r>
      <w:r w:rsidR="00397360">
        <w:t>en</w:t>
      </w:r>
      <w:r w:rsidR="00C87185">
        <w:t>ing of political controls and made particular reference to the “</w:t>
      </w:r>
      <w:r w:rsidR="00C87185" w:rsidRPr="007F3516">
        <w:rPr>
          <w:rStyle w:val="QuoteChar"/>
        </w:rPr>
        <w:t>loose</w:t>
      </w:r>
      <w:r w:rsidR="00C87185">
        <w:t xml:space="preserve">” style of management necessary for advances in Science. </w:t>
      </w:r>
    </w:p>
    <w:p w14:paraId="7C087EBC" w14:textId="77777777" w:rsidR="008C46B4" w:rsidRDefault="008C46B4" w:rsidP="00E21C6B"/>
    <w:p w14:paraId="5410716B" w14:textId="68215805" w:rsidR="00397360" w:rsidRDefault="00C87185" w:rsidP="00E21C6B">
      <w:r>
        <w:t xml:space="preserve">The psychology of </w:t>
      </w:r>
      <w:r w:rsidRPr="007F3516">
        <w:rPr>
          <w:rStyle w:val="Emphasis"/>
        </w:rPr>
        <w:t>why</w:t>
      </w:r>
      <w:r>
        <w:rPr>
          <w:i/>
        </w:rPr>
        <w:t xml:space="preserve"> </w:t>
      </w:r>
      <w:r>
        <w:t xml:space="preserve">such </w:t>
      </w:r>
      <w:proofErr w:type="spellStart"/>
      <w:r>
        <w:t>loose</w:t>
      </w:r>
      <w:proofErr w:type="spellEnd"/>
      <w:r>
        <w:t xml:space="preserve"> control is necessary </w:t>
      </w:r>
      <w:r w:rsidR="00726FBD">
        <w:t>is now well understood</w:t>
      </w:r>
      <w:r>
        <w:t xml:space="preserve">. </w:t>
      </w:r>
      <w:r w:rsidR="00397360">
        <w:t xml:space="preserve">The type of person who makes the advances that create economic wealth is typically a revolutionary: As Rosenberg and </w:t>
      </w:r>
      <w:proofErr w:type="spellStart"/>
      <w:r w:rsidR="00397360">
        <w:t>Birdzell</w:t>
      </w:r>
      <w:proofErr w:type="spellEnd"/>
      <w:r w:rsidR="00397360">
        <w:t xml:space="preserve"> say</w:t>
      </w:r>
      <w:r w:rsidR="00397360">
        <w:rPr>
          <w:rStyle w:val="FootnoteReference"/>
        </w:rPr>
        <w:footnoteReference w:id="17"/>
      </w:r>
      <w:r w:rsidR="00397360">
        <w:t xml:space="preserve"> </w:t>
      </w:r>
    </w:p>
    <w:p w14:paraId="15DBFD93" w14:textId="623AAB6E" w:rsidR="00397360" w:rsidRDefault="00397360" w:rsidP="00104D16">
      <w:pPr>
        <w:ind w:left="720"/>
      </w:pPr>
      <w:r w:rsidRPr="00397360">
        <w:t>“</w:t>
      </w:r>
      <w:r w:rsidRPr="007F3516">
        <w:rPr>
          <w:rStyle w:val="QuoteChar"/>
        </w:rPr>
        <w:t>Innovation is a form of revolt against convention, and it may be assumed innovators are more individualistic than most other people</w:t>
      </w:r>
      <w:r w:rsidRPr="00397360">
        <w:t>.”</w:t>
      </w:r>
    </w:p>
    <w:p w14:paraId="242F1631" w14:textId="7FCF7F36" w:rsidR="001A1220" w:rsidRDefault="00397360" w:rsidP="00E21C6B">
      <w:r>
        <w:t xml:space="preserve">The sorts of people that create wealth by research need to be managed appropriately. </w:t>
      </w:r>
      <w:r w:rsidR="00C87185">
        <w:t xml:space="preserve">As renowned management </w:t>
      </w:r>
      <w:r w:rsidR="00D65DBF">
        <w:t xml:space="preserve">scholars </w:t>
      </w:r>
      <w:r w:rsidR="00D65DBF" w:rsidRPr="00AD1512">
        <w:t>Rob</w:t>
      </w:r>
      <w:r w:rsidR="00C87185" w:rsidRPr="00C87185">
        <w:t xml:space="preserve"> </w:t>
      </w:r>
      <w:proofErr w:type="spellStart"/>
      <w:r w:rsidR="00C87185" w:rsidRPr="00C87185">
        <w:t>Goffee</w:t>
      </w:r>
      <w:proofErr w:type="spellEnd"/>
      <w:r w:rsidR="00C87185">
        <w:rPr>
          <w:rStyle w:val="FootnoteReference"/>
        </w:rPr>
        <w:footnoteReference w:id="18"/>
      </w:r>
      <w:r w:rsidR="00C87185" w:rsidRPr="00C87185">
        <w:t xml:space="preserve"> and Gareth Jones</w:t>
      </w:r>
      <w:r w:rsidR="00C87185">
        <w:rPr>
          <w:rStyle w:val="FootnoteReference"/>
        </w:rPr>
        <w:footnoteReference w:id="19"/>
      </w:r>
      <w:r w:rsidR="00C87185">
        <w:t xml:space="preserve"> argued in their book </w:t>
      </w:r>
      <w:r w:rsidR="00C87185" w:rsidRPr="007F3516">
        <w:rPr>
          <w:rStyle w:val="BookTitle"/>
        </w:rPr>
        <w:lastRenderedPageBreak/>
        <w:t>Clever: Leading your smartest, most creative people</w:t>
      </w:r>
      <w:r w:rsidR="00C87185" w:rsidRPr="008C3402">
        <w:rPr>
          <w:rStyle w:val="FootnoteReference"/>
        </w:rPr>
        <w:footnoteReference w:id="20"/>
      </w:r>
      <w:r w:rsidR="007439E6" w:rsidRPr="008C3402">
        <w:t>,</w:t>
      </w:r>
      <w:r w:rsidR="007439E6">
        <w:t xml:space="preserve"> you simply cannot inspire or lead </w:t>
      </w:r>
      <w:r>
        <w:t xml:space="preserve">these </w:t>
      </w:r>
      <w:r w:rsidR="007439E6">
        <w:t xml:space="preserve">clever creative people by telling them exactly what </w:t>
      </w:r>
      <w:r w:rsidR="00B12744">
        <w:t>to</w:t>
      </w:r>
      <w:r w:rsidR="007439E6">
        <w:t xml:space="preserve"> do</w:t>
      </w:r>
      <w:r w:rsidR="00B12744">
        <w:t xml:space="preserve"> </w:t>
      </w:r>
      <w:r w:rsidR="007439E6">
        <w:t>and how they should do</w:t>
      </w:r>
      <w:r w:rsidR="00B12744">
        <w:t xml:space="preserve"> it</w:t>
      </w:r>
      <w:r w:rsidR="00726FBD">
        <w:t>, nor by setting numerical KPIs or performance bonuses</w:t>
      </w:r>
      <w:r w:rsidR="007439E6">
        <w:t xml:space="preserve">. Experienced research leaders know this, and no leading groups are </w:t>
      </w:r>
      <w:r>
        <w:t>managed</w:t>
      </w:r>
      <w:r w:rsidR="007439E6">
        <w:t xml:space="preserve"> by KPIs</w:t>
      </w:r>
      <w:r>
        <w:t xml:space="preserve"> or performance incentives</w:t>
      </w:r>
      <w:r w:rsidR="001A1220">
        <w:t xml:space="preserve">; they are </w:t>
      </w:r>
      <w:r w:rsidR="001A1220" w:rsidRPr="007F3516">
        <w:rPr>
          <w:rStyle w:val="Emphasis"/>
        </w:rPr>
        <w:t>inspired</w:t>
      </w:r>
      <w:r w:rsidR="001A1220">
        <w:t xml:space="preserve"> to perform, not </w:t>
      </w:r>
      <w:r w:rsidR="001A1220" w:rsidRPr="007F3516">
        <w:rPr>
          <w:rStyle w:val="Emphasis"/>
        </w:rPr>
        <w:t>incented</w:t>
      </w:r>
      <w:r w:rsidR="007439E6">
        <w:t xml:space="preserve">. </w:t>
      </w:r>
    </w:p>
    <w:p w14:paraId="11413938" w14:textId="56503C2B" w:rsidR="000426E9" w:rsidRDefault="00397360" w:rsidP="00E21C6B">
      <w:r>
        <w:t xml:space="preserve">The creative people that generate advances are motivated primarily for </w:t>
      </w:r>
      <w:r w:rsidRPr="007F3516">
        <w:rPr>
          <w:rStyle w:val="QuoteChar"/>
        </w:rPr>
        <w:t>intrinsic</w:t>
      </w:r>
      <w:r>
        <w:t xml:space="preserve"> reasons. It is now well documented</w:t>
      </w:r>
      <w:r>
        <w:rPr>
          <w:rStyle w:val="FootnoteReference"/>
        </w:rPr>
        <w:footnoteReference w:id="21"/>
      </w:r>
      <w:r w:rsidR="004F6652">
        <w:t xml:space="preserve"> that offering </w:t>
      </w:r>
      <w:r w:rsidR="004F6652" w:rsidRPr="007F3516">
        <w:rPr>
          <w:rStyle w:val="Emphasis"/>
        </w:rPr>
        <w:t>extrinsic</w:t>
      </w:r>
      <w:r w:rsidR="004F6652">
        <w:t xml:space="preserve"> rewards as a motivating factor to people that are already </w:t>
      </w:r>
      <w:r w:rsidR="008C46B4" w:rsidRPr="007F3516">
        <w:rPr>
          <w:rStyle w:val="Emphasis"/>
        </w:rPr>
        <w:t>in</w:t>
      </w:r>
      <w:r w:rsidR="001A1220" w:rsidRPr="007F3516">
        <w:rPr>
          <w:rStyle w:val="Emphasis"/>
        </w:rPr>
        <w:t>trinsically</w:t>
      </w:r>
      <w:r w:rsidR="001A1220">
        <w:rPr>
          <w:i/>
        </w:rPr>
        <w:t xml:space="preserve"> </w:t>
      </w:r>
      <w:r w:rsidR="001A1220">
        <w:t>motivated</w:t>
      </w:r>
      <w:r w:rsidR="004F6652">
        <w:t xml:space="preserve"> to perform a task, </w:t>
      </w:r>
      <w:r w:rsidR="004F6652" w:rsidRPr="007F3516">
        <w:rPr>
          <w:rStyle w:val="Emphasis"/>
        </w:rPr>
        <w:t>decreases their motivation and leads to worse outcomes</w:t>
      </w:r>
      <w:r w:rsidR="00472FE9">
        <w:t xml:space="preserve">. As Harvard business school professor Teresa </w:t>
      </w:r>
      <w:proofErr w:type="spellStart"/>
      <w:r w:rsidR="00472FE9">
        <w:t>Amibile</w:t>
      </w:r>
      <w:proofErr w:type="spellEnd"/>
      <w:r w:rsidR="00472FE9">
        <w:t xml:space="preserve"> has written</w:t>
      </w:r>
    </w:p>
    <w:p w14:paraId="14D409B6" w14:textId="7F4FA917" w:rsidR="00472FE9" w:rsidRPr="00AD1512" w:rsidRDefault="00472FE9" w:rsidP="00472FE9">
      <w:pPr>
        <w:ind w:left="720"/>
      </w:pPr>
      <w:r w:rsidRPr="007F3516">
        <w:rPr>
          <w:rStyle w:val="QuoteChar"/>
        </w:rPr>
        <w:t xml:space="preserve">Management is widely viewed as a foe of innovation. The thinking goes that too much management strangles innovation (just let a thousand flowers bloom!). But we have found a much more nuanced picture. You really can manage for innovation, but it starts by knowing what drives creativity in the people who generate and develop the new ideas that, when implemented, will become tomorrow’s innovations. </w:t>
      </w:r>
      <w:r w:rsidRPr="007F3516">
        <w:rPr>
          <w:rStyle w:val="Emphasis"/>
        </w:rPr>
        <w:t xml:space="preserve">Unfortunately, too many managers unintentionally </w:t>
      </w:r>
      <w:hyperlink r:id="rId12" w:history="1">
        <w:r w:rsidRPr="007F3516">
          <w:rPr>
            <w:rStyle w:val="Emphasis"/>
          </w:rPr>
          <w:t xml:space="preserve">kill innovation </w:t>
        </w:r>
      </w:hyperlink>
      <w:r w:rsidRPr="007F3516">
        <w:rPr>
          <w:rStyle w:val="Emphasis"/>
        </w:rPr>
        <w:t>because they rely too heavily on carrots and sticks to motivate employees</w:t>
      </w:r>
      <w:r w:rsidRPr="00AD1512">
        <w:rPr>
          <w:rFonts w:eastAsia="Times New Roman" w:cs="Times New Roman"/>
          <w:i/>
        </w:rPr>
        <w:t>.</w:t>
      </w:r>
      <w:r>
        <w:rPr>
          <w:rStyle w:val="FootnoteReference"/>
          <w:rFonts w:eastAsia="Times New Roman" w:cs="Times New Roman"/>
        </w:rPr>
        <w:footnoteReference w:id="22"/>
      </w:r>
      <w:r w:rsidR="00AD1512">
        <w:rPr>
          <w:rFonts w:eastAsia="Times New Roman" w:cs="Times New Roman"/>
        </w:rPr>
        <w:t xml:space="preserve"> (</w:t>
      </w:r>
      <w:proofErr w:type="gramStart"/>
      <w:r w:rsidR="00AD1512">
        <w:rPr>
          <w:rFonts w:eastAsia="Times New Roman" w:cs="Times New Roman"/>
        </w:rPr>
        <w:t>italics</w:t>
      </w:r>
      <w:proofErr w:type="gramEnd"/>
      <w:r w:rsidR="00AD1512">
        <w:rPr>
          <w:rFonts w:eastAsia="Times New Roman" w:cs="Times New Roman"/>
        </w:rPr>
        <w:t xml:space="preserve"> at </w:t>
      </w:r>
      <w:r w:rsidR="008C3402">
        <w:rPr>
          <w:rFonts w:eastAsia="Times New Roman" w:cs="Times New Roman"/>
        </w:rPr>
        <w:t xml:space="preserve">the </w:t>
      </w:r>
      <w:r w:rsidR="00AD1512">
        <w:rPr>
          <w:rFonts w:eastAsia="Times New Roman" w:cs="Times New Roman"/>
        </w:rPr>
        <w:t>end of paragraph added)</w:t>
      </w:r>
    </w:p>
    <w:p w14:paraId="3E6B3724" w14:textId="77777777" w:rsidR="00397360" w:rsidRDefault="00397360" w:rsidP="00E21C6B"/>
    <w:p w14:paraId="36FFAF75" w14:textId="5F2119B5" w:rsidR="00E80003" w:rsidRDefault="00472FE9" w:rsidP="00E21C6B">
      <w:proofErr w:type="spellStart"/>
      <w:r>
        <w:t>Deci</w:t>
      </w:r>
      <w:proofErr w:type="spellEnd"/>
      <w:r>
        <w:t xml:space="preserve"> and </w:t>
      </w:r>
      <w:proofErr w:type="spellStart"/>
      <w:r>
        <w:t>Amibile</w:t>
      </w:r>
      <w:proofErr w:type="spellEnd"/>
      <w:r>
        <w:t xml:space="preserve"> an</w:t>
      </w:r>
      <w:r w:rsidR="00944AE0">
        <w:t>d others</w:t>
      </w:r>
      <w:r w:rsidR="00E86FBC">
        <w:t>’</w:t>
      </w:r>
      <w:r w:rsidR="00944AE0">
        <w:t xml:space="preserve"> work </w:t>
      </w:r>
      <w:proofErr w:type="gramStart"/>
      <w:r w:rsidR="00944AE0">
        <w:t>has</w:t>
      </w:r>
      <w:proofErr w:type="gramEnd"/>
      <w:r>
        <w:t xml:space="preserve"> assembled o</w:t>
      </w:r>
      <w:r w:rsidR="00944AE0">
        <w:t xml:space="preserve">verwhelming empirical evidence </w:t>
      </w:r>
      <w:r>
        <w:t>that you simply will not get the best out of creative people by trying to manage them with KPIs and incentives. In fact yo</w:t>
      </w:r>
      <w:r w:rsidR="00E80003">
        <w:t>u will kill the creative spark:</w:t>
      </w:r>
    </w:p>
    <w:p w14:paraId="7B1EF933" w14:textId="13E417AA" w:rsidR="002B7FBC" w:rsidRDefault="00E80003" w:rsidP="00104D16">
      <w:pPr>
        <w:ind w:left="720"/>
      </w:pPr>
      <w:r w:rsidRPr="007F3516">
        <w:rPr>
          <w:rStyle w:val="QuoteChar"/>
        </w:rPr>
        <w:lastRenderedPageBreak/>
        <w:t>Creativity is undermined unintentionally every day in work environments that were established – for entirely good reasons – to maximize business imperatives such as coordination, productivity and control</w:t>
      </w:r>
      <w:r w:rsidRPr="00C35E2F">
        <w:t>.</w:t>
      </w:r>
      <w:r w:rsidRPr="00C35E2F">
        <w:rPr>
          <w:rStyle w:val="FootnoteReference"/>
        </w:rPr>
        <w:footnoteReference w:id="23"/>
      </w:r>
    </w:p>
    <w:p w14:paraId="0B02306D" w14:textId="7D2CDA3D" w:rsidR="004011D8" w:rsidRDefault="00472FE9" w:rsidP="00E21C6B">
      <w:r>
        <w:t xml:space="preserve">This has been demonstrated in a compelling fashion by </w:t>
      </w:r>
      <w:proofErr w:type="spellStart"/>
      <w:r>
        <w:t>Azoulay</w:t>
      </w:r>
      <w:proofErr w:type="spellEnd"/>
      <w:r>
        <w:t xml:space="preserve"> et al.</w:t>
      </w:r>
      <w:r>
        <w:rPr>
          <w:rStyle w:val="FootnoteReference"/>
        </w:rPr>
        <w:footnoteReference w:id="24"/>
      </w:r>
      <w:r>
        <w:t xml:space="preserve"> in the specific context of research. By comparing the </w:t>
      </w:r>
      <w:r w:rsidR="00A967B5">
        <w:t>long-term</w:t>
      </w:r>
      <w:r>
        <w:t xml:space="preserve"> scientific </w:t>
      </w:r>
      <w:r w:rsidRPr="007F3516">
        <w:rPr>
          <w:rStyle w:val="Emphasis"/>
        </w:rPr>
        <w:t>impact</w:t>
      </w:r>
      <w:r>
        <w:t xml:space="preserve"> </w:t>
      </w:r>
      <w:r w:rsidR="00944AE0">
        <w:t>(not mere “</w:t>
      </w:r>
      <w:r w:rsidR="00944AE0" w:rsidRPr="007F3516">
        <w:rPr>
          <w:rStyle w:val="QuoteChar"/>
        </w:rPr>
        <w:t>excellence</w:t>
      </w:r>
      <w:r w:rsidR="00944AE0">
        <w:t xml:space="preserve">”) </w:t>
      </w:r>
      <w:r>
        <w:t>of research funded through two different mechanism</w:t>
      </w:r>
      <w:r w:rsidR="00944AE0">
        <w:t>s</w:t>
      </w:r>
      <w:r w:rsidR="00A967B5">
        <w:t>, they showed the impact effect of autonomy. They compared results obtained via</w:t>
      </w:r>
      <w:r>
        <w:t xml:space="preserve"> traditional National Science Foundation g</w:t>
      </w:r>
      <w:r w:rsidR="002B7FBC">
        <w:t>rant</w:t>
      </w:r>
      <w:r w:rsidR="00A967B5">
        <w:t>s (</w:t>
      </w:r>
      <w:r w:rsidR="002B7FBC">
        <w:t>with the sort of bureaucratic</w:t>
      </w:r>
      <w:r>
        <w:t xml:space="preserve"> overhead and controls one sees often in Australia, which </w:t>
      </w:r>
      <w:r w:rsidR="00B12744">
        <w:t xml:space="preserve">risk being increased </w:t>
      </w:r>
      <w:r w:rsidR="002838C4">
        <w:t xml:space="preserve">under some of the suggestions in </w:t>
      </w:r>
      <w:r>
        <w:t>the Government’s paper</w:t>
      </w:r>
      <w:r w:rsidR="00A967B5">
        <w:t>)</w:t>
      </w:r>
      <w:r w:rsidR="002B7FBC">
        <w:t xml:space="preserve"> </w:t>
      </w:r>
      <w:r w:rsidR="00A967B5">
        <w:t>with those obtained via</w:t>
      </w:r>
      <w:r w:rsidR="002B7FBC">
        <w:t xml:space="preserve"> the innovative H</w:t>
      </w:r>
      <w:r>
        <w:t xml:space="preserve">oward Hughes Medical Investigator </w:t>
      </w:r>
      <w:r w:rsidR="00944AE0">
        <w:t>(</w:t>
      </w:r>
      <w:proofErr w:type="spellStart"/>
      <w:r w:rsidR="00944AE0">
        <w:t>HHMI</w:t>
      </w:r>
      <w:proofErr w:type="spellEnd"/>
      <w:r w:rsidR="00944AE0">
        <w:t xml:space="preserve">) </w:t>
      </w:r>
      <w:r>
        <w:t>program, which bets on individuals and encourages them to tak</w:t>
      </w:r>
      <w:r w:rsidR="00A967B5">
        <w:t xml:space="preserve">e risks and follow their noses. The evidence is clear: the </w:t>
      </w:r>
      <w:proofErr w:type="spellStart"/>
      <w:r w:rsidR="00A967B5">
        <w:t>HHMI</w:t>
      </w:r>
      <w:proofErr w:type="spellEnd"/>
      <w:r w:rsidR="00A967B5">
        <w:t xml:space="preserve"> program lead</w:t>
      </w:r>
      <w:r w:rsidR="0027385A">
        <w:t>s</w:t>
      </w:r>
      <w:r w:rsidR="00A967B5">
        <w:t xml:space="preserve"> to substantially greater impact. They also include a very pertinent anecdote about a leading researcher who did have funding from the NSF, but broke the rules, worked on something different, </w:t>
      </w:r>
      <w:r w:rsidR="004011D8">
        <w:t>and ultimately</w:t>
      </w:r>
      <w:r w:rsidR="00A967B5">
        <w:t xml:space="preserve"> </w:t>
      </w:r>
      <w:r w:rsidR="004011D8">
        <w:t>made</w:t>
      </w:r>
      <w:r w:rsidR="00A967B5">
        <w:t xml:space="preserve"> an astonishing breakthrough</w:t>
      </w:r>
      <w:r w:rsidR="004011D8">
        <w:t>. Sometime after the fact, t</w:t>
      </w:r>
      <w:r w:rsidR="00944AE0">
        <w:t xml:space="preserve">he NSF had the good grace to thank him for </w:t>
      </w:r>
      <w:r w:rsidR="00944AE0" w:rsidRPr="007F3516">
        <w:rPr>
          <w:rStyle w:val="Emphasis"/>
        </w:rPr>
        <w:t>not following their rules and advice</w:t>
      </w:r>
      <w:r w:rsidR="00944AE0">
        <w:t>!</w:t>
      </w:r>
      <w:r w:rsidR="00A967B5">
        <w:t xml:space="preserve"> </w:t>
      </w:r>
    </w:p>
    <w:p w14:paraId="09A9D578" w14:textId="3CBD4894" w:rsidR="00A967B5" w:rsidRPr="00104D16" w:rsidRDefault="00A967B5" w:rsidP="00E21C6B">
      <w:pPr>
        <w:rPr>
          <w:i/>
        </w:rPr>
      </w:pPr>
      <w:r w:rsidRPr="007F3516">
        <w:rPr>
          <w:rStyle w:val="Emphasis"/>
        </w:rPr>
        <w:t>The lesson is clear: if you want impact, give</w:t>
      </w:r>
      <w:r w:rsidR="00944AE0" w:rsidRPr="007F3516">
        <w:rPr>
          <w:rStyle w:val="Emphasis"/>
        </w:rPr>
        <w:t xml:space="preserve"> creative people autonomy; do not try to control them by incentives</w:t>
      </w:r>
      <w:r w:rsidR="00944AE0">
        <w:rPr>
          <w:i/>
        </w:rPr>
        <w:t>.</w:t>
      </w:r>
    </w:p>
    <w:p w14:paraId="4BA0B3DC" w14:textId="5159B1E2" w:rsidR="00C7396E" w:rsidRDefault="00472FE9" w:rsidP="00E21C6B">
      <w:pPr>
        <w:rPr>
          <w:color w:val="FF0000"/>
        </w:rPr>
      </w:pPr>
      <w:r w:rsidRPr="00472FE9">
        <w:t>Experienced</w:t>
      </w:r>
      <w:r>
        <w:t xml:space="preserve"> research leaders know this full well. </w:t>
      </w:r>
      <w:r w:rsidR="007439E6">
        <w:t xml:space="preserve">Instead </w:t>
      </w:r>
      <w:r>
        <w:t>they</w:t>
      </w:r>
      <w:r w:rsidR="007439E6">
        <w:t xml:space="preserve"> focus on the creation of a culture where the “</w:t>
      </w:r>
      <w:r w:rsidR="007439E6" w:rsidRPr="007F3516">
        <w:rPr>
          <w:rStyle w:val="QuoteChar"/>
        </w:rPr>
        <w:t>clever people</w:t>
      </w:r>
      <w:r w:rsidR="007439E6">
        <w:t xml:space="preserve">” will be inspired to </w:t>
      </w:r>
      <w:r w:rsidR="007439E6" w:rsidRPr="007F3516">
        <w:rPr>
          <w:rStyle w:val="Emphasis"/>
        </w:rPr>
        <w:t>want</w:t>
      </w:r>
      <w:r w:rsidR="007439E6">
        <w:t xml:space="preserve"> to do what the leader wishes. Again, </w:t>
      </w:r>
      <w:proofErr w:type="spellStart"/>
      <w:r w:rsidR="007439E6">
        <w:t>NICTA</w:t>
      </w:r>
      <w:proofErr w:type="spellEnd"/>
      <w:r w:rsidR="007439E6">
        <w:t xml:space="preserve"> is a shining example of how this can work.</w:t>
      </w:r>
      <w:r w:rsidR="00AD1512">
        <w:t xml:space="preserve"> </w:t>
      </w:r>
      <w:proofErr w:type="spellStart"/>
      <w:r w:rsidR="00AD1512">
        <w:t>NICTA</w:t>
      </w:r>
      <w:proofErr w:type="spellEnd"/>
      <w:r w:rsidR="00AD1512">
        <w:t xml:space="preserve"> has groups of researchers rated as amongst the top 5 in the world</w:t>
      </w:r>
      <w:r w:rsidR="004011D8">
        <w:rPr>
          <w:rStyle w:val="FootnoteReference"/>
        </w:rPr>
        <w:footnoteReference w:id="25"/>
      </w:r>
      <w:r w:rsidR="00AD1512">
        <w:t xml:space="preserve"> in their scientific area </w:t>
      </w:r>
      <w:r w:rsidR="00AD1512" w:rsidRPr="007F3516">
        <w:rPr>
          <w:rStyle w:val="Emphasis"/>
        </w:rPr>
        <w:t>and</w:t>
      </w:r>
      <w:r w:rsidR="00AD1512">
        <w:t xml:space="preserve"> engages with Australian industry to the extent that it has been estimated to add </w:t>
      </w:r>
      <w:r w:rsidR="00606F94">
        <w:t>around</w:t>
      </w:r>
      <w:r w:rsidR="0027385A">
        <w:t xml:space="preserve"> </w:t>
      </w:r>
      <w:r w:rsidR="00AD1512">
        <w:t>$</w:t>
      </w:r>
      <w:proofErr w:type="spellStart"/>
      <w:proofErr w:type="gramStart"/>
      <w:r w:rsidR="0027385A">
        <w:t>1</w:t>
      </w:r>
      <w:r w:rsidR="00AD1512">
        <w:t>B</w:t>
      </w:r>
      <w:proofErr w:type="spellEnd"/>
      <w:r w:rsidR="00AD1512">
        <w:t>/</w:t>
      </w:r>
      <w:proofErr w:type="spellStart"/>
      <w:r w:rsidR="00AD1512">
        <w:t>yr</w:t>
      </w:r>
      <w:proofErr w:type="spellEnd"/>
      <w:r w:rsidR="00606F94">
        <w:t>,</w:t>
      </w:r>
      <w:proofErr w:type="gramEnd"/>
      <w:r w:rsidR="00606F94">
        <w:t xml:space="preserve"> and over $</w:t>
      </w:r>
      <w:proofErr w:type="spellStart"/>
      <w:r w:rsidR="00606F94">
        <w:t>3B</w:t>
      </w:r>
      <w:proofErr w:type="spellEnd"/>
      <w:r w:rsidR="00606F94">
        <w:t xml:space="preserve"> </w:t>
      </w:r>
      <w:proofErr w:type="spellStart"/>
      <w:r w:rsidR="00606F94">
        <w:t>NPV</w:t>
      </w:r>
      <w:proofErr w:type="spellEnd"/>
      <w:r w:rsidR="00AD1512">
        <w:t xml:space="preserve"> to </w:t>
      </w:r>
      <w:r w:rsidR="00606F94">
        <w:t xml:space="preserve">2020, </w:t>
      </w:r>
      <w:r w:rsidR="00AD1512">
        <w:t xml:space="preserve">to </w:t>
      </w:r>
      <w:r w:rsidR="00606F94">
        <w:t xml:space="preserve">Australian </w:t>
      </w:r>
      <w:r w:rsidR="00AD1512">
        <w:t>GDP.</w:t>
      </w:r>
      <w:bookmarkStart w:id="11" w:name="_Ref278702447"/>
      <w:r w:rsidR="0027385A">
        <w:rPr>
          <w:rStyle w:val="FootnoteReference"/>
        </w:rPr>
        <w:footnoteReference w:id="26"/>
      </w:r>
      <w:bookmarkEnd w:id="11"/>
    </w:p>
    <w:p w14:paraId="496AB096" w14:textId="77777777" w:rsidR="008901C3" w:rsidRDefault="008901C3" w:rsidP="00E21C6B">
      <w:pPr>
        <w:rPr>
          <w:color w:val="FF0000"/>
        </w:rPr>
      </w:pPr>
    </w:p>
    <w:p w14:paraId="5E0CD591" w14:textId="44961754" w:rsidR="008C3402" w:rsidRPr="008901C3" w:rsidRDefault="008901C3" w:rsidP="00E21C6B">
      <w:r w:rsidRPr="008901C3">
        <w:t xml:space="preserve">A </w:t>
      </w:r>
      <w:r>
        <w:t>three-year study from the US National Academy of Engineering on “</w:t>
      </w:r>
      <w:r w:rsidRPr="007F3516">
        <w:rPr>
          <w:rStyle w:val="QuoteChar"/>
        </w:rPr>
        <w:t>Profiting from Innovation</w:t>
      </w:r>
      <w:r>
        <w:t>”</w:t>
      </w:r>
      <w:r>
        <w:rPr>
          <w:rStyle w:val="FootnoteReference"/>
        </w:rPr>
        <w:footnoteReference w:id="27"/>
      </w:r>
      <w:r>
        <w:t xml:space="preserve"> reinforces this point. After explaining the central role of “champions” in commercialization success they explain the essence of this sort of champion and the key issue regarding t</w:t>
      </w:r>
      <w:r w:rsidR="008C46B4">
        <w:t xml:space="preserve">heir management: Champions have, </w:t>
      </w:r>
      <w:r>
        <w:t>similar to</w:t>
      </w:r>
      <w:r w:rsidR="00F5444A">
        <w:t xml:space="preserve"> the scientific star</w:t>
      </w:r>
      <w:r>
        <w:t>s studied by Hollingsworth (</w:t>
      </w:r>
      <w:r>
        <w:rPr>
          <w:i/>
        </w:rPr>
        <w:t>op. cit.</w:t>
      </w:r>
      <w:r>
        <w:t>):</w:t>
      </w:r>
    </w:p>
    <w:p w14:paraId="5A1B8618" w14:textId="17DD5A8D" w:rsidR="008901C3" w:rsidRPr="00C303FD" w:rsidRDefault="008901C3" w:rsidP="00EF0714">
      <w:pPr>
        <w:pStyle w:val="Quote"/>
      </w:pPr>
      <w:r w:rsidRPr="00C303FD">
        <w:t>Dedication (sometimes fanatical) to their perception of success, sometimes without management support;</w:t>
      </w:r>
    </w:p>
    <w:p w14:paraId="21E7A439" w14:textId="20F6C339" w:rsidR="008901C3" w:rsidRPr="00C303FD" w:rsidRDefault="008901C3" w:rsidP="00EF0714">
      <w:pPr>
        <w:pStyle w:val="Quote"/>
      </w:pPr>
      <w:r w:rsidRPr="00C303FD">
        <w:t>A vision of the goal that is clear enough and powerful enough to enlist the support of others;</w:t>
      </w:r>
    </w:p>
    <w:p w14:paraId="1A822F58" w14:textId="4ABED32A" w:rsidR="008901C3" w:rsidRPr="00C303FD" w:rsidRDefault="008901C3" w:rsidP="00EF0714">
      <w:pPr>
        <w:pStyle w:val="Quote"/>
      </w:pPr>
      <w:r w:rsidRPr="00C303FD">
        <w:t>Willingness to take risks, often personal as well as professional, to reach the goal</w:t>
      </w:r>
      <w:r w:rsidR="00C303FD" w:rsidRPr="00C303FD">
        <w:t>;</w:t>
      </w:r>
    </w:p>
    <w:p w14:paraId="1DA47F92" w14:textId="731CDE41" w:rsidR="00C303FD" w:rsidRPr="00C303FD" w:rsidRDefault="00C303FD" w:rsidP="00EF0714">
      <w:pPr>
        <w:pStyle w:val="Quote"/>
      </w:pPr>
      <w:proofErr w:type="gramStart"/>
      <w:r w:rsidRPr="00C303FD">
        <w:t>Ability to garner sufficient resources (through leadership, management insight, “</w:t>
      </w:r>
      <w:r w:rsidR="008C3402" w:rsidRPr="00C303FD">
        <w:t>reappropriation</w:t>
      </w:r>
      <w:r w:rsidRPr="00C303FD">
        <w:t>”, persuasion, luck, or intuition) to reach the goal</w:t>
      </w:r>
      <w:r w:rsidR="00F5444A">
        <w:t>.</w:t>
      </w:r>
      <w:proofErr w:type="gramEnd"/>
    </w:p>
    <w:p w14:paraId="1431B856" w14:textId="4D09C8E2" w:rsidR="008901C3" w:rsidRPr="008901C3" w:rsidRDefault="00C303FD" w:rsidP="00104D16">
      <w:pPr>
        <w:pStyle w:val="Quote"/>
      </w:pPr>
      <w:r w:rsidRPr="00C303FD">
        <w:t xml:space="preserve">Champion’s activities often do not conform to formal organizations or ‘orderly’ ways of doing business. </w:t>
      </w:r>
      <w:r w:rsidRPr="00EF0714">
        <w:rPr>
          <w:rStyle w:val="Emphasis"/>
        </w:rPr>
        <w:t>Though company leaders may wish to encourage champions throughout their firm, the</w:t>
      </w:r>
      <w:r w:rsidR="00E86FBC" w:rsidRPr="00EF0714">
        <w:rPr>
          <w:rStyle w:val="Emphasis"/>
        </w:rPr>
        <w:t>y</w:t>
      </w:r>
      <w:r w:rsidRPr="00EF0714">
        <w:rPr>
          <w:rStyle w:val="Emphasis"/>
        </w:rPr>
        <w:t xml:space="preserve"> often fail to recognize, empower, and reward “cons</w:t>
      </w:r>
      <w:r w:rsidR="00F5444A" w:rsidRPr="00EF0714">
        <w:rPr>
          <w:rStyle w:val="Emphasis"/>
        </w:rPr>
        <w:t>tructive” disruptive behaviour</w:t>
      </w:r>
      <w:r w:rsidR="00F5444A">
        <w:t>.</w:t>
      </w:r>
      <w:r>
        <w:t xml:space="preserve">  (</w:t>
      </w:r>
      <w:r w:rsidR="008C46B4">
        <w:t>Italics</w:t>
      </w:r>
      <w:r>
        <w:t xml:space="preserve"> added)</w:t>
      </w:r>
    </w:p>
    <w:p w14:paraId="0F4F245E" w14:textId="025C8F0C" w:rsidR="008B4526" w:rsidRDefault="007439E6" w:rsidP="00E21C6B">
      <w:r>
        <w:t xml:space="preserve">Conversely, getting the culture wrong is bad. As Linda Butler explains in the OECD report cited earlier (page 148), the </w:t>
      </w:r>
      <w:r w:rsidR="00D65DBF">
        <w:t>introduction of</w:t>
      </w:r>
      <w:r>
        <w:t xml:space="preserve"> performance based research funding decreases researcher autonomy and that directly serves to demotivate researchers; she reports claims about loss of autonomy were very common in the assessment of incentive based research funding. </w:t>
      </w:r>
    </w:p>
    <w:p w14:paraId="041A7FED" w14:textId="77777777" w:rsidR="00D676BA" w:rsidRDefault="00D676BA" w:rsidP="00E21C6B"/>
    <w:p w14:paraId="7DB2B081" w14:textId="654D8F04" w:rsidR="004D4066" w:rsidRDefault="00D676BA" w:rsidP="00E21C6B">
      <w:r>
        <w:t>Ultimately it needs to be accepted that technological innovation, and its concomitant economic benefits, is an intrinsically uncertain enterprise</w:t>
      </w:r>
      <w:r>
        <w:rPr>
          <w:rStyle w:val="FootnoteReference"/>
        </w:rPr>
        <w:footnoteReference w:id="28"/>
      </w:r>
      <w:r>
        <w:t>, which only thrives when the best people are given the freedom to do what they want to do – and that is to truly innovate and see that innovation have an impact. They do not need to be cajoled. They only need to be gently led.</w:t>
      </w:r>
      <w:r w:rsidR="00F5444A">
        <w:t xml:space="preserve"> They can then inspire groups of researchers around them to </w:t>
      </w:r>
      <w:r w:rsidR="00F5444A">
        <w:lastRenderedPageBreak/>
        <w:t xml:space="preserve">make the sort of advances that are </w:t>
      </w:r>
      <w:proofErr w:type="spellStart"/>
      <w:r w:rsidR="00F5444A">
        <w:t>commercialisable</w:t>
      </w:r>
      <w:proofErr w:type="spellEnd"/>
      <w:r w:rsidR="00F5444A">
        <w:t xml:space="preserve"> by industry for the greater economic impact to the country.</w:t>
      </w:r>
    </w:p>
    <w:p w14:paraId="2F3853E5" w14:textId="77777777" w:rsidR="004D4066" w:rsidRPr="00EE4E4C" w:rsidRDefault="004D4066" w:rsidP="004D4066">
      <w:pPr>
        <w:pStyle w:val="Heading1"/>
        <w:numPr>
          <w:ilvl w:val="0"/>
          <w:numId w:val="5"/>
        </w:numPr>
      </w:pPr>
      <w:bookmarkStart w:id="12" w:name="_Toc278718404"/>
      <w:r w:rsidRPr="00EE4E4C">
        <w:t>There are Australian research institutions with the right culture</w:t>
      </w:r>
      <w:r>
        <w:t xml:space="preserve"> – they should be preserved and replicated</w:t>
      </w:r>
      <w:bookmarkEnd w:id="12"/>
    </w:p>
    <w:p w14:paraId="0C58A507" w14:textId="0B6C5800" w:rsidR="004D4066" w:rsidRDefault="004D4066" w:rsidP="004D4066">
      <w:r>
        <w:t>The Government’s paper suggests</w:t>
      </w:r>
      <w:r>
        <w:rPr>
          <w:rStyle w:val="FootnoteReference"/>
        </w:rPr>
        <w:footnoteReference w:id="29"/>
      </w:r>
      <w:r>
        <w:t xml:space="preserve"> that Australia’s poor performance in terms of the number of spin-off companies per $</w:t>
      </w:r>
      <w:proofErr w:type="spellStart"/>
      <w:r>
        <w:t>US100m</w:t>
      </w:r>
      <w:proofErr w:type="spellEnd"/>
      <w:r>
        <w:t xml:space="preserve"> of research expenditure is due to a “</w:t>
      </w:r>
      <w:r w:rsidRPr="00EF0714">
        <w:rPr>
          <w:rStyle w:val="QuoteChar"/>
        </w:rPr>
        <w:t>lack of entrepreneurial culture</w:t>
      </w:r>
      <w:r>
        <w:t xml:space="preserve">” and goes on to conclude, on the basis of no evidence, (see the point </w:t>
      </w:r>
      <w:r>
        <w:fldChar w:fldCharType="begin"/>
      </w:r>
      <w:r>
        <w:instrText xml:space="preserve"> REF _Ref278571396 \r \h </w:instrText>
      </w:r>
      <w:r>
        <w:fldChar w:fldCharType="separate"/>
      </w:r>
      <w:r w:rsidR="0050242C">
        <w:t>1)</w:t>
      </w:r>
      <w:r>
        <w:fldChar w:fldCharType="end"/>
      </w:r>
      <w:r>
        <w:t xml:space="preserve"> above) that this is because academic career progression is driven by research excellence.</w:t>
      </w:r>
      <w:r>
        <w:rPr>
          <w:rStyle w:val="FootnoteReference"/>
        </w:rPr>
        <w:footnoteReference w:id="30"/>
      </w:r>
    </w:p>
    <w:p w14:paraId="43256B77" w14:textId="33AC34CB" w:rsidR="004D4066" w:rsidRDefault="004D4066" w:rsidP="004D4066">
      <w:pPr>
        <w:pStyle w:val="ListParagraph"/>
        <w:ind w:left="0"/>
      </w:pPr>
      <w:r>
        <w:t>Contrary to the Government’s claim, there certainly are research institutions in Australia with an “</w:t>
      </w:r>
      <w:r w:rsidRPr="00EF0714">
        <w:rPr>
          <w:rStyle w:val="QuoteChar"/>
        </w:rPr>
        <w:t>entrepreneurial culture</w:t>
      </w:r>
      <w:r>
        <w:t>” and this culture is reflected in a performance 20 times (</w:t>
      </w:r>
      <w:r w:rsidRPr="00EF0714">
        <w:rPr>
          <w:rStyle w:val="Emphasis"/>
        </w:rPr>
        <w:t>twenty!</w:t>
      </w:r>
      <w:r>
        <w:t xml:space="preserve">) better than the Australian average on the very indicator quoted – number of </w:t>
      </w:r>
      <w:r w:rsidR="008C46B4">
        <w:t>start-ups</w:t>
      </w:r>
      <w:r>
        <w:t xml:space="preserve"> per $</w:t>
      </w:r>
      <w:proofErr w:type="spellStart"/>
      <w:r>
        <w:t>100m</w:t>
      </w:r>
      <w:proofErr w:type="spellEnd"/>
      <w:r>
        <w:t xml:space="preserve"> invested.</w:t>
      </w:r>
      <w:r>
        <w:rPr>
          <w:rStyle w:val="FootnoteReference"/>
        </w:rPr>
        <w:footnoteReference w:id="31"/>
      </w:r>
      <w:r>
        <w:t xml:space="preserve">   A factor of 20 utterly swamps the minor differences in the OECD reports alluded to earlier. </w:t>
      </w:r>
      <w:r w:rsidR="009A5CFC">
        <w:t xml:space="preserve"> And it is important to recognise that this entrepreneurship is not at the expense of research excellence and </w:t>
      </w:r>
      <w:r w:rsidR="000E276A">
        <w:t>academic</w:t>
      </w:r>
      <w:r w:rsidR="009A5CFC">
        <w:t xml:space="preserve"> publications – rather it </w:t>
      </w:r>
      <w:r w:rsidR="000E276A">
        <w:t>strengthens them</w:t>
      </w:r>
      <w:r w:rsidR="009A5CFC">
        <w:t>.</w:t>
      </w:r>
    </w:p>
    <w:p w14:paraId="2D841D42" w14:textId="77777777" w:rsidR="004D4066" w:rsidRDefault="004D4066" w:rsidP="004D4066">
      <w:pPr>
        <w:pStyle w:val="ListParagraph"/>
        <w:ind w:left="0"/>
      </w:pPr>
    </w:p>
    <w:p w14:paraId="1957F7B0" w14:textId="6361F387" w:rsidR="004D4066" w:rsidRDefault="004D4066" w:rsidP="004D4066">
      <w:pPr>
        <w:pStyle w:val="ListParagraph"/>
        <w:ind w:left="0"/>
      </w:pPr>
      <w:proofErr w:type="spellStart"/>
      <w:r>
        <w:t>NICTA’s</w:t>
      </w:r>
      <w:proofErr w:type="spellEnd"/>
      <w:r>
        <w:t xml:space="preserve"> entrepreneurial culture arises from multiple factors, including a leadership approach informed by the issues addressed in point 2 above, </w:t>
      </w:r>
      <w:r w:rsidR="003D57A7">
        <w:t xml:space="preserve">giving staff and collaborators </w:t>
      </w:r>
      <w:r>
        <w:t xml:space="preserve">confidence </w:t>
      </w:r>
      <w:r w:rsidR="003D57A7">
        <w:t>that they have the freedom to innovate, and encourag</w:t>
      </w:r>
      <w:r w:rsidR="000E276A">
        <w:t>ing</w:t>
      </w:r>
      <w:r w:rsidR="003D57A7">
        <w:t xml:space="preserve"> direct engagement with real industry and national scale challenges.   But one other critical factor contributes heavily to the entrepreneurialism – this is the close </w:t>
      </w:r>
      <w:r w:rsidR="009A5CFC">
        <w:t xml:space="preserve">relationship between researchers, </w:t>
      </w:r>
      <w:r w:rsidR="003D57A7">
        <w:t>deeply professional engineers</w:t>
      </w:r>
      <w:r w:rsidR="009A5CFC">
        <w:t>,</w:t>
      </w:r>
      <w:r w:rsidR="003D57A7">
        <w:t xml:space="preserve"> and </w:t>
      </w:r>
      <w:r w:rsidR="009A5CFC">
        <w:t>user interaction designers in integrated teams with industry</w:t>
      </w:r>
      <w:r w:rsidR="003D57A7">
        <w:t xml:space="preserve">. </w:t>
      </w:r>
      <w:r w:rsidR="009A5CFC">
        <w:t xml:space="preserve"> This interdisciplinary engagement is fundamental to innovation and entrepreneurship.</w:t>
      </w:r>
    </w:p>
    <w:p w14:paraId="5EC5CF50" w14:textId="77777777" w:rsidR="004D4066" w:rsidRDefault="004D4066" w:rsidP="004D4066">
      <w:pPr>
        <w:pStyle w:val="ListParagraph"/>
        <w:ind w:left="0"/>
      </w:pPr>
    </w:p>
    <w:p w14:paraId="08BD50E3" w14:textId="0D9879C4" w:rsidR="004D4066" w:rsidRDefault="004D4066" w:rsidP="004D4066">
      <w:pPr>
        <w:pStyle w:val="ListParagraph"/>
        <w:ind w:left="0"/>
      </w:pPr>
      <w:r>
        <w:t xml:space="preserve">Thus a simple suggestion to achieve the very goal that is mentioned is to </w:t>
      </w:r>
    </w:p>
    <w:p w14:paraId="61D4BECC" w14:textId="77777777" w:rsidR="004D4066" w:rsidRDefault="004D4066" w:rsidP="004D4066">
      <w:pPr>
        <w:pStyle w:val="ListParagraph"/>
        <w:numPr>
          <w:ilvl w:val="1"/>
          <w:numId w:val="5"/>
        </w:numPr>
      </w:pPr>
      <w:r>
        <w:t xml:space="preserve">Continue funding </w:t>
      </w:r>
      <w:proofErr w:type="spellStart"/>
      <w:r>
        <w:t>NICTA</w:t>
      </w:r>
      <w:proofErr w:type="spellEnd"/>
      <w:r>
        <w:t>;</w:t>
      </w:r>
    </w:p>
    <w:p w14:paraId="4B2A4225" w14:textId="79056112" w:rsidR="004D4066" w:rsidRDefault="004D4066" w:rsidP="00C35E2F">
      <w:pPr>
        <w:pStyle w:val="ListParagraph"/>
        <w:numPr>
          <w:ilvl w:val="1"/>
          <w:numId w:val="5"/>
        </w:numPr>
      </w:pPr>
      <w:r>
        <w:t xml:space="preserve">Replicate </w:t>
      </w:r>
      <w:proofErr w:type="spellStart"/>
      <w:r>
        <w:t>NICTA</w:t>
      </w:r>
      <w:proofErr w:type="spellEnd"/>
      <w:r>
        <w:t xml:space="preserve"> in other areas (other general purpose technologies</w:t>
      </w:r>
      <w:r>
        <w:rPr>
          <w:rStyle w:val="FootnoteReference"/>
        </w:rPr>
        <w:footnoteReference w:id="32"/>
      </w:r>
      <w:r>
        <w:t xml:space="preserve"> for example).</w:t>
      </w:r>
    </w:p>
    <w:p w14:paraId="108EEF84" w14:textId="44F9A669" w:rsidR="00E21C6B" w:rsidRDefault="005432DE" w:rsidP="00E21C6B">
      <w:pPr>
        <w:pStyle w:val="Heading1"/>
        <w:numPr>
          <w:ilvl w:val="0"/>
          <w:numId w:val="5"/>
        </w:numPr>
      </w:pPr>
      <w:bookmarkStart w:id="13" w:name="_Toc278623272"/>
      <w:bookmarkStart w:id="14" w:name="_Toc278626596"/>
      <w:bookmarkStart w:id="15" w:name="_Toc278718405"/>
      <w:r w:rsidRPr="00EE4E4C">
        <w:t>Absorptive</w:t>
      </w:r>
      <w:r w:rsidR="00E21C6B" w:rsidRPr="00EE4E4C">
        <w:t xml:space="preserve"> capacity matters, and can be improved by better aligning public </w:t>
      </w:r>
      <w:r w:rsidR="00794636">
        <w:t xml:space="preserve">research </w:t>
      </w:r>
      <w:r w:rsidR="00E21C6B" w:rsidRPr="00EE4E4C">
        <w:t>spend with industry need</w:t>
      </w:r>
      <w:r w:rsidR="00794636">
        <w:t>s</w:t>
      </w:r>
      <w:bookmarkEnd w:id="13"/>
      <w:bookmarkEnd w:id="14"/>
      <w:bookmarkEnd w:id="15"/>
    </w:p>
    <w:p w14:paraId="1D7C2A48" w14:textId="3871D167" w:rsidR="00513914" w:rsidRDefault="006205A2" w:rsidP="006205A2">
      <w:r>
        <w:t>It has long been recognised that “</w:t>
      </w:r>
      <w:r w:rsidRPr="00EF0714">
        <w:rPr>
          <w:rStyle w:val="QuoteChar"/>
        </w:rPr>
        <w:t>absorptive capacity</w:t>
      </w:r>
      <w:r>
        <w:t>” matters for the diffusion and adoption of research-based innovations</w:t>
      </w:r>
      <w:r>
        <w:rPr>
          <w:rStyle w:val="FootnoteReference"/>
        </w:rPr>
        <w:footnoteReference w:id="33"/>
      </w:r>
      <w:r>
        <w:t>. One extremely simple change that could be made to enhance the absorption of research-driven innovations within Australia is to better align the expenditure of public monies on research with industry need and interest.  At present it is simply n</w:t>
      </w:r>
      <w:r w:rsidR="00587757">
        <w:t>ot true that</w:t>
      </w:r>
      <w:r>
        <w:t>, as is claimed in the Government’s paper</w:t>
      </w:r>
      <w:r>
        <w:rPr>
          <w:rStyle w:val="FootnoteReference"/>
        </w:rPr>
        <w:footnoteReference w:id="34"/>
      </w:r>
      <w:r w:rsidR="00587757">
        <w:t xml:space="preserve"> (page 9 of department’s paper) “</w:t>
      </w:r>
      <w:r w:rsidR="00587757" w:rsidRPr="00EF0714">
        <w:rPr>
          <w:rStyle w:val="QuoteChar"/>
        </w:rPr>
        <w:t>Australia’s research effort is focussed in key sectors relevant to our economy and society</w:t>
      </w:r>
      <w:r w:rsidR="00587757">
        <w:t xml:space="preserve">”. </w:t>
      </w:r>
      <w:r w:rsidR="00D15752">
        <w:t xml:space="preserve">  </w:t>
      </w:r>
      <w:r w:rsidR="00513914">
        <w:t xml:space="preserve">The numbers quoted there contradict the assertion: private sector R&amp;D is focussed on engineering and IT (a total of 77%). But only 11% of public funding is on engineering, and a similarly small figure on IT. </w:t>
      </w:r>
    </w:p>
    <w:p w14:paraId="05216B52" w14:textId="73EE89E4" w:rsidR="00513914" w:rsidRDefault="00513914" w:rsidP="006205A2">
      <w:r>
        <w:t xml:space="preserve">The government could vastly improve the commercial returns from research by focussing publicly funded research on areas where there is strong </w:t>
      </w:r>
      <w:r w:rsidR="008C3402">
        <w:t>absorptive</w:t>
      </w:r>
      <w:r>
        <w:t xml:space="preserve"> capacity. The counter-argument that given there is industry interest in these areas implies the government need not invest simple fails: industr</w:t>
      </w:r>
      <w:r w:rsidR="006D76B6">
        <w:t>y does not typically undertake</w:t>
      </w:r>
      <w:r>
        <w:t xml:space="preserve"> the long term basic research that underpins the innovations that can have a huge </w:t>
      </w:r>
      <w:r w:rsidR="006D76B6">
        <w:t xml:space="preserve">economic </w:t>
      </w:r>
      <w:r>
        <w:t xml:space="preserve">effect. </w:t>
      </w:r>
    </w:p>
    <w:p w14:paraId="3D253074" w14:textId="54070E93" w:rsidR="00513914" w:rsidRPr="00EF0714" w:rsidRDefault="00513914" w:rsidP="006205A2">
      <w:pPr>
        <w:rPr>
          <w:rStyle w:val="Emphasis"/>
        </w:rPr>
      </w:pPr>
      <w:r w:rsidRPr="00EF0714">
        <w:rPr>
          <w:rStyle w:val="Emphasis"/>
        </w:rPr>
        <w:t xml:space="preserve">Simply by increasing the proportion of government research funding in areas </w:t>
      </w:r>
      <w:r w:rsidR="006F46D3" w:rsidRPr="00EF0714">
        <w:rPr>
          <w:rStyle w:val="Emphasis"/>
        </w:rPr>
        <w:t>where there</w:t>
      </w:r>
      <w:r w:rsidRPr="00EF0714">
        <w:rPr>
          <w:rStyle w:val="Emphasis"/>
        </w:rPr>
        <w:t xml:space="preserve"> is absorptive capacity could very rapidly “boost the commercial returns of research.”</w:t>
      </w:r>
    </w:p>
    <w:p w14:paraId="3462493D" w14:textId="398F8537" w:rsidR="00E21C6B" w:rsidRPr="00EE4E4C" w:rsidRDefault="00E21C6B" w:rsidP="00EE4E4C">
      <w:pPr>
        <w:pStyle w:val="Heading1"/>
        <w:numPr>
          <w:ilvl w:val="0"/>
          <w:numId w:val="5"/>
        </w:numPr>
      </w:pPr>
      <w:bookmarkStart w:id="16" w:name="_Toc278623273"/>
      <w:bookmarkStart w:id="17" w:name="_Toc278626597"/>
      <w:bookmarkStart w:id="18" w:name="_Toc278718406"/>
      <w:r w:rsidRPr="00EE4E4C">
        <w:lastRenderedPageBreak/>
        <w:t xml:space="preserve">There is a huge difference between generating a return for the country and appropriating the return </w:t>
      </w:r>
      <w:r w:rsidR="001815B4">
        <w:t>by</w:t>
      </w:r>
      <w:r w:rsidRPr="00EE4E4C">
        <w:t xml:space="preserve"> a given institution</w:t>
      </w:r>
      <w:bookmarkEnd w:id="16"/>
      <w:bookmarkEnd w:id="17"/>
      <w:bookmarkEnd w:id="18"/>
    </w:p>
    <w:p w14:paraId="15341A2F" w14:textId="017B2C4C" w:rsidR="008E580E" w:rsidRDefault="008E580E" w:rsidP="00E21C6B">
      <w:r>
        <w:t xml:space="preserve">From a national perspective what matters is that there is an economic return </w:t>
      </w:r>
      <w:r w:rsidR="006D76B6" w:rsidRPr="00EF0714">
        <w:rPr>
          <w:rStyle w:val="Emphasis"/>
        </w:rPr>
        <w:t xml:space="preserve">to the country </w:t>
      </w:r>
      <w:r>
        <w:t xml:space="preserve">on research. This is </w:t>
      </w:r>
      <w:r w:rsidRPr="00EF0714">
        <w:rPr>
          <w:rStyle w:val="Emphasis"/>
        </w:rPr>
        <w:t>not</w:t>
      </w:r>
      <w:r>
        <w:t xml:space="preserve"> the same as requiring the return be </w:t>
      </w:r>
      <w:r w:rsidR="006D76B6" w:rsidRPr="00EF0714">
        <w:rPr>
          <w:rStyle w:val="Emphasis"/>
        </w:rPr>
        <w:t>appropriated</w:t>
      </w:r>
      <w:r w:rsidR="006D76B6" w:rsidRPr="00E21C6B">
        <w:rPr>
          <w:i/>
        </w:rPr>
        <w:t xml:space="preserve"> </w:t>
      </w:r>
      <w:r w:rsidR="006D76B6" w:rsidRPr="006D76B6">
        <w:t>by</w:t>
      </w:r>
      <w:r w:rsidR="006D76B6">
        <w:t xml:space="preserve"> any particular institution</w:t>
      </w:r>
      <w:r>
        <w:t xml:space="preserve">, especially the research institution where the research is conducted. No university </w:t>
      </w:r>
      <w:r w:rsidR="006D76B6">
        <w:t>in the</w:t>
      </w:r>
      <w:r w:rsidR="00587757">
        <w:t xml:space="preserve"> world makes more than </w:t>
      </w:r>
      <w:r w:rsidR="006D76B6">
        <w:t xml:space="preserve">about </w:t>
      </w:r>
      <w:r w:rsidR="00587757">
        <w:t>5% of their income from licencing</w:t>
      </w:r>
      <w:r>
        <w:t>; not Stanford, not MIT</w:t>
      </w:r>
      <w:r w:rsidR="006D76B6">
        <w:t>,</w:t>
      </w:r>
      <w:r>
        <w:t xml:space="preserve"> not Berkeley. Much </w:t>
      </w:r>
      <w:r w:rsidR="006D76B6">
        <w:t>cannot</w:t>
      </w:r>
      <w:r>
        <w:t xml:space="preserve"> be appropriated, but the country benefits all the same</w:t>
      </w:r>
      <w:r w:rsidR="000426E9">
        <w:t>.</w:t>
      </w:r>
      <w:r>
        <w:rPr>
          <w:rStyle w:val="FootnoteReference"/>
        </w:rPr>
        <w:footnoteReference w:id="35"/>
      </w:r>
      <w:r>
        <w:t xml:space="preserve"> </w:t>
      </w:r>
      <w:proofErr w:type="spellStart"/>
      <w:r>
        <w:t>Appropriability</w:t>
      </w:r>
      <w:proofErr w:type="spellEnd"/>
      <w:r>
        <w:t xml:space="preserve"> </w:t>
      </w:r>
      <w:r w:rsidR="006D76B6">
        <w:t xml:space="preserve">of research </w:t>
      </w:r>
      <w:r>
        <w:t>is difficult and complex</w:t>
      </w:r>
      <w:r>
        <w:rPr>
          <w:rStyle w:val="FootnoteReference"/>
        </w:rPr>
        <w:footnoteReference w:id="36"/>
      </w:r>
      <w:r w:rsidR="006D76B6">
        <w:t>, but if you take a national perspective, this does not matter as much.</w:t>
      </w:r>
    </w:p>
    <w:p w14:paraId="50901CCC" w14:textId="6D5F04D9" w:rsidR="008E580E" w:rsidRDefault="008E580E" w:rsidP="00E21C6B">
      <w:r>
        <w:t>With</w:t>
      </w:r>
      <w:r w:rsidR="008901C3">
        <w:t>in Australia, many research inst</w:t>
      </w:r>
      <w:r>
        <w:t xml:space="preserve">itutions are driven by a perceived need to not only generate commercial returns, but to appropriate them for themselves. This is very counterproductive. The lesson from overseas corroborates this. As </w:t>
      </w:r>
      <w:proofErr w:type="spellStart"/>
      <w:r>
        <w:t>Dosi</w:t>
      </w:r>
      <w:proofErr w:type="spellEnd"/>
      <w:r>
        <w:t xml:space="preserve"> </w:t>
      </w:r>
      <w:r w:rsidRPr="001B45D8">
        <w:rPr>
          <w:i/>
        </w:rPr>
        <w:t>et al</w:t>
      </w:r>
      <w:r>
        <w:t>.</w:t>
      </w:r>
      <w:r>
        <w:rPr>
          <w:rStyle w:val="FootnoteReference"/>
        </w:rPr>
        <w:footnoteReference w:id="37"/>
      </w:r>
      <w:r>
        <w:t xml:space="preserve"> say</w:t>
      </w:r>
    </w:p>
    <w:p w14:paraId="6114DCF3" w14:textId="212CD3C9" w:rsidR="008E580E" w:rsidRDefault="008E580E" w:rsidP="006C15D4">
      <w:pPr>
        <w:ind w:left="720"/>
      </w:pPr>
      <w:r w:rsidRPr="00EF0714">
        <w:rPr>
          <w:rStyle w:val="QuoteChar"/>
        </w:rPr>
        <w:t xml:space="preserve">Together, there is an increasing perception also among business firms that ‘too much </w:t>
      </w:r>
      <w:proofErr w:type="spellStart"/>
      <w:r w:rsidRPr="00EF0714">
        <w:rPr>
          <w:rStyle w:val="QuoteChar"/>
        </w:rPr>
        <w:t>appropriability</w:t>
      </w:r>
      <w:proofErr w:type="spellEnd"/>
      <w:r w:rsidRPr="00EF0714">
        <w:rPr>
          <w:rStyle w:val="QuoteChar"/>
        </w:rPr>
        <w:t>’ hurts firms themselves. In fact, as noted by Florida “[l]</w:t>
      </w:r>
      <w:proofErr w:type="spellStart"/>
      <w:r w:rsidRPr="00EF0714">
        <w:rPr>
          <w:rStyle w:val="QuoteChar"/>
        </w:rPr>
        <w:t>arge</w:t>
      </w:r>
      <w:proofErr w:type="spellEnd"/>
      <w:r w:rsidRPr="00EF0714">
        <w:rPr>
          <w:rStyle w:val="QuoteChar"/>
        </w:rPr>
        <w:t xml:space="preserve"> firms are most upset that even though they fund research up front, universities and their lawyers are forcing them into unfavorable negotiations over intellectual property when something of value emerges. Angered executives at a number of companies are taking the position that they will not fund research at universities that are too aggressive on intellectual property issues. . . One corporate vice president for industrial R&amp;D recently summed up the sentiment of large companies, saying, “The </w:t>
      </w:r>
      <w:proofErr w:type="gramStart"/>
      <w:r w:rsidRPr="00EF0714">
        <w:rPr>
          <w:rStyle w:val="QuoteChar"/>
        </w:rPr>
        <w:t>university</w:t>
      </w:r>
      <w:proofErr w:type="gramEnd"/>
      <w:r w:rsidRPr="00EF0714">
        <w:rPr>
          <w:rStyle w:val="QuoteChar"/>
        </w:rPr>
        <w:t xml:space="preserve"> takes this money, then guts the relationship”. [But also] [s]</w:t>
      </w:r>
      <w:proofErr w:type="spellStart"/>
      <w:r w:rsidRPr="00EF0714">
        <w:rPr>
          <w:rStyle w:val="QuoteChar"/>
        </w:rPr>
        <w:t>maller</w:t>
      </w:r>
      <w:proofErr w:type="spellEnd"/>
      <w:r w:rsidRPr="00EF0714">
        <w:rPr>
          <w:rStyle w:val="QuoteChar"/>
        </w:rPr>
        <w:t xml:space="preserve"> companies are concerned about the time delays in getting research results, which occur because of protracted negotiations by university technology-transfer offices or attorneys over intellectual property rights. The deliberations slow the process of getting new technology to highly competitive markets, where success rests on commercializing innovations a</w:t>
      </w:r>
      <w:r w:rsidR="006D76B6" w:rsidRPr="00EF0714">
        <w:rPr>
          <w:rStyle w:val="QuoteChar"/>
        </w:rPr>
        <w:t>nd products as soon as possible</w:t>
      </w:r>
      <w:r w:rsidRPr="00704407">
        <w:rPr>
          <w:rFonts w:cs="Times"/>
          <w:color w:val="000000"/>
          <w:szCs w:val="20"/>
        </w:rPr>
        <w:t>.</w:t>
      </w:r>
    </w:p>
    <w:p w14:paraId="20DC6700" w14:textId="7149DD3C" w:rsidR="006D33DA" w:rsidRDefault="001B45D8" w:rsidP="00E21C6B">
      <w:r>
        <w:t>There are positive examples of other models. The University of Waterloo</w:t>
      </w:r>
      <w:r>
        <w:rPr>
          <w:rStyle w:val="FootnoteReference"/>
        </w:rPr>
        <w:footnoteReference w:id="38"/>
      </w:r>
      <w:r>
        <w:t xml:space="preserve"> in Canada, famously relaxed its rules regarding intellectual property to allow it to vest </w:t>
      </w:r>
      <w:r>
        <w:lastRenderedPageBreak/>
        <w:t>automatically with the creators. A consequence was the burgeoning of a</w:t>
      </w:r>
      <w:r w:rsidR="006D76B6">
        <w:t>n</w:t>
      </w:r>
      <w:r>
        <w:t xml:space="preserve"> economically very successful industry cluster around the university. The experience of two outstanding universities in the UK provides an amazing almost contro</w:t>
      </w:r>
      <w:r w:rsidR="006D76B6">
        <w:t>lled experiment:</w:t>
      </w:r>
      <w:r>
        <w:t xml:space="preserve"> </w:t>
      </w:r>
      <w:r w:rsidR="005911B3">
        <w:t xml:space="preserve">Oxford and Cambridge. </w:t>
      </w:r>
      <w:r w:rsidR="006D33DA">
        <w:t xml:space="preserve">They both set up science parks. The Cambridge one flourishes; the Oxford one does not. </w:t>
      </w:r>
      <w:r w:rsidR="005911B3">
        <w:t>Cambridge had a model of just assigning ownership</w:t>
      </w:r>
      <w:r w:rsidR="006D33DA">
        <w:t xml:space="preserve"> </w:t>
      </w:r>
      <w:r w:rsidR="006D76B6">
        <w:t xml:space="preserve">of IP developed by its staff </w:t>
      </w:r>
      <w:r w:rsidR="006D33DA">
        <w:t xml:space="preserve">to </w:t>
      </w:r>
      <w:r w:rsidR="006D76B6">
        <w:t xml:space="preserve">the </w:t>
      </w:r>
      <w:r w:rsidR="006D33DA">
        <w:t xml:space="preserve">staff; Oxford did not, and is reportedly very heavy-handed about IP. </w:t>
      </w:r>
    </w:p>
    <w:p w14:paraId="0F44F7B7" w14:textId="39B93B76" w:rsidR="005911B3" w:rsidRDefault="005911B3" w:rsidP="00E21C6B">
      <w:r>
        <w:t xml:space="preserve"> In </w:t>
      </w:r>
      <w:r w:rsidR="006D33DA">
        <w:t>2005 Cambridge</w:t>
      </w:r>
      <w:r>
        <w:t xml:space="preserve"> changed </w:t>
      </w:r>
      <w:r w:rsidR="006D33DA">
        <w:t xml:space="preserve">the </w:t>
      </w:r>
      <w:r w:rsidR="000426E9">
        <w:t>rules to</w:t>
      </w:r>
      <w:r>
        <w:t xml:space="preserve"> have the university automatically acquire certain rights, but it is clear</w:t>
      </w:r>
      <w:r w:rsidR="006D33DA">
        <w:rPr>
          <w:rStyle w:val="FootnoteReference"/>
        </w:rPr>
        <w:footnoteReference w:id="39"/>
      </w:r>
      <w:r>
        <w:t xml:space="preserve"> that that the inventors still derive a large benefit. The key point is not the exact model or percentages, but the </w:t>
      </w:r>
      <w:r w:rsidRPr="00EF0714">
        <w:rPr>
          <w:rStyle w:val="QuoteChar"/>
        </w:rPr>
        <w:t>intent</w:t>
      </w:r>
      <w:r>
        <w:t xml:space="preserve"> </w:t>
      </w:r>
      <w:r w:rsidR="006D33DA">
        <w:t xml:space="preserve">and the </w:t>
      </w:r>
      <w:r w:rsidR="006D33DA" w:rsidRPr="00EF0714">
        <w:rPr>
          <w:rStyle w:val="QuoteChar"/>
        </w:rPr>
        <w:t>spirit</w:t>
      </w:r>
      <w:r w:rsidR="006D33DA">
        <w:rPr>
          <w:i/>
        </w:rPr>
        <w:t xml:space="preserve"> </w:t>
      </w:r>
      <w:r>
        <w:t xml:space="preserve">– would the institution prefer a small percentage of a large economic success, or a large percentage of a small one. Institutions that seek to </w:t>
      </w:r>
      <w:r w:rsidR="000426E9">
        <w:t>unduly</w:t>
      </w:r>
      <w:r>
        <w:t xml:space="preserve"> control and appropriate the commercial proceeds flowing from research simply reduce the size of the pie.</w:t>
      </w:r>
    </w:p>
    <w:p w14:paraId="1EC178C7" w14:textId="122AF0AB" w:rsidR="001B45D8" w:rsidRDefault="005911B3" w:rsidP="00E21C6B">
      <w:r>
        <w:t xml:space="preserve">On the other hand, as the example of </w:t>
      </w:r>
      <w:proofErr w:type="spellStart"/>
      <w:r>
        <w:t>NICTA</w:t>
      </w:r>
      <w:proofErr w:type="spellEnd"/>
      <w:r>
        <w:t xml:space="preserve"> shows, by behaving differently, much better outcome can be obtained. </w:t>
      </w:r>
      <w:r w:rsidRPr="00EF0714">
        <w:rPr>
          <w:rStyle w:val="Emphasis"/>
        </w:rPr>
        <w:t xml:space="preserve">Precisely because of the base funding provide by the Australian Government, </w:t>
      </w:r>
      <w:proofErr w:type="spellStart"/>
      <w:r>
        <w:t>NICTA</w:t>
      </w:r>
      <w:proofErr w:type="spellEnd"/>
      <w:r>
        <w:t xml:space="preserve"> has been able to focus on maximising </w:t>
      </w:r>
      <w:r w:rsidRPr="008E416F">
        <w:rPr>
          <w:i/>
        </w:rPr>
        <w:t>the benefit for Australia</w:t>
      </w:r>
      <w:r>
        <w:t xml:space="preserve"> when commercialising the </w:t>
      </w:r>
      <w:r w:rsidR="006D33DA">
        <w:t>results of its research</w:t>
      </w:r>
      <w:r w:rsidR="008E416F">
        <w:t xml:space="preserve"> rather than the direct cash benefit to </w:t>
      </w:r>
      <w:proofErr w:type="spellStart"/>
      <w:r w:rsidR="008E416F">
        <w:t>NICTA</w:t>
      </w:r>
      <w:proofErr w:type="spellEnd"/>
      <w:r w:rsidR="006D33DA">
        <w:t>. It spins-out one company every three months and inspires its researchers to embrace a powerful and palpable entrepreneurial culture.</w:t>
      </w:r>
    </w:p>
    <w:p w14:paraId="430AD1B0" w14:textId="145F7896" w:rsidR="000B6B40" w:rsidRDefault="00533652" w:rsidP="00E21C6B">
      <w:r>
        <w:t>So yes, there is “</w:t>
      </w:r>
      <w:r w:rsidRPr="00EF0714">
        <w:rPr>
          <w:rStyle w:val="QuoteChar"/>
        </w:rPr>
        <w:t>an opportunity to reform IP arrangements</w:t>
      </w:r>
      <w:r>
        <w:t>”</w:t>
      </w:r>
      <w:r w:rsidR="006D33DA">
        <w:rPr>
          <w:rStyle w:val="FootnoteReference"/>
        </w:rPr>
        <w:footnoteReference w:id="40"/>
      </w:r>
      <w:r w:rsidR="006D33DA">
        <w:t xml:space="preserve">. The Australian Government could require that all federally funded research </w:t>
      </w:r>
      <w:r w:rsidR="000426E9">
        <w:t>institutions</w:t>
      </w:r>
      <w:r w:rsidR="006D33DA">
        <w:t xml:space="preserve"> loosen up their rules regarding the commercial exploitation of IP to enable the creation of a bigger pie. It could also change its own behaviour in this regard: the niggardly way in which it does not even fund on the margin</w:t>
      </w:r>
      <w:r w:rsidR="006D33DA">
        <w:rPr>
          <w:rStyle w:val="FootnoteReference"/>
        </w:rPr>
        <w:footnoteReference w:id="41"/>
      </w:r>
      <w:r w:rsidR="006D33DA">
        <w:t xml:space="preserve"> is one of the drivers of the university behaviour in </w:t>
      </w:r>
      <w:proofErr w:type="spellStart"/>
      <w:r w:rsidR="006D33DA">
        <w:t>favour</w:t>
      </w:r>
      <w:proofErr w:type="spellEnd"/>
      <w:r w:rsidR="006D33DA">
        <w:t xml:space="preserve"> of </w:t>
      </w:r>
      <w:proofErr w:type="spellStart"/>
      <w:r w:rsidR="006D33DA">
        <w:t>maximising</w:t>
      </w:r>
      <w:proofErr w:type="spellEnd"/>
      <w:r w:rsidR="006D33DA">
        <w:t xml:space="preserve"> </w:t>
      </w:r>
      <w:proofErr w:type="spellStart"/>
      <w:r w:rsidR="006D33DA">
        <w:t>appropriability</w:t>
      </w:r>
      <w:proofErr w:type="spellEnd"/>
      <w:r w:rsidR="006D33DA">
        <w:t xml:space="preserve">. </w:t>
      </w:r>
    </w:p>
    <w:p w14:paraId="0B0C1F63" w14:textId="2DA1C944" w:rsidR="00794636" w:rsidRDefault="000B6B40" w:rsidP="00104D16">
      <w:r>
        <w:t xml:space="preserve">This is consistent with the recommendations of </w:t>
      </w:r>
      <w:proofErr w:type="spellStart"/>
      <w:r>
        <w:t>Dosi</w:t>
      </w:r>
      <w:proofErr w:type="spellEnd"/>
      <w:r>
        <w:t xml:space="preserve"> et al.</w:t>
      </w:r>
      <w:r w:rsidR="006F6462">
        <w:t xml:space="preserve"> (</w:t>
      </w:r>
      <w:r w:rsidR="006F6462">
        <w:rPr>
          <w:i/>
        </w:rPr>
        <w:t>op. cit.</w:t>
      </w:r>
      <w:r w:rsidR="006F6462">
        <w:t>)</w:t>
      </w:r>
      <w:r>
        <w:t>:</w:t>
      </w:r>
    </w:p>
    <w:p w14:paraId="195BF601" w14:textId="32B30714" w:rsidR="000426E9" w:rsidRDefault="006F6462" w:rsidP="00104D16">
      <w:pPr>
        <w:ind w:left="720"/>
      </w:pPr>
      <w:r>
        <w:lastRenderedPageBreak/>
        <w:t>“</w:t>
      </w:r>
      <w:proofErr w:type="gramStart"/>
      <w:r w:rsidR="00794636" w:rsidRPr="00EF0714">
        <w:rPr>
          <w:rStyle w:val="QuoteChar"/>
        </w:rPr>
        <w:t>push</w:t>
      </w:r>
      <w:proofErr w:type="gramEnd"/>
      <w:r w:rsidR="00794636" w:rsidRPr="00EF0714">
        <w:rPr>
          <w:rStyle w:val="QuoteChar"/>
        </w:rPr>
        <w:t xml:space="preserve"> back the boundaries between public or ‘open’ research and appropriable research. One often forgets that </w:t>
      </w:r>
      <w:proofErr w:type="spellStart"/>
      <w:r w:rsidR="00794636" w:rsidRPr="00EF0714">
        <w:rPr>
          <w:rStyle w:val="QuoteChar"/>
        </w:rPr>
        <w:t>appropriability</w:t>
      </w:r>
      <w:proofErr w:type="spellEnd"/>
      <w:r w:rsidR="00794636" w:rsidRPr="00EF0714">
        <w:rPr>
          <w:rStyle w:val="QuoteChar"/>
        </w:rPr>
        <w:t xml:space="preserve"> is socially justified only in so far it provides an incentive to innovation itself</w:t>
      </w:r>
      <w:r w:rsidR="000B6B40">
        <w:t>.</w:t>
      </w:r>
      <w:r>
        <w:t>”</w:t>
      </w:r>
    </w:p>
    <w:p w14:paraId="07A8D31F" w14:textId="77F94E9D" w:rsidR="000426E9" w:rsidRDefault="000426E9" w:rsidP="000426E9">
      <w:r>
        <w:t>We thus recommend</w:t>
      </w:r>
    </w:p>
    <w:p w14:paraId="3249DD77" w14:textId="6770D4F2" w:rsidR="000426E9" w:rsidRPr="00EF0714" w:rsidRDefault="000426E9" w:rsidP="000426E9">
      <w:pPr>
        <w:pStyle w:val="ListParagraph"/>
        <w:numPr>
          <w:ilvl w:val="0"/>
          <w:numId w:val="7"/>
        </w:numPr>
        <w:rPr>
          <w:rStyle w:val="Emphasis"/>
        </w:rPr>
      </w:pPr>
      <w:r w:rsidRPr="00EF0714">
        <w:rPr>
          <w:rStyle w:val="Emphasis"/>
        </w:rPr>
        <w:t>Insist that r</w:t>
      </w:r>
      <w:r w:rsidR="00A86673" w:rsidRPr="00EF0714">
        <w:rPr>
          <w:rStyle w:val="Emphasis"/>
        </w:rPr>
        <w:t xml:space="preserve">esearch institutions focus more </w:t>
      </w:r>
      <w:r w:rsidRPr="00EF0714">
        <w:rPr>
          <w:rStyle w:val="Emphasis"/>
        </w:rPr>
        <w:t>on growing the pie and benefit to Australia than appropriating the returns to themselves.</w:t>
      </w:r>
    </w:p>
    <w:p w14:paraId="7A5ACB72" w14:textId="015E37AD" w:rsidR="000426E9" w:rsidRPr="00EF0714" w:rsidRDefault="00A86673" w:rsidP="000426E9">
      <w:pPr>
        <w:pStyle w:val="ListParagraph"/>
        <w:numPr>
          <w:ilvl w:val="0"/>
          <w:numId w:val="7"/>
        </w:numPr>
        <w:rPr>
          <w:rStyle w:val="Emphasis"/>
        </w:rPr>
      </w:pPr>
      <w:r w:rsidRPr="00EF0714">
        <w:rPr>
          <w:rStyle w:val="Emphasis"/>
        </w:rPr>
        <w:t xml:space="preserve">When an institution is successful in commercialising the returns (such as </w:t>
      </w:r>
      <w:proofErr w:type="spellStart"/>
      <w:r w:rsidRPr="00EF0714">
        <w:rPr>
          <w:rStyle w:val="Emphasis"/>
        </w:rPr>
        <w:t>NICTA</w:t>
      </w:r>
      <w:proofErr w:type="spellEnd"/>
      <w:r w:rsidRPr="00EF0714">
        <w:rPr>
          <w:rStyle w:val="Emphasis"/>
        </w:rPr>
        <w:t xml:space="preserve">) do not punish it by cutting funding. This is like a business saying that </w:t>
      </w:r>
      <w:proofErr w:type="gramStart"/>
      <w:r w:rsidRPr="00EF0714">
        <w:rPr>
          <w:rStyle w:val="Emphasis"/>
        </w:rPr>
        <w:t>its</w:t>
      </w:r>
      <w:proofErr w:type="gramEnd"/>
      <w:r w:rsidRPr="00EF0714">
        <w:rPr>
          <w:rStyle w:val="Emphasis"/>
        </w:rPr>
        <w:t xml:space="preserve"> most successful division should be cut-loose because it can look after itself</w:t>
      </w:r>
      <w:r w:rsidR="008E416F" w:rsidRPr="00EF0714">
        <w:rPr>
          <w:rStyle w:val="Emphasis"/>
        </w:rPr>
        <w:t xml:space="preserve"> and “stand on its own feet”</w:t>
      </w:r>
      <w:r w:rsidRPr="00EF0714">
        <w:rPr>
          <w:rStyle w:val="Emphasis"/>
        </w:rPr>
        <w:t>.</w:t>
      </w:r>
    </w:p>
    <w:p w14:paraId="62DBB075" w14:textId="443E0279" w:rsidR="00A86673" w:rsidRPr="00A86673" w:rsidRDefault="00A86673" w:rsidP="000426E9">
      <w:pPr>
        <w:pStyle w:val="ListParagraph"/>
        <w:numPr>
          <w:ilvl w:val="0"/>
          <w:numId w:val="7"/>
        </w:numPr>
        <w:rPr>
          <w:i/>
        </w:rPr>
      </w:pPr>
      <w:r w:rsidRPr="00EF0714">
        <w:rPr>
          <w:rStyle w:val="Emphasis"/>
        </w:rPr>
        <w:t>Focus on making Australia self-funding rather than the destructive and impossible idea of making research institutions self-funding</w:t>
      </w:r>
      <w:r w:rsidRPr="00A86673">
        <w:rPr>
          <w:i/>
        </w:rPr>
        <w:t>.</w:t>
      </w:r>
    </w:p>
    <w:p w14:paraId="0F1FD869" w14:textId="2564EC11" w:rsidR="00E21C6B" w:rsidRDefault="00E21C6B" w:rsidP="00EE4E4C">
      <w:pPr>
        <w:pStyle w:val="Heading1"/>
        <w:numPr>
          <w:ilvl w:val="0"/>
          <w:numId w:val="5"/>
        </w:numPr>
      </w:pPr>
      <w:bookmarkStart w:id="19" w:name="_Toc278623274"/>
      <w:bookmarkStart w:id="20" w:name="_Toc278626598"/>
      <w:bookmarkStart w:id="21" w:name="_Toc278718407"/>
      <w:r w:rsidRPr="00EE4E4C">
        <w:t>Industry sectors are the wrong way to focus</w:t>
      </w:r>
      <w:r w:rsidR="009A249E">
        <w:t xml:space="preserve"> research</w:t>
      </w:r>
      <w:r w:rsidR="001815B4">
        <w:t xml:space="preserve"> </w:t>
      </w:r>
      <w:r w:rsidR="009A249E">
        <w:t>effort</w:t>
      </w:r>
      <w:r w:rsidR="001815B4">
        <w:t xml:space="preserve">; </w:t>
      </w:r>
      <w:r w:rsidR="005432DE" w:rsidRPr="00EE4E4C">
        <w:t>technological and innovative capacity is the right way</w:t>
      </w:r>
      <w:bookmarkEnd w:id="19"/>
      <w:bookmarkEnd w:id="20"/>
      <w:bookmarkEnd w:id="21"/>
    </w:p>
    <w:p w14:paraId="0FE4F2CB" w14:textId="192347C9" w:rsidR="005E2638" w:rsidRDefault="004F4759" w:rsidP="00A86673">
      <w:pPr>
        <w:rPr>
          <w:rFonts w:eastAsia="Times New Roman" w:cs="Times New Roman"/>
        </w:rPr>
      </w:pPr>
      <w:r>
        <w:t>T</w:t>
      </w:r>
      <w:r w:rsidR="00A86673">
        <w:rPr>
          <w:rFonts w:eastAsia="Times New Roman" w:cs="Times New Roman"/>
        </w:rPr>
        <w:t>he Government’s innovation agenda was developed by looking at “</w:t>
      </w:r>
      <w:r w:rsidR="00A86673" w:rsidRPr="00EF0714">
        <w:rPr>
          <w:rStyle w:val="QuoteChar"/>
        </w:rPr>
        <w:t>those industries that were already excelling in terms of trade performance</w:t>
      </w:r>
      <w:r w:rsidR="00A86673">
        <w:rPr>
          <w:rFonts w:eastAsia="Times New Roman" w:cs="Times New Roman"/>
        </w:rPr>
        <w:t>”</w:t>
      </w:r>
      <w:r w:rsidR="00A86673">
        <w:rPr>
          <w:rStyle w:val="FootnoteReference"/>
          <w:rFonts w:eastAsia="Times New Roman" w:cs="Times New Roman"/>
        </w:rPr>
        <w:footnoteReference w:id="42"/>
      </w:r>
      <w:r w:rsidR="00A86673">
        <w:rPr>
          <w:rFonts w:eastAsia="Times New Roman" w:cs="Times New Roman"/>
        </w:rPr>
        <w:t xml:space="preserve">. </w:t>
      </w:r>
      <w:r>
        <w:rPr>
          <w:rFonts w:eastAsia="Times New Roman" w:cs="Times New Roman"/>
        </w:rPr>
        <w:t xml:space="preserve"> Maintaining competitiveness is these industry sectors is of course critical, and this requires improving the</w:t>
      </w:r>
      <w:r w:rsidR="002D7857">
        <w:rPr>
          <w:rFonts w:eastAsia="Times New Roman" w:cs="Times New Roman"/>
        </w:rPr>
        <w:t>ir</w:t>
      </w:r>
      <w:r>
        <w:rPr>
          <w:rFonts w:eastAsia="Times New Roman" w:cs="Times New Roman"/>
        </w:rPr>
        <w:t xml:space="preserve"> efficiency and productivity.</w:t>
      </w:r>
      <w:r w:rsidR="002D7857">
        <w:rPr>
          <w:rFonts w:eastAsia="Times New Roman" w:cs="Times New Roman"/>
        </w:rPr>
        <w:t xml:space="preserve">  The primary drivers for such improvements are effective application of technology and innovation into the industry domains.  This applies to incremental improvements derived from advanced algorithms</w:t>
      </w:r>
      <w:r w:rsidR="007B13E4">
        <w:rPr>
          <w:rFonts w:eastAsia="Times New Roman" w:cs="Times New Roman"/>
        </w:rPr>
        <w:t xml:space="preserve"> and systems</w:t>
      </w:r>
      <w:r w:rsidR="002D7857">
        <w:rPr>
          <w:rFonts w:eastAsia="Times New Roman" w:cs="Times New Roman"/>
        </w:rPr>
        <w:t>, through to transformative changes that change the underlying value chains and hence business models.</w:t>
      </w:r>
      <w:r w:rsidR="007B13E4">
        <w:rPr>
          <w:rFonts w:eastAsia="Times New Roman" w:cs="Times New Roman"/>
        </w:rPr>
        <w:t xml:space="preserve">  The research itself</w:t>
      </w:r>
      <w:r w:rsidR="005E2638">
        <w:rPr>
          <w:rFonts w:eastAsia="Times New Roman" w:cs="Times New Roman"/>
        </w:rPr>
        <w:t xml:space="preserve"> is </w:t>
      </w:r>
      <w:r w:rsidR="005E2638" w:rsidRPr="00EF0714">
        <w:rPr>
          <w:rStyle w:val="Emphasis"/>
        </w:rPr>
        <w:t>performed</w:t>
      </w:r>
      <w:r w:rsidR="005E2638">
        <w:rPr>
          <w:rFonts w:eastAsia="Times New Roman" w:cs="Times New Roman"/>
        </w:rPr>
        <w:t xml:space="preserve"> in ICT, materials or other technology sectors – it is </w:t>
      </w:r>
      <w:r w:rsidR="005E2638" w:rsidRPr="00EF0714">
        <w:rPr>
          <w:rStyle w:val="Emphasis"/>
        </w:rPr>
        <w:t>applied</w:t>
      </w:r>
      <w:r w:rsidR="005E2638">
        <w:rPr>
          <w:rFonts w:eastAsia="Times New Roman" w:cs="Times New Roman"/>
        </w:rPr>
        <w:t xml:space="preserve"> in mining, transport, or other major industry sectors that underpin our economy.</w:t>
      </w:r>
    </w:p>
    <w:p w14:paraId="723997CC" w14:textId="7985A25D" w:rsidR="00582649" w:rsidRDefault="005E2638" w:rsidP="00A86673">
      <w:pPr>
        <w:rPr>
          <w:rFonts w:eastAsia="Times New Roman" w:cs="Times New Roman"/>
        </w:rPr>
      </w:pPr>
      <w:r>
        <w:rPr>
          <w:rFonts w:eastAsia="Times New Roman" w:cs="Times New Roman"/>
        </w:rPr>
        <w:t xml:space="preserve">This distinction is critical.  History shows that industry sectors do not transform themselves – it is applying research from technology sectors that improves or transforms major industry sectors, sometimes incrementally and sometimes disruptively.  This is the fundamental reason behind the industry research focus </w:t>
      </w:r>
      <w:r w:rsidR="004D4066">
        <w:rPr>
          <w:rFonts w:eastAsia="Times New Roman" w:cs="Times New Roman"/>
        </w:rPr>
        <w:t xml:space="preserve">described </w:t>
      </w:r>
      <w:r>
        <w:rPr>
          <w:rFonts w:eastAsia="Times New Roman" w:cs="Times New Roman"/>
        </w:rPr>
        <w:t>in point 4</w:t>
      </w:r>
      <w:r w:rsidR="004D4066">
        <w:rPr>
          <w:rFonts w:eastAsia="Times New Roman" w:cs="Times New Roman"/>
        </w:rPr>
        <w:t xml:space="preserve"> on aligning with absorptive capacity</w:t>
      </w:r>
      <w:r>
        <w:rPr>
          <w:rFonts w:eastAsia="Times New Roman" w:cs="Times New Roman"/>
        </w:rPr>
        <w:t>, and why government funded research should mo</w:t>
      </w:r>
      <w:r w:rsidR="004D4066">
        <w:rPr>
          <w:rFonts w:eastAsia="Times New Roman" w:cs="Times New Roman"/>
        </w:rPr>
        <w:t>st</w:t>
      </w:r>
      <w:r>
        <w:rPr>
          <w:rFonts w:eastAsia="Times New Roman" w:cs="Times New Roman"/>
        </w:rPr>
        <w:t xml:space="preserve"> heavily focus on the technologies and innovations that will change other sectors</w:t>
      </w:r>
      <w:r w:rsidR="004D4066">
        <w:rPr>
          <w:rFonts w:eastAsia="Times New Roman" w:cs="Times New Roman"/>
        </w:rPr>
        <w:t xml:space="preserve"> if we want to see increased commercial gains from research</w:t>
      </w:r>
      <w:r>
        <w:rPr>
          <w:rFonts w:eastAsia="Times New Roman" w:cs="Times New Roman"/>
        </w:rPr>
        <w:t>.</w:t>
      </w:r>
    </w:p>
    <w:p w14:paraId="26815543" w14:textId="1CB21FFA" w:rsidR="00582649" w:rsidRDefault="004D4066" w:rsidP="00A86673">
      <w:pPr>
        <w:rPr>
          <w:rFonts w:eastAsia="Times New Roman" w:cs="Times New Roman"/>
        </w:rPr>
      </w:pPr>
      <w:r>
        <w:rPr>
          <w:rFonts w:eastAsia="Times New Roman" w:cs="Times New Roman"/>
        </w:rPr>
        <w:t xml:space="preserve">Related to this is the reality that a country’s economic base does change over time, and sometimes rapidly. </w:t>
      </w:r>
      <w:r w:rsidR="00582649">
        <w:rPr>
          <w:rFonts w:eastAsia="Times New Roman" w:cs="Times New Roman"/>
        </w:rPr>
        <w:t xml:space="preserve">Just because there is a large volume of trade now does </w:t>
      </w:r>
      <w:r w:rsidR="00582649" w:rsidRPr="00114999">
        <w:rPr>
          <w:rStyle w:val="Emphasis"/>
        </w:rPr>
        <w:t>not</w:t>
      </w:r>
      <w:r w:rsidR="00582649">
        <w:rPr>
          <w:rFonts w:eastAsia="Times New Roman" w:cs="Times New Roman"/>
          <w:i/>
        </w:rPr>
        <w:t xml:space="preserve"> </w:t>
      </w:r>
      <w:r w:rsidR="00582649">
        <w:rPr>
          <w:rFonts w:eastAsia="Times New Roman" w:cs="Times New Roman"/>
        </w:rPr>
        <w:t>mean that</w:t>
      </w:r>
    </w:p>
    <w:p w14:paraId="46E720DB" w14:textId="0949954D" w:rsidR="00582649" w:rsidRDefault="00582649" w:rsidP="00582649">
      <w:pPr>
        <w:pStyle w:val="ListParagraph"/>
        <w:numPr>
          <w:ilvl w:val="0"/>
          <w:numId w:val="8"/>
        </w:numPr>
        <w:rPr>
          <w:rFonts w:eastAsia="Times New Roman" w:cs="Times New Roman"/>
        </w:rPr>
      </w:pPr>
      <w:r>
        <w:rPr>
          <w:rFonts w:eastAsia="Times New Roman" w:cs="Times New Roman"/>
        </w:rPr>
        <w:t>Such a volume will continue</w:t>
      </w:r>
    </w:p>
    <w:p w14:paraId="26EA65A1" w14:textId="56F779F9" w:rsidR="00582649" w:rsidRDefault="00582649" w:rsidP="00582649">
      <w:pPr>
        <w:pStyle w:val="ListParagraph"/>
        <w:numPr>
          <w:ilvl w:val="0"/>
          <w:numId w:val="8"/>
        </w:numPr>
        <w:rPr>
          <w:rFonts w:eastAsia="Times New Roman" w:cs="Times New Roman"/>
        </w:rPr>
      </w:pPr>
      <w:r>
        <w:rPr>
          <w:rFonts w:eastAsia="Times New Roman" w:cs="Times New Roman"/>
        </w:rPr>
        <w:t>The companies within the sector have a capacity for innovation</w:t>
      </w:r>
    </w:p>
    <w:p w14:paraId="3CEF2CA4" w14:textId="67B73B0E" w:rsidR="00A86673" w:rsidRPr="00104D16" w:rsidRDefault="00582649" w:rsidP="00A86673">
      <w:pPr>
        <w:pStyle w:val="ListParagraph"/>
        <w:numPr>
          <w:ilvl w:val="0"/>
          <w:numId w:val="8"/>
        </w:numPr>
        <w:rPr>
          <w:rFonts w:eastAsia="Times New Roman" w:cs="Times New Roman"/>
        </w:rPr>
      </w:pPr>
      <w:r>
        <w:rPr>
          <w:rFonts w:eastAsia="Times New Roman" w:cs="Times New Roman"/>
        </w:rPr>
        <w:lastRenderedPageBreak/>
        <w:t>Or even that it makes sense to focus on industry sectors at all</w:t>
      </w:r>
    </w:p>
    <w:p w14:paraId="3E905C15" w14:textId="7B6174BB" w:rsidR="00A86673" w:rsidRPr="00104D16" w:rsidRDefault="00582649" w:rsidP="00A86673">
      <w:pPr>
        <w:rPr>
          <w:i/>
        </w:rPr>
      </w:pPr>
      <w:r>
        <w:t>The major effects of technological advance are to create entire new industries; this is where large-scal</w:t>
      </w:r>
      <w:r w:rsidR="00BE5CA0">
        <w:t>e</w:t>
      </w:r>
      <w:r>
        <w:t xml:space="preserve"> long-term economic growth comes from</w:t>
      </w:r>
      <w:bookmarkStart w:id="22" w:name="_Ref278707061"/>
      <w:r w:rsidR="00BE5CA0">
        <w:rPr>
          <w:rStyle w:val="FootnoteReference"/>
        </w:rPr>
        <w:footnoteReference w:id="43"/>
      </w:r>
      <w:bookmarkEnd w:id="22"/>
      <w:r>
        <w:t>.</w:t>
      </w:r>
      <w:r w:rsidR="00BE5CA0">
        <w:t xml:space="preserve"> There is no evidence that the current industries with strong export performance have better receptive capacity to generate commercial returns on research. In fact the idea of </w:t>
      </w:r>
      <w:r w:rsidR="005F0775">
        <w:t>identifying</w:t>
      </w:r>
      <w:r w:rsidR="00BE5CA0">
        <w:t xml:space="preserve"> where inn</w:t>
      </w:r>
      <w:r w:rsidR="005F0775">
        <w:t>ovation can arise from a simple-</w:t>
      </w:r>
      <w:r w:rsidR="00BE5CA0">
        <w:t xml:space="preserve">minded sectoral approach exemplifies the forcing </w:t>
      </w:r>
      <w:r w:rsidR="005F0775">
        <w:t>of</w:t>
      </w:r>
      <w:r w:rsidR="00BE5CA0">
        <w:t xml:space="preserve"> facts to fit a theory so prevalent in </w:t>
      </w:r>
      <w:r w:rsidR="00BE5CA0" w:rsidRPr="00114999">
        <w:rPr>
          <w:rStyle w:val="BookTitle"/>
        </w:rPr>
        <w:t>Seeing Like State</w:t>
      </w:r>
      <w:r w:rsidR="00BE5CA0">
        <w:rPr>
          <w:rStyle w:val="FootnoteReference"/>
          <w:i/>
        </w:rPr>
        <w:footnoteReference w:id="44"/>
      </w:r>
    </w:p>
    <w:p w14:paraId="28DB924F" w14:textId="37163816" w:rsidR="00BE5CA0" w:rsidRDefault="00BE5CA0" w:rsidP="00A86673">
      <w:r>
        <w:t>The evidence is clear:</w:t>
      </w:r>
    </w:p>
    <w:p w14:paraId="0A88A45D" w14:textId="6798FA5F" w:rsidR="00BE5CA0" w:rsidRDefault="00BE5CA0" w:rsidP="00BE5CA0">
      <w:pPr>
        <w:pStyle w:val="ListParagraph"/>
        <w:numPr>
          <w:ilvl w:val="0"/>
          <w:numId w:val="9"/>
        </w:numPr>
      </w:pPr>
      <w:r>
        <w:t>Big wins will come from the further adva</w:t>
      </w:r>
      <w:r w:rsidR="005F0775">
        <w:t>ncement and adoption of general-</w:t>
      </w:r>
      <w:r>
        <w:t xml:space="preserve">purpose technologies, such as ICT, advanced materials, biotechnology, </w:t>
      </w:r>
      <w:r w:rsidR="005F0775">
        <w:t xml:space="preserve">and </w:t>
      </w:r>
      <w:r>
        <w:t>nanotechnology</w:t>
      </w:r>
      <w:r>
        <w:rPr>
          <w:rStyle w:val="FootnoteReference"/>
        </w:rPr>
        <w:footnoteReference w:id="45"/>
      </w:r>
      <w:r>
        <w:t>.</w:t>
      </w:r>
      <w:r w:rsidR="005A7A8B">
        <w:t xml:space="preserve"> These will </w:t>
      </w:r>
      <w:r w:rsidR="006C15D4">
        <w:t>create entirely new industries:</w:t>
      </w:r>
    </w:p>
    <w:p w14:paraId="47ADA8C9" w14:textId="72CA0F50" w:rsidR="005A7A8B" w:rsidRPr="005A7A8B" w:rsidRDefault="005A7A8B" w:rsidP="005A7A8B">
      <w:pPr>
        <w:ind w:left="1440"/>
      </w:pPr>
      <w:r w:rsidRPr="005A7A8B">
        <w:rPr>
          <w:rFonts w:cs="Times"/>
          <w:color w:val="1A1818"/>
        </w:rPr>
        <w:t>A missing element in the assessment of the social returns to publicly funded R&amp;D conducted at universities, federal research labs, and other nonprofit/public institutions is the role that public R&amp;D plays in the creation of new industries.</w:t>
      </w:r>
      <w:r>
        <w:rPr>
          <w:rStyle w:val="FootnoteReference"/>
          <w:rFonts w:cs="Times"/>
          <w:color w:val="1A1818"/>
        </w:rPr>
        <w:footnoteReference w:id="46"/>
      </w:r>
    </w:p>
    <w:p w14:paraId="7709C22E" w14:textId="1AE880E0" w:rsidR="00BE5CA0" w:rsidRDefault="005F0775" w:rsidP="00BE5CA0">
      <w:pPr>
        <w:pStyle w:val="ListParagraph"/>
        <w:numPr>
          <w:ilvl w:val="0"/>
          <w:numId w:val="9"/>
        </w:numPr>
      </w:pPr>
      <w:r>
        <w:t xml:space="preserve">Technological </w:t>
      </w:r>
      <w:r w:rsidR="00BE5CA0">
        <w:t>innovation do</w:t>
      </w:r>
      <w:r>
        <w:t>es</w:t>
      </w:r>
      <w:r w:rsidR="00BE5CA0">
        <w:t xml:space="preserve"> not respect industry sectoral boundaries. On the contrary, there is a very complex web of ‘</w:t>
      </w:r>
      <w:r w:rsidR="00BE5CA0" w:rsidRPr="00114999">
        <w:rPr>
          <w:rStyle w:val="QuoteChar"/>
        </w:rPr>
        <w:t>technological interdependence</w:t>
      </w:r>
      <w:r w:rsidR="00BE5CA0">
        <w:t>.’</w:t>
      </w:r>
      <w:r w:rsidR="005A7A8B" w:rsidRPr="005A7A8B">
        <w:rPr>
          <w:rStyle w:val="FootnoteReference"/>
          <w:i/>
        </w:rPr>
        <w:t xml:space="preserve"> </w:t>
      </w:r>
      <w:r w:rsidR="005A7A8B" w:rsidRPr="005F0775">
        <w:rPr>
          <w:rStyle w:val="FootnoteReference"/>
        </w:rPr>
        <w:footnoteReference w:id="47"/>
      </w:r>
      <w:r w:rsidR="005A7A8B">
        <w:t xml:space="preserve"> </w:t>
      </w:r>
      <w:r w:rsidR="00BE5CA0">
        <w:t xml:space="preserve"> If you want advances in human health, do not just invest in the medical sector; if you want advances in transport, then look to ICT rather than roads. </w:t>
      </w:r>
      <w:r w:rsidR="005A7A8B">
        <w:t xml:space="preserve">If you want to </w:t>
      </w:r>
      <w:r w:rsidR="005A7A8B">
        <w:lastRenderedPageBreak/>
        <w:t>see particular products with large economic impact, expect that the underpinning sources are derived from a very wide diversity of disciplines</w:t>
      </w:r>
      <w:r>
        <w:t>.</w:t>
      </w:r>
      <w:r w:rsidR="005A7A8B" w:rsidRPr="005F0775">
        <w:rPr>
          <w:rStyle w:val="FootnoteReference"/>
        </w:rPr>
        <w:footnoteReference w:id="48"/>
      </w:r>
    </w:p>
    <w:p w14:paraId="0564CFDE" w14:textId="205A2E48" w:rsidR="005F2AAE" w:rsidRDefault="005F2AAE" w:rsidP="00BE5CA0">
      <w:pPr>
        <w:pStyle w:val="ListParagraph"/>
        <w:numPr>
          <w:ilvl w:val="0"/>
          <w:numId w:val="9"/>
        </w:numPr>
      </w:pPr>
      <w:r>
        <w:t>Sticking with what currently makes a profit is precisely the “</w:t>
      </w:r>
      <w:r w:rsidRPr="00114999">
        <w:rPr>
          <w:rStyle w:val="QuoteChar"/>
        </w:rPr>
        <w:t>innovators dilemma</w:t>
      </w:r>
      <w:r>
        <w:t>”</w:t>
      </w:r>
      <w:r w:rsidR="00D84E6D">
        <w:rPr>
          <w:rStyle w:val="FootnoteReference"/>
        </w:rPr>
        <w:footnoteReference w:id="49"/>
      </w:r>
      <w:r>
        <w:t>, the phenomenon where</w:t>
      </w:r>
      <w:r w:rsidR="005F0775">
        <w:t>by</w:t>
      </w:r>
      <w:r>
        <w:t xml:space="preserve"> large and successful companies fall prey to their own success because that cannot radically innovate, since such radical innovation typically disrupts their existing market successes</w:t>
      </w:r>
      <w:r w:rsidR="005F0775">
        <w:t xml:space="preserve"> and they cannot bring themselves to move on</w:t>
      </w:r>
      <w:r>
        <w:t xml:space="preserve">. Australia stands to fall prey to this </w:t>
      </w:r>
      <w:r w:rsidR="005F0775">
        <w:t>well-known</w:t>
      </w:r>
      <w:r>
        <w:t xml:space="preserve"> and easily avoidable serious error.</w:t>
      </w:r>
    </w:p>
    <w:p w14:paraId="7A84D82C" w14:textId="5F3C295A" w:rsidR="006C4EF7" w:rsidRDefault="005F2AAE" w:rsidP="00990348">
      <w:pPr>
        <w:pStyle w:val="ListParagraph"/>
        <w:numPr>
          <w:ilvl w:val="0"/>
          <w:numId w:val="9"/>
        </w:numPr>
      </w:pPr>
      <w:r>
        <w:t>It has been well documented for a long time</w:t>
      </w:r>
      <w:r>
        <w:rPr>
          <w:rStyle w:val="FootnoteReference"/>
        </w:rPr>
        <w:footnoteReference w:id="50"/>
      </w:r>
      <w:r w:rsidR="006C4EF7">
        <w:t xml:space="preserve"> that </w:t>
      </w:r>
      <w:r w:rsidR="006C4EF7" w:rsidRPr="00114999">
        <w:rPr>
          <w:rStyle w:val="Emphasis"/>
        </w:rPr>
        <w:t>radical innovations come from outside</w:t>
      </w:r>
      <w:r w:rsidR="006C4EF7" w:rsidRPr="005F0775">
        <w:rPr>
          <w:i/>
        </w:rPr>
        <w:t xml:space="preserve"> </w:t>
      </w:r>
      <w:r w:rsidR="006C4EF7">
        <w:t xml:space="preserve">– a narrow sectoral approach ignores this at its peril. </w:t>
      </w:r>
    </w:p>
    <w:p w14:paraId="650CD804" w14:textId="2174E604" w:rsidR="005F2AAE" w:rsidRPr="00114999" w:rsidRDefault="006C4EF7" w:rsidP="006C4EF7">
      <w:pPr>
        <w:rPr>
          <w:rStyle w:val="Emphasis"/>
        </w:rPr>
      </w:pPr>
      <w:r w:rsidRPr="00114999">
        <w:rPr>
          <w:rStyle w:val="Emphasis"/>
        </w:rPr>
        <w:t>Instead Australia should organise its efforts according to where the capacity to absorb innovations is highest, and focus on those areas where the largest long terms gains are to be had (general purpose technologies).</w:t>
      </w:r>
    </w:p>
    <w:p w14:paraId="1FC9BDFE" w14:textId="70F336F8" w:rsidR="00E21C6B" w:rsidRPr="00EE4E4C" w:rsidRDefault="00E21C6B" w:rsidP="00EE4E4C">
      <w:pPr>
        <w:pStyle w:val="Heading1"/>
        <w:numPr>
          <w:ilvl w:val="0"/>
          <w:numId w:val="5"/>
        </w:numPr>
      </w:pPr>
      <w:bookmarkStart w:id="23" w:name="_Toc278623275"/>
      <w:bookmarkStart w:id="24" w:name="_Toc278626599"/>
      <w:bookmarkStart w:id="25" w:name="_Toc278718408"/>
      <w:r w:rsidRPr="00EE4E4C">
        <w:t>Improving the assessment of research systems makes sense, but that does not mean more KPIs</w:t>
      </w:r>
      <w:bookmarkEnd w:id="23"/>
      <w:bookmarkEnd w:id="24"/>
      <w:bookmarkEnd w:id="25"/>
    </w:p>
    <w:p w14:paraId="69AE8932" w14:textId="3D85785F" w:rsidR="0082087F" w:rsidRDefault="001930DD" w:rsidP="00E21C6B">
      <w:r>
        <w:t xml:space="preserve">The Government’s paper also suggests an improvement is needed of the assessment of research systems.   This is unquestionably true. At present it is entirely driven by the desire for </w:t>
      </w:r>
      <w:r w:rsidRPr="00114999">
        <w:rPr>
          <w:rStyle w:val="Emphasis"/>
        </w:rPr>
        <w:t>legibility</w:t>
      </w:r>
      <w:r>
        <w:t>, not for maximising performance.</w:t>
      </w:r>
      <w:r w:rsidR="00874FEC">
        <w:t xml:space="preserve"> This is an instance of the “</w:t>
      </w:r>
      <w:r w:rsidR="00874FEC" w:rsidRPr="00114999">
        <w:rPr>
          <w:rStyle w:val="BookTitle"/>
        </w:rPr>
        <w:t>Audit Society</w:t>
      </w:r>
      <w:r w:rsidR="00874FEC">
        <w:t>”</w:t>
      </w:r>
      <w:r w:rsidR="00874FEC">
        <w:rPr>
          <w:rStyle w:val="FootnoteReference"/>
        </w:rPr>
        <w:footnoteReference w:id="51"/>
      </w:r>
      <w:r w:rsidR="00874FEC">
        <w:t xml:space="preserve"> </w:t>
      </w:r>
      <w:r w:rsidR="00E51B73">
        <w:t>and “</w:t>
      </w:r>
      <w:r w:rsidR="00E51B73" w:rsidRPr="00114999">
        <w:rPr>
          <w:rStyle w:val="BookTitle"/>
        </w:rPr>
        <w:t>Seeing Like a State</w:t>
      </w:r>
      <w:r w:rsidR="00E51B73">
        <w:t>”</w:t>
      </w:r>
      <w:r w:rsidR="00E51B73">
        <w:rPr>
          <w:rStyle w:val="FootnoteReference"/>
        </w:rPr>
        <w:footnoteReference w:id="52"/>
      </w:r>
      <w:r w:rsidR="00E51B73">
        <w:t xml:space="preserve"> </w:t>
      </w:r>
      <w:r w:rsidR="00874FEC">
        <w:t xml:space="preserve">which considers it more important to measure things to three decimal places than to get something done. </w:t>
      </w:r>
      <w:r>
        <w:t xml:space="preserve"> </w:t>
      </w:r>
    </w:p>
    <w:p w14:paraId="33634CF0" w14:textId="171FE449" w:rsidR="0082087F" w:rsidRDefault="001930DD" w:rsidP="00E21C6B">
      <w:r>
        <w:t xml:space="preserve">The only rational reason for having a performance evaluation system is to improve performance. Any system that reduces one of the most complex human activities to a number counting exercise has utterly missed the point. </w:t>
      </w:r>
    </w:p>
    <w:p w14:paraId="5989F43E" w14:textId="273AD591" w:rsidR="001930DD" w:rsidRDefault="001930DD" w:rsidP="00E21C6B">
      <w:r>
        <w:t>As Linda Butler observed</w:t>
      </w:r>
      <w:r>
        <w:rPr>
          <w:rStyle w:val="FootnoteReference"/>
        </w:rPr>
        <w:footnoteReference w:id="53"/>
      </w:r>
      <w:r>
        <w:t xml:space="preserve"> there are serious methodological challenges. Effort should be focussed on measuring the value of government interventions, rather than on measuring </w:t>
      </w:r>
      <w:r>
        <w:lastRenderedPageBreak/>
        <w:t xml:space="preserve">to yet another decimal place the proxy outputs of research organisations. One needs to face up squarely to the issue of causality determination (as argued by Butler). </w:t>
      </w:r>
      <w:r w:rsidR="00874FEC">
        <w:t>At present the performance indicators for government policy on research funding are in a much more parlous state than those for research quality and impact in research institutions.</w:t>
      </w:r>
    </w:p>
    <w:p w14:paraId="0123E203" w14:textId="47F89A0E" w:rsidR="001930DD" w:rsidRDefault="001930DD" w:rsidP="00E21C6B">
      <w:r>
        <w:t xml:space="preserve">Perhaps the most important thing to remember is this: </w:t>
      </w:r>
      <w:r w:rsidRPr="00114999">
        <w:rPr>
          <w:rStyle w:val="Emphasis"/>
        </w:rPr>
        <w:t>Silicon Valley did not arise because some government set the right KPIs and performance management system. And its continual success is most certainly not because of that either</w:t>
      </w:r>
      <w:r w:rsidRPr="001930DD">
        <w:rPr>
          <w:i/>
        </w:rPr>
        <w:t>.</w:t>
      </w:r>
      <w:r>
        <w:t xml:space="preserve"> </w:t>
      </w:r>
    </w:p>
    <w:p w14:paraId="3AA617F4" w14:textId="038B6251" w:rsidR="00E21C6B" w:rsidRDefault="001930DD" w:rsidP="00182C2E">
      <w:r>
        <w:t xml:space="preserve">If a measure is sought, then </w:t>
      </w:r>
      <w:r w:rsidR="0082087F">
        <w:t xml:space="preserve">we recommend </w:t>
      </w:r>
      <w:proofErr w:type="gramStart"/>
      <w:r w:rsidR="0082087F">
        <w:t xml:space="preserve">to </w:t>
      </w:r>
      <w:r>
        <w:t>calculate</w:t>
      </w:r>
      <w:proofErr w:type="gramEnd"/>
      <w:r>
        <w:t xml:space="preserve"> the contribution to GDP from the investment in each research activity. In </w:t>
      </w:r>
      <w:proofErr w:type="spellStart"/>
      <w:r>
        <w:t>NICTA’s</w:t>
      </w:r>
      <w:proofErr w:type="spellEnd"/>
      <w:r>
        <w:t xml:space="preserve"> case, this is estimated </w:t>
      </w:r>
      <w:r w:rsidR="00182C2E">
        <w:t>as $</w:t>
      </w:r>
      <w:proofErr w:type="spellStart"/>
      <w:r w:rsidR="00182C2E">
        <w:t>3B</w:t>
      </w:r>
      <w:proofErr w:type="spellEnd"/>
      <w:r w:rsidR="00182C2E">
        <w:t xml:space="preserve"> </w:t>
      </w:r>
      <w:proofErr w:type="spellStart"/>
      <w:r w:rsidR="00182C2E">
        <w:t>NPV</w:t>
      </w:r>
      <w:proofErr w:type="spellEnd"/>
      <w:r w:rsidR="00182C2E">
        <w:t xml:space="preserve"> to 2020</w:t>
      </w:r>
      <w:r w:rsidR="00182C2E">
        <w:rPr>
          <w:rStyle w:val="FootnoteReference"/>
        </w:rPr>
        <w:footnoteReference w:id="54"/>
      </w:r>
      <w:r w:rsidR="00182C2E">
        <w:t>.</w:t>
      </w:r>
    </w:p>
    <w:p w14:paraId="5EBE4B5F" w14:textId="154769B6" w:rsidR="00E21C6B" w:rsidRPr="00EE4E4C" w:rsidRDefault="00E21C6B" w:rsidP="00EE4E4C">
      <w:pPr>
        <w:pStyle w:val="Heading1"/>
        <w:numPr>
          <w:ilvl w:val="0"/>
          <w:numId w:val="5"/>
        </w:numPr>
      </w:pPr>
      <w:bookmarkStart w:id="26" w:name="_Toc278623276"/>
      <w:bookmarkStart w:id="27" w:name="_Toc278626600"/>
      <w:bookmarkStart w:id="28" w:name="_Toc278718409"/>
      <w:r w:rsidRPr="00EE4E4C">
        <w:t>Research training matters</w:t>
      </w:r>
      <w:r w:rsidR="0082087F">
        <w:t>,</w:t>
      </w:r>
      <w:r w:rsidR="005432DE" w:rsidRPr="00EE4E4C">
        <w:t xml:space="preserve"> and there are Australian models of how to do it well</w:t>
      </w:r>
      <w:r w:rsidR="00944AE0">
        <w:t xml:space="preserve"> which can be replicated</w:t>
      </w:r>
      <w:bookmarkEnd w:id="26"/>
      <w:bookmarkEnd w:id="27"/>
      <w:bookmarkEnd w:id="28"/>
    </w:p>
    <w:p w14:paraId="53BAF87A" w14:textId="4467A2A9" w:rsidR="00190DF8" w:rsidRDefault="00D834AC" w:rsidP="00E21C6B">
      <w:r w:rsidRPr="00114999">
        <w:rPr>
          <w:rStyle w:val="Emphasis"/>
        </w:rPr>
        <w:t>Unquestionably</w:t>
      </w:r>
      <w:r>
        <w:t xml:space="preserve"> r</w:t>
      </w:r>
      <w:r w:rsidR="00533652">
        <w:t>ese</w:t>
      </w:r>
      <w:r w:rsidR="00D15752">
        <w:t>arch training</w:t>
      </w:r>
      <w:r w:rsidR="00E21C6B">
        <w:t xml:space="preserve"> matters</w:t>
      </w:r>
      <w:r w:rsidR="00D15752">
        <w:t xml:space="preserve"> (</w:t>
      </w:r>
      <w:r>
        <w:t xml:space="preserve">confer </w:t>
      </w:r>
      <w:r w:rsidR="00D15752">
        <w:t>page 23</w:t>
      </w:r>
      <w:r>
        <w:t xml:space="preserve"> of the Australian Government report). Evidence from around the world supports this:</w:t>
      </w:r>
    </w:p>
    <w:p w14:paraId="39634C3F" w14:textId="36FF5678" w:rsidR="000D5667" w:rsidRPr="002113AB" w:rsidRDefault="000D5667" w:rsidP="002113AB">
      <w:pPr>
        <w:ind w:left="720"/>
      </w:pPr>
      <w:r w:rsidRPr="002113AB">
        <w:t xml:space="preserve">Mike </w:t>
      </w:r>
      <w:proofErr w:type="spellStart"/>
      <w:r w:rsidRPr="002113AB">
        <w:t>Lazaridis</w:t>
      </w:r>
      <w:proofErr w:type="spellEnd"/>
      <w:r w:rsidRPr="002113AB">
        <w:t>, founder, president, and CEO of Waterloo-based Research in Motion (RIM), the creator of the iconic Blackberry wireless device, stresses the critical human capital dime</w:t>
      </w:r>
      <w:r w:rsidR="002113AB" w:rsidRPr="002113AB">
        <w:t>nsion of basic research activi</w:t>
      </w:r>
      <w:r w:rsidRPr="002113AB">
        <w:t>ties:</w:t>
      </w:r>
    </w:p>
    <w:p w14:paraId="46DB31B1" w14:textId="5551163F" w:rsidR="00190DF8" w:rsidRDefault="000D5667" w:rsidP="00990348">
      <w:pPr>
        <w:ind w:left="1440"/>
      </w:pPr>
      <w:r w:rsidRPr="00114999">
        <w:rPr>
          <w:rStyle w:val="QuoteChar"/>
        </w:rPr>
        <w:t>The number one reason to fund basic research ... is to attract the very best researchers from around the world. Once here, they c</w:t>
      </w:r>
      <w:r w:rsidR="001815B4" w:rsidRPr="00114999">
        <w:rPr>
          <w:rStyle w:val="QuoteChar"/>
        </w:rPr>
        <w:t>an prepare Canada’s next gener</w:t>
      </w:r>
      <w:r w:rsidRPr="00114999">
        <w:rPr>
          <w:rStyle w:val="QuoteChar"/>
        </w:rPr>
        <w:t>ations of graduates, masters, PhD’s and post-doctorates, including the finest foreign students. All else flows from this ... If you really</w:t>
      </w:r>
      <w:r w:rsidR="001815B4" w:rsidRPr="00114999">
        <w:rPr>
          <w:rStyle w:val="QuoteChar"/>
        </w:rPr>
        <w:t xml:space="preserve"> want to understand commercial</w:t>
      </w:r>
      <w:r w:rsidRPr="00114999">
        <w:rPr>
          <w:rStyle w:val="QuoteChar"/>
        </w:rPr>
        <w:t>ization, all you have to do is attend convocation at your local university</w:t>
      </w:r>
      <w:r>
        <w:rPr>
          <w:rStyle w:val="FootnoteReference"/>
        </w:rPr>
        <w:footnoteReference w:id="55"/>
      </w:r>
    </w:p>
    <w:p w14:paraId="24CB81C7" w14:textId="0611009C" w:rsidR="00D834AC" w:rsidRDefault="00D834AC" w:rsidP="00E21C6B">
      <w:r>
        <w:t>The knowledge and skills required to achieve commercial success is largely transmitted by the movement of skilled workers</w:t>
      </w:r>
      <w:r w:rsidR="001815B4">
        <w:rPr>
          <w:rStyle w:val="FootnoteReference"/>
        </w:rPr>
        <w:footnoteReference w:id="56"/>
      </w:r>
      <w:r>
        <w:t>. These “</w:t>
      </w:r>
      <w:r w:rsidRPr="00114999">
        <w:rPr>
          <w:rStyle w:val="Emphasis"/>
        </w:rPr>
        <w:t>spillovers</w:t>
      </w:r>
      <w:r>
        <w:t>”</w:t>
      </w:r>
      <w:r w:rsidR="00AE2E37">
        <w:rPr>
          <w:rStyle w:val="FootnoteReference"/>
        </w:rPr>
        <w:footnoteReference w:id="57"/>
      </w:r>
      <w:r>
        <w:t xml:space="preserve"> are not directly manageable. The one thing you can do is to make the</w:t>
      </w:r>
      <w:r w:rsidR="008C3402">
        <w:t xml:space="preserve">ir earlier </w:t>
      </w:r>
      <w:r>
        <w:t>educational experience as useful as possible.</w:t>
      </w:r>
    </w:p>
    <w:p w14:paraId="2C57119C" w14:textId="77741A64" w:rsidR="00D834AC" w:rsidRDefault="00D834AC" w:rsidP="00E21C6B">
      <w:r>
        <w:lastRenderedPageBreak/>
        <w:t xml:space="preserve">For ten years </w:t>
      </w:r>
      <w:proofErr w:type="spellStart"/>
      <w:r>
        <w:t>NICTA</w:t>
      </w:r>
      <w:proofErr w:type="spellEnd"/>
      <w:r>
        <w:t xml:space="preserve"> has developed experience in rethinking PhD education in the ICT area. Our PhD students not only work on the leading edge internationally, but they get hands-on experience on real world projects with commercial outcomes.  This is radically different to the trad</w:t>
      </w:r>
      <w:r w:rsidR="008C3402">
        <w:t>itional model where the student</w:t>
      </w:r>
      <w:r>
        <w:t xml:space="preserve"> spends all of their time cloistered in the home laboratory.  Our students are now contributing to the growth of the absorptive capacity in Australian industry for leading edge research. The </w:t>
      </w:r>
      <w:proofErr w:type="spellStart"/>
      <w:r>
        <w:t>NICTA</w:t>
      </w:r>
      <w:proofErr w:type="spellEnd"/>
      <w:r>
        <w:t xml:space="preserve"> PhD model (with its mixture of team driven projects; joint supervision; interface with commercial customers; broadening coursework; and external placements) could be replicated in all Australian research institutions </w:t>
      </w:r>
      <w:r w:rsidR="003C257E">
        <w:t>to</w:t>
      </w:r>
      <w:r>
        <w:t xml:space="preserve"> great effect. </w:t>
      </w:r>
    </w:p>
    <w:p w14:paraId="0B94A49A" w14:textId="5F594CD8" w:rsidR="00E21C6B" w:rsidRPr="00EE4E4C" w:rsidRDefault="00E21C6B" w:rsidP="00EE4E4C">
      <w:pPr>
        <w:pStyle w:val="Heading1"/>
        <w:numPr>
          <w:ilvl w:val="0"/>
          <w:numId w:val="5"/>
        </w:numPr>
      </w:pPr>
      <w:bookmarkStart w:id="29" w:name="_Toc278623277"/>
      <w:bookmarkStart w:id="30" w:name="_Toc278626601"/>
      <w:bookmarkStart w:id="31" w:name="_Toc278718410"/>
      <w:r w:rsidRPr="00EE4E4C">
        <w:t xml:space="preserve">Preservation of </w:t>
      </w:r>
      <w:r w:rsidR="005432DE" w:rsidRPr="00EE4E4C">
        <w:t>research f</w:t>
      </w:r>
      <w:r w:rsidRPr="00EE4E4C">
        <w:t>unding</w:t>
      </w:r>
      <w:r w:rsidR="005432DE" w:rsidRPr="00EE4E4C">
        <w:t xml:space="preserve"> is essential</w:t>
      </w:r>
      <w:r w:rsidR="00944AE0">
        <w:t xml:space="preserve"> – run the country like a business</w:t>
      </w:r>
      <w:bookmarkEnd w:id="29"/>
      <w:bookmarkEnd w:id="30"/>
      <w:bookmarkEnd w:id="31"/>
    </w:p>
    <w:p w14:paraId="652E552E" w14:textId="6C153EA4" w:rsidR="003C257E" w:rsidRDefault="00533652" w:rsidP="00E21C6B">
      <w:r>
        <w:t xml:space="preserve">The </w:t>
      </w:r>
      <w:r w:rsidR="003C257E">
        <w:t xml:space="preserve">Australian </w:t>
      </w:r>
      <w:r w:rsidR="00326954">
        <w:t>Government’s paper (page 7) admired</w:t>
      </w:r>
      <w:r>
        <w:t xml:space="preserve"> the UK Gove</w:t>
      </w:r>
      <w:r w:rsidR="002113AB">
        <w:t xml:space="preserve">rnment’s response to the </w:t>
      </w:r>
      <w:proofErr w:type="spellStart"/>
      <w:r w:rsidR="002113AB">
        <w:t>GFC</w:t>
      </w:r>
      <w:proofErr w:type="spellEnd"/>
      <w:r w:rsidR="002113AB">
        <w:t xml:space="preserve">.  </w:t>
      </w:r>
      <w:r w:rsidR="00326954">
        <w:t xml:space="preserve">A crucial and strategic element of the UK response was to </w:t>
      </w:r>
      <w:r w:rsidR="00326954" w:rsidRPr="00114999">
        <w:rPr>
          <w:rStyle w:val="Emphasis"/>
        </w:rPr>
        <w:t xml:space="preserve">make no cuts to </w:t>
      </w:r>
      <w:r w:rsidRPr="00114999">
        <w:rPr>
          <w:rStyle w:val="Emphasis"/>
        </w:rPr>
        <w:t>science budgets</w:t>
      </w:r>
      <w:r w:rsidR="00D15752">
        <w:t>.</w:t>
      </w:r>
      <w:r w:rsidR="00326954">
        <w:rPr>
          <w:rStyle w:val="FootnoteReference"/>
        </w:rPr>
        <w:footnoteReference w:id="58"/>
      </w:r>
      <w:r w:rsidR="00D15752">
        <w:t xml:space="preserve"> </w:t>
      </w:r>
      <w:r w:rsidR="00326954">
        <w:t xml:space="preserve">This </w:t>
      </w:r>
      <w:r w:rsidR="008C3402">
        <w:t>was wise</w:t>
      </w:r>
      <w:r w:rsidR="00326954">
        <w:t xml:space="preserve"> and long-term </w:t>
      </w:r>
      <w:r w:rsidR="00326954" w:rsidRPr="00114999">
        <w:rPr>
          <w:rStyle w:val="Emphasis"/>
        </w:rPr>
        <w:t>business decision</w:t>
      </w:r>
      <w:r w:rsidR="00326954">
        <w:t xml:space="preserve"> by the UK government</w:t>
      </w:r>
      <w:r w:rsidR="008C3402">
        <w:t xml:space="preserve"> that the Australian government would do well to emulate</w:t>
      </w:r>
      <w:r w:rsidR="00326954">
        <w:t xml:space="preserve">. </w:t>
      </w:r>
    </w:p>
    <w:p w14:paraId="39BBA13A" w14:textId="00EBAB3F" w:rsidR="00326954" w:rsidRDefault="00326954" w:rsidP="00E21C6B">
      <w:r>
        <w:t xml:space="preserve">Technological advance being the primary cause for long term economic growth, it is simply a bad business decision to cut off your only source of long term growth opportunity for some short term expediency. </w:t>
      </w:r>
    </w:p>
    <w:p w14:paraId="2B79CC2E" w14:textId="1B149D85" w:rsidR="001B73C2" w:rsidRDefault="00326954" w:rsidP="00114999">
      <w:pPr>
        <w:pStyle w:val="Quote"/>
      </w:pPr>
      <w:r w:rsidRPr="00326954">
        <w:t xml:space="preserve">If the Australian government was serious about boosting the commercial returns for research, it would not only rescind all the cuts it has made in support of research in the last year or so, but it would increase its investment in research. </w:t>
      </w:r>
    </w:p>
    <w:p w14:paraId="6E24F21A" w14:textId="04542771" w:rsidR="00326954" w:rsidRPr="00326954" w:rsidRDefault="00326954" w:rsidP="00114999">
      <w:pPr>
        <w:pStyle w:val="Quote"/>
      </w:pPr>
      <w:r w:rsidRPr="00326954">
        <w:t>Anything else is financially irresponsible. Australia deserves to be run like a well-managed business that plans to be around for the long haul.</w:t>
      </w:r>
    </w:p>
    <w:p w14:paraId="2EB234AA" w14:textId="77777777" w:rsidR="00326954" w:rsidRDefault="00326954" w:rsidP="00114999">
      <w:pPr>
        <w:pStyle w:val="Quote"/>
      </w:pPr>
    </w:p>
    <w:p w14:paraId="5E450F5F" w14:textId="327DDEF2" w:rsidR="00533652" w:rsidRDefault="00533652" w:rsidP="00E21C6B"/>
    <w:sectPr w:rsidR="00533652" w:rsidSect="00142F26">
      <w:footerReference w:type="even" r:id="rId13"/>
      <w:footerReference w:type="defaul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BEEBB" w14:textId="77777777" w:rsidR="00850F14" w:rsidRDefault="00850F14" w:rsidP="00297238">
      <w:r>
        <w:separator/>
      </w:r>
    </w:p>
  </w:endnote>
  <w:endnote w:type="continuationSeparator" w:id="0">
    <w:p w14:paraId="47044F07" w14:textId="77777777" w:rsidR="00850F14" w:rsidRDefault="00850F14" w:rsidP="00297238">
      <w:r>
        <w:continuationSeparator/>
      </w:r>
    </w:p>
  </w:endnote>
  <w:endnote w:type="continuationNotice" w:id="1">
    <w:p w14:paraId="17382880" w14:textId="77777777" w:rsidR="00850F14" w:rsidRDefault="00850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78E9C" w14:textId="77777777" w:rsidR="00850F14" w:rsidRDefault="00850F14" w:rsidP="00E86F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E4480" w14:textId="77777777" w:rsidR="00850F14" w:rsidRDefault="00850F14" w:rsidP="005D267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6DE4C" w14:textId="77777777" w:rsidR="00850F14" w:rsidRDefault="00850F14" w:rsidP="00E86F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242C">
      <w:rPr>
        <w:rStyle w:val="PageNumber"/>
        <w:noProof/>
      </w:rPr>
      <w:t>1</w:t>
    </w:r>
    <w:r>
      <w:rPr>
        <w:rStyle w:val="PageNumber"/>
      </w:rPr>
      <w:fldChar w:fldCharType="end"/>
    </w:r>
  </w:p>
  <w:p w14:paraId="4E48EC1F" w14:textId="77777777" w:rsidR="00850F14" w:rsidRDefault="00850F14" w:rsidP="005D267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3D89BA" w14:textId="77777777" w:rsidR="00850F14" w:rsidRDefault="00850F14" w:rsidP="00297238">
      <w:r>
        <w:separator/>
      </w:r>
    </w:p>
  </w:footnote>
  <w:footnote w:type="continuationSeparator" w:id="0">
    <w:p w14:paraId="3AC49D72" w14:textId="77777777" w:rsidR="00850F14" w:rsidRDefault="00850F14" w:rsidP="00297238">
      <w:r>
        <w:continuationSeparator/>
      </w:r>
    </w:p>
  </w:footnote>
  <w:footnote w:type="continuationNotice" w:id="1">
    <w:p w14:paraId="5475027F" w14:textId="77777777" w:rsidR="00850F14" w:rsidRDefault="00850F14"/>
  </w:footnote>
  <w:footnote w:id="2">
    <w:p w14:paraId="6CDDFA97" w14:textId="7DFB4346" w:rsidR="00850F14" w:rsidRPr="00ED2886" w:rsidRDefault="00850F14">
      <w:pPr>
        <w:pStyle w:val="FootnoteText"/>
      </w:pPr>
      <w:r>
        <w:rPr>
          <w:rStyle w:val="FootnoteReference"/>
        </w:rPr>
        <w:footnoteRef/>
      </w:r>
      <w:r>
        <w:t xml:space="preserve"> </w:t>
      </w:r>
      <w:proofErr w:type="gramStart"/>
      <w:r w:rsidRPr="00ED2886">
        <w:rPr>
          <w:sz w:val="20"/>
          <w:szCs w:val="20"/>
        </w:rPr>
        <w:t xml:space="preserve">Prepared </w:t>
      </w:r>
      <w:r>
        <w:rPr>
          <w:sz w:val="20"/>
          <w:szCs w:val="20"/>
        </w:rPr>
        <w:t xml:space="preserve">on behalf of </w:t>
      </w:r>
      <w:proofErr w:type="spellStart"/>
      <w:r>
        <w:rPr>
          <w:sz w:val="20"/>
          <w:szCs w:val="20"/>
        </w:rPr>
        <w:t>NICTA</w:t>
      </w:r>
      <w:proofErr w:type="spellEnd"/>
      <w:r>
        <w:rPr>
          <w:sz w:val="20"/>
          <w:szCs w:val="20"/>
        </w:rPr>
        <w:t xml:space="preserve"> by Robert C. Williamson FAA, with input from</w:t>
      </w:r>
      <w:r w:rsidRPr="00ED2886">
        <w:rPr>
          <w:sz w:val="20"/>
          <w:szCs w:val="20"/>
        </w:rPr>
        <w:t xml:space="preserve"> Phil Robertson FTSE.</w:t>
      </w:r>
      <w:proofErr w:type="gramEnd"/>
      <w:r w:rsidRPr="00ED2886">
        <w:rPr>
          <w:sz w:val="20"/>
          <w:szCs w:val="20"/>
        </w:rPr>
        <w:t xml:space="preserve"> </w:t>
      </w:r>
    </w:p>
  </w:footnote>
  <w:footnote w:id="3">
    <w:p w14:paraId="27E92173" w14:textId="56883CAB" w:rsidR="00850F14" w:rsidRPr="00EE3BFE" w:rsidRDefault="00850F14" w:rsidP="00297238">
      <w:pPr>
        <w:pStyle w:val="FootnoteText"/>
        <w:rPr>
          <w:sz w:val="20"/>
          <w:szCs w:val="20"/>
        </w:rPr>
      </w:pPr>
      <w:r w:rsidRPr="00EE3BFE">
        <w:rPr>
          <w:rStyle w:val="FootnoteReference"/>
          <w:szCs w:val="20"/>
        </w:rPr>
        <w:footnoteRef/>
      </w:r>
      <w:r w:rsidRPr="00EE3BFE">
        <w:rPr>
          <w:szCs w:val="20"/>
        </w:rPr>
        <w:t xml:space="preserve"> </w:t>
      </w:r>
      <w:r w:rsidRPr="008B4526">
        <w:rPr>
          <w:rStyle w:val="headertext"/>
          <w:rFonts w:eastAsia="Times New Roman" w:cs="Times New Roman"/>
          <w:sz w:val="20"/>
          <w:szCs w:val="20"/>
        </w:rPr>
        <w:t xml:space="preserve">OECD, </w:t>
      </w:r>
      <w:r w:rsidRPr="008B4526">
        <w:rPr>
          <w:rStyle w:val="headertext"/>
          <w:rFonts w:eastAsia="Times New Roman" w:cs="Times New Roman"/>
          <w:i/>
          <w:sz w:val="20"/>
          <w:szCs w:val="20"/>
        </w:rPr>
        <w:t>Performance-based Funding for Public Research in Tertiary Education Institutions</w:t>
      </w:r>
      <w:r w:rsidRPr="008B4526">
        <w:rPr>
          <w:rFonts w:eastAsia="Times New Roman" w:cs="Times New Roman"/>
          <w:sz w:val="20"/>
          <w:szCs w:val="20"/>
        </w:rPr>
        <w:t xml:space="preserve">, </w:t>
      </w:r>
      <w:r w:rsidRPr="008B4526">
        <w:rPr>
          <w:rStyle w:val="subtitle1"/>
          <w:rFonts w:eastAsia="Times New Roman" w:cs="Times New Roman"/>
          <w:sz w:val="20"/>
          <w:szCs w:val="20"/>
        </w:rPr>
        <w:t>Workshop Proceedings</w:t>
      </w:r>
      <w:r w:rsidRPr="008B4526">
        <w:rPr>
          <w:rFonts w:eastAsia="Times New Roman" w:cs="Times New Roman"/>
          <w:sz w:val="20"/>
          <w:szCs w:val="20"/>
        </w:rPr>
        <w:t>, OECD Publishing</w:t>
      </w:r>
      <w:r>
        <w:rPr>
          <w:rFonts w:eastAsia="Times New Roman" w:cs="Times New Roman"/>
          <w:sz w:val="20"/>
          <w:szCs w:val="20"/>
        </w:rPr>
        <w:t>,</w:t>
      </w:r>
      <w:r w:rsidRPr="008B4526">
        <w:rPr>
          <w:rFonts w:eastAsia="Times New Roman" w:cs="Times New Roman"/>
          <w:sz w:val="20"/>
          <w:szCs w:val="20"/>
        </w:rPr>
        <w:t xml:space="preserve"> 01 Dec 2010, </w:t>
      </w:r>
      <w:hyperlink r:id="rId1" w:anchor="page1" w:history="1">
        <w:r w:rsidRPr="008B4526">
          <w:rPr>
            <w:rStyle w:val="Hyperlink"/>
            <w:sz w:val="20"/>
            <w:szCs w:val="20"/>
          </w:rPr>
          <w:t>http://www.keepeek.com/Digital-Asset-Management/oecd/education/performance-based-funding-for-public-research-in-tertiary-education-institutions_9789264094611-en#page1</w:t>
        </w:r>
      </w:hyperlink>
    </w:p>
  </w:footnote>
  <w:footnote w:id="4">
    <w:p w14:paraId="6E7BA562" w14:textId="4542CF7E" w:rsidR="00850F14" w:rsidRPr="008B4526" w:rsidRDefault="00850F14">
      <w:pPr>
        <w:pStyle w:val="FootnoteText"/>
        <w:rPr>
          <w:sz w:val="20"/>
          <w:szCs w:val="20"/>
        </w:rPr>
      </w:pPr>
      <w:r w:rsidRPr="00EE3BFE">
        <w:rPr>
          <w:rStyle w:val="FootnoteReference"/>
          <w:szCs w:val="20"/>
        </w:rPr>
        <w:footnoteRef/>
      </w:r>
      <w:r w:rsidRPr="00EE3BFE">
        <w:rPr>
          <w:szCs w:val="20"/>
        </w:rPr>
        <w:t xml:space="preserve"> </w:t>
      </w:r>
      <w:r w:rsidRPr="008B4526">
        <w:rPr>
          <w:sz w:val="20"/>
          <w:szCs w:val="20"/>
        </w:rPr>
        <w:t xml:space="preserve">Australian Government, Department of Education and Department of Industry, </w:t>
      </w:r>
      <w:r w:rsidRPr="008B4526">
        <w:rPr>
          <w:i/>
          <w:sz w:val="20"/>
          <w:szCs w:val="20"/>
        </w:rPr>
        <w:t>Boosting the Commercial Returns from Research</w:t>
      </w:r>
      <w:r w:rsidRPr="008B4526">
        <w:rPr>
          <w:sz w:val="20"/>
          <w:szCs w:val="20"/>
        </w:rPr>
        <w:t xml:space="preserve">, 2014, </w:t>
      </w:r>
      <w:hyperlink r:id="rId2" w:history="1">
        <w:r w:rsidRPr="008B4526">
          <w:rPr>
            <w:rStyle w:val="Hyperlink"/>
            <w:sz w:val="20"/>
            <w:szCs w:val="20"/>
          </w:rPr>
          <w:t>https://submissions.education.gov.au/Forms/higher-education-research/Documents/Boosting%20Commercial%20Returns%20from%20Research%20%20-%2024102014.pdf</w:t>
        </w:r>
      </w:hyperlink>
      <w:r w:rsidRPr="008B4526">
        <w:rPr>
          <w:sz w:val="20"/>
          <w:szCs w:val="20"/>
        </w:rPr>
        <w:t xml:space="preserve"> </w:t>
      </w:r>
    </w:p>
  </w:footnote>
  <w:footnote w:id="5">
    <w:p w14:paraId="51914439" w14:textId="5BA2440B" w:rsidR="00850F14" w:rsidRPr="008B4526" w:rsidRDefault="00850F14">
      <w:pPr>
        <w:pStyle w:val="FootnoteText"/>
        <w:rPr>
          <w:sz w:val="20"/>
          <w:szCs w:val="20"/>
        </w:rPr>
      </w:pPr>
      <w:r w:rsidRPr="00EE3BFE">
        <w:rPr>
          <w:rStyle w:val="FootnoteReference"/>
          <w:szCs w:val="20"/>
        </w:rPr>
        <w:footnoteRef/>
      </w:r>
      <w:r w:rsidRPr="00EE3BFE">
        <w:rPr>
          <w:szCs w:val="20"/>
        </w:rPr>
        <w:t xml:space="preserve"> </w:t>
      </w:r>
      <w:r w:rsidRPr="008B4526">
        <w:rPr>
          <w:sz w:val="20"/>
          <w:szCs w:val="20"/>
        </w:rPr>
        <w:t xml:space="preserve">Australian Government, </w:t>
      </w:r>
      <w:r w:rsidRPr="008B4526">
        <w:rPr>
          <w:i/>
          <w:sz w:val="20"/>
          <w:szCs w:val="20"/>
        </w:rPr>
        <w:t>op. cit.</w:t>
      </w:r>
      <w:r w:rsidRPr="008B4526">
        <w:rPr>
          <w:sz w:val="20"/>
          <w:szCs w:val="20"/>
        </w:rPr>
        <w:t xml:space="preserve"> page 23</w:t>
      </w:r>
    </w:p>
  </w:footnote>
  <w:footnote w:id="6">
    <w:p w14:paraId="36E18592" w14:textId="673513B9" w:rsidR="00850F14" w:rsidRPr="00CA3375" w:rsidRDefault="00850F14">
      <w:pPr>
        <w:pStyle w:val="FootnoteText"/>
      </w:pPr>
      <w:r w:rsidRPr="00EE3BFE">
        <w:rPr>
          <w:rStyle w:val="FootnoteReference"/>
          <w:szCs w:val="20"/>
        </w:rPr>
        <w:footnoteRef/>
      </w:r>
      <w:r w:rsidRPr="008B4526">
        <w:rPr>
          <w:sz w:val="20"/>
          <w:szCs w:val="20"/>
        </w:rPr>
        <w:t xml:space="preserve"> </w:t>
      </w:r>
      <w:hyperlink r:id="rId3" w:history="1">
        <w:r w:rsidRPr="008B4526">
          <w:rPr>
            <w:rStyle w:val="Hyperlink"/>
            <w:sz w:val="20"/>
            <w:szCs w:val="20"/>
          </w:rPr>
          <w:t>https://facultyaffairs-humsci.stanford.edu/chapter-4-promotion-full-tenure-line</w:t>
        </w:r>
      </w:hyperlink>
    </w:p>
  </w:footnote>
  <w:footnote w:id="7">
    <w:p w14:paraId="064F2089" w14:textId="6AF7FA1F" w:rsidR="00850F14" w:rsidRPr="00EE3BFE" w:rsidRDefault="00850F14">
      <w:pPr>
        <w:pStyle w:val="FootnoteText"/>
      </w:pPr>
      <w:r>
        <w:rPr>
          <w:rStyle w:val="FootnoteReference"/>
        </w:rPr>
        <w:footnoteRef/>
      </w:r>
      <w:r>
        <w:t xml:space="preserve"> </w:t>
      </w:r>
      <w:r w:rsidRPr="00EE3BFE">
        <w:rPr>
          <w:sz w:val="20"/>
        </w:rPr>
        <w:t>Yale University Press, 1999</w:t>
      </w:r>
    </w:p>
  </w:footnote>
  <w:footnote w:id="8">
    <w:p w14:paraId="437EF07A" w14:textId="0779B88B" w:rsidR="00C35E2F" w:rsidRPr="00C35E2F" w:rsidRDefault="00C35E2F">
      <w:pPr>
        <w:pStyle w:val="FootnoteText"/>
        <w:rPr>
          <w:i/>
        </w:rPr>
      </w:pPr>
      <w:r>
        <w:rPr>
          <w:rStyle w:val="FootnoteReference"/>
        </w:rPr>
        <w:footnoteRef/>
      </w:r>
      <w:r>
        <w:t xml:space="preserve"> </w:t>
      </w:r>
      <w:proofErr w:type="gramStart"/>
      <w:r w:rsidRPr="00C35E2F">
        <w:rPr>
          <w:sz w:val="20"/>
          <w:szCs w:val="20"/>
        </w:rPr>
        <w:t xml:space="preserve">Australian Government, </w:t>
      </w:r>
      <w:r w:rsidRPr="00C35E2F">
        <w:rPr>
          <w:i/>
          <w:sz w:val="20"/>
          <w:szCs w:val="20"/>
        </w:rPr>
        <w:t>op. cit.</w:t>
      </w:r>
      <w:proofErr w:type="gramEnd"/>
    </w:p>
  </w:footnote>
  <w:footnote w:id="9">
    <w:p w14:paraId="51E9CB9E" w14:textId="37F15C82" w:rsidR="00850F14" w:rsidRPr="008B4526" w:rsidRDefault="00850F14">
      <w:pPr>
        <w:pStyle w:val="FootnoteText"/>
      </w:pPr>
      <w:r>
        <w:rPr>
          <w:rStyle w:val="FootnoteReference"/>
        </w:rPr>
        <w:footnoteRef/>
      </w:r>
      <w:r>
        <w:t xml:space="preserve"> </w:t>
      </w:r>
      <w:hyperlink r:id="rId4" w:history="1">
        <w:r w:rsidRPr="008B4526">
          <w:rPr>
            <w:rStyle w:val="Hyperlink"/>
            <w:sz w:val="20"/>
            <w:szCs w:val="20"/>
          </w:rPr>
          <w:t>http://www.chiefscientist.gov.au/wp-content/uploads/OPS2-OECD-for-web-FINAL.pdf</w:t>
        </w:r>
      </w:hyperlink>
      <w:r w:rsidRPr="008B4526">
        <w:t xml:space="preserve">   </w:t>
      </w:r>
    </w:p>
  </w:footnote>
  <w:footnote w:id="10">
    <w:p w14:paraId="6F206B4E" w14:textId="0E2E5859" w:rsidR="00850F14" w:rsidRPr="00211A63" w:rsidRDefault="00850F14" w:rsidP="001A1220">
      <w:pPr>
        <w:pStyle w:val="FootnoteText"/>
      </w:pPr>
      <w:r>
        <w:rPr>
          <w:rStyle w:val="FootnoteReference"/>
        </w:rPr>
        <w:footnoteRef/>
      </w:r>
      <w:r>
        <w:t xml:space="preserve"> </w:t>
      </w:r>
      <w:r w:rsidRPr="00F6160D">
        <w:rPr>
          <w:sz w:val="20"/>
        </w:rPr>
        <w:t xml:space="preserve">If citation statistics are to be believed (and the tenor of the Government’s paper suggest they are at least not entirely discounted) then </w:t>
      </w:r>
      <w:r>
        <w:rPr>
          <w:sz w:val="20"/>
        </w:rPr>
        <w:t xml:space="preserve">Giovanni </w:t>
      </w:r>
      <w:proofErr w:type="spellStart"/>
      <w:r w:rsidRPr="00F6160D">
        <w:rPr>
          <w:sz w:val="20"/>
        </w:rPr>
        <w:t>Dosi</w:t>
      </w:r>
      <w:proofErr w:type="spellEnd"/>
      <w:r w:rsidRPr="00F6160D">
        <w:rPr>
          <w:sz w:val="20"/>
        </w:rPr>
        <w:t xml:space="preserve"> </w:t>
      </w:r>
      <w:hyperlink r:id="rId5" w:history="1">
        <w:r w:rsidRPr="00F6160D">
          <w:rPr>
            <w:rStyle w:val="Hyperlink"/>
            <w:sz w:val="20"/>
          </w:rPr>
          <w:t>http://en.wikipedia.org/wiki/Giovanni_Dosi</w:t>
        </w:r>
      </w:hyperlink>
      <w:r w:rsidRPr="00F6160D">
        <w:rPr>
          <w:sz w:val="20"/>
        </w:rPr>
        <w:t xml:space="preserve"> is the most renowned scholar of the economics of innovation in the world: </w:t>
      </w:r>
      <w:hyperlink r:id="rId6" w:history="1">
        <w:r w:rsidRPr="00F6160D">
          <w:rPr>
            <w:rStyle w:val="Hyperlink"/>
            <w:sz w:val="20"/>
          </w:rPr>
          <w:t>http://scholar.google.com/citations?view_op=search_authors&amp;hl=en&amp;mauthors=label:economics_of_innovation</w:t>
        </w:r>
      </w:hyperlink>
      <w:r w:rsidRPr="00F6160D">
        <w:rPr>
          <w:sz w:val="20"/>
        </w:rPr>
        <w:t xml:space="preserve"> </w:t>
      </w:r>
    </w:p>
  </w:footnote>
  <w:footnote w:id="11">
    <w:p w14:paraId="0479243C" w14:textId="4687A812" w:rsidR="00850F14" w:rsidRPr="00F44759" w:rsidRDefault="00850F14">
      <w:pPr>
        <w:pStyle w:val="FootnoteText"/>
      </w:pPr>
      <w:r>
        <w:rPr>
          <w:rStyle w:val="FootnoteReference"/>
        </w:rPr>
        <w:footnoteRef/>
      </w:r>
      <w:r>
        <w:t xml:space="preserve"> </w:t>
      </w:r>
      <w:r>
        <w:rPr>
          <w:sz w:val="20"/>
        </w:rPr>
        <w:t xml:space="preserve">Giovanni </w:t>
      </w:r>
      <w:proofErr w:type="spellStart"/>
      <w:r>
        <w:rPr>
          <w:sz w:val="20"/>
        </w:rPr>
        <w:t>Dosi</w:t>
      </w:r>
      <w:proofErr w:type="spellEnd"/>
      <w:r>
        <w:rPr>
          <w:sz w:val="20"/>
        </w:rPr>
        <w:t xml:space="preserve">, Patrick </w:t>
      </w:r>
      <w:proofErr w:type="spellStart"/>
      <w:r>
        <w:rPr>
          <w:sz w:val="20"/>
        </w:rPr>
        <w:t>Ll</w:t>
      </w:r>
      <w:r w:rsidRPr="00F44759">
        <w:rPr>
          <w:sz w:val="20"/>
        </w:rPr>
        <w:t>erena</w:t>
      </w:r>
      <w:proofErr w:type="spellEnd"/>
      <w:r w:rsidRPr="00F44759">
        <w:rPr>
          <w:sz w:val="20"/>
        </w:rPr>
        <w:t xml:space="preserve">, and </w:t>
      </w:r>
      <w:proofErr w:type="spellStart"/>
      <w:r w:rsidRPr="00F44759">
        <w:rPr>
          <w:sz w:val="20"/>
        </w:rPr>
        <w:t>Maoro</w:t>
      </w:r>
      <w:proofErr w:type="spellEnd"/>
      <w:r w:rsidRPr="00F44759">
        <w:rPr>
          <w:sz w:val="20"/>
        </w:rPr>
        <w:t xml:space="preserve"> </w:t>
      </w:r>
      <w:proofErr w:type="spellStart"/>
      <w:r w:rsidRPr="00F44759">
        <w:rPr>
          <w:sz w:val="20"/>
        </w:rPr>
        <w:t>Sylos</w:t>
      </w:r>
      <w:proofErr w:type="spellEnd"/>
      <w:r w:rsidRPr="00F44759">
        <w:rPr>
          <w:sz w:val="20"/>
        </w:rPr>
        <w:t xml:space="preserve"> </w:t>
      </w:r>
      <w:proofErr w:type="spellStart"/>
      <w:r w:rsidRPr="00F44759">
        <w:rPr>
          <w:sz w:val="20"/>
        </w:rPr>
        <w:t>Labini</w:t>
      </w:r>
      <w:proofErr w:type="spellEnd"/>
      <w:r w:rsidRPr="00F44759">
        <w:rPr>
          <w:sz w:val="20"/>
        </w:rPr>
        <w:t xml:space="preserve">, “The relationships between science, technologies and their industrial exploitation: An illustration through the myths and realities of the so-called ‘European Paradox’,” </w:t>
      </w:r>
      <w:r w:rsidRPr="00F44759">
        <w:rPr>
          <w:i/>
          <w:sz w:val="20"/>
        </w:rPr>
        <w:t>Research Policy</w:t>
      </w:r>
      <w:r w:rsidRPr="00F44759">
        <w:rPr>
          <w:sz w:val="20"/>
        </w:rPr>
        <w:t xml:space="preserve"> 35, 1450-1464, (2006).</w:t>
      </w:r>
    </w:p>
  </w:footnote>
  <w:footnote w:id="12">
    <w:p w14:paraId="04B27010" w14:textId="67BDF1C0" w:rsidR="00850F14" w:rsidRPr="00162D14" w:rsidRDefault="00850F14">
      <w:pPr>
        <w:pStyle w:val="FootnoteText"/>
      </w:pPr>
      <w:r>
        <w:rPr>
          <w:rStyle w:val="FootnoteReference"/>
        </w:rPr>
        <w:footnoteRef/>
      </w:r>
      <w:r>
        <w:t xml:space="preserve"> </w:t>
      </w:r>
      <w:hyperlink r:id="rId7" w:history="1">
        <w:r w:rsidRPr="00162D14">
          <w:rPr>
            <w:rStyle w:val="Hyperlink"/>
            <w:sz w:val="20"/>
            <w:szCs w:val="20"/>
          </w:rPr>
          <w:t>http://faculty.history.wisc.edu/hollingsworth/</w:t>
        </w:r>
      </w:hyperlink>
      <w:r>
        <w:t xml:space="preserve"> </w:t>
      </w:r>
    </w:p>
  </w:footnote>
  <w:footnote w:id="13">
    <w:p w14:paraId="2D957D5B" w14:textId="74EF3414" w:rsidR="00850F14" w:rsidRPr="00205C46" w:rsidRDefault="00850F14">
      <w:pPr>
        <w:pStyle w:val="FootnoteText"/>
        <w:rPr>
          <w:i/>
        </w:rPr>
      </w:pPr>
      <w:r>
        <w:rPr>
          <w:rStyle w:val="FootnoteReference"/>
        </w:rPr>
        <w:footnoteRef/>
      </w:r>
      <w:r>
        <w:t xml:space="preserve"> </w:t>
      </w:r>
      <w:r w:rsidRPr="00C7396E">
        <w:rPr>
          <w:sz w:val="20"/>
          <w:szCs w:val="20"/>
        </w:rPr>
        <w:t xml:space="preserve">J. Rodgers Hollingsworth, “The Dynamics of American Science: An Institutional and Organizational Perspective on Major Discoveries,” in Jens </w:t>
      </w:r>
      <w:proofErr w:type="spellStart"/>
      <w:r w:rsidRPr="00C7396E">
        <w:rPr>
          <w:sz w:val="20"/>
          <w:szCs w:val="20"/>
        </w:rPr>
        <w:t>Beckert</w:t>
      </w:r>
      <w:proofErr w:type="spellEnd"/>
      <w:r w:rsidRPr="00C7396E">
        <w:rPr>
          <w:sz w:val="20"/>
          <w:szCs w:val="20"/>
        </w:rPr>
        <w:t xml:space="preserve">, Bernhard </w:t>
      </w:r>
      <w:proofErr w:type="spellStart"/>
      <w:r w:rsidRPr="00C7396E">
        <w:rPr>
          <w:sz w:val="20"/>
          <w:szCs w:val="20"/>
        </w:rPr>
        <w:t>Ebbinghaus</w:t>
      </w:r>
      <w:proofErr w:type="spellEnd"/>
      <w:r w:rsidRPr="00C7396E">
        <w:rPr>
          <w:sz w:val="20"/>
          <w:szCs w:val="20"/>
        </w:rPr>
        <w:t xml:space="preserve">, </w:t>
      </w:r>
      <w:proofErr w:type="spellStart"/>
      <w:r w:rsidRPr="00C7396E">
        <w:rPr>
          <w:sz w:val="20"/>
          <w:szCs w:val="20"/>
        </w:rPr>
        <w:t>Anke</w:t>
      </w:r>
      <w:proofErr w:type="spellEnd"/>
      <w:r w:rsidRPr="00C7396E">
        <w:rPr>
          <w:sz w:val="20"/>
          <w:szCs w:val="20"/>
        </w:rPr>
        <w:t xml:space="preserve"> Hassel, and Philip </w:t>
      </w:r>
      <w:proofErr w:type="spellStart"/>
      <w:r w:rsidRPr="00C7396E">
        <w:rPr>
          <w:sz w:val="20"/>
          <w:szCs w:val="20"/>
        </w:rPr>
        <w:t>Manow</w:t>
      </w:r>
      <w:proofErr w:type="spellEnd"/>
      <w:r w:rsidRPr="00C7396E">
        <w:rPr>
          <w:sz w:val="20"/>
          <w:szCs w:val="20"/>
        </w:rPr>
        <w:t xml:space="preserve">, eds., </w:t>
      </w:r>
      <w:proofErr w:type="spellStart"/>
      <w:r w:rsidRPr="00C7396E">
        <w:rPr>
          <w:i/>
          <w:sz w:val="20"/>
          <w:szCs w:val="20"/>
        </w:rPr>
        <w:t>Transformationen</w:t>
      </w:r>
      <w:proofErr w:type="spellEnd"/>
      <w:r w:rsidRPr="00C7396E">
        <w:rPr>
          <w:i/>
          <w:sz w:val="20"/>
          <w:szCs w:val="20"/>
        </w:rPr>
        <w:t xml:space="preserve"> des </w:t>
      </w:r>
      <w:proofErr w:type="spellStart"/>
      <w:r w:rsidRPr="00C7396E">
        <w:rPr>
          <w:i/>
          <w:sz w:val="20"/>
          <w:szCs w:val="20"/>
        </w:rPr>
        <w:t>Kapitalismus</w:t>
      </w:r>
      <w:proofErr w:type="spellEnd"/>
      <w:r w:rsidRPr="00C7396E">
        <w:rPr>
          <w:i/>
          <w:sz w:val="20"/>
          <w:szCs w:val="20"/>
        </w:rPr>
        <w:t xml:space="preserve">: Festschrift </w:t>
      </w:r>
      <w:proofErr w:type="spellStart"/>
      <w:r w:rsidRPr="00C7396E">
        <w:rPr>
          <w:i/>
          <w:sz w:val="20"/>
          <w:szCs w:val="20"/>
        </w:rPr>
        <w:t>für</w:t>
      </w:r>
      <w:proofErr w:type="spellEnd"/>
      <w:r w:rsidRPr="00C7396E">
        <w:rPr>
          <w:i/>
          <w:sz w:val="20"/>
          <w:szCs w:val="20"/>
        </w:rPr>
        <w:t xml:space="preserve"> Wolfgang </w:t>
      </w:r>
      <w:proofErr w:type="spellStart"/>
      <w:r w:rsidRPr="00C7396E">
        <w:rPr>
          <w:i/>
          <w:sz w:val="20"/>
          <w:szCs w:val="20"/>
        </w:rPr>
        <w:t>Streeck</w:t>
      </w:r>
      <w:proofErr w:type="spellEnd"/>
      <w:r w:rsidRPr="00C7396E">
        <w:rPr>
          <w:i/>
          <w:sz w:val="20"/>
          <w:szCs w:val="20"/>
        </w:rPr>
        <w:t xml:space="preserve"> </w:t>
      </w:r>
      <w:proofErr w:type="spellStart"/>
      <w:r w:rsidRPr="00C7396E">
        <w:rPr>
          <w:i/>
          <w:sz w:val="20"/>
          <w:szCs w:val="20"/>
        </w:rPr>
        <w:t>zum</w:t>
      </w:r>
      <w:proofErr w:type="spellEnd"/>
      <w:r w:rsidRPr="00C7396E">
        <w:rPr>
          <w:i/>
          <w:sz w:val="20"/>
          <w:szCs w:val="20"/>
        </w:rPr>
        <w:t xml:space="preserve"> </w:t>
      </w:r>
      <w:proofErr w:type="spellStart"/>
      <w:r w:rsidRPr="00C7396E">
        <w:rPr>
          <w:i/>
          <w:sz w:val="20"/>
          <w:szCs w:val="20"/>
        </w:rPr>
        <w:t>sechzigsten</w:t>
      </w:r>
      <w:proofErr w:type="spellEnd"/>
      <w:r w:rsidRPr="00C7396E">
        <w:rPr>
          <w:i/>
          <w:sz w:val="20"/>
          <w:szCs w:val="20"/>
        </w:rPr>
        <w:t xml:space="preserve"> </w:t>
      </w:r>
      <w:proofErr w:type="spellStart"/>
      <w:r w:rsidRPr="00C7396E">
        <w:rPr>
          <w:i/>
          <w:sz w:val="20"/>
          <w:szCs w:val="20"/>
        </w:rPr>
        <w:t>Geburstag</w:t>
      </w:r>
      <w:proofErr w:type="spellEnd"/>
      <w:r w:rsidRPr="00C7396E">
        <w:rPr>
          <w:sz w:val="20"/>
          <w:szCs w:val="20"/>
        </w:rPr>
        <w:t xml:space="preserve">. (Frankfurt and New York: Campus </w:t>
      </w:r>
      <w:proofErr w:type="spellStart"/>
      <w:r w:rsidRPr="00C7396E">
        <w:rPr>
          <w:sz w:val="20"/>
          <w:szCs w:val="20"/>
        </w:rPr>
        <w:t>Verlag</w:t>
      </w:r>
      <w:proofErr w:type="spellEnd"/>
      <w:r w:rsidRPr="00C7396E">
        <w:rPr>
          <w:sz w:val="20"/>
          <w:szCs w:val="20"/>
        </w:rPr>
        <w:t>, 2006) pp. 361–380.</w:t>
      </w:r>
    </w:p>
  </w:footnote>
  <w:footnote w:id="14">
    <w:p w14:paraId="6C5AE03A" w14:textId="14EF1208" w:rsidR="00850F14" w:rsidRPr="002643E1" w:rsidRDefault="00850F14">
      <w:pPr>
        <w:pStyle w:val="FootnoteText"/>
      </w:pPr>
      <w:r>
        <w:rPr>
          <w:rStyle w:val="FootnoteReference"/>
        </w:rPr>
        <w:footnoteRef/>
      </w:r>
      <w:r>
        <w:t xml:space="preserve"> </w:t>
      </w:r>
      <w:r w:rsidRPr="002643E1">
        <w:rPr>
          <w:sz w:val="20"/>
          <w:szCs w:val="20"/>
        </w:rPr>
        <w:t xml:space="preserve">Thomas </w:t>
      </w:r>
      <w:proofErr w:type="spellStart"/>
      <w:r w:rsidRPr="002643E1">
        <w:rPr>
          <w:sz w:val="20"/>
          <w:szCs w:val="20"/>
        </w:rPr>
        <w:t>Heinze</w:t>
      </w:r>
      <w:proofErr w:type="spellEnd"/>
      <w:r w:rsidRPr="002643E1">
        <w:rPr>
          <w:sz w:val="20"/>
          <w:szCs w:val="20"/>
        </w:rPr>
        <w:t xml:space="preserve">, Philip </w:t>
      </w:r>
      <w:proofErr w:type="spellStart"/>
      <w:r w:rsidRPr="002643E1">
        <w:rPr>
          <w:sz w:val="20"/>
          <w:szCs w:val="20"/>
        </w:rPr>
        <w:t>Shapira</w:t>
      </w:r>
      <w:proofErr w:type="spellEnd"/>
      <w:r w:rsidRPr="002643E1">
        <w:rPr>
          <w:sz w:val="20"/>
          <w:szCs w:val="20"/>
        </w:rPr>
        <w:t xml:space="preserve">, Juan D. Rogers and Jacqueline M. </w:t>
      </w:r>
      <w:proofErr w:type="spellStart"/>
      <w:r w:rsidRPr="002643E1">
        <w:rPr>
          <w:sz w:val="20"/>
          <w:szCs w:val="20"/>
        </w:rPr>
        <w:t>Senker</w:t>
      </w:r>
      <w:proofErr w:type="spellEnd"/>
      <w:r w:rsidRPr="002643E1">
        <w:rPr>
          <w:sz w:val="20"/>
          <w:szCs w:val="20"/>
        </w:rPr>
        <w:t>, “Organizational and institutional influences on creativity in scientific resea</w:t>
      </w:r>
      <w:r>
        <w:rPr>
          <w:sz w:val="20"/>
          <w:szCs w:val="20"/>
        </w:rPr>
        <w:t>r</w:t>
      </w:r>
      <w:r w:rsidRPr="002643E1">
        <w:rPr>
          <w:sz w:val="20"/>
          <w:szCs w:val="20"/>
        </w:rPr>
        <w:t xml:space="preserve">ch,” </w:t>
      </w:r>
      <w:r w:rsidRPr="002643E1">
        <w:rPr>
          <w:i/>
          <w:sz w:val="20"/>
          <w:szCs w:val="20"/>
        </w:rPr>
        <w:t>Research Policy</w:t>
      </w:r>
      <w:r w:rsidRPr="002643E1">
        <w:rPr>
          <w:sz w:val="20"/>
          <w:szCs w:val="20"/>
        </w:rPr>
        <w:t xml:space="preserve"> 38, 610-623 (2009)</w:t>
      </w:r>
    </w:p>
  </w:footnote>
  <w:footnote w:id="15">
    <w:p w14:paraId="7E9F74AC" w14:textId="23D05D22" w:rsidR="00850F14" w:rsidRPr="00C7396E" w:rsidRDefault="00850F14">
      <w:pPr>
        <w:pStyle w:val="FootnoteText"/>
      </w:pPr>
      <w:r>
        <w:rPr>
          <w:rStyle w:val="FootnoteReference"/>
        </w:rPr>
        <w:footnoteRef/>
      </w:r>
      <w:r>
        <w:t xml:space="preserve"> </w:t>
      </w:r>
      <w:hyperlink r:id="rId8" w:history="1">
        <w:r w:rsidRPr="00C7396E">
          <w:rPr>
            <w:rStyle w:val="Hyperlink"/>
            <w:sz w:val="20"/>
            <w:szCs w:val="20"/>
          </w:rPr>
          <w:t>http://en.wikipedia.org/wiki/Nathan_Rosenberg</w:t>
        </w:r>
      </w:hyperlink>
      <w:r>
        <w:t xml:space="preserve"> </w:t>
      </w:r>
    </w:p>
  </w:footnote>
  <w:footnote w:id="16">
    <w:p w14:paraId="2BF1166E" w14:textId="29791922" w:rsidR="00850F14" w:rsidRPr="00F06843" w:rsidRDefault="00850F14">
      <w:pPr>
        <w:pStyle w:val="FootnoteText"/>
      </w:pPr>
      <w:r>
        <w:rPr>
          <w:rStyle w:val="FootnoteReference"/>
        </w:rPr>
        <w:footnoteRef/>
      </w:r>
      <w:r>
        <w:t xml:space="preserve"> </w:t>
      </w:r>
      <w:r w:rsidRPr="00F06843">
        <w:rPr>
          <w:sz w:val="20"/>
          <w:szCs w:val="20"/>
        </w:rPr>
        <w:t>Nathan Rosenberg</w:t>
      </w:r>
      <w:r>
        <w:rPr>
          <w:sz w:val="20"/>
          <w:szCs w:val="20"/>
        </w:rPr>
        <w:t xml:space="preserve"> and </w:t>
      </w:r>
      <w:proofErr w:type="spellStart"/>
      <w:r>
        <w:rPr>
          <w:sz w:val="20"/>
          <w:szCs w:val="20"/>
        </w:rPr>
        <w:t>L.E</w:t>
      </w:r>
      <w:proofErr w:type="spellEnd"/>
      <w:r>
        <w:rPr>
          <w:sz w:val="20"/>
          <w:szCs w:val="20"/>
        </w:rPr>
        <w:t xml:space="preserve">. </w:t>
      </w:r>
      <w:proofErr w:type="spellStart"/>
      <w:r>
        <w:rPr>
          <w:sz w:val="20"/>
          <w:szCs w:val="20"/>
        </w:rPr>
        <w:t>Birdzell</w:t>
      </w:r>
      <w:proofErr w:type="spellEnd"/>
      <w:r>
        <w:rPr>
          <w:sz w:val="20"/>
          <w:szCs w:val="20"/>
        </w:rPr>
        <w:t xml:space="preserve"> Jr.</w:t>
      </w:r>
      <w:r w:rsidRPr="00F06843">
        <w:rPr>
          <w:sz w:val="20"/>
          <w:szCs w:val="20"/>
        </w:rPr>
        <w:t xml:space="preserve">, </w:t>
      </w:r>
      <w:r w:rsidRPr="00F06843">
        <w:rPr>
          <w:i/>
          <w:sz w:val="20"/>
          <w:szCs w:val="20"/>
        </w:rPr>
        <w:t>How the West Grew Rich: The Economic Transformation of the Industrial World</w:t>
      </w:r>
      <w:r w:rsidRPr="00F06843">
        <w:rPr>
          <w:sz w:val="20"/>
          <w:szCs w:val="20"/>
        </w:rPr>
        <w:t>, Basic Books, 198</w:t>
      </w:r>
      <w:r>
        <w:rPr>
          <w:sz w:val="20"/>
          <w:szCs w:val="20"/>
        </w:rPr>
        <w:t>6</w:t>
      </w:r>
    </w:p>
  </w:footnote>
  <w:footnote w:id="17">
    <w:p w14:paraId="5015BA01" w14:textId="38B7A499" w:rsidR="00850F14" w:rsidRPr="00397360" w:rsidRDefault="00850F14">
      <w:pPr>
        <w:pStyle w:val="FootnoteText"/>
      </w:pPr>
      <w:r>
        <w:rPr>
          <w:rStyle w:val="FootnoteReference"/>
        </w:rPr>
        <w:footnoteRef/>
      </w:r>
      <w:r>
        <w:t xml:space="preserve"> </w:t>
      </w:r>
      <w:r w:rsidRPr="00397360">
        <w:rPr>
          <w:sz w:val="20"/>
          <w:szCs w:val="20"/>
        </w:rPr>
        <w:t>Ibid, page 261</w:t>
      </w:r>
    </w:p>
  </w:footnote>
  <w:footnote w:id="18">
    <w:p w14:paraId="11A8C872" w14:textId="09B07C0D" w:rsidR="00850F14" w:rsidRPr="00C87185" w:rsidRDefault="00850F14">
      <w:pPr>
        <w:pStyle w:val="FootnoteText"/>
      </w:pPr>
      <w:r>
        <w:rPr>
          <w:rStyle w:val="FootnoteReference"/>
        </w:rPr>
        <w:footnoteRef/>
      </w:r>
      <w:r>
        <w:t xml:space="preserve"> </w:t>
      </w:r>
      <w:hyperlink r:id="rId9" w:history="1">
        <w:r w:rsidRPr="00C87185">
          <w:rPr>
            <w:rStyle w:val="Hyperlink"/>
            <w:sz w:val="20"/>
            <w:szCs w:val="20"/>
          </w:rPr>
          <w:t>http://faculty.london.edu/rgoffee/</w:t>
        </w:r>
      </w:hyperlink>
      <w:r w:rsidRPr="00C87185">
        <w:rPr>
          <w:sz w:val="20"/>
          <w:szCs w:val="20"/>
        </w:rPr>
        <w:t xml:space="preserve"> </w:t>
      </w:r>
    </w:p>
  </w:footnote>
  <w:footnote w:id="19">
    <w:p w14:paraId="0616A5B8" w14:textId="3FB4D48B" w:rsidR="00850F14" w:rsidRPr="00C87185" w:rsidRDefault="00850F14">
      <w:pPr>
        <w:pStyle w:val="FootnoteText"/>
      </w:pPr>
      <w:r>
        <w:rPr>
          <w:rStyle w:val="FootnoteReference"/>
        </w:rPr>
        <w:footnoteRef/>
      </w:r>
      <w:r>
        <w:t xml:space="preserve"> </w:t>
      </w:r>
      <w:hyperlink r:id="rId10" w:history="1">
        <w:r w:rsidRPr="00C87185">
          <w:rPr>
            <w:rStyle w:val="Hyperlink"/>
            <w:sz w:val="20"/>
            <w:szCs w:val="20"/>
          </w:rPr>
          <w:t>http://www.speakersconnect.com/prof-gareth-jones-author-anyone-led-hk-june/</w:t>
        </w:r>
      </w:hyperlink>
      <w:r>
        <w:t xml:space="preserve"> </w:t>
      </w:r>
    </w:p>
  </w:footnote>
  <w:footnote w:id="20">
    <w:p w14:paraId="428129F7" w14:textId="47CA9B89" w:rsidR="00850F14" w:rsidRPr="00C87185" w:rsidRDefault="00850F14">
      <w:pPr>
        <w:pStyle w:val="FootnoteText"/>
      </w:pPr>
      <w:r>
        <w:rPr>
          <w:rStyle w:val="FootnoteReference"/>
        </w:rPr>
        <w:footnoteRef/>
      </w:r>
      <w:r>
        <w:t xml:space="preserve"> </w:t>
      </w:r>
      <w:r w:rsidRPr="00C87185">
        <w:rPr>
          <w:sz w:val="20"/>
          <w:szCs w:val="20"/>
        </w:rPr>
        <w:t>Harvard Business School Press, 2009</w:t>
      </w:r>
    </w:p>
  </w:footnote>
  <w:footnote w:id="21">
    <w:p w14:paraId="1A47FD4E" w14:textId="04E6900D" w:rsidR="00850F14" w:rsidRPr="00472FE9" w:rsidRDefault="00850F14" w:rsidP="00397360">
      <w:pPr>
        <w:pStyle w:val="FootnoteText"/>
        <w:rPr>
          <w:sz w:val="20"/>
          <w:szCs w:val="20"/>
        </w:rPr>
      </w:pPr>
      <w:r>
        <w:rPr>
          <w:rStyle w:val="FootnoteReference"/>
        </w:rPr>
        <w:footnoteRef/>
      </w:r>
      <w:r>
        <w:t xml:space="preserve"> </w:t>
      </w:r>
      <w:r w:rsidRPr="00472FE9">
        <w:rPr>
          <w:sz w:val="20"/>
          <w:szCs w:val="20"/>
        </w:rPr>
        <w:t xml:space="preserve">Edward L. </w:t>
      </w:r>
      <w:proofErr w:type="spellStart"/>
      <w:r w:rsidRPr="00472FE9">
        <w:rPr>
          <w:sz w:val="20"/>
          <w:szCs w:val="20"/>
        </w:rPr>
        <w:t>Deci</w:t>
      </w:r>
      <w:proofErr w:type="spellEnd"/>
      <w:r w:rsidRPr="00472FE9">
        <w:rPr>
          <w:sz w:val="20"/>
          <w:szCs w:val="20"/>
        </w:rPr>
        <w:t xml:space="preserve">, Effects of Externally Mediated Rewards on Intrinsic Motivation, </w:t>
      </w:r>
      <w:r w:rsidRPr="00472FE9">
        <w:rPr>
          <w:i/>
          <w:iCs/>
          <w:sz w:val="20"/>
          <w:szCs w:val="20"/>
        </w:rPr>
        <w:t xml:space="preserve">Journal of Personality and Social Psychology, </w:t>
      </w:r>
      <w:r>
        <w:rPr>
          <w:sz w:val="20"/>
          <w:szCs w:val="20"/>
        </w:rPr>
        <w:t>18(1), 105-115 (1971)</w:t>
      </w:r>
    </w:p>
    <w:p w14:paraId="12183622" w14:textId="7932A59E" w:rsidR="00850F14" w:rsidRPr="00472FE9" w:rsidRDefault="00850F14">
      <w:pPr>
        <w:pStyle w:val="FootnoteText"/>
        <w:rPr>
          <w:sz w:val="20"/>
          <w:szCs w:val="20"/>
        </w:rPr>
      </w:pPr>
      <w:r w:rsidRPr="00472FE9">
        <w:rPr>
          <w:sz w:val="20"/>
          <w:szCs w:val="20"/>
        </w:rPr>
        <w:t xml:space="preserve">Edward L. </w:t>
      </w:r>
      <w:proofErr w:type="spellStart"/>
      <w:r w:rsidRPr="00472FE9">
        <w:rPr>
          <w:sz w:val="20"/>
          <w:szCs w:val="20"/>
        </w:rPr>
        <w:t>Deci</w:t>
      </w:r>
      <w:proofErr w:type="spellEnd"/>
      <w:r w:rsidRPr="00472FE9">
        <w:rPr>
          <w:sz w:val="20"/>
          <w:szCs w:val="20"/>
        </w:rPr>
        <w:t xml:space="preserve">, Richard </w:t>
      </w:r>
      <w:proofErr w:type="spellStart"/>
      <w:r w:rsidRPr="00472FE9">
        <w:rPr>
          <w:sz w:val="20"/>
          <w:szCs w:val="20"/>
        </w:rPr>
        <w:t>Koestner</w:t>
      </w:r>
      <w:proofErr w:type="spellEnd"/>
      <w:r w:rsidRPr="00472FE9">
        <w:rPr>
          <w:sz w:val="20"/>
          <w:szCs w:val="20"/>
        </w:rPr>
        <w:t xml:space="preserve"> and Richard M. Ryan, A meta-analytic review of experiments examining the effects of extrinsic rewards on intrinsic motivation, </w:t>
      </w:r>
      <w:r w:rsidRPr="00472FE9">
        <w:rPr>
          <w:i/>
          <w:iCs/>
          <w:sz w:val="20"/>
          <w:szCs w:val="20"/>
        </w:rPr>
        <w:t xml:space="preserve">Psychological Bulletin </w:t>
      </w:r>
      <w:r w:rsidRPr="00472FE9">
        <w:rPr>
          <w:sz w:val="20"/>
          <w:szCs w:val="20"/>
        </w:rPr>
        <w:t xml:space="preserve">125(6), </w:t>
      </w:r>
      <w:r>
        <w:rPr>
          <w:sz w:val="20"/>
          <w:szCs w:val="20"/>
        </w:rPr>
        <w:t>627-668 (1999)</w:t>
      </w:r>
    </w:p>
  </w:footnote>
  <w:footnote w:id="22">
    <w:p w14:paraId="53C2EF2C" w14:textId="018B0FF8" w:rsidR="00850F14" w:rsidRPr="00A967B5" w:rsidRDefault="00850F14">
      <w:pPr>
        <w:pStyle w:val="FootnoteText"/>
        <w:rPr>
          <w:sz w:val="20"/>
          <w:szCs w:val="20"/>
        </w:rPr>
      </w:pPr>
      <w:r>
        <w:rPr>
          <w:rStyle w:val="FootnoteReference"/>
        </w:rPr>
        <w:footnoteRef/>
      </w:r>
      <w:r>
        <w:t xml:space="preserve"> </w:t>
      </w:r>
      <w:r w:rsidRPr="00472FE9">
        <w:rPr>
          <w:sz w:val="20"/>
          <w:szCs w:val="20"/>
        </w:rPr>
        <w:t xml:space="preserve">Teresa </w:t>
      </w:r>
      <w:proofErr w:type="spellStart"/>
      <w:r w:rsidRPr="00472FE9">
        <w:rPr>
          <w:sz w:val="20"/>
          <w:szCs w:val="20"/>
        </w:rPr>
        <w:t>Amibile</w:t>
      </w:r>
      <w:proofErr w:type="spellEnd"/>
      <w:r w:rsidRPr="00472FE9">
        <w:rPr>
          <w:sz w:val="20"/>
          <w:szCs w:val="20"/>
        </w:rPr>
        <w:t xml:space="preserve"> and Steve Kramer, </w:t>
      </w:r>
      <w:r>
        <w:rPr>
          <w:sz w:val="20"/>
          <w:szCs w:val="20"/>
        </w:rPr>
        <w:t>“</w:t>
      </w:r>
      <w:r w:rsidRPr="00472FE9">
        <w:rPr>
          <w:sz w:val="20"/>
          <w:szCs w:val="20"/>
        </w:rPr>
        <w:t>What Doesn’t Motivate Creativity Can Kill It,</w:t>
      </w:r>
      <w:r>
        <w:rPr>
          <w:sz w:val="20"/>
          <w:szCs w:val="20"/>
        </w:rPr>
        <w:t>”</w:t>
      </w:r>
      <w:r w:rsidRPr="00472FE9">
        <w:rPr>
          <w:sz w:val="20"/>
          <w:szCs w:val="20"/>
        </w:rPr>
        <w:t xml:space="preserve"> </w:t>
      </w:r>
      <w:r w:rsidRPr="00472FE9">
        <w:rPr>
          <w:i/>
          <w:sz w:val="20"/>
          <w:szCs w:val="20"/>
        </w:rPr>
        <w:t>Harvard Business Review</w:t>
      </w:r>
      <w:r w:rsidRPr="00472FE9">
        <w:rPr>
          <w:sz w:val="20"/>
          <w:szCs w:val="20"/>
        </w:rPr>
        <w:t xml:space="preserve"> 25 April 2012, </w:t>
      </w:r>
      <w:hyperlink r:id="rId11" w:history="1">
        <w:r w:rsidRPr="00472FE9">
          <w:rPr>
            <w:rStyle w:val="Hyperlink"/>
            <w:sz w:val="20"/>
            <w:szCs w:val="20"/>
          </w:rPr>
          <w:t>https://hbr.org/2012/04/balancing-the-four-factors-tha-1/</w:t>
        </w:r>
      </w:hyperlink>
      <w:r w:rsidRPr="00472FE9">
        <w:rPr>
          <w:sz w:val="20"/>
          <w:szCs w:val="20"/>
        </w:rPr>
        <w:t xml:space="preserve"> </w:t>
      </w:r>
    </w:p>
  </w:footnote>
  <w:footnote w:id="23">
    <w:p w14:paraId="5B39E41C" w14:textId="1E2720BF" w:rsidR="00850F14" w:rsidRPr="00E80003" w:rsidRDefault="00850F14">
      <w:pPr>
        <w:pStyle w:val="FootnoteText"/>
      </w:pPr>
      <w:r>
        <w:rPr>
          <w:rStyle w:val="FootnoteReference"/>
        </w:rPr>
        <w:footnoteRef/>
      </w:r>
      <w:r>
        <w:t xml:space="preserve"> </w:t>
      </w:r>
      <w:r w:rsidRPr="00472FE9">
        <w:rPr>
          <w:sz w:val="20"/>
          <w:szCs w:val="20"/>
        </w:rPr>
        <w:t xml:space="preserve">Teresa </w:t>
      </w:r>
      <w:proofErr w:type="spellStart"/>
      <w:r w:rsidRPr="00472FE9">
        <w:rPr>
          <w:sz w:val="20"/>
          <w:szCs w:val="20"/>
        </w:rPr>
        <w:t>Amibile</w:t>
      </w:r>
      <w:proofErr w:type="spellEnd"/>
      <w:r w:rsidRPr="00472FE9">
        <w:rPr>
          <w:sz w:val="20"/>
          <w:szCs w:val="20"/>
        </w:rPr>
        <w:t>,</w:t>
      </w:r>
      <w:r w:rsidRPr="00472FE9">
        <w:rPr>
          <w:i/>
          <w:sz w:val="20"/>
          <w:szCs w:val="20"/>
        </w:rPr>
        <w:t xml:space="preserve"> </w:t>
      </w:r>
      <w:r>
        <w:rPr>
          <w:i/>
          <w:sz w:val="20"/>
          <w:szCs w:val="20"/>
        </w:rPr>
        <w:t>“</w:t>
      </w:r>
      <w:r w:rsidRPr="00472FE9">
        <w:rPr>
          <w:sz w:val="20"/>
          <w:szCs w:val="20"/>
        </w:rPr>
        <w:t>How to Kill Creativity,</w:t>
      </w:r>
      <w:r>
        <w:rPr>
          <w:sz w:val="20"/>
          <w:szCs w:val="20"/>
        </w:rPr>
        <w:t>”</w:t>
      </w:r>
      <w:r w:rsidRPr="00472FE9">
        <w:rPr>
          <w:sz w:val="20"/>
          <w:szCs w:val="20"/>
        </w:rPr>
        <w:t xml:space="preserve"> </w:t>
      </w:r>
      <w:r w:rsidRPr="00472FE9">
        <w:rPr>
          <w:i/>
          <w:sz w:val="20"/>
          <w:szCs w:val="20"/>
        </w:rPr>
        <w:t>Harvard Business Review,</w:t>
      </w:r>
      <w:r w:rsidRPr="00472FE9">
        <w:rPr>
          <w:sz w:val="20"/>
          <w:szCs w:val="20"/>
        </w:rPr>
        <w:t xml:space="preserve"> 76-87, September – October 1998</w:t>
      </w:r>
    </w:p>
  </w:footnote>
  <w:footnote w:id="24">
    <w:p w14:paraId="2325E937" w14:textId="0ABAB359" w:rsidR="00850F14" w:rsidRPr="00C35E2F" w:rsidRDefault="00850F14">
      <w:pPr>
        <w:pStyle w:val="FootnoteText"/>
        <w:rPr>
          <w:sz w:val="20"/>
          <w:szCs w:val="20"/>
        </w:rPr>
      </w:pPr>
      <w:r>
        <w:rPr>
          <w:rStyle w:val="FootnoteReference"/>
        </w:rPr>
        <w:footnoteRef/>
      </w:r>
      <w:r>
        <w:t xml:space="preserve"> </w:t>
      </w:r>
      <w:r w:rsidRPr="00472FE9">
        <w:rPr>
          <w:sz w:val="20"/>
          <w:szCs w:val="20"/>
        </w:rPr>
        <w:t xml:space="preserve">Pierre </w:t>
      </w:r>
      <w:proofErr w:type="spellStart"/>
      <w:r w:rsidRPr="00472FE9">
        <w:rPr>
          <w:sz w:val="20"/>
          <w:szCs w:val="20"/>
        </w:rPr>
        <w:t>Azoulay</w:t>
      </w:r>
      <w:proofErr w:type="spellEnd"/>
      <w:r w:rsidRPr="00472FE9">
        <w:rPr>
          <w:sz w:val="20"/>
          <w:szCs w:val="20"/>
        </w:rPr>
        <w:t xml:space="preserve">, Joshua S. Graff </w:t>
      </w:r>
      <w:proofErr w:type="spellStart"/>
      <w:r w:rsidRPr="00472FE9">
        <w:rPr>
          <w:sz w:val="20"/>
          <w:szCs w:val="20"/>
        </w:rPr>
        <w:t>Zivin</w:t>
      </w:r>
      <w:proofErr w:type="spellEnd"/>
      <w:r w:rsidRPr="00472FE9">
        <w:rPr>
          <w:sz w:val="20"/>
          <w:szCs w:val="20"/>
        </w:rPr>
        <w:t xml:space="preserve"> and </w:t>
      </w:r>
      <w:proofErr w:type="spellStart"/>
      <w:r w:rsidRPr="00472FE9">
        <w:rPr>
          <w:sz w:val="20"/>
          <w:szCs w:val="20"/>
        </w:rPr>
        <w:t>Manso</w:t>
      </w:r>
      <w:proofErr w:type="spellEnd"/>
      <w:r w:rsidRPr="00472FE9">
        <w:rPr>
          <w:sz w:val="20"/>
          <w:szCs w:val="20"/>
        </w:rPr>
        <w:t xml:space="preserve"> Gustavo, Incentives and Creativity: Evidence from the Academic Life Sciences, </w:t>
      </w:r>
      <w:r w:rsidRPr="00472FE9">
        <w:rPr>
          <w:i/>
          <w:iCs/>
          <w:sz w:val="20"/>
          <w:szCs w:val="20"/>
        </w:rPr>
        <w:t>RAND Journal of Economics</w:t>
      </w:r>
      <w:r w:rsidRPr="00472FE9">
        <w:rPr>
          <w:sz w:val="20"/>
          <w:szCs w:val="20"/>
        </w:rPr>
        <w:t xml:space="preserve">, 42.3, 527-554, Fall 2011 </w:t>
      </w:r>
    </w:p>
  </w:footnote>
  <w:footnote w:id="25">
    <w:p w14:paraId="790A035D" w14:textId="503DDA6F" w:rsidR="00850F14" w:rsidRPr="004011D8" w:rsidRDefault="00850F14">
      <w:pPr>
        <w:pStyle w:val="FootnoteText"/>
      </w:pPr>
      <w:r>
        <w:rPr>
          <w:rStyle w:val="FootnoteReference"/>
        </w:rPr>
        <w:footnoteRef/>
      </w:r>
      <w:r>
        <w:t xml:space="preserve"> </w:t>
      </w:r>
      <w:proofErr w:type="gramStart"/>
      <w:r w:rsidRPr="004011D8">
        <w:rPr>
          <w:sz w:val="20"/>
          <w:szCs w:val="20"/>
        </w:rPr>
        <w:t xml:space="preserve">E.g., the independent external review </w:t>
      </w:r>
      <w:r>
        <w:rPr>
          <w:sz w:val="20"/>
          <w:szCs w:val="20"/>
        </w:rPr>
        <w:t>using</w:t>
      </w:r>
      <w:r w:rsidRPr="004011D8">
        <w:rPr>
          <w:sz w:val="20"/>
          <w:szCs w:val="20"/>
        </w:rPr>
        <w:t xml:space="preserve"> top international assessors of </w:t>
      </w:r>
      <w:proofErr w:type="spellStart"/>
      <w:r w:rsidRPr="004011D8">
        <w:rPr>
          <w:sz w:val="20"/>
          <w:szCs w:val="20"/>
        </w:rPr>
        <w:t>NICTA’s</w:t>
      </w:r>
      <w:proofErr w:type="spellEnd"/>
      <w:r w:rsidRPr="004011D8">
        <w:rPr>
          <w:sz w:val="20"/>
          <w:szCs w:val="20"/>
        </w:rPr>
        <w:t xml:space="preserve"> Machine Learning Group, July 2014.</w:t>
      </w:r>
      <w:proofErr w:type="gramEnd"/>
    </w:p>
  </w:footnote>
  <w:footnote w:id="26">
    <w:p w14:paraId="4B5E530A" w14:textId="77777777" w:rsidR="00850F14" w:rsidRDefault="00850F14">
      <w:pPr>
        <w:pStyle w:val="FootnoteText"/>
        <w:rPr>
          <w:sz w:val="20"/>
          <w:szCs w:val="20"/>
        </w:rPr>
      </w:pPr>
      <w:r>
        <w:rPr>
          <w:rStyle w:val="FootnoteReference"/>
        </w:rPr>
        <w:footnoteRef/>
      </w:r>
      <w:r>
        <w:t xml:space="preserve"> </w:t>
      </w:r>
      <w:r w:rsidRPr="00182C2E">
        <w:rPr>
          <w:sz w:val="20"/>
          <w:szCs w:val="20"/>
        </w:rPr>
        <w:t xml:space="preserve">Deloitte Access Economics undertook 2 studies (in 2011 and 2012) on the impact of selected </w:t>
      </w:r>
      <w:proofErr w:type="spellStart"/>
      <w:r w:rsidRPr="00182C2E">
        <w:rPr>
          <w:sz w:val="20"/>
          <w:szCs w:val="20"/>
        </w:rPr>
        <w:t>NICTA</w:t>
      </w:r>
      <w:proofErr w:type="spellEnd"/>
      <w:r w:rsidRPr="00182C2E">
        <w:rPr>
          <w:sz w:val="20"/>
          <w:szCs w:val="20"/>
        </w:rPr>
        <w:t xml:space="preserve"> projects on the NSW and Australian economies, </w:t>
      </w:r>
      <w:r w:rsidRPr="00606F94">
        <w:rPr>
          <w:sz w:val="20"/>
          <w:szCs w:val="20"/>
        </w:rPr>
        <w:t>concluding</w:t>
      </w:r>
      <w:r w:rsidRPr="00182C2E">
        <w:rPr>
          <w:sz w:val="20"/>
          <w:szCs w:val="20"/>
        </w:rPr>
        <w:t xml:space="preserve"> that the potential impact from these </w:t>
      </w:r>
      <w:r>
        <w:rPr>
          <w:sz w:val="20"/>
          <w:szCs w:val="20"/>
        </w:rPr>
        <w:t>projects</w:t>
      </w:r>
      <w:r w:rsidRPr="00182C2E">
        <w:rPr>
          <w:sz w:val="20"/>
          <w:szCs w:val="20"/>
        </w:rPr>
        <w:t xml:space="preserve"> alone on the Australian economy</w:t>
      </w:r>
      <w:r>
        <w:rPr>
          <w:sz w:val="20"/>
          <w:szCs w:val="20"/>
        </w:rPr>
        <w:t xml:space="preserve"> </w:t>
      </w:r>
      <w:r w:rsidRPr="00C93EF0">
        <w:rPr>
          <w:sz w:val="20"/>
          <w:szCs w:val="20"/>
        </w:rPr>
        <w:t>was over $</w:t>
      </w:r>
      <w:proofErr w:type="spellStart"/>
      <w:r w:rsidRPr="00C93EF0">
        <w:rPr>
          <w:sz w:val="20"/>
          <w:szCs w:val="20"/>
        </w:rPr>
        <w:t>3B</w:t>
      </w:r>
      <w:proofErr w:type="spellEnd"/>
      <w:r>
        <w:rPr>
          <w:sz w:val="20"/>
          <w:szCs w:val="20"/>
        </w:rPr>
        <w:t xml:space="preserve"> </w:t>
      </w:r>
      <w:proofErr w:type="spellStart"/>
      <w:r>
        <w:rPr>
          <w:sz w:val="20"/>
          <w:szCs w:val="20"/>
        </w:rPr>
        <w:t>NPV</w:t>
      </w:r>
      <w:proofErr w:type="spellEnd"/>
      <w:r>
        <w:rPr>
          <w:sz w:val="20"/>
          <w:szCs w:val="20"/>
        </w:rPr>
        <w:t>.  A further 6 case studies of projects affecting Australia’s infrastructure and transport sectors is currently being undertaken, with interim results reinforcing this scale of impact</w:t>
      </w:r>
      <w:r w:rsidRPr="00182C2E">
        <w:rPr>
          <w:sz w:val="20"/>
          <w:szCs w:val="20"/>
        </w:rPr>
        <w:t>.</w:t>
      </w:r>
    </w:p>
    <w:p w14:paraId="369975BD" w14:textId="600263DF" w:rsidR="00850F14" w:rsidRDefault="00850F14" w:rsidP="00182C2E">
      <w:pPr>
        <w:pStyle w:val="FootnoteText"/>
        <w:numPr>
          <w:ilvl w:val="0"/>
          <w:numId w:val="10"/>
        </w:numPr>
        <w:rPr>
          <w:sz w:val="20"/>
          <w:szCs w:val="20"/>
        </w:rPr>
      </w:pPr>
      <w:r>
        <w:rPr>
          <w:sz w:val="20"/>
          <w:szCs w:val="20"/>
        </w:rPr>
        <w:t xml:space="preserve">Deloitte Access Economics, </w:t>
      </w:r>
      <w:r w:rsidRPr="00182C2E">
        <w:rPr>
          <w:i/>
          <w:sz w:val="20"/>
          <w:szCs w:val="20"/>
        </w:rPr>
        <w:t xml:space="preserve">National ICT Australia: benefits from </w:t>
      </w:r>
      <w:proofErr w:type="spellStart"/>
      <w:r w:rsidRPr="00182C2E">
        <w:rPr>
          <w:i/>
          <w:sz w:val="20"/>
          <w:szCs w:val="20"/>
        </w:rPr>
        <w:t>NICTA’s</w:t>
      </w:r>
      <w:proofErr w:type="spellEnd"/>
      <w:r w:rsidRPr="00182C2E">
        <w:rPr>
          <w:i/>
          <w:sz w:val="20"/>
          <w:szCs w:val="20"/>
        </w:rPr>
        <w:t xml:space="preserve"> research to the Australian Economy</w:t>
      </w:r>
      <w:r>
        <w:rPr>
          <w:sz w:val="20"/>
          <w:szCs w:val="20"/>
        </w:rPr>
        <w:t>, 15 June 2012</w:t>
      </w:r>
    </w:p>
    <w:p w14:paraId="51CFFC93" w14:textId="3F8F4E6F" w:rsidR="00850F14" w:rsidRPr="00182C2E" w:rsidRDefault="00850F14" w:rsidP="00182C2E">
      <w:pPr>
        <w:pStyle w:val="FootnoteText"/>
        <w:numPr>
          <w:ilvl w:val="0"/>
          <w:numId w:val="10"/>
        </w:numPr>
        <w:rPr>
          <w:sz w:val="20"/>
          <w:szCs w:val="20"/>
        </w:rPr>
      </w:pPr>
      <w:r>
        <w:rPr>
          <w:sz w:val="20"/>
          <w:szCs w:val="20"/>
        </w:rPr>
        <w:t>Deloitte Access Economics,</w:t>
      </w:r>
      <w:r w:rsidRPr="00182C2E">
        <w:rPr>
          <w:i/>
          <w:sz w:val="20"/>
          <w:szCs w:val="20"/>
        </w:rPr>
        <w:t xml:space="preserve"> Contribution of </w:t>
      </w:r>
      <w:proofErr w:type="spellStart"/>
      <w:r w:rsidRPr="00182C2E">
        <w:rPr>
          <w:i/>
          <w:sz w:val="20"/>
          <w:szCs w:val="20"/>
        </w:rPr>
        <w:t>NICTA</w:t>
      </w:r>
      <w:proofErr w:type="spellEnd"/>
      <w:r w:rsidRPr="00182C2E">
        <w:rPr>
          <w:i/>
          <w:sz w:val="20"/>
          <w:szCs w:val="20"/>
        </w:rPr>
        <w:t xml:space="preserve"> to the NSW Economy</w:t>
      </w:r>
      <w:r>
        <w:rPr>
          <w:sz w:val="20"/>
          <w:szCs w:val="20"/>
        </w:rPr>
        <w:t>, 18 November 2011</w:t>
      </w:r>
    </w:p>
  </w:footnote>
  <w:footnote w:id="27">
    <w:p w14:paraId="029D7D09" w14:textId="16E162CC" w:rsidR="00850F14" w:rsidRPr="008901C3" w:rsidRDefault="00850F14">
      <w:pPr>
        <w:pStyle w:val="FootnoteText"/>
        <w:rPr>
          <w:i/>
        </w:rPr>
      </w:pPr>
      <w:r>
        <w:rPr>
          <w:rStyle w:val="FootnoteReference"/>
        </w:rPr>
        <w:footnoteRef/>
      </w:r>
      <w:r>
        <w:t xml:space="preserve"> </w:t>
      </w:r>
      <w:r w:rsidRPr="008901C3">
        <w:rPr>
          <w:sz w:val="20"/>
          <w:szCs w:val="20"/>
        </w:rPr>
        <w:t xml:space="preserve">William G. Howard, Jr and Bruce R. Guile (editors), </w:t>
      </w:r>
      <w:r w:rsidRPr="008901C3">
        <w:rPr>
          <w:i/>
          <w:sz w:val="20"/>
          <w:szCs w:val="20"/>
        </w:rPr>
        <w:t>Profiting from Innovation: The Report of the Three-Year Study from the National Academy of Engineering</w:t>
      </w:r>
      <w:r w:rsidRPr="008901C3">
        <w:rPr>
          <w:sz w:val="20"/>
          <w:szCs w:val="20"/>
        </w:rPr>
        <w:t>, The Free Press, New York, 1992</w:t>
      </w:r>
      <w:r>
        <w:rPr>
          <w:sz w:val="20"/>
          <w:szCs w:val="20"/>
        </w:rPr>
        <w:t xml:space="preserve">. See page </w:t>
      </w:r>
      <w:proofErr w:type="spellStart"/>
      <w:r>
        <w:rPr>
          <w:sz w:val="20"/>
          <w:szCs w:val="20"/>
        </w:rPr>
        <w:t>93</w:t>
      </w:r>
      <w:r>
        <w:rPr>
          <w:i/>
          <w:sz w:val="20"/>
          <w:szCs w:val="20"/>
        </w:rPr>
        <w:t>ff</w:t>
      </w:r>
      <w:proofErr w:type="spellEnd"/>
      <w:r>
        <w:rPr>
          <w:i/>
          <w:sz w:val="20"/>
          <w:szCs w:val="20"/>
        </w:rPr>
        <w:t>.</w:t>
      </w:r>
    </w:p>
  </w:footnote>
  <w:footnote w:id="28">
    <w:p w14:paraId="16075615" w14:textId="426B4E08" w:rsidR="00850F14" w:rsidRPr="00D676BA" w:rsidRDefault="00850F14">
      <w:pPr>
        <w:pStyle w:val="FootnoteText"/>
      </w:pPr>
      <w:r>
        <w:rPr>
          <w:rStyle w:val="FootnoteReference"/>
        </w:rPr>
        <w:footnoteRef/>
      </w:r>
      <w:r>
        <w:t xml:space="preserve"> </w:t>
      </w:r>
      <w:r w:rsidRPr="00D676BA">
        <w:rPr>
          <w:sz w:val="20"/>
          <w:szCs w:val="20"/>
        </w:rPr>
        <w:t xml:space="preserve">Nathan Rosenberg, </w:t>
      </w:r>
      <w:r>
        <w:rPr>
          <w:sz w:val="20"/>
          <w:szCs w:val="20"/>
        </w:rPr>
        <w:t>“</w:t>
      </w:r>
      <w:r w:rsidRPr="00D676BA">
        <w:rPr>
          <w:sz w:val="20"/>
          <w:szCs w:val="20"/>
        </w:rPr>
        <w:t>Uncert</w:t>
      </w:r>
      <w:r>
        <w:rPr>
          <w:sz w:val="20"/>
          <w:szCs w:val="20"/>
        </w:rPr>
        <w:t xml:space="preserve">ainty and Technological Change,” </w:t>
      </w:r>
      <w:r w:rsidRPr="00D676BA">
        <w:rPr>
          <w:sz w:val="20"/>
          <w:szCs w:val="20"/>
        </w:rPr>
        <w:t xml:space="preserve">pages 17-24 in Dale </w:t>
      </w:r>
      <w:proofErr w:type="spellStart"/>
      <w:r w:rsidRPr="00D676BA">
        <w:rPr>
          <w:sz w:val="20"/>
          <w:szCs w:val="20"/>
        </w:rPr>
        <w:t>Neef</w:t>
      </w:r>
      <w:proofErr w:type="spellEnd"/>
      <w:r w:rsidRPr="00D676BA">
        <w:rPr>
          <w:sz w:val="20"/>
          <w:szCs w:val="20"/>
        </w:rPr>
        <w:t xml:space="preserve">, Anthony </w:t>
      </w:r>
      <w:proofErr w:type="spellStart"/>
      <w:r w:rsidRPr="00D676BA">
        <w:rPr>
          <w:sz w:val="20"/>
          <w:szCs w:val="20"/>
        </w:rPr>
        <w:t>Seisfeld</w:t>
      </w:r>
      <w:proofErr w:type="spellEnd"/>
      <w:r w:rsidRPr="00D676BA">
        <w:rPr>
          <w:sz w:val="20"/>
          <w:szCs w:val="20"/>
        </w:rPr>
        <w:t xml:space="preserve"> and Jacquelyn </w:t>
      </w:r>
      <w:proofErr w:type="spellStart"/>
      <w:r w:rsidRPr="00D676BA">
        <w:rPr>
          <w:sz w:val="20"/>
          <w:szCs w:val="20"/>
        </w:rPr>
        <w:t>Cefola</w:t>
      </w:r>
      <w:proofErr w:type="spellEnd"/>
      <w:r w:rsidRPr="00D676BA">
        <w:rPr>
          <w:sz w:val="20"/>
          <w:szCs w:val="20"/>
        </w:rPr>
        <w:t xml:space="preserve"> (</w:t>
      </w:r>
      <w:proofErr w:type="spellStart"/>
      <w:r w:rsidRPr="00D676BA">
        <w:rPr>
          <w:sz w:val="20"/>
          <w:szCs w:val="20"/>
        </w:rPr>
        <w:t>Eds</w:t>
      </w:r>
      <w:proofErr w:type="spellEnd"/>
      <w:r w:rsidRPr="00D676BA">
        <w:rPr>
          <w:sz w:val="20"/>
          <w:szCs w:val="20"/>
        </w:rPr>
        <w:t xml:space="preserve">), </w:t>
      </w:r>
      <w:r w:rsidRPr="00D676BA">
        <w:rPr>
          <w:i/>
          <w:sz w:val="20"/>
          <w:szCs w:val="20"/>
        </w:rPr>
        <w:t>The Economic Impact of Knowledge</w:t>
      </w:r>
      <w:r w:rsidRPr="00D676BA">
        <w:rPr>
          <w:sz w:val="20"/>
          <w:szCs w:val="20"/>
        </w:rPr>
        <w:t>, Butterworth Heinemann 1998.</w:t>
      </w:r>
    </w:p>
  </w:footnote>
  <w:footnote w:id="29">
    <w:p w14:paraId="11C2FF70" w14:textId="77777777" w:rsidR="00850F14" w:rsidRPr="00E224DD" w:rsidRDefault="00850F14" w:rsidP="004D4066">
      <w:pPr>
        <w:pStyle w:val="FootnoteText"/>
      </w:pPr>
      <w:r>
        <w:rPr>
          <w:rStyle w:val="FootnoteReference"/>
        </w:rPr>
        <w:footnoteRef/>
      </w:r>
      <w:r>
        <w:t xml:space="preserve"> </w:t>
      </w:r>
      <w:r w:rsidRPr="00C07FC6">
        <w:rPr>
          <w:sz w:val="20"/>
          <w:szCs w:val="20"/>
        </w:rPr>
        <w:t xml:space="preserve">Australian Government, </w:t>
      </w:r>
      <w:r w:rsidRPr="00C07FC6">
        <w:rPr>
          <w:i/>
          <w:sz w:val="20"/>
          <w:szCs w:val="20"/>
        </w:rPr>
        <w:t xml:space="preserve">op. cit. </w:t>
      </w:r>
      <w:r w:rsidRPr="00C07FC6">
        <w:rPr>
          <w:sz w:val="20"/>
          <w:szCs w:val="20"/>
        </w:rPr>
        <w:t>page 19</w:t>
      </w:r>
    </w:p>
  </w:footnote>
  <w:footnote w:id="30">
    <w:p w14:paraId="00CE3293" w14:textId="77777777" w:rsidR="00850F14" w:rsidRPr="00FC271C" w:rsidRDefault="00850F14" w:rsidP="004D4066">
      <w:pPr>
        <w:pStyle w:val="FootnoteText"/>
      </w:pPr>
      <w:r>
        <w:rPr>
          <w:rStyle w:val="FootnoteReference"/>
        </w:rPr>
        <w:footnoteRef/>
      </w:r>
      <w:r>
        <w:t xml:space="preserve"> </w:t>
      </w:r>
      <w:r w:rsidRPr="00FC271C">
        <w:rPr>
          <w:sz w:val="20"/>
          <w:szCs w:val="20"/>
        </w:rPr>
        <w:t>The paper actually says “linked to citation/publication rates and grant success”. While this might be true in second-rate institutions, top Australian universities follow the model of Stanford (alluded to above) and other globally leading institutions and rely on the synthetic assessment</w:t>
      </w:r>
      <w:r>
        <w:rPr>
          <w:sz w:val="20"/>
          <w:szCs w:val="20"/>
        </w:rPr>
        <w:t xml:space="preserve"> of peers rather than simple-</w:t>
      </w:r>
      <w:r w:rsidRPr="00FC271C">
        <w:rPr>
          <w:sz w:val="20"/>
          <w:szCs w:val="20"/>
        </w:rPr>
        <w:t xml:space="preserve">minded counting.  Such counting has been widely criticized, and many institutions, such as the Australian Academy of Science have signed the </w:t>
      </w:r>
      <w:r w:rsidRPr="00C07FC6">
        <w:rPr>
          <w:i/>
          <w:sz w:val="20"/>
          <w:szCs w:val="20"/>
        </w:rPr>
        <w:t xml:space="preserve">San </w:t>
      </w:r>
      <w:proofErr w:type="spellStart"/>
      <w:r w:rsidRPr="00C07FC6">
        <w:rPr>
          <w:i/>
          <w:sz w:val="20"/>
          <w:szCs w:val="20"/>
        </w:rPr>
        <w:t>Franscisco</w:t>
      </w:r>
      <w:proofErr w:type="spellEnd"/>
      <w:r w:rsidRPr="00C07FC6">
        <w:rPr>
          <w:i/>
          <w:sz w:val="20"/>
          <w:szCs w:val="20"/>
        </w:rPr>
        <w:t xml:space="preserve"> Declaration on Research Assessment</w:t>
      </w:r>
      <w:r w:rsidRPr="00FC271C">
        <w:rPr>
          <w:sz w:val="20"/>
          <w:szCs w:val="20"/>
        </w:rPr>
        <w:t xml:space="preserve"> </w:t>
      </w:r>
      <w:hyperlink r:id="rId12" w:history="1">
        <w:r w:rsidRPr="00FC271C">
          <w:rPr>
            <w:rStyle w:val="Hyperlink"/>
            <w:sz w:val="20"/>
            <w:szCs w:val="20"/>
          </w:rPr>
          <w:t>http://am.ascb.org/dora/</w:t>
        </w:r>
      </w:hyperlink>
      <w:r w:rsidRPr="00FC271C">
        <w:rPr>
          <w:sz w:val="20"/>
          <w:szCs w:val="20"/>
        </w:rPr>
        <w:t xml:space="preserve"> which explicitly disavows such practices as being harmful. It would be a fine thing if the Australian Government took a global lead and </w:t>
      </w:r>
      <w:r>
        <w:rPr>
          <w:sz w:val="20"/>
          <w:szCs w:val="20"/>
        </w:rPr>
        <w:t>made Australia</w:t>
      </w:r>
      <w:r w:rsidRPr="00FC271C">
        <w:rPr>
          <w:sz w:val="20"/>
          <w:szCs w:val="20"/>
        </w:rPr>
        <w:t xml:space="preserve"> the first nation to sign it</w:t>
      </w:r>
      <w:r>
        <w:rPr>
          <w:sz w:val="20"/>
          <w:szCs w:val="20"/>
        </w:rPr>
        <w:t>!</w:t>
      </w:r>
    </w:p>
  </w:footnote>
  <w:footnote w:id="31">
    <w:p w14:paraId="0176DE70" w14:textId="77777777" w:rsidR="00850F14" w:rsidRPr="00182C2E" w:rsidRDefault="00850F14" w:rsidP="004D4066">
      <w:pPr>
        <w:pStyle w:val="FootnoteText"/>
      </w:pPr>
      <w:r>
        <w:rPr>
          <w:rStyle w:val="FootnoteReference"/>
        </w:rPr>
        <w:footnoteRef/>
      </w:r>
      <w:r>
        <w:t xml:space="preserve"> </w:t>
      </w:r>
      <w:proofErr w:type="spellStart"/>
      <w:r w:rsidRPr="00182C2E">
        <w:rPr>
          <w:sz w:val="20"/>
          <w:szCs w:val="20"/>
        </w:rPr>
        <w:t>NICTA</w:t>
      </w:r>
      <w:proofErr w:type="spellEnd"/>
      <w:r w:rsidRPr="00182C2E">
        <w:rPr>
          <w:sz w:val="20"/>
          <w:szCs w:val="20"/>
        </w:rPr>
        <w:t xml:space="preserve"> </w:t>
      </w:r>
      <w:r>
        <w:rPr>
          <w:sz w:val="20"/>
          <w:szCs w:val="20"/>
        </w:rPr>
        <w:t xml:space="preserve">currently </w:t>
      </w:r>
      <w:r w:rsidRPr="00182C2E">
        <w:rPr>
          <w:sz w:val="20"/>
          <w:szCs w:val="20"/>
        </w:rPr>
        <w:t xml:space="preserve">generates approximately </w:t>
      </w:r>
      <w:r w:rsidRPr="00884B5D">
        <w:rPr>
          <w:i/>
          <w:sz w:val="20"/>
          <w:szCs w:val="20"/>
        </w:rPr>
        <w:t xml:space="preserve">6 start-ups per </w:t>
      </w:r>
      <w:proofErr w:type="spellStart"/>
      <w:r w:rsidRPr="00884B5D">
        <w:rPr>
          <w:i/>
          <w:sz w:val="20"/>
          <w:szCs w:val="20"/>
        </w:rPr>
        <w:t>A$100m</w:t>
      </w:r>
      <w:proofErr w:type="spellEnd"/>
      <w:r w:rsidRPr="00134D14">
        <w:rPr>
          <w:sz w:val="20"/>
          <w:szCs w:val="20"/>
        </w:rPr>
        <w:t xml:space="preserve"> of </w:t>
      </w:r>
      <w:r w:rsidRPr="00182C2E">
        <w:rPr>
          <w:sz w:val="20"/>
          <w:szCs w:val="20"/>
        </w:rPr>
        <w:t xml:space="preserve">research funding, </w:t>
      </w:r>
      <w:r>
        <w:rPr>
          <w:sz w:val="20"/>
          <w:szCs w:val="20"/>
        </w:rPr>
        <w:t>which is</w:t>
      </w:r>
      <w:r w:rsidRPr="00182C2E">
        <w:rPr>
          <w:sz w:val="20"/>
          <w:szCs w:val="20"/>
        </w:rPr>
        <w:t xml:space="preserve"> </w:t>
      </w:r>
      <w:r w:rsidRPr="0053658C">
        <w:rPr>
          <w:sz w:val="20"/>
          <w:szCs w:val="20"/>
        </w:rPr>
        <w:t>20</w:t>
      </w:r>
      <w:r w:rsidRPr="00884B5D">
        <w:rPr>
          <w:rFonts w:eastAsia="MS Gothic"/>
          <w:color w:val="000000"/>
        </w:rPr>
        <w:t>×</w:t>
      </w:r>
      <w:r w:rsidRPr="00182C2E">
        <w:rPr>
          <w:sz w:val="20"/>
          <w:szCs w:val="20"/>
        </w:rPr>
        <w:t xml:space="preserve"> the rate of </w:t>
      </w:r>
      <w:r w:rsidRPr="00884B5D">
        <w:rPr>
          <w:i/>
          <w:sz w:val="20"/>
          <w:szCs w:val="20"/>
        </w:rPr>
        <w:t xml:space="preserve">0.3 start-ups per </w:t>
      </w:r>
      <w:proofErr w:type="spellStart"/>
      <w:r w:rsidRPr="00884B5D">
        <w:rPr>
          <w:i/>
          <w:sz w:val="20"/>
          <w:szCs w:val="20"/>
        </w:rPr>
        <w:t>US$100m</w:t>
      </w:r>
      <w:proofErr w:type="spellEnd"/>
      <w:r w:rsidRPr="00182C2E">
        <w:rPr>
          <w:sz w:val="20"/>
          <w:szCs w:val="20"/>
        </w:rPr>
        <w:t xml:space="preserve"> of research funding that is cited</w:t>
      </w:r>
      <w:r>
        <w:rPr>
          <w:sz w:val="20"/>
          <w:szCs w:val="20"/>
        </w:rPr>
        <w:t xml:space="preserve"> as the Australian average on page 8 of the </w:t>
      </w:r>
      <w:r w:rsidRPr="00182C2E">
        <w:rPr>
          <w:i/>
          <w:sz w:val="20"/>
          <w:szCs w:val="20"/>
        </w:rPr>
        <w:t xml:space="preserve">National Survey of Research </w:t>
      </w:r>
      <w:proofErr w:type="spellStart"/>
      <w:r w:rsidRPr="00182C2E">
        <w:rPr>
          <w:i/>
          <w:sz w:val="20"/>
          <w:szCs w:val="20"/>
        </w:rPr>
        <w:t>Commercialisation</w:t>
      </w:r>
      <w:proofErr w:type="spellEnd"/>
      <w:r w:rsidRPr="00182C2E">
        <w:rPr>
          <w:i/>
          <w:sz w:val="20"/>
          <w:szCs w:val="20"/>
        </w:rPr>
        <w:t xml:space="preserve"> for 2010-2011</w:t>
      </w:r>
      <w:r>
        <w:rPr>
          <w:sz w:val="20"/>
          <w:szCs w:val="20"/>
        </w:rPr>
        <w:t>, published in Dec 2012 (</w:t>
      </w:r>
      <w:hyperlink r:id="rId13" w:history="1">
        <w:r w:rsidRPr="00E720E6">
          <w:rPr>
            <w:rStyle w:val="Hyperlink"/>
            <w:sz w:val="20"/>
            <w:szCs w:val="20"/>
          </w:rPr>
          <w:t>http://www.industry.gov.au/innovation/reportsandstudies/Documents/2010-11NSRCReport.pdf</w:t>
        </w:r>
      </w:hyperlink>
      <w:r>
        <w:rPr>
          <w:sz w:val="20"/>
          <w:szCs w:val="20"/>
        </w:rPr>
        <w:t xml:space="preserve"> )</w:t>
      </w:r>
    </w:p>
  </w:footnote>
  <w:footnote w:id="32">
    <w:p w14:paraId="48402888" w14:textId="77777777" w:rsidR="00850F14" w:rsidRPr="00D65DBF" w:rsidRDefault="00850F14" w:rsidP="004D4066">
      <w:pPr>
        <w:pStyle w:val="FootnoteText"/>
      </w:pPr>
      <w:r>
        <w:rPr>
          <w:rStyle w:val="FootnoteReference"/>
        </w:rPr>
        <w:footnoteRef/>
      </w:r>
      <w:r>
        <w:t xml:space="preserve"> </w:t>
      </w:r>
      <w:r>
        <w:rPr>
          <w:sz w:val="20"/>
          <w:szCs w:val="20"/>
        </w:rPr>
        <w:t>General Purpose T</w:t>
      </w:r>
      <w:r w:rsidRPr="00D65DBF">
        <w:rPr>
          <w:sz w:val="20"/>
          <w:szCs w:val="20"/>
        </w:rPr>
        <w:t xml:space="preserve">echnologies, such as information and communication technology, are responsible for the majority of long-term economic growth –see the book-length argument: Richard G. </w:t>
      </w:r>
      <w:proofErr w:type="spellStart"/>
      <w:r w:rsidRPr="00D65DBF">
        <w:rPr>
          <w:sz w:val="20"/>
          <w:szCs w:val="20"/>
        </w:rPr>
        <w:t>Lipsey</w:t>
      </w:r>
      <w:proofErr w:type="spellEnd"/>
      <w:r w:rsidRPr="00D65DBF">
        <w:rPr>
          <w:sz w:val="20"/>
          <w:szCs w:val="20"/>
        </w:rPr>
        <w:t xml:space="preserve">, Kenneth I. </w:t>
      </w:r>
      <w:proofErr w:type="spellStart"/>
      <w:r w:rsidRPr="00D65DBF">
        <w:rPr>
          <w:sz w:val="20"/>
          <w:szCs w:val="20"/>
        </w:rPr>
        <w:t>Carlow</w:t>
      </w:r>
      <w:proofErr w:type="spellEnd"/>
      <w:r w:rsidRPr="00D65DBF">
        <w:rPr>
          <w:sz w:val="20"/>
          <w:szCs w:val="20"/>
        </w:rPr>
        <w:t xml:space="preserve"> and Clifford T. </w:t>
      </w:r>
      <w:proofErr w:type="spellStart"/>
      <w:r w:rsidRPr="00D65DBF">
        <w:rPr>
          <w:sz w:val="20"/>
          <w:szCs w:val="20"/>
        </w:rPr>
        <w:t>Bekar</w:t>
      </w:r>
      <w:proofErr w:type="spellEnd"/>
      <w:r w:rsidRPr="00D65DBF">
        <w:rPr>
          <w:sz w:val="20"/>
          <w:szCs w:val="20"/>
        </w:rPr>
        <w:t xml:space="preserve">, </w:t>
      </w:r>
      <w:r w:rsidRPr="00944AE0">
        <w:rPr>
          <w:i/>
          <w:sz w:val="20"/>
          <w:szCs w:val="20"/>
        </w:rPr>
        <w:t xml:space="preserve">Economic Transformations: General Purpose technologies and Long Term Economic Growth, </w:t>
      </w:r>
      <w:r w:rsidRPr="00D65DBF">
        <w:rPr>
          <w:sz w:val="20"/>
          <w:szCs w:val="20"/>
        </w:rPr>
        <w:t>Oxford University press, 2005</w:t>
      </w:r>
    </w:p>
  </w:footnote>
  <w:footnote w:id="33">
    <w:p w14:paraId="3B52D3B2" w14:textId="4D44E158" w:rsidR="00850F14" w:rsidRPr="006205A2" w:rsidRDefault="00850F14">
      <w:pPr>
        <w:pStyle w:val="FootnoteText"/>
      </w:pPr>
      <w:r>
        <w:rPr>
          <w:rStyle w:val="FootnoteReference"/>
        </w:rPr>
        <w:footnoteRef/>
      </w:r>
      <w:r>
        <w:t xml:space="preserve"> </w:t>
      </w:r>
      <w:r w:rsidRPr="006205A2">
        <w:rPr>
          <w:sz w:val="20"/>
          <w:szCs w:val="20"/>
        </w:rPr>
        <w:t>See the comprehensive report: Don Scott-</w:t>
      </w:r>
      <w:proofErr w:type="spellStart"/>
      <w:r w:rsidRPr="006205A2">
        <w:rPr>
          <w:sz w:val="20"/>
          <w:szCs w:val="20"/>
        </w:rPr>
        <w:t>Kemis</w:t>
      </w:r>
      <w:proofErr w:type="spellEnd"/>
      <w:r w:rsidRPr="006205A2">
        <w:rPr>
          <w:sz w:val="20"/>
          <w:szCs w:val="20"/>
        </w:rPr>
        <w:t xml:space="preserve">, Alan J. Jones, Erik Arnold, </w:t>
      </w:r>
      <w:proofErr w:type="spellStart"/>
      <w:r w:rsidRPr="006205A2">
        <w:rPr>
          <w:sz w:val="20"/>
          <w:szCs w:val="20"/>
        </w:rPr>
        <w:t>Chaiwat</w:t>
      </w:r>
      <w:proofErr w:type="spellEnd"/>
      <w:r w:rsidRPr="006205A2">
        <w:rPr>
          <w:sz w:val="20"/>
          <w:szCs w:val="20"/>
        </w:rPr>
        <w:t xml:space="preserve"> </w:t>
      </w:r>
      <w:proofErr w:type="spellStart"/>
      <w:r w:rsidRPr="006205A2">
        <w:rPr>
          <w:sz w:val="20"/>
          <w:szCs w:val="20"/>
        </w:rPr>
        <w:t>Chitravas</w:t>
      </w:r>
      <w:proofErr w:type="spellEnd"/>
      <w:r w:rsidRPr="006205A2">
        <w:rPr>
          <w:sz w:val="20"/>
          <w:szCs w:val="20"/>
        </w:rPr>
        <w:t xml:space="preserve"> and Deepak </w:t>
      </w:r>
      <w:proofErr w:type="spellStart"/>
      <w:r w:rsidRPr="006205A2">
        <w:rPr>
          <w:sz w:val="20"/>
          <w:szCs w:val="20"/>
        </w:rPr>
        <w:t>Sardana</w:t>
      </w:r>
      <w:proofErr w:type="spellEnd"/>
      <w:r w:rsidRPr="006205A2">
        <w:rPr>
          <w:sz w:val="20"/>
          <w:szCs w:val="20"/>
        </w:rPr>
        <w:t xml:space="preserve">, </w:t>
      </w:r>
      <w:r w:rsidRPr="006205A2">
        <w:rPr>
          <w:i/>
          <w:sz w:val="20"/>
          <w:szCs w:val="20"/>
        </w:rPr>
        <w:t>Absorbing Innovation by Australian Enterprises: The Role of Absorptive Capacity</w:t>
      </w:r>
      <w:r w:rsidRPr="006205A2">
        <w:rPr>
          <w:sz w:val="20"/>
          <w:szCs w:val="20"/>
        </w:rPr>
        <w:t>, Report on the Project for the Department of Industry, Tourism and Resources, 2 April 2007 (304 pa</w:t>
      </w:r>
      <w:r>
        <w:rPr>
          <w:sz w:val="20"/>
          <w:szCs w:val="20"/>
        </w:rPr>
        <w:t>ges</w:t>
      </w:r>
      <w:r w:rsidRPr="006205A2">
        <w:rPr>
          <w:sz w:val="20"/>
          <w:szCs w:val="20"/>
        </w:rPr>
        <w:t>)</w:t>
      </w:r>
    </w:p>
  </w:footnote>
  <w:footnote w:id="34">
    <w:p w14:paraId="0AFD69B9" w14:textId="30091CFB" w:rsidR="00850F14" w:rsidRPr="006205A2" w:rsidRDefault="00850F14">
      <w:pPr>
        <w:pStyle w:val="FootnoteText"/>
      </w:pPr>
      <w:r>
        <w:rPr>
          <w:rStyle w:val="FootnoteReference"/>
        </w:rPr>
        <w:footnoteRef/>
      </w:r>
      <w:r>
        <w:t xml:space="preserve"> </w:t>
      </w:r>
      <w:r w:rsidRPr="006205A2">
        <w:rPr>
          <w:sz w:val="20"/>
          <w:szCs w:val="20"/>
        </w:rPr>
        <w:t xml:space="preserve">Australian Government, </w:t>
      </w:r>
      <w:r w:rsidRPr="006205A2">
        <w:rPr>
          <w:i/>
          <w:sz w:val="20"/>
          <w:szCs w:val="20"/>
        </w:rPr>
        <w:t>op. cit.</w:t>
      </w:r>
      <w:r w:rsidRPr="006205A2">
        <w:rPr>
          <w:sz w:val="20"/>
          <w:szCs w:val="20"/>
        </w:rPr>
        <w:t xml:space="preserve"> page 9</w:t>
      </w:r>
    </w:p>
  </w:footnote>
  <w:footnote w:id="35">
    <w:p w14:paraId="56D23C6B" w14:textId="77777777" w:rsidR="00850F14" w:rsidRPr="00077380" w:rsidRDefault="00850F14" w:rsidP="008E580E">
      <w:pPr>
        <w:pStyle w:val="FootnoteText"/>
      </w:pPr>
      <w:r>
        <w:rPr>
          <w:rStyle w:val="FootnoteReference"/>
        </w:rPr>
        <w:footnoteRef/>
      </w:r>
      <w:r>
        <w:t xml:space="preserve"> </w:t>
      </w:r>
      <w:r w:rsidRPr="00F01FFB">
        <w:rPr>
          <w:sz w:val="20"/>
          <w:szCs w:val="20"/>
        </w:rPr>
        <w:t xml:space="preserve">Richard C. Levin, Alvin K. </w:t>
      </w:r>
      <w:proofErr w:type="spellStart"/>
      <w:r w:rsidRPr="00F01FFB">
        <w:rPr>
          <w:sz w:val="20"/>
          <w:szCs w:val="20"/>
        </w:rPr>
        <w:t>Klevorick</w:t>
      </w:r>
      <w:proofErr w:type="spellEnd"/>
      <w:r w:rsidRPr="00F01FFB">
        <w:rPr>
          <w:sz w:val="20"/>
          <w:szCs w:val="20"/>
        </w:rPr>
        <w:t xml:space="preserve">, Richard R. Nelson and Sidney G. Winter, “Appropriating the returns from industrial research and development,” </w:t>
      </w:r>
      <w:r w:rsidRPr="00F01FFB">
        <w:rPr>
          <w:i/>
          <w:sz w:val="20"/>
          <w:szCs w:val="20"/>
        </w:rPr>
        <w:t xml:space="preserve">Brookings papers on economic activity </w:t>
      </w:r>
      <w:r w:rsidRPr="00F01FFB">
        <w:rPr>
          <w:sz w:val="20"/>
          <w:szCs w:val="20"/>
        </w:rPr>
        <w:t>3, 783-831, 1987</w:t>
      </w:r>
    </w:p>
  </w:footnote>
  <w:footnote w:id="36">
    <w:p w14:paraId="5A64B1B5" w14:textId="55D3BFA2" w:rsidR="00850F14" w:rsidRPr="00077380" w:rsidRDefault="00850F14" w:rsidP="008E580E">
      <w:pPr>
        <w:pStyle w:val="FootnoteText"/>
      </w:pPr>
      <w:r>
        <w:rPr>
          <w:rStyle w:val="FootnoteReference"/>
        </w:rPr>
        <w:footnoteRef/>
      </w:r>
      <w:r>
        <w:t xml:space="preserve"> </w:t>
      </w:r>
      <w:r w:rsidRPr="00077380">
        <w:rPr>
          <w:sz w:val="20"/>
          <w:szCs w:val="20"/>
        </w:rPr>
        <w:t xml:space="preserve">Emmanuel </w:t>
      </w:r>
      <w:proofErr w:type="spellStart"/>
      <w:r w:rsidRPr="00077380">
        <w:rPr>
          <w:sz w:val="20"/>
          <w:szCs w:val="20"/>
        </w:rPr>
        <w:t>Dechanaux</w:t>
      </w:r>
      <w:proofErr w:type="spellEnd"/>
      <w:r w:rsidRPr="00077380">
        <w:rPr>
          <w:sz w:val="20"/>
          <w:szCs w:val="20"/>
        </w:rPr>
        <w:t>, Brent Goldfar</w:t>
      </w:r>
      <w:r>
        <w:rPr>
          <w:sz w:val="20"/>
          <w:szCs w:val="20"/>
        </w:rPr>
        <w:t xml:space="preserve">b, Scott Shane, Marie </w:t>
      </w:r>
      <w:proofErr w:type="spellStart"/>
      <w:r>
        <w:rPr>
          <w:sz w:val="20"/>
          <w:szCs w:val="20"/>
        </w:rPr>
        <w:t>Thursby</w:t>
      </w:r>
      <w:proofErr w:type="spellEnd"/>
      <w:r>
        <w:rPr>
          <w:sz w:val="20"/>
          <w:szCs w:val="20"/>
        </w:rPr>
        <w:t>, “</w:t>
      </w:r>
      <w:proofErr w:type="spellStart"/>
      <w:r w:rsidRPr="00077380">
        <w:rPr>
          <w:sz w:val="20"/>
          <w:szCs w:val="20"/>
        </w:rPr>
        <w:t>Appropr</w:t>
      </w:r>
      <w:r>
        <w:rPr>
          <w:sz w:val="20"/>
          <w:szCs w:val="20"/>
        </w:rPr>
        <w:t>i</w:t>
      </w:r>
      <w:r w:rsidRPr="00077380">
        <w:rPr>
          <w:sz w:val="20"/>
          <w:szCs w:val="20"/>
        </w:rPr>
        <w:t>ability</w:t>
      </w:r>
      <w:proofErr w:type="spellEnd"/>
      <w:r w:rsidRPr="00077380">
        <w:rPr>
          <w:sz w:val="20"/>
          <w:szCs w:val="20"/>
        </w:rPr>
        <w:t xml:space="preserve"> and Commercializatio</w:t>
      </w:r>
      <w:r>
        <w:rPr>
          <w:sz w:val="20"/>
          <w:szCs w:val="20"/>
        </w:rPr>
        <w:t>n: Evidence from MIT Inventions”</w:t>
      </w:r>
      <w:r w:rsidRPr="00077380">
        <w:rPr>
          <w:sz w:val="20"/>
          <w:szCs w:val="20"/>
        </w:rPr>
        <w:t xml:space="preserve">, </w:t>
      </w:r>
      <w:r w:rsidRPr="00077380">
        <w:rPr>
          <w:i/>
          <w:sz w:val="20"/>
          <w:szCs w:val="20"/>
        </w:rPr>
        <w:t>Management Science</w:t>
      </w:r>
      <w:r w:rsidRPr="00077380">
        <w:rPr>
          <w:sz w:val="20"/>
          <w:szCs w:val="20"/>
        </w:rPr>
        <w:t xml:space="preserve"> 54(5), 893-906 (2008)</w:t>
      </w:r>
    </w:p>
  </w:footnote>
  <w:footnote w:id="37">
    <w:p w14:paraId="294F6CD7" w14:textId="42793DC5" w:rsidR="00850F14" w:rsidRPr="008E580E" w:rsidRDefault="00850F14">
      <w:pPr>
        <w:pStyle w:val="FootnoteText"/>
      </w:pPr>
      <w:r>
        <w:rPr>
          <w:rStyle w:val="FootnoteReference"/>
        </w:rPr>
        <w:footnoteRef/>
      </w:r>
      <w:r>
        <w:t xml:space="preserve"> </w:t>
      </w:r>
      <w:proofErr w:type="spellStart"/>
      <w:proofErr w:type="gramStart"/>
      <w:r w:rsidRPr="008E580E">
        <w:rPr>
          <w:sz w:val="20"/>
          <w:szCs w:val="20"/>
        </w:rPr>
        <w:t>Dosi</w:t>
      </w:r>
      <w:proofErr w:type="spellEnd"/>
      <w:r w:rsidRPr="008E580E">
        <w:rPr>
          <w:sz w:val="20"/>
          <w:szCs w:val="20"/>
        </w:rPr>
        <w:t xml:space="preserve"> </w:t>
      </w:r>
      <w:r w:rsidRPr="008E580E">
        <w:rPr>
          <w:i/>
          <w:sz w:val="20"/>
          <w:szCs w:val="20"/>
        </w:rPr>
        <w:t>et al., op. cit.</w:t>
      </w:r>
      <w:proofErr w:type="gramEnd"/>
    </w:p>
  </w:footnote>
  <w:footnote w:id="38">
    <w:p w14:paraId="2F15AEFE" w14:textId="77777777" w:rsidR="00850F14" w:rsidRPr="00190DF8" w:rsidRDefault="00850F14" w:rsidP="001B45D8">
      <w:pPr>
        <w:pStyle w:val="FootnoteText"/>
      </w:pPr>
      <w:r>
        <w:rPr>
          <w:rStyle w:val="FootnoteReference"/>
        </w:rPr>
        <w:footnoteRef/>
      </w:r>
      <w:r>
        <w:t xml:space="preserve"> </w:t>
      </w:r>
      <w:r w:rsidRPr="002113AB">
        <w:rPr>
          <w:sz w:val="20"/>
          <w:szCs w:val="20"/>
        </w:rPr>
        <w:t xml:space="preserve">Katherine A. </w:t>
      </w:r>
      <w:proofErr w:type="spellStart"/>
      <w:r w:rsidRPr="002113AB">
        <w:rPr>
          <w:sz w:val="20"/>
          <w:szCs w:val="20"/>
        </w:rPr>
        <w:t>Hoye</w:t>
      </w:r>
      <w:proofErr w:type="spellEnd"/>
      <w:r w:rsidRPr="002113AB">
        <w:rPr>
          <w:sz w:val="20"/>
          <w:szCs w:val="20"/>
        </w:rPr>
        <w:t xml:space="preserve">, </w:t>
      </w:r>
      <w:r w:rsidRPr="002113AB">
        <w:rPr>
          <w:i/>
          <w:sz w:val="20"/>
          <w:szCs w:val="20"/>
        </w:rPr>
        <w:t>University Intellectual Property Policies and University-Industry Technology Transfer in Canada</w:t>
      </w:r>
      <w:r w:rsidRPr="002113AB">
        <w:rPr>
          <w:sz w:val="20"/>
          <w:szCs w:val="20"/>
        </w:rPr>
        <w:t xml:space="preserve">, PhD thesis, University of Waterloo, 2006; </w:t>
      </w:r>
      <w:r w:rsidRPr="002113AB">
        <w:rPr>
          <w:sz w:val="20"/>
          <w:szCs w:val="20"/>
        </w:rPr>
        <w:br/>
        <w:t xml:space="preserve">Allison </w:t>
      </w:r>
      <w:proofErr w:type="spellStart"/>
      <w:r w:rsidRPr="002113AB">
        <w:rPr>
          <w:sz w:val="20"/>
          <w:szCs w:val="20"/>
        </w:rPr>
        <w:t>Bramwell</w:t>
      </w:r>
      <w:proofErr w:type="spellEnd"/>
      <w:r w:rsidRPr="002113AB">
        <w:rPr>
          <w:sz w:val="20"/>
          <w:szCs w:val="20"/>
        </w:rPr>
        <w:t xml:space="preserve"> and David A. Wolfe, “Universities and regional economic development: the entrepreneurial University of Waterloo”, </w:t>
      </w:r>
      <w:r w:rsidRPr="002113AB">
        <w:rPr>
          <w:i/>
          <w:sz w:val="20"/>
          <w:szCs w:val="20"/>
        </w:rPr>
        <w:t>Research Policy</w:t>
      </w:r>
      <w:r w:rsidRPr="002113AB">
        <w:rPr>
          <w:sz w:val="20"/>
          <w:szCs w:val="20"/>
        </w:rPr>
        <w:t xml:space="preserve"> 37, 1175-1187 (2008)</w:t>
      </w:r>
    </w:p>
  </w:footnote>
  <w:footnote w:id="39">
    <w:p w14:paraId="07784D78" w14:textId="3555C4F9" w:rsidR="00850F14" w:rsidRDefault="00850F14">
      <w:pPr>
        <w:pStyle w:val="FootnoteText"/>
        <w:rPr>
          <w:rStyle w:val="Hyperlink"/>
          <w:sz w:val="20"/>
          <w:szCs w:val="20"/>
        </w:rPr>
      </w:pPr>
      <w:r>
        <w:rPr>
          <w:rStyle w:val="FootnoteReference"/>
        </w:rPr>
        <w:footnoteRef/>
      </w:r>
      <w:r>
        <w:t xml:space="preserve"> </w:t>
      </w:r>
      <w:r>
        <w:rPr>
          <w:sz w:val="20"/>
          <w:szCs w:val="20"/>
        </w:rPr>
        <w:t>See rule 25, page 29 of Chapter XIII of</w:t>
      </w:r>
      <w:r w:rsidRPr="006D33DA">
        <w:rPr>
          <w:sz w:val="20"/>
          <w:szCs w:val="20"/>
        </w:rPr>
        <w:t xml:space="preserve"> Cambridge University Ordinances </w:t>
      </w:r>
      <w:hyperlink r:id="rId14" w:history="1">
        <w:r w:rsidRPr="006D33DA">
          <w:rPr>
            <w:rStyle w:val="Hyperlink"/>
            <w:sz w:val="20"/>
            <w:szCs w:val="20"/>
          </w:rPr>
          <w:t>http://www.admin.cam.ac.uk/univ/so/pdfs/ordinance13.pdf</w:t>
        </w:r>
      </w:hyperlink>
      <w:r>
        <w:rPr>
          <w:rStyle w:val="Hyperlink"/>
          <w:sz w:val="20"/>
          <w:szCs w:val="20"/>
        </w:rPr>
        <w:t xml:space="preserve"> </w:t>
      </w:r>
    </w:p>
    <w:p w14:paraId="36724648" w14:textId="56183782" w:rsidR="00850F14" w:rsidRPr="006D76B6" w:rsidRDefault="00850F14">
      <w:pPr>
        <w:pStyle w:val="FootnoteText"/>
        <w:rPr>
          <w:color w:val="0000FF" w:themeColor="hyperlink"/>
          <w:sz w:val="20"/>
          <w:szCs w:val="20"/>
          <w:u w:val="single"/>
        </w:rPr>
      </w:pPr>
      <w:r>
        <w:rPr>
          <w:sz w:val="20"/>
          <w:szCs w:val="20"/>
        </w:rPr>
        <w:t xml:space="preserve">If Cambridge academics do not use the in house commercialisation organisation, then they are entitled to almost all of the commercial benefits. The point of offering such a majority share of the benefits to the inventor is not really about simple monetary incentive – it comes back to </w:t>
      </w:r>
      <w:r w:rsidRPr="00A24077">
        <w:rPr>
          <w:i/>
          <w:sz w:val="20"/>
          <w:szCs w:val="20"/>
        </w:rPr>
        <w:t>autonomy</w:t>
      </w:r>
      <w:r>
        <w:rPr>
          <w:i/>
          <w:sz w:val="20"/>
          <w:szCs w:val="20"/>
        </w:rPr>
        <w:t xml:space="preserve"> and control</w:t>
      </w:r>
      <w:r>
        <w:rPr>
          <w:sz w:val="20"/>
          <w:szCs w:val="20"/>
        </w:rPr>
        <w:t xml:space="preserve">, which top </w:t>
      </w:r>
      <w:proofErr w:type="gramStart"/>
      <w:r>
        <w:rPr>
          <w:sz w:val="20"/>
          <w:szCs w:val="20"/>
        </w:rPr>
        <w:t>researchers</w:t>
      </w:r>
      <w:proofErr w:type="gramEnd"/>
      <w:r>
        <w:rPr>
          <w:sz w:val="20"/>
          <w:szCs w:val="20"/>
        </w:rPr>
        <w:t xml:space="preserve"> value enormously. If your start-up exits with you controlling a super-majority of the equity, then you can retain control of the company even after successive capital dilutions.</w:t>
      </w:r>
    </w:p>
  </w:footnote>
  <w:footnote w:id="40">
    <w:p w14:paraId="0D3ED513" w14:textId="76B9630D" w:rsidR="00850F14" w:rsidRPr="006D33DA" w:rsidRDefault="00850F14">
      <w:pPr>
        <w:pStyle w:val="FootnoteText"/>
        <w:rPr>
          <w:sz w:val="20"/>
          <w:szCs w:val="20"/>
        </w:rPr>
      </w:pPr>
      <w:r>
        <w:rPr>
          <w:rStyle w:val="FootnoteReference"/>
        </w:rPr>
        <w:footnoteRef/>
      </w:r>
      <w:r>
        <w:t xml:space="preserve"> </w:t>
      </w:r>
      <w:r w:rsidRPr="006D33DA">
        <w:rPr>
          <w:sz w:val="20"/>
          <w:szCs w:val="20"/>
        </w:rPr>
        <w:t xml:space="preserve">Australian Government, </w:t>
      </w:r>
      <w:r w:rsidRPr="006D33DA">
        <w:rPr>
          <w:i/>
          <w:sz w:val="20"/>
          <w:szCs w:val="20"/>
        </w:rPr>
        <w:t>op. cit.</w:t>
      </w:r>
      <w:r w:rsidRPr="006D33DA">
        <w:rPr>
          <w:sz w:val="20"/>
          <w:szCs w:val="20"/>
        </w:rPr>
        <w:t xml:space="preserve"> page 20</w:t>
      </w:r>
    </w:p>
  </w:footnote>
  <w:footnote w:id="41">
    <w:p w14:paraId="48DA2297" w14:textId="40348D75" w:rsidR="00850F14" w:rsidRPr="006D33DA" w:rsidRDefault="00850F14">
      <w:pPr>
        <w:pStyle w:val="FootnoteText"/>
      </w:pPr>
      <w:r>
        <w:rPr>
          <w:rStyle w:val="FootnoteReference"/>
        </w:rPr>
        <w:footnoteRef/>
      </w:r>
      <w:r>
        <w:t xml:space="preserve"> </w:t>
      </w:r>
      <w:r w:rsidRPr="006D33DA">
        <w:rPr>
          <w:sz w:val="20"/>
          <w:szCs w:val="20"/>
        </w:rPr>
        <w:t xml:space="preserve">Australian Research Council grants are ostensibly just for the marginal cost of research, but they do not even do that. The </w:t>
      </w:r>
      <w:proofErr w:type="gramStart"/>
      <w:r w:rsidRPr="006D33DA">
        <w:rPr>
          <w:sz w:val="20"/>
          <w:szCs w:val="20"/>
        </w:rPr>
        <w:t>rates</w:t>
      </w:r>
      <w:proofErr w:type="gramEnd"/>
      <w:r w:rsidRPr="006D33DA">
        <w:rPr>
          <w:sz w:val="20"/>
          <w:szCs w:val="20"/>
        </w:rPr>
        <w:t xml:space="preserve"> the ARC uses, for example, for the salaries of postdoctoral researchers</w:t>
      </w:r>
      <w:r>
        <w:rPr>
          <w:sz w:val="20"/>
          <w:szCs w:val="20"/>
        </w:rPr>
        <w:t>,</w:t>
      </w:r>
      <w:r w:rsidRPr="006D33DA">
        <w:rPr>
          <w:sz w:val="20"/>
          <w:szCs w:val="20"/>
        </w:rPr>
        <w:t xml:space="preserve"> is consistently below the minimum wages universities are able to pay (through their Enterprise Bargaining Agreements).</w:t>
      </w:r>
    </w:p>
  </w:footnote>
  <w:footnote w:id="42">
    <w:p w14:paraId="523B8E56" w14:textId="1E528D4E" w:rsidR="00850F14" w:rsidRPr="00A86673" w:rsidRDefault="00850F14" w:rsidP="00A86673">
      <w:r>
        <w:rPr>
          <w:rStyle w:val="FootnoteReference"/>
        </w:rPr>
        <w:footnoteRef/>
      </w:r>
      <w:hyperlink r:id="rId15" w:history="1">
        <w:r w:rsidRPr="00A86673">
          <w:rPr>
            <w:rStyle w:val="Hyperlink"/>
            <w:sz w:val="20"/>
            <w:szCs w:val="20"/>
          </w:rPr>
          <w:t>http://www.afr.com/p/technology/it_left_out_in_australia_future_D2nc46aBoyKbBdWZcNwPnN</w:t>
        </w:r>
      </w:hyperlink>
    </w:p>
  </w:footnote>
  <w:footnote w:id="43">
    <w:p w14:paraId="252F3943" w14:textId="7D276C6D" w:rsidR="00850F14" w:rsidRPr="00200AD3" w:rsidRDefault="00850F14">
      <w:pPr>
        <w:pStyle w:val="FootnoteText"/>
        <w:rPr>
          <w:sz w:val="20"/>
          <w:szCs w:val="20"/>
        </w:rPr>
      </w:pPr>
      <w:r>
        <w:rPr>
          <w:rStyle w:val="FootnoteReference"/>
        </w:rPr>
        <w:footnoteRef/>
      </w:r>
      <w:r>
        <w:t xml:space="preserve"> </w:t>
      </w:r>
      <w:proofErr w:type="spellStart"/>
      <w:r w:rsidRPr="00BE5CA0">
        <w:rPr>
          <w:sz w:val="20"/>
          <w:szCs w:val="20"/>
        </w:rPr>
        <w:t>Lipsey</w:t>
      </w:r>
      <w:proofErr w:type="spellEnd"/>
      <w:r w:rsidRPr="00BE5CA0">
        <w:rPr>
          <w:sz w:val="20"/>
          <w:szCs w:val="20"/>
        </w:rPr>
        <w:t xml:space="preserve"> </w:t>
      </w:r>
      <w:r w:rsidRPr="00BE5CA0">
        <w:rPr>
          <w:i/>
          <w:sz w:val="20"/>
          <w:szCs w:val="20"/>
        </w:rPr>
        <w:t>et al., op. cit.</w:t>
      </w:r>
      <w:r>
        <w:rPr>
          <w:sz w:val="20"/>
          <w:szCs w:val="20"/>
        </w:rPr>
        <w:t>;</w:t>
      </w:r>
      <w:r>
        <w:rPr>
          <w:sz w:val="20"/>
          <w:szCs w:val="20"/>
        </w:rPr>
        <w:br/>
        <w:t xml:space="preserve">Chris Freeman and Francisco </w:t>
      </w:r>
      <w:proofErr w:type="spellStart"/>
      <w:r>
        <w:rPr>
          <w:sz w:val="20"/>
          <w:szCs w:val="20"/>
        </w:rPr>
        <w:t>Louca</w:t>
      </w:r>
      <w:proofErr w:type="spellEnd"/>
      <w:r>
        <w:rPr>
          <w:sz w:val="20"/>
          <w:szCs w:val="20"/>
        </w:rPr>
        <w:t xml:space="preserve">, </w:t>
      </w:r>
      <w:r>
        <w:rPr>
          <w:i/>
          <w:sz w:val="20"/>
          <w:szCs w:val="20"/>
        </w:rPr>
        <w:t>As Time Goes By: From the Industrial Revolutions to the Information Revolution</w:t>
      </w:r>
      <w:r>
        <w:rPr>
          <w:sz w:val="20"/>
          <w:szCs w:val="20"/>
        </w:rPr>
        <w:t>, Oxford University Press, 2001;</w:t>
      </w:r>
      <w:r>
        <w:rPr>
          <w:sz w:val="20"/>
          <w:szCs w:val="20"/>
        </w:rPr>
        <w:br/>
      </w:r>
      <w:r w:rsidRPr="00200AD3">
        <w:rPr>
          <w:sz w:val="20"/>
          <w:szCs w:val="20"/>
        </w:rPr>
        <w:t xml:space="preserve">Elhanan </w:t>
      </w:r>
      <w:proofErr w:type="spellStart"/>
      <w:r w:rsidRPr="00200AD3">
        <w:rPr>
          <w:sz w:val="20"/>
          <w:szCs w:val="20"/>
        </w:rPr>
        <w:t>Helpman</w:t>
      </w:r>
      <w:proofErr w:type="spellEnd"/>
      <w:r w:rsidRPr="00200AD3">
        <w:rPr>
          <w:sz w:val="20"/>
          <w:szCs w:val="20"/>
        </w:rPr>
        <w:t xml:space="preserve"> (</w:t>
      </w:r>
      <w:proofErr w:type="spellStart"/>
      <w:r w:rsidRPr="00200AD3">
        <w:rPr>
          <w:sz w:val="20"/>
          <w:szCs w:val="20"/>
        </w:rPr>
        <w:t>ed</w:t>
      </w:r>
      <w:proofErr w:type="spellEnd"/>
      <w:r w:rsidRPr="00200AD3">
        <w:rPr>
          <w:sz w:val="20"/>
          <w:szCs w:val="20"/>
        </w:rPr>
        <w:t xml:space="preserve">), </w:t>
      </w:r>
      <w:r w:rsidRPr="00200AD3">
        <w:rPr>
          <w:i/>
          <w:sz w:val="20"/>
          <w:szCs w:val="20"/>
        </w:rPr>
        <w:t>General Purpose technologies and Economic Growth</w:t>
      </w:r>
      <w:r w:rsidRPr="00200AD3">
        <w:rPr>
          <w:sz w:val="20"/>
          <w:szCs w:val="20"/>
        </w:rPr>
        <w:t>, MIT Press, 1998</w:t>
      </w:r>
      <w:r>
        <w:rPr>
          <w:sz w:val="20"/>
          <w:szCs w:val="20"/>
        </w:rPr>
        <w:t>;</w:t>
      </w:r>
      <w:r w:rsidRPr="00200AD3">
        <w:rPr>
          <w:sz w:val="20"/>
          <w:szCs w:val="20"/>
        </w:rPr>
        <w:br/>
        <w:t xml:space="preserve">Carlota Perez, </w:t>
      </w:r>
      <w:r w:rsidRPr="00200AD3">
        <w:rPr>
          <w:i/>
          <w:sz w:val="20"/>
          <w:szCs w:val="20"/>
        </w:rPr>
        <w:t xml:space="preserve">Technological Revolutions and Financial Capital: The Dynamics of Bubbles and Golden Ages, </w:t>
      </w:r>
      <w:r w:rsidRPr="00200AD3">
        <w:rPr>
          <w:sz w:val="20"/>
          <w:szCs w:val="20"/>
        </w:rPr>
        <w:t>Edward Elgar 2002</w:t>
      </w:r>
      <w:r>
        <w:rPr>
          <w:sz w:val="20"/>
          <w:szCs w:val="20"/>
        </w:rPr>
        <w:t>;</w:t>
      </w:r>
    </w:p>
    <w:p w14:paraId="032233D5" w14:textId="4282C7B0" w:rsidR="00850F14" w:rsidRPr="00200AD3" w:rsidRDefault="00850F14">
      <w:pPr>
        <w:pStyle w:val="FootnoteText"/>
      </w:pPr>
      <w:r w:rsidRPr="00200AD3">
        <w:rPr>
          <w:sz w:val="20"/>
          <w:szCs w:val="20"/>
        </w:rPr>
        <w:t xml:space="preserve">Timothy </w:t>
      </w:r>
      <w:proofErr w:type="spellStart"/>
      <w:r w:rsidRPr="00200AD3">
        <w:rPr>
          <w:sz w:val="20"/>
          <w:szCs w:val="20"/>
        </w:rPr>
        <w:t>Bresnahan</w:t>
      </w:r>
      <w:proofErr w:type="spellEnd"/>
      <w:r w:rsidRPr="00200AD3">
        <w:rPr>
          <w:sz w:val="20"/>
          <w:szCs w:val="20"/>
        </w:rPr>
        <w:t xml:space="preserve">, </w:t>
      </w:r>
      <w:r w:rsidRPr="00200AD3">
        <w:rPr>
          <w:i/>
          <w:sz w:val="20"/>
          <w:szCs w:val="20"/>
        </w:rPr>
        <w:t>General Purpose Technologies,</w:t>
      </w:r>
      <w:r w:rsidRPr="00200AD3">
        <w:rPr>
          <w:sz w:val="20"/>
          <w:szCs w:val="20"/>
        </w:rPr>
        <w:t xml:space="preserve"> Chapter 18, Volume 2 </w:t>
      </w:r>
      <w:proofErr w:type="gramStart"/>
      <w:r w:rsidRPr="00200AD3">
        <w:rPr>
          <w:sz w:val="20"/>
          <w:szCs w:val="20"/>
        </w:rPr>
        <w:t>of  Bronwyn</w:t>
      </w:r>
      <w:proofErr w:type="gramEnd"/>
      <w:r w:rsidRPr="00200AD3">
        <w:rPr>
          <w:sz w:val="20"/>
          <w:szCs w:val="20"/>
        </w:rPr>
        <w:t xml:space="preserve"> H. Hall and Nathan Rosenberg (</w:t>
      </w:r>
      <w:proofErr w:type="spellStart"/>
      <w:r w:rsidRPr="00200AD3">
        <w:rPr>
          <w:sz w:val="20"/>
          <w:szCs w:val="20"/>
        </w:rPr>
        <w:t>Eds</w:t>
      </w:r>
      <w:proofErr w:type="spellEnd"/>
      <w:r w:rsidRPr="00200AD3">
        <w:rPr>
          <w:sz w:val="20"/>
          <w:szCs w:val="20"/>
        </w:rPr>
        <w:t xml:space="preserve">), </w:t>
      </w:r>
      <w:r w:rsidRPr="00200AD3">
        <w:rPr>
          <w:i/>
          <w:sz w:val="20"/>
          <w:szCs w:val="20"/>
        </w:rPr>
        <w:t>Handbook of the Economics of Innovation,</w:t>
      </w:r>
      <w:r w:rsidRPr="00200AD3">
        <w:rPr>
          <w:sz w:val="20"/>
          <w:szCs w:val="20"/>
        </w:rPr>
        <w:t xml:space="preserve"> Elsevier 2010.</w:t>
      </w:r>
    </w:p>
  </w:footnote>
  <w:footnote w:id="44">
    <w:p w14:paraId="2338932F" w14:textId="05EB2448" w:rsidR="00850F14" w:rsidRPr="00BE5CA0" w:rsidRDefault="00850F14">
      <w:pPr>
        <w:pStyle w:val="FootnoteText"/>
        <w:rPr>
          <w:i/>
        </w:rPr>
      </w:pPr>
      <w:r w:rsidRPr="008E416F">
        <w:rPr>
          <w:rStyle w:val="FootnoteReference"/>
          <w:i/>
        </w:rPr>
        <w:footnoteRef/>
      </w:r>
      <w:r w:rsidRPr="008E416F">
        <w:rPr>
          <w:i/>
        </w:rPr>
        <w:t xml:space="preserve"> </w:t>
      </w:r>
      <w:proofErr w:type="gramStart"/>
      <w:r w:rsidRPr="008E416F">
        <w:rPr>
          <w:i/>
          <w:sz w:val="20"/>
          <w:szCs w:val="20"/>
        </w:rPr>
        <w:t>Scott, op. cit.</w:t>
      </w:r>
      <w:proofErr w:type="gramEnd"/>
    </w:p>
  </w:footnote>
  <w:footnote w:id="45">
    <w:p w14:paraId="44EB24B7" w14:textId="5F10B1C3" w:rsidR="00850F14" w:rsidRPr="00BE5CA0" w:rsidRDefault="00850F14">
      <w:pPr>
        <w:pStyle w:val="FootnoteText"/>
        <w:rPr>
          <w:i/>
        </w:rPr>
      </w:pPr>
      <w:r>
        <w:rPr>
          <w:rStyle w:val="FootnoteReference"/>
        </w:rPr>
        <w:footnoteRef/>
      </w:r>
      <w:r>
        <w:t xml:space="preserve"> </w:t>
      </w:r>
      <w:r>
        <w:rPr>
          <w:sz w:val="20"/>
          <w:szCs w:val="20"/>
        </w:rPr>
        <w:t xml:space="preserve">See references in footnote </w:t>
      </w:r>
      <w:r>
        <w:rPr>
          <w:sz w:val="20"/>
          <w:szCs w:val="20"/>
        </w:rPr>
        <w:fldChar w:fldCharType="begin"/>
      </w:r>
      <w:r>
        <w:rPr>
          <w:sz w:val="20"/>
          <w:szCs w:val="20"/>
        </w:rPr>
        <w:instrText xml:space="preserve"> NOTEREF _Ref278707061 \h </w:instrText>
      </w:r>
      <w:r>
        <w:rPr>
          <w:sz w:val="20"/>
          <w:szCs w:val="20"/>
        </w:rPr>
      </w:r>
      <w:r>
        <w:rPr>
          <w:sz w:val="20"/>
          <w:szCs w:val="20"/>
        </w:rPr>
        <w:fldChar w:fldCharType="separate"/>
      </w:r>
      <w:r w:rsidR="0050242C">
        <w:rPr>
          <w:sz w:val="20"/>
          <w:szCs w:val="20"/>
        </w:rPr>
        <w:t>42</w:t>
      </w:r>
      <w:r>
        <w:rPr>
          <w:sz w:val="20"/>
          <w:szCs w:val="20"/>
        </w:rPr>
        <w:fldChar w:fldCharType="end"/>
      </w:r>
      <w:r>
        <w:rPr>
          <w:sz w:val="20"/>
          <w:szCs w:val="20"/>
        </w:rPr>
        <w:t>.</w:t>
      </w:r>
    </w:p>
  </w:footnote>
  <w:footnote w:id="46">
    <w:p w14:paraId="1283BCD0" w14:textId="35D6C882" w:rsidR="00850F14" w:rsidRPr="005A7A8B" w:rsidRDefault="00850F14">
      <w:pPr>
        <w:pStyle w:val="FootnoteText"/>
      </w:pPr>
      <w:r>
        <w:rPr>
          <w:rStyle w:val="FootnoteReference"/>
        </w:rPr>
        <w:footnoteRef/>
      </w:r>
      <w:r>
        <w:t xml:space="preserve"> </w:t>
      </w:r>
      <w:proofErr w:type="gramStart"/>
      <w:r w:rsidRPr="005A7A8B">
        <w:rPr>
          <w:sz w:val="20"/>
          <w:szCs w:val="20"/>
        </w:rPr>
        <w:t xml:space="preserve">Page 105 of Albert N. Link and Donald S. Siegel, </w:t>
      </w:r>
      <w:r w:rsidRPr="005A7A8B">
        <w:rPr>
          <w:i/>
          <w:sz w:val="20"/>
          <w:szCs w:val="20"/>
        </w:rPr>
        <w:t>Innovation, Entrepreneurship and Technological Change,</w:t>
      </w:r>
      <w:r w:rsidRPr="005A7A8B">
        <w:rPr>
          <w:sz w:val="20"/>
          <w:szCs w:val="20"/>
        </w:rPr>
        <w:t xml:space="preserve"> Oxford University press, 2007.</w:t>
      </w:r>
      <w:proofErr w:type="gramEnd"/>
    </w:p>
  </w:footnote>
  <w:footnote w:id="47">
    <w:p w14:paraId="05585F7A" w14:textId="63A95A47" w:rsidR="00850F14" w:rsidRPr="001B73C2" w:rsidRDefault="00850F14" w:rsidP="005A7A8B">
      <w:pPr>
        <w:pStyle w:val="FootnoteText"/>
        <w:rPr>
          <w:sz w:val="16"/>
          <w:szCs w:val="16"/>
        </w:rPr>
      </w:pPr>
      <w:r>
        <w:rPr>
          <w:rStyle w:val="FootnoteReference"/>
        </w:rPr>
        <w:footnoteRef/>
      </w:r>
      <w:r>
        <w:t xml:space="preserve"> </w:t>
      </w:r>
      <w:r w:rsidRPr="001815B4">
        <w:rPr>
          <w:sz w:val="20"/>
          <w:szCs w:val="20"/>
        </w:rPr>
        <w:t xml:space="preserve">Nathan Rosenberg, “Technological Interdependence in the American Economy, </w:t>
      </w:r>
      <w:r w:rsidRPr="001815B4">
        <w:rPr>
          <w:i/>
          <w:sz w:val="20"/>
          <w:szCs w:val="20"/>
        </w:rPr>
        <w:t>Technology and Culture</w:t>
      </w:r>
      <w:r w:rsidRPr="001815B4">
        <w:rPr>
          <w:sz w:val="20"/>
          <w:szCs w:val="20"/>
        </w:rPr>
        <w:t xml:space="preserve"> 20(1), 25-50, (January 1979)</w:t>
      </w:r>
      <w:r>
        <w:rPr>
          <w:sz w:val="20"/>
          <w:szCs w:val="20"/>
        </w:rPr>
        <w:t>; and</w:t>
      </w:r>
    </w:p>
    <w:p w14:paraId="7FE97554" w14:textId="3A471DDD" w:rsidR="00850F14" w:rsidRPr="001815B4" w:rsidRDefault="00850F14" w:rsidP="005A7A8B">
      <w:pPr>
        <w:pStyle w:val="FootnoteText"/>
      </w:pPr>
      <w:r w:rsidRPr="00C95E39">
        <w:rPr>
          <w:sz w:val="20"/>
          <w:szCs w:val="20"/>
        </w:rPr>
        <w:t>N</w:t>
      </w:r>
      <w:r w:rsidRPr="00F01FFB">
        <w:rPr>
          <w:sz w:val="20"/>
          <w:szCs w:val="20"/>
        </w:rPr>
        <w:t xml:space="preserve">athan Rosenberg, </w:t>
      </w:r>
      <w:r w:rsidRPr="00F01FFB">
        <w:rPr>
          <w:i/>
          <w:sz w:val="20"/>
          <w:szCs w:val="20"/>
        </w:rPr>
        <w:t>The Impact of technological innovation: a historical view</w:t>
      </w:r>
      <w:r w:rsidRPr="00F01FFB">
        <w:rPr>
          <w:sz w:val="20"/>
          <w:szCs w:val="20"/>
        </w:rPr>
        <w:t xml:space="preserve">, pages 17-32 in </w:t>
      </w:r>
      <w:r w:rsidRPr="00F01FFB">
        <w:rPr>
          <w:i/>
          <w:sz w:val="20"/>
          <w:szCs w:val="20"/>
        </w:rPr>
        <w:t>The Positive Sum Strategy: Harnessing Technology for Economic Growth</w:t>
      </w:r>
      <w:r w:rsidRPr="00F01FFB">
        <w:rPr>
          <w:sz w:val="20"/>
          <w:szCs w:val="20"/>
        </w:rPr>
        <w:t>, National Academy Press, Washington, 1986.</w:t>
      </w:r>
    </w:p>
  </w:footnote>
  <w:footnote w:id="48">
    <w:p w14:paraId="72218B59" w14:textId="35D36F00" w:rsidR="00850F14" w:rsidRPr="001815B4" w:rsidRDefault="00850F14" w:rsidP="005A7A8B">
      <w:pPr>
        <w:pStyle w:val="FootnoteText"/>
      </w:pPr>
      <w:r>
        <w:rPr>
          <w:rStyle w:val="FootnoteReference"/>
        </w:rPr>
        <w:footnoteRef/>
      </w:r>
      <w:r>
        <w:t xml:space="preserve"> </w:t>
      </w:r>
      <w:r w:rsidRPr="005F0775">
        <w:rPr>
          <w:sz w:val="20"/>
          <w:szCs w:val="20"/>
        </w:rPr>
        <w:t>See the famous “tyre-tracks” diagram in</w:t>
      </w:r>
      <w:r w:rsidR="00D8392D">
        <w:rPr>
          <w:sz w:val="20"/>
          <w:szCs w:val="20"/>
        </w:rPr>
        <w:t>:</w:t>
      </w:r>
      <w:r>
        <w:t xml:space="preserve"> </w:t>
      </w:r>
      <w:r>
        <w:br/>
      </w:r>
      <w:r w:rsidRPr="001815B4">
        <w:rPr>
          <w:sz w:val="20"/>
          <w:szCs w:val="20"/>
        </w:rPr>
        <w:t xml:space="preserve">Committee on Depicting Innovation in Information Technology, National Research Council, </w:t>
      </w:r>
      <w:r w:rsidRPr="001815B4">
        <w:rPr>
          <w:i/>
          <w:sz w:val="20"/>
          <w:szCs w:val="20"/>
        </w:rPr>
        <w:t>Continuing innovation in information technology</w:t>
      </w:r>
      <w:r w:rsidRPr="001815B4">
        <w:rPr>
          <w:sz w:val="20"/>
          <w:szCs w:val="20"/>
        </w:rPr>
        <w:t>, The National Academies Press, Washington, 2012.</w:t>
      </w:r>
    </w:p>
  </w:footnote>
  <w:footnote w:id="49">
    <w:p w14:paraId="14569206" w14:textId="65D28BA1" w:rsidR="00850F14" w:rsidRPr="00D84E6D" w:rsidRDefault="00850F14">
      <w:pPr>
        <w:pStyle w:val="FootnoteText"/>
      </w:pPr>
      <w:r>
        <w:rPr>
          <w:rStyle w:val="FootnoteReference"/>
        </w:rPr>
        <w:footnoteRef/>
      </w:r>
      <w:r>
        <w:t xml:space="preserve"> </w:t>
      </w:r>
      <w:r w:rsidRPr="00D84E6D">
        <w:rPr>
          <w:sz w:val="20"/>
          <w:szCs w:val="20"/>
        </w:rPr>
        <w:t xml:space="preserve">Clayton Christensen, </w:t>
      </w:r>
      <w:r w:rsidRPr="00D84E6D">
        <w:rPr>
          <w:i/>
          <w:sz w:val="20"/>
          <w:szCs w:val="20"/>
        </w:rPr>
        <w:t>The Innovator’s Dilemma</w:t>
      </w:r>
      <w:r w:rsidRPr="00D84E6D">
        <w:rPr>
          <w:sz w:val="20"/>
          <w:szCs w:val="20"/>
        </w:rPr>
        <w:t>, Harvard Business School Press, 1997</w:t>
      </w:r>
    </w:p>
  </w:footnote>
  <w:footnote w:id="50">
    <w:p w14:paraId="7C35808D" w14:textId="1F90D21B" w:rsidR="00850F14" w:rsidRPr="005F2AAE" w:rsidRDefault="00850F14">
      <w:pPr>
        <w:pStyle w:val="FootnoteText"/>
      </w:pPr>
      <w:r>
        <w:rPr>
          <w:rStyle w:val="FootnoteReference"/>
        </w:rPr>
        <w:footnoteRef/>
      </w:r>
      <w:r w:rsidRPr="005F2AAE">
        <w:rPr>
          <w:sz w:val="20"/>
          <w:szCs w:val="20"/>
        </w:rPr>
        <w:t xml:space="preserve"> John </w:t>
      </w:r>
      <w:proofErr w:type="spellStart"/>
      <w:r w:rsidRPr="005F2AAE">
        <w:rPr>
          <w:sz w:val="20"/>
          <w:szCs w:val="20"/>
        </w:rPr>
        <w:t>Jewkes</w:t>
      </w:r>
      <w:proofErr w:type="spellEnd"/>
      <w:r w:rsidRPr="005F2AAE">
        <w:rPr>
          <w:sz w:val="20"/>
          <w:szCs w:val="20"/>
        </w:rPr>
        <w:t xml:space="preserve">, David Sawyers and Richard </w:t>
      </w:r>
      <w:proofErr w:type="spellStart"/>
      <w:r w:rsidRPr="005F2AAE">
        <w:rPr>
          <w:sz w:val="20"/>
          <w:szCs w:val="20"/>
        </w:rPr>
        <w:t>Stillerman</w:t>
      </w:r>
      <w:proofErr w:type="spellEnd"/>
      <w:r w:rsidRPr="005F2AAE">
        <w:rPr>
          <w:sz w:val="20"/>
          <w:szCs w:val="20"/>
        </w:rPr>
        <w:t xml:space="preserve">, </w:t>
      </w:r>
      <w:r w:rsidRPr="005F2AAE">
        <w:rPr>
          <w:i/>
          <w:sz w:val="20"/>
          <w:szCs w:val="20"/>
        </w:rPr>
        <w:t>The Sources of Invention</w:t>
      </w:r>
      <w:r w:rsidRPr="005F2AAE">
        <w:rPr>
          <w:sz w:val="20"/>
          <w:szCs w:val="20"/>
        </w:rPr>
        <w:t>, St Martin’s Press, New York, 1959</w:t>
      </w:r>
    </w:p>
  </w:footnote>
  <w:footnote w:id="51">
    <w:p w14:paraId="29FF9BF3" w14:textId="7A2B7C30" w:rsidR="00850F14" w:rsidRPr="00874FEC" w:rsidRDefault="00850F14">
      <w:pPr>
        <w:pStyle w:val="FootnoteText"/>
      </w:pPr>
      <w:r>
        <w:rPr>
          <w:rStyle w:val="FootnoteReference"/>
        </w:rPr>
        <w:footnoteRef/>
      </w:r>
      <w:r>
        <w:t xml:space="preserve"> </w:t>
      </w:r>
      <w:r w:rsidRPr="00874FEC">
        <w:rPr>
          <w:sz w:val="20"/>
          <w:szCs w:val="20"/>
        </w:rPr>
        <w:t xml:space="preserve">Michael Power, </w:t>
      </w:r>
      <w:r w:rsidRPr="00874FEC">
        <w:rPr>
          <w:i/>
          <w:sz w:val="20"/>
          <w:szCs w:val="20"/>
        </w:rPr>
        <w:t>The Audit Society: Rituals of Verification</w:t>
      </w:r>
      <w:r w:rsidRPr="00874FEC">
        <w:rPr>
          <w:sz w:val="20"/>
          <w:szCs w:val="20"/>
        </w:rPr>
        <w:t>, Oxford University Press, 1997</w:t>
      </w:r>
    </w:p>
  </w:footnote>
  <w:footnote w:id="52">
    <w:p w14:paraId="07225EE2" w14:textId="5E49367D" w:rsidR="00850F14" w:rsidRPr="00E51B73" w:rsidRDefault="00850F14">
      <w:pPr>
        <w:pStyle w:val="FootnoteText"/>
        <w:rPr>
          <w:i/>
        </w:rPr>
      </w:pPr>
      <w:r>
        <w:rPr>
          <w:rStyle w:val="FootnoteReference"/>
        </w:rPr>
        <w:footnoteRef/>
      </w:r>
      <w:r>
        <w:t xml:space="preserve"> </w:t>
      </w:r>
      <w:proofErr w:type="gramStart"/>
      <w:r w:rsidRPr="00E51B73">
        <w:rPr>
          <w:sz w:val="20"/>
          <w:szCs w:val="20"/>
        </w:rPr>
        <w:t>Scott</w:t>
      </w:r>
      <w:r w:rsidRPr="00E51B73">
        <w:rPr>
          <w:i/>
          <w:sz w:val="20"/>
          <w:szCs w:val="20"/>
        </w:rPr>
        <w:t xml:space="preserve"> op. cit.</w:t>
      </w:r>
      <w:proofErr w:type="gramEnd"/>
    </w:p>
  </w:footnote>
  <w:footnote w:id="53">
    <w:p w14:paraId="67967449" w14:textId="0F1D4C7B" w:rsidR="00850F14" w:rsidRPr="001930DD" w:rsidRDefault="00850F14">
      <w:pPr>
        <w:pStyle w:val="FootnoteText"/>
        <w:rPr>
          <w:i/>
        </w:rPr>
      </w:pPr>
      <w:r>
        <w:rPr>
          <w:rStyle w:val="FootnoteReference"/>
        </w:rPr>
        <w:footnoteRef/>
      </w:r>
      <w:r>
        <w:t xml:space="preserve"> </w:t>
      </w:r>
      <w:proofErr w:type="gramStart"/>
      <w:r w:rsidRPr="008C3402">
        <w:rPr>
          <w:sz w:val="20"/>
          <w:szCs w:val="20"/>
        </w:rPr>
        <w:t xml:space="preserve">OECD </w:t>
      </w:r>
      <w:r w:rsidRPr="008C3402">
        <w:rPr>
          <w:i/>
          <w:sz w:val="20"/>
          <w:szCs w:val="20"/>
        </w:rPr>
        <w:t>op. cit.</w:t>
      </w:r>
      <w:proofErr w:type="gramEnd"/>
    </w:p>
  </w:footnote>
  <w:footnote w:id="54">
    <w:p w14:paraId="04D09473" w14:textId="02377AA6" w:rsidR="00850F14" w:rsidRPr="00182C2E" w:rsidRDefault="00850F14">
      <w:pPr>
        <w:pStyle w:val="FootnoteText"/>
      </w:pPr>
      <w:r>
        <w:rPr>
          <w:rStyle w:val="FootnoteReference"/>
        </w:rPr>
        <w:footnoteRef/>
      </w:r>
      <w:r>
        <w:t xml:space="preserve"> </w:t>
      </w:r>
      <w:r w:rsidRPr="00182C2E">
        <w:rPr>
          <w:sz w:val="20"/>
          <w:szCs w:val="20"/>
        </w:rPr>
        <w:t xml:space="preserve">See footnote </w:t>
      </w:r>
      <w:r w:rsidRPr="00182C2E">
        <w:rPr>
          <w:sz w:val="20"/>
          <w:szCs w:val="20"/>
        </w:rPr>
        <w:fldChar w:fldCharType="begin"/>
      </w:r>
      <w:r w:rsidRPr="00182C2E">
        <w:rPr>
          <w:sz w:val="20"/>
          <w:szCs w:val="20"/>
        </w:rPr>
        <w:instrText xml:space="preserve"> NOTEREF _Ref278702447 \h </w:instrText>
      </w:r>
      <w:r w:rsidRPr="00182C2E">
        <w:rPr>
          <w:sz w:val="20"/>
          <w:szCs w:val="20"/>
        </w:rPr>
      </w:r>
      <w:r w:rsidRPr="00182C2E">
        <w:rPr>
          <w:sz w:val="20"/>
          <w:szCs w:val="20"/>
        </w:rPr>
        <w:fldChar w:fldCharType="separate"/>
      </w:r>
      <w:r w:rsidR="0050242C">
        <w:rPr>
          <w:sz w:val="20"/>
          <w:szCs w:val="20"/>
        </w:rPr>
        <w:t>25</w:t>
      </w:r>
      <w:r w:rsidRPr="00182C2E">
        <w:rPr>
          <w:sz w:val="20"/>
          <w:szCs w:val="20"/>
        </w:rPr>
        <w:fldChar w:fldCharType="end"/>
      </w:r>
      <w:r>
        <w:rPr>
          <w:sz w:val="20"/>
          <w:szCs w:val="20"/>
        </w:rPr>
        <w:t>.</w:t>
      </w:r>
    </w:p>
  </w:footnote>
  <w:footnote w:id="55">
    <w:p w14:paraId="15D421E5" w14:textId="255D5711" w:rsidR="00850F14" w:rsidRPr="000D5667" w:rsidRDefault="00850F14">
      <w:pPr>
        <w:pStyle w:val="FootnoteText"/>
      </w:pPr>
      <w:r>
        <w:rPr>
          <w:rStyle w:val="FootnoteReference"/>
        </w:rPr>
        <w:footnoteRef/>
      </w:r>
      <w:r>
        <w:t xml:space="preserve"> </w:t>
      </w:r>
      <w:proofErr w:type="spellStart"/>
      <w:proofErr w:type="gramStart"/>
      <w:r w:rsidRPr="002113AB">
        <w:rPr>
          <w:sz w:val="20"/>
          <w:szCs w:val="20"/>
        </w:rPr>
        <w:t>Bramwell</w:t>
      </w:r>
      <w:proofErr w:type="spellEnd"/>
      <w:r w:rsidRPr="002113AB">
        <w:rPr>
          <w:sz w:val="20"/>
          <w:szCs w:val="20"/>
        </w:rPr>
        <w:t xml:space="preserve"> and Wolfe, </w:t>
      </w:r>
      <w:r w:rsidRPr="002113AB">
        <w:rPr>
          <w:i/>
          <w:sz w:val="20"/>
          <w:szCs w:val="20"/>
        </w:rPr>
        <w:t xml:space="preserve">op. cit. </w:t>
      </w:r>
      <w:r w:rsidRPr="002113AB">
        <w:rPr>
          <w:sz w:val="20"/>
          <w:szCs w:val="20"/>
        </w:rPr>
        <w:t>p</w:t>
      </w:r>
      <w:r>
        <w:rPr>
          <w:sz w:val="20"/>
          <w:szCs w:val="20"/>
        </w:rPr>
        <w:t>age</w:t>
      </w:r>
      <w:r w:rsidRPr="002113AB">
        <w:rPr>
          <w:sz w:val="20"/>
          <w:szCs w:val="20"/>
        </w:rPr>
        <w:t xml:space="preserve"> 1180.</w:t>
      </w:r>
      <w:proofErr w:type="gramEnd"/>
    </w:p>
  </w:footnote>
  <w:footnote w:id="56">
    <w:p w14:paraId="259E32A9" w14:textId="58F75E10" w:rsidR="00850F14" w:rsidRPr="001815B4" w:rsidRDefault="00850F14">
      <w:pPr>
        <w:pStyle w:val="FootnoteText"/>
      </w:pPr>
      <w:r>
        <w:rPr>
          <w:rStyle w:val="FootnoteReference"/>
        </w:rPr>
        <w:footnoteRef/>
      </w:r>
      <w:r>
        <w:t xml:space="preserve"> </w:t>
      </w:r>
      <w:r w:rsidRPr="001815B4">
        <w:rPr>
          <w:sz w:val="20"/>
          <w:szCs w:val="20"/>
        </w:rPr>
        <w:t xml:space="preserve">Bruce </w:t>
      </w:r>
      <w:proofErr w:type="spellStart"/>
      <w:r w:rsidRPr="001815B4">
        <w:rPr>
          <w:sz w:val="20"/>
          <w:szCs w:val="20"/>
        </w:rPr>
        <w:t>Fallick</w:t>
      </w:r>
      <w:proofErr w:type="spellEnd"/>
      <w:r w:rsidRPr="001815B4">
        <w:rPr>
          <w:sz w:val="20"/>
          <w:szCs w:val="20"/>
        </w:rPr>
        <w:t xml:space="preserve">, Charles A. Fleischmann and James B. </w:t>
      </w:r>
      <w:proofErr w:type="spellStart"/>
      <w:r w:rsidRPr="001815B4">
        <w:rPr>
          <w:sz w:val="20"/>
          <w:szCs w:val="20"/>
        </w:rPr>
        <w:t>Rebitzer</w:t>
      </w:r>
      <w:proofErr w:type="spellEnd"/>
      <w:r w:rsidRPr="001815B4">
        <w:rPr>
          <w:sz w:val="20"/>
          <w:szCs w:val="20"/>
        </w:rPr>
        <w:t xml:space="preserve">, </w:t>
      </w:r>
      <w:r w:rsidRPr="001815B4">
        <w:rPr>
          <w:i/>
          <w:sz w:val="20"/>
          <w:szCs w:val="20"/>
        </w:rPr>
        <w:t>Job Hopping in Silicon Valley: Some evidence concerning the micro-foundations of a high technology cluster</w:t>
      </w:r>
      <w:r w:rsidRPr="001815B4">
        <w:rPr>
          <w:sz w:val="20"/>
          <w:szCs w:val="20"/>
        </w:rPr>
        <w:t xml:space="preserve">, </w:t>
      </w:r>
      <w:proofErr w:type="spellStart"/>
      <w:r w:rsidRPr="001815B4">
        <w:rPr>
          <w:sz w:val="20"/>
          <w:szCs w:val="20"/>
        </w:rPr>
        <w:t>NBER</w:t>
      </w:r>
      <w:proofErr w:type="spellEnd"/>
      <w:r w:rsidRPr="001815B4">
        <w:rPr>
          <w:sz w:val="20"/>
          <w:szCs w:val="20"/>
        </w:rPr>
        <w:t xml:space="preserve"> Working paper 11710, October 2005</w:t>
      </w:r>
    </w:p>
  </w:footnote>
  <w:footnote w:id="57">
    <w:p w14:paraId="63100041" w14:textId="28AB9171" w:rsidR="00850F14" w:rsidRPr="00AE2E37" w:rsidRDefault="00850F14">
      <w:pPr>
        <w:pStyle w:val="FootnoteText"/>
      </w:pPr>
      <w:r>
        <w:rPr>
          <w:rStyle w:val="FootnoteReference"/>
        </w:rPr>
        <w:footnoteRef/>
      </w:r>
      <w:r>
        <w:t xml:space="preserve"> </w:t>
      </w:r>
      <w:r>
        <w:rPr>
          <w:sz w:val="20"/>
          <w:szCs w:val="20"/>
        </w:rPr>
        <w:t>See (</w:t>
      </w:r>
      <w:r w:rsidRPr="00AE2E37">
        <w:rPr>
          <w:sz w:val="20"/>
          <w:szCs w:val="20"/>
        </w:rPr>
        <w:t xml:space="preserve">especially </w:t>
      </w:r>
      <w:proofErr w:type="spellStart"/>
      <w:r w:rsidRPr="00AE2E37">
        <w:rPr>
          <w:i/>
          <w:sz w:val="20"/>
          <w:szCs w:val="20"/>
        </w:rPr>
        <w:t>pp</w:t>
      </w:r>
      <w:r w:rsidRPr="00AE2E37">
        <w:rPr>
          <w:sz w:val="20"/>
          <w:szCs w:val="20"/>
        </w:rPr>
        <w:t>.19</w:t>
      </w:r>
      <w:r w:rsidRPr="00AE2E37">
        <w:rPr>
          <w:i/>
          <w:sz w:val="20"/>
          <w:szCs w:val="20"/>
        </w:rPr>
        <w:t>ff</w:t>
      </w:r>
      <w:proofErr w:type="spellEnd"/>
      <w:r w:rsidRPr="00AE2E37">
        <w:rPr>
          <w:sz w:val="20"/>
          <w:szCs w:val="20"/>
        </w:rPr>
        <w:t xml:space="preserve"> </w:t>
      </w:r>
      <w:r>
        <w:rPr>
          <w:sz w:val="20"/>
          <w:szCs w:val="20"/>
        </w:rPr>
        <w:t xml:space="preserve">) </w:t>
      </w:r>
      <w:r w:rsidRPr="00AE2E37">
        <w:rPr>
          <w:sz w:val="20"/>
          <w:szCs w:val="20"/>
        </w:rPr>
        <w:t>of</w:t>
      </w:r>
      <w:r>
        <w:t xml:space="preserve"> </w:t>
      </w:r>
      <w:r w:rsidRPr="00AE2E37">
        <w:rPr>
          <w:sz w:val="20"/>
          <w:szCs w:val="20"/>
        </w:rPr>
        <w:t xml:space="preserve">Richard G. </w:t>
      </w:r>
      <w:proofErr w:type="spellStart"/>
      <w:r w:rsidRPr="00AE2E37">
        <w:rPr>
          <w:sz w:val="20"/>
          <w:szCs w:val="20"/>
        </w:rPr>
        <w:t>Lipsey</w:t>
      </w:r>
      <w:proofErr w:type="spellEnd"/>
      <w:r w:rsidRPr="00AE2E37">
        <w:rPr>
          <w:sz w:val="20"/>
          <w:szCs w:val="20"/>
        </w:rPr>
        <w:t xml:space="preserve"> and Kenneth </w:t>
      </w:r>
      <w:proofErr w:type="spellStart"/>
      <w:r w:rsidRPr="00AE2E37">
        <w:rPr>
          <w:sz w:val="20"/>
          <w:szCs w:val="20"/>
        </w:rPr>
        <w:t>Carlaw</w:t>
      </w:r>
      <w:proofErr w:type="spellEnd"/>
      <w:r w:rsidRPr="00AE2E37">
        <w:rPr>
          <w:sz w:val="20"/>
          <w:szCs w:val="20"/>
        </w:rPr>
        <w:t xml:space="preserve">, </w:t>
      </w:r>
      <w:r w:rsidRPr="00AE2E37">
        <w:rPr>
          <w:i/>
          <w:sz w:val="20"/>
          <w:szCs w:val="20"/>
        </w:rPr>
        <w:t xml:space="preserve">A </w:t>
      </w:r>
      <w:proofErr w:type="spellStart"/>
      <w:r w:rsidRPr="00AE2E37">
        <w:rPr>
          <w:i/>
          <w:sz w:val="20"/>
          <w:szCs w:val="20"/>
        </w:rPr>
        <w:t>Structuralist</w:t>
      </w:r>
      <w:proofErr w:type="spellEnd"/>
      <w:r w:rsidRPr="00AE2E37">
        <w:rPr>
          <w:i/>
          <w:sz w:val="20"/>
          <w:szCs w:val="20"/>
        </w:rPr>
        <w:t xml:space="preserve"> Assessment of Technology Policies – Taking Schumpeter Seriously on Policy</w:t>
      </w:r>
      <w:r w:rsidRPr="00AE2E37">
        <w:rPr>
          <w:sz w:val="20"/>
          <w:szCs w:val="20"/>
        </w:rPr>
        <w:t>, Industry Canada Research Publications Program, Working Paper Number 25, October 1998.</w:t>
      </w:r>
    </w:p>
  </w:footnote>
  <w:footnote w:id="58">
    <w:p w14:paraId="6BD56CE6" w14:textId="72E35DD3" w:rsidR="00850F14" w:rsidRPr="00326954" w:rsidRDefault="00850F14">
      <w:pPr>
        <w:pStyle w:val="FootnoteText"/>
      </w:pPr>
      <w:r>
        <w:rPr>
          <w:rStyle w:val="FootnoteReference"/>
        </w:rPr>
        <w:footnoteRef/>
      </w:r>
      <w:r>
        <w:t xml:space="preserve"> </w:t>
      </w:r>
      <w:r w:rsidRPr="00326954">
        <w:rPr>
          <w:sz w:val="20"/>
          <w:szCs w:val="20"/>
        </w:rPr>
        <w:t xml:space="preserve">See e.g. </w:t>
      </w:r>
      <w:hyperlink r:id="rId16" w:history="1">
        <w:r w:rsidRPr="00326954">
          <w:rPr>
            <w:rStyle w:val="Hyperlink"/>
            <w:sz w:val="20"/>
            <w:szCs w:val="20"/>
          </w:rPr>
          <w:t>http://www.bbc.co.uk/news/science-environment-11579949</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B00EE9"/>
    <w:multiLevelType w:val="hybridMultilevel"/>
    <w:tmpl w:val="70B42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1C21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42D2FC3"/>
    <w:multiLevelType w:val="hybridMultilevel"/>
    <w:tmpl w:val="D7C8B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04B0A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3A0377F"/>
    <w:multiLevelType w:val="hybridMultilevel"/>
    <w:tmpl w:val="6F9084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AC1926"/>
    <w:multiLevelType w:val="hybridMultilevel"/>
    <w:tmpl w:val="19FE7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674C72"/>
    <w:multiLevelType w:val="hybridMultilevel"/>
    <w:tmpl w:val="FC0AB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714415"/>
    <w:multiLevelType w:val="hybridMultilevel"/>
    <w:tmpl w:val="32904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DE4BE5"/>
    <w:multiLevelType w:val="hybridMultilevel"/>
    <w:tmpl w:val="8C2E3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2"/>
  </w:num>
  <w:num w:numId="6">
    <w:abstractNumId w:val="0"/>
  </w:num>
  <w:num w:numId="7">
    <w:abstractNumId w:val="3"/>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D7D"/>
    <w:rsid w:val="000426E9"/>
    <w:rsid w:val="00063522"/>
    <w:rsid w:val="00077380"/>
    <w:rsid w:val="0008677C"/>
    <w:rsid w:val="000B6B40"/>
    <w:rsid w:val="000C1F9F"/>
    <w:rsid w:val="000D5667"/>
    <w:rsid w:val="000D78CF"/>
    <w:rsid w:val="000E276A"/>
    <w:rsid w:val="000E59BD"/>
    <w:rsid w:val="00104D16"/>
    <w:rsid w:val="00114999"/>
    <w:rsid w:val="00134D14"/>
    <w:rsid w:val="00142F26"/>
    <w:rsid w:val="00162D14"/>
    <w:rsid w:val="001815B4"/>
    <w:rsid w:val="00182C2E"/>
    <w:rsid w:val="00185DE9"/>
    <w:rsid w:val="00190DF8"/>
    <w:rsid w:val="001930DD"/>
    <w:rsid w:val="001A1220"/>
    <w:rsid w:val="001B45D8"/>
    <w:rsid w:val="001B73C2"/>
    <w:rsid w:val="001F1EAF"/>
    <w:rsid w:val="001F7081"/>
    <w:rsid w:val="00200AD3"/>
    <w:rsid w:val="00205C46"/>
    <w:rsid w:val="002073D7"/>
    <w:rsid w:val="002113AB"/>
    <w:rsid w:val="00211A63"/>
    <w:rsid w:val="00222DB1"/>
    <w:rsid w:val="002503F3"/>
    <w:rsid w:val="002643E1"/>
    <w:rsid w:val="0027385A"/>
    <w:rsid w:val="002838C4"/>
    <w:rsid w:val="00297238"/>
    <w:rsid w:val="002B7E3F"/>
    <w:rsid w:val="002B7FBC"/>
    <w:rsid w:val="002D7857"/>
    <w:rsid w:val="00326954"/>
    <w:rsid w:val="00343DE6"/>
    <w:rsid w:val="00393023"/>
    <w:rsid w:val="00397360"/>
    <w:rsid w:val="003C257E"/>
    <w:rsid w:val="003D57A7"/>
    <w:rsid w:val="003F2CD9"/>
    <w:rsid w:val="004011D8"/>
    <w:rsid w:val="004431F6"/>
    <w:rsid w:val="00451A1F"/>
    <w:rsid w:val="00472FE9"/>
    <w:rsid w:val="00483D14"/>
    <w:rsid w:val="004A6CDE"/>
    <w:rsid w:val="004D4066"/>
    <w:rsid w:val="004E214E"/>
    <w:rsid w:val="004E48E4"/>
    <w:rsid w:val="004E60D1"/>
    <w:rsid w:val="004F4759"/>
    <w:rsid w:val="004F6652"/>
    <w:rsid w:val="0050242C"/>
    <w:rsid w:val="00513914"/>
    <w:rsid w:val="00533652"/>
    <w:rsid w:val="0053658C"/>
    <w:rsid w:val="005432DE"/>
    <w:rsid w:val="00574E6E"/>
    <w:rsid w:val="00582649"/>
    <w:rsid w:val="00587757"/>
    <w:rsid w:val="005911B3"/>
    <w:rsid w:val="005A7A8B"/>
    <w:rsid w:val="005D2674"/>
    <w:rsid w:val="005E2638"/>
    <w:rsid w:val="005E5983"/>
    <w:rsid w:val="005F0775"/>
    <w:rsid w:val="005F2AAE"/>
    <w:rsid w:val="00602AB7"/>
    <w:rsid w:val="00606F94"/>
    <w:rsid w:val="006205A2"/>
    <w:rsid w:val="00650EC0"/>
    <w:rsid w:val="00685E24"/>
    <w:rsid w:val="00686F12"/>
    <w:rsid w:val="006C15D4"/>
    <w:rsid w:val="006C4EF7"/>
    <w:rsid w:val="006D33DA"/>
    <w:rsid w:val="006D76B6"/>
    <w:rsid w:val="006D788D"/>
    <w:rsid w:val="006F46D3"/>
    <w:rsid w:val="006F6462"/>
    <w:rsid w:val="00704407"/>
    <w:rsid w:val="007069BE"/>
    <w:rsid w:val="00726FBD"/>
    <w:rsid w:val="007439E6"/>
    <w:rsid w:val="0074439D"/>
    <w:rsid w:val="00765982"/>
    <w:rsid w:val="00794636"/>
    <w:rsid w:val="007B13E4"/>
    <w:rsid w:val="007F3516"/>
    <w:rsid w:val="00814811"/>
    <w:rsid w:val="0082087F"/>
    <w:rsid w:val="00824E8E"/>
    <w:rsid w:val="00850F14"/>
    <w:rsid w:val="00874FEC"/>
    <w:rsid w:val="00884B5D"/>
    <w:rsid w:val="008901C3"/>
    <w:rsid w:val="008935C0"/>
    <w:rsid w:val="008B4526"/>
    <w:rsid w:val="008C3402"/>
    <w:rsid w:val="008C46B4"/>
    <w:rsid w:val="008E2FDD"/>
    <w:rsid w:val="008E416F"/>
    <w:rsid w:val="008E580E"/>
    <w:rsid w:val="00944AE0"/>
    <w:rsid w:val="00990348"/>
    <w:rsid w:val="009A249E"/>
    <w:rsid w:val="009A5CFC"/>
    <w:rsid w:val="00A24077"/>
    <w:rsid w:val="00A4081A"/>
    <w:rsid w:val="00A86673"/>
    <w:rsid w:val="00A967B5"/>
    <w:rsid w:val="00AD1512"/>
    <w:rsid w:val="00AE2E37"/>
    <w:rsid w:val="00AF5BCB"/>
    <w:rsid w:val="00B12744"/>
    <w:rsid w:val="00B82C9C"/>
    <w:rsid w:val="00B953C6"/>
    <w:rsid w:val="00BE5CA0"/>
    <w:rsid w:val="00C07FC6"/>
    <w:rsid w:val="00C303FD"/>
    <w:rsid w:val="00C35E2F"/>
    <w:rsid w:val="00C63351"/>
    <w:rsid w:val="00C7396E"/>
    <w:rsid w:val="00C87185"/>
    <w:rsid w:val="00C95E39"/>
    <w:rsid w:val="00CA3375"/>
    <w:rsid w:val="00D15752"/>
    <w:rsid w:val="00D62958"/>
    <w:rsid w:val="00D65DBF"/>
    <w:rsid w:val="00D676BA"/>
    <w:rsid w:val="00D834AC"/>
    <w:rsid w:val="00D8392D"/>
    <w:rsid w:val="00D84E6D"/>
    <w:rsid w:val="00DC5A50"/>
    <w:rsid w:val="00E21C6B"/>
    <w:rsid w:val="00E224DD"/>
    <w:rsid w:val="00E51B73"/>
    <w:rsid w:val="00E52119"/>
    <w:rsid w:val="00E80003"/>
    <w:rsid w:val="00E86FBC"/>
    <w:rsid w:val="00E917E3"/>
    <w:rsid w:val="00EA0D73"/>
    <w:rsid w:val="00EA733A"/>
    <w:rsid w:val="00ED2886"/>
    <w:rsid w:val="00EE0D7D"/>
    <w:rsid w:val="00EE3BFE"/>
    <w:rsid w:val="00EE4E4C"/>
    <w:rsid w:val="00EF0714"/>
    <w:rsid w:val="00F01FFB"/>
    <w:rsid w:val="00F06843"/>
    <w:rsid w:val="00F44759"/>
    <w:rsid w:val="00F5444A"/>
    <w:rsid w:val="00F6160D"/>
    <w:rsid w:val="00FC271C"/>
    <w:rsid w:val="00FD5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220C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D16"/>
  </w:style>
  <w:style w:type="paragraph" w:styleId="Heading1">
    <w:name w:val="heading 1"/>
    <w:basedOn w:val="Normal"/>
    <w:next w:val="Normal"/>
    <w:link w:val="Heading1Char"/>
    <w:uiPriority w:val="9"/>
    <w:qFormat/>
    <w:rsid w:val="00104D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04D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04D1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04D1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04D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04D1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04D1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04D1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04D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4D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4D1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04D1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04D16"/>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104D16"/>
    <w:pPr>
      <w:ind w:left="720"/>
      <w:contextualSpacing/>
    </w:pPr>
  </w:style>
  <w:style w:type="character" w:styleId="Hyperlink">
    <w:name w:val="Hyperlink"/>
    <w:basedOn w:val="DefaultParagraphFont"/>
    <w:uiPriority w:val="99"/>
    <w:unhideWhenUsed/>
    <w:rsid w:val="00EE0D7D"/>
    <w:rPr>
      <w:color w:val="0000FF" w:themeColor="hyperlink"/>
      <w:u w:val="single"/>
    </w:rPr>
  </w:style>
  <w:style w:type="character" w:customStyle="1" w:styleId="Heading1Char">
    <w:name w:val="Heading 1 Char"/>
    <w:basedOn w:val="DefaultParagraphFont"/>
    <w:link w:val="Heading1"/>
    <w:uiPriority w:val="9"/>
    <w:rsid w:val="00104D1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297238"/>
  </w:style>
  <w:style w:type="character" w:customStyle="1" w:styleId="FootnoteTextChar">
    <w:name w:val="Footnote Text Char"/>
    <w:basedOn w:val="DefaultParagraphFont"/>
    <w:link w:val="FootnoteText"/>
    <w:uiPriority w:val="99"/>
    <w:rsid w:val="00297238"/>
    <w:rPr>
      <w:lang w:val="en-AU"/>
    </w:rPr>
  </w:style>
  <w:style w:type="character" w:styleId="FootnoteReference">
    <w:name w:val="footnote reference"/>
    <w:basedOn w:val="DefaultParagraphFont"/>
    <w:uiPriority w:val="99"/>
    <w:unhideWhenUsed/>
    <w:rsid w:val="00297238"/>
    <w:rPr>
      <w:vertAlign w:val="superscript"/>
    </w:rPr>
  </w:style>
  <w:style w:type="character" w:customStyle="1" w:styleId="headertext">
    <w:name w:val="headertext"/>
    <w:basedOn w:val="DefaultParagraphFont"/>
    <w:rsid w:val="00297238"/>
  </w:style>
  <w:style w:type="character" w:customStyle="1" w:styleId="subtitle1">
    <w:name w:val="subtitle1"/>
    <w:basedOn w:val="DefaultParagraphFont"/>
    <w:rsid w:val="00297238"/>
  </w:style>
  <w:style w:type="character" w:customStyle="1" w:styleId="standardlabel">
    <w:name w:val="standardlabel"/>
    <w:basedOn w:val="DefaultParagraphFont"/>
    <w:rsid w:val="00297238"/>
  </w:style>
  <w:style w:type="paragraph" w:styleId="TOC1">
    <w:name w:val="toc 1"/>
    <w:basedOn w:val="Normal"/>
    <w:next w:val="Normal"/>
    <w:autoRedefine/>
    <w:uiPriority w:val="39"/>
    <w:unhideWhenUsed/>
    <w:rsid w:val="00850F14"/>
    <w:pPr>
      <w:tabs>
        <w:tab w:val="left" w:pos="436"/>
        <w:tab w:val="right" w:leader="dot" w:pos="8290"/>
      </w:tabs>
      <w:spacing w:before="120"/>
      <w:ind w:right="567"/>
    </w:pPr>
    <w:rPr>
      <w:rFonts w:asciiTheme="majorHAnsi" w:hAnsiTheme="majorHAnsi"/>
      <w:b/>
      <w:color w:val="548DD4"/>
    </w:rPr>
  </w:style>
  <w:style w:type="paragraph" w:styleId="TOC2">
    <w:name w:val="toc 2"/>
    <w:basedOn w:val="Normal"/>
    <w:next w:val="Normal"/>
    <w:autoRedefine/>
    <w:uiPriority w:val="39"/>
    <w:unhideWhenUsed/>
    <w:rsid w:val="009A249E"/>
  </w:style>
  <w:style w:type="paragraph" w:styleId="TOC3">
    <w:name w:val="toc 3"/>
    <w:basedOn w:val="Normal"/>
    <w:next w:val="Normal"/>
    <w:autoRedefine/>
    <w:uiPriority w:val="39"/>
    <w:unhideWhenUsed/>
    <w:rsid w:val="009A249E"/>
    <w:pPr>
      <w:ind w:left="240"/>
    </w:pPr>
    <w:rPr>
      <w:i/>
    </w:rPr>
  </w:style>
  <w:style w:type="paragraph" w:styleId="TOC4">
    <w:name w:val="toc 4"/>
    <w:basedOn w:val="Normal"/>
    <w:next w:val="Normal"/>
    <w:autoRedefine/>
    <w:uiPriority w:val="39"/>
    <w:unhideWhenUsed/>
    <w:rsid w:val="009A249E"/>
    <w:pPr>
      <w:pBdr>
        <w:between w:val="double" w:sz="6" w:space="0" w:color="auto"/>
      </w:pBdr>
      <w:ind w:left="480"/>
    </w:pPr>
    <w:rPr>
      <w:sz w:val="20"/>
      <w:szCs w:val="20"/>
    </w:rPr>
  </w:style>
  <w:style w:type="paragraph" w:styleId="TOC5">
    <w:name w:val="toc 5"/>
    <w:basedOn w:val="Normal"/>
    <w:next w:val="Normal"/>
    <w:autoRedefine/>
    <w:uiPriority w:val="39"/>
    <w:unhideWhenUsed/>
    <w:rsid w:val="009A249E"/>
    <w:pPr>
      <w:pBdr>
        <w:between w:val="double" w:sz="6" w:space="0" w:color="auto"/>
      </w:pBdr>
      <w:ind w:left="720"/>
    </w:pPr>
    <w:rPr>
      <w:sz w:val="20"/>
      <w:szCs w:val="20"/>
    </w:rPr>
  </w:style>
  <w:style w:type="paragraph" w:styleId="TOC6">
    <w:name w:val="toc 6"/>
    <w:basedOn w:val="Normal"/>
    <w:next w:val="Normal"/>
    <w:autoRedefine/>
    <w:uiPriority w:val="39"/>
    <w:unhideWhenUsed/>
    <w:rsid w:val="009A249E"/>
    <w:pPr>
      <w:pBdr>
        <w:between w:val="double" w:sz="6" w:space="0" w:color="auto"/>
      </w:pBdr>
      <w:ind w:left="960"/>
    </w:pPr>
    <w:rPr>
      <w:sz w:val="20"/>
      <w:szCs w:val="20"/>
    </w:rPr>
  </w:style>
  <w:style w:type="paragraph" w:styleId="TOC7">
    <w:name w:val="toc 7"/>
    <w:basedOn w:val="Normal"/>
    <w:next w:val="Normal"/>
    <w:autoRedefine/>
    <w:uiPriority w:val="39"/>
    <w:unhideWhenUsed/>
    <w:rsid w:val="009A249E"/>
    <w:pPr>
      <w:pBdr>
        <w:between w:val="double" w:sz="6" w:space="0" w:color="auto"/>
      </w:pBdr>
      <w:ind w:left="1200"/>
    </w:pPr>
    <w:rPr>
      <w:sz w:val="20"/>
      <w:szCs w:val="20"/>
    </w:rPr>
  </w:style>
  <w:style w:type="paragraph" w:styleId="TOC8">
    <w:name w:val="toc 8"/>
    <w:basedOn w:val="Normal"/>
    <w:next w:val="Normal"/>
    <w:autoRedefine/>
    <w:uiPriority w:val="39"/>
    <w:unhideWhenUsed/>
    <w:rsid w:val="009A249E"/>
    <w:pPr>
      <w:pBdr>
        <w:between w:val="double" w:sz="6" w:space="0" w:color="auto"/>
      </w:pBdr>
      <w:ind w:left="1440"/>
    </w:pPr>
    <w:rPr>
      <w:sz w:val="20"/>
      <w:szCs w:val="20"/>
    </w:rPr>
  </w:style>
  <w:style w:type="paragraph" w:styleId="TOC9">
    <w:name w:val="toc 9"/>
    <w:basedOn w:val="Normal"/>
    <w:next w:val="Normal"/>
    <w:autoRedefine/>
    <w:uiPriority w:val="39"/>
    <w:unhideWhenUsed/>
    <w:rsid w:val="009A249E"/>
    <w:pPr>
      <w:pBdr>
        <w:between w:val="double" w:sz="6" w:space="0" w:color="auto"/>
      </w:pBdr>
      <w:ind w:left="1680"/>
    </w:pPr>
    <w:rPr>
      <w:sz w:val="20"/>
      <w:szCs w:val="20"/>
    </w:rPr>
  </w:style>
  <w:style w:type="table" w:styleId="TableGrid">
    <w:name w:val="Table Grid"/>
    <w:basedOn w:val="TableNormal"/>
    <w:uiPriority w:val="59"/>
    <w:rsid w:val="0039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04D16"/>
    <w:pPr>
      <w:spacing w:line="240" w:lineRule="auto"/>
    </w:pPr>
    <w:rPr>
      <w:b/>
      <w:bCs/>
      <w:color w:val="4F81BD" w:themeColor="accent1"/>
      <w:sz w:val="18"/>
      <w:szCs w:val="18"/>
    </w:rPr>
  </w:style>
  <w:style w:type="table" w:styleId="LightShading-Accent1">
    <w:name w:val="Light Shading Accent 1"/>
    <w:basedOn w:val="TableNormal"/>
    <w:uiPriority w:val="60"/>
    <w:rsid w:val="00C7396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C7396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1-Accent1">
    <w:name w:val="Medium List 1 Accent 1"/>
    <w:basedOn w:val="TableNormal"/>
    <w:uiPriority w:val="65"/>
    <w:rsid w:val="00C7396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Grid1-Accent1">
    <w:name w:val="Medium Grid 1 Accent 1"/>
    <w:basedOn w:val="TableNormal"/>
    <w:uiPriority w:val="67"/>
    <w:rsid w:val="00C7396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NormalWeb">
    <w:name w:val="Normal (Web)"/>
    <w:basedOn w:val="Normal"/>
    <w:uiPriority w:val="99"/>
    <w:semiHidden/>
    <w:unhideWhenUsed/>
    <w:rsid w:val="00397360"/>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104D16"/>
    <w:rPr>
      <w:i/>
      <w:iCs/>
    </w:rPr>
  </w:style>
  <w:style w:type="paragraph" w:styleId="BalloonText">
    <w:name w:val="Balloon Text"/>
    <w:basedOn w:val="Normal"/>
    <w:link w:val="BalloonTextChar"/>
    <w:uiPriority w:val="99"/>
    <w:semiHidden/>
    <w:unhideWhenUsed/>
    <w:rsid w:val="00685E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5E24"/>
    <w:rPr>
      <w:rFonts w:ascii="Lucida Grande" w:hAnsi="Lucida Grande" w:cs="Lucida Grande"/>
      <w:sz w:val="18"/>
      <w:szCs w:val="18"/>
      <w:lang w:val="en-AU"/>
    </w:rPr>
  </w:style>
  <w:style w:type="paragraph" w:styleId="Header">
    <w:name w:val="header"/>
    <w:basedOn w:val="Normal"/>
    <w:link w:val="HeaderChar"/>
    <w:uiPriority w:val="99"/>
    <w:unhideWhenUsed/>
    <w:rsid w:val="00685E24"/>
    <w:pPr>
      <w:tabs>
        <w:tab w:val="center" w:pos="4320"/>
        <w:tab w:val="right" w:pos="8640"/>
      </w:tabs>
    </w:pPr>
  </w:style>
  <w:style w:type="character" w:customStyle="1" w:styleId="HeaderChar">
    <w:name w:val="Header Char"/>
    <w:basedOn w:val="DefaultParagraphFont"/>
    <w:link w:val="Header"/>
    <w:uiPriority w:val="99"/>
    <w:rsid w:val="00685E24"/>
    <w:rPr>
      <w:lang w:val="en-AU"/>
    </w:rPr>
  </w:style>
  <w:style w:type="paragraph" w:styleId="Footer">
    <w:name w:val="footer"/>
    <w:basedOn w:val="Normal"/>
    <w:link w:val="FooterChar"/>
    <w:uiPriority w:val="99"/>
    <w:unhideWhenUsed/>
    <w:rsid w:val="00685E24"/>
    <w:pPr>
      <w:tabs>
        <w:tab w:val="center" w:pos="4320"/>
        <w:tab w:val="right" w:pos="8640"/>
      </w:tabs>
    </w:pPr>
  </w:style>
  <w:style w:type="character" w:customStyle="1" w:styleId="FooterChar">
    <w:name w:val="Footer Char"/>
    <w:basedOn w:val="DefaultParagraphFont"/>
    <w:link w:val="Footer"/>
    <w:uiPriority w:val="99"/>
    <w:rsid w:val="00685E24"/>
    <w:rPr>
      <w:lang w:val="en-AU"/>
    </w:rPr>
  </w:style>
  <w:style w:type="character" w:styleId="PageNumber">
    <w:name w:val="page number"/>
    <w:basedOn w:val="DefaultParagraphFont"/>
    <w:uiPriority w:val="99"/>
    <w:semiHidden/>
    <w:unhideWhenUsed/>
    <w:rsid w:val="005D2674"/>
  </w:style>
  <w:style w:type="paragraph" w:styleId="Quote">
    <w:name w:val="Quote"/>
    <w:basedOn w:val="Normal"/>
    <w:next w:val="Normal"/>
    <w:link w:val="QuoteChar"/>
    <w:uiPriority w:val="29"/>
    <w:qFormat/>
    <w:rsid w:val="00104D16"/>
    <w:rPr>
      <w:i/>
      <w:iCs/>
      <w:color w:val="000000" w:themeColor="text1"/>
    </w:rPr>
  </w:style>
  <w:style w:type="character" w:customStyle="1" w:styleId="QuoteChar">
    <w:name w:val="Quote Char"/>
    <w:basedOn w:val="DefaultParagraphFont"/>
    <w:link w:val="Quote"/>
    <w:uiPriority w:val="29"/>
    <w:rsid w:val="00104D16"/>
    <w:rPr>
      <w:i/>
      <w:iCs/>
      <w:color w:val="000000" w:themeColor="text1"/>
    </w:rPr>
  </w:style>
  <w:style w:type="character" w:styleId="BookTitle">
    <w:name w:val="Book Title"/>
    <w:basedOn w:val="DefaultParagraphFont"/>
    <w:uiPriority w:val="33"/>
    <w:qFormat/>
    <w:rsid w:val="00104D16"/>
    <w:rPr>
      <w:b/>
      <w:bCs/>
      <w:smallCaps/>
      <w:spacing w:val="5"/>
    </w:rPr>
  </w:style>
  <w:style w:type="character" w:customStyle="1" w:styleId="Heading2Char">
    <w:name w:val="Heading 2 Char"/>
    <w:basedOn w:val="DefaultParagraphFont"/>
    <w:link w:val="Heading2"/>
    <w:uiPriority w:val="9"/>
    <w:semiHidden/>
    <w:rsid w:val="00104D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04D1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04D1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04D1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04D1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04D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04D1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04D16"/>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uiPriority w:val="22"/>
    <w:qFormat/>
    <w:rsid w:val="00104D16"/>
    <w:rPr>
      <w:b/>
      <w:bCs/>
    </w:rPr>
  </w:style>
  <w:style w:type="paragraph" w:styleId="NoSpacing">
    <w:name w:val="No Spacing"/>
    <w:uiPriority w:val="1"/>
    <w:qFormat/>
    <w:rsid w:val="00104D16"/>
    <w:pPr>
      <w:spacing w:after="0" w:line="240" w:lineRule="auto"/>
    </w:pPr>
  </w:style>
  <w:style w:type="paragraph" w:styleId="IntenseQuote">
    <w:name w:val="Intense Quote"/>
    <w:basedOn w:val="Normal"/>
    <w:next w:val="Normal"/>
    <w:link w:val="IntenseQuoteChar"/>
    <w:uiPriority w:val="30"/>
    <w:qFormat/>
    <w:rsid w:val="00104D1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04D16"/>
    <w:rPr>
      <w:b/>
      <w:bCs/>
      <w:i/>
      <w:iCs/>
      <w:color w:val="4F81BD" w:themeColor="accent1"/>
    </w:rPr>
  </w:style>
  <w:style w:type="character" w:styleId="SubtleEmphasis">
    <w:name w:val="Subtle Emphasis"/>
    <w:basedOn w:val="DefaultParagraphFont"/>
    <w:uiPriority w:val="19"/>
    <w:qFormat/>
    <w:rsid w:val="00104D16"/>
    <w:rPr>
      <w:i/>
      <w:iCs/>
      <w:color w:val="808080" w:themeColor="text1" w:themeTint="7F"/>
    </w:rPr>
  </w:style>
  <w:style w:type="character" w:styleId="IntenseEmphasis">
    <w:name w:val="Intense Emphasis"/>
    <w:basedOn w:val="DefaultParagraphFont"/>
    <w:uiPriority w:val="21"/>
    <w:qFormat/>
    <w:rsid w:val="00104D16"/>
    <w:rPr>
      <w:b/>
      <w:bCs/>
      <w:i/>
      <w:iCs/>
      <w:color w:val="4F81BD" w:themeColor="accent1"/>
    </w:rPr>
  </w:style>
  <w:style w:type="character" w:styleId="SubtleReference">
    <w:name w:val="Subtle Reference"/>
    <w:basedOn w:val="DefaultParagraphFont"/>
    <w:uiPriority w:val="31"/>
    <w:qFormat/>
    <w:rsid w:val="00104D16"/>
    <w:rPr>
      <w:smallCaps/>
      <w:color w:val="C0504D" w:themeColor="accent2"/>
      <w:u w:val="single"/>
    </w:rPr>
  </w:style>
  <w:style w:type="character" w:styleId="IntenseReference">
    <w:name w:val="Intense Reference"/>
    <w:basedOn w:val="DefaultParagraphFont"/>
    <w:uiPriority w:val="32"/>
    <w:qFormat/>
    <w:rsid w:val="00104D16"/>
    <w:rPr>
      <w:b/>
      <w:bCs/>
      <w:smallCaps/>
      <w:color w:val="C0504D" w:themeColor="accent2"/>
      <w:spacing w:val="5"/>
      <w:u w:val="single"/>
    </w:rPr>
  </w:style>
  <w:style w:type="paragraph" w:styleId="TOCHeading">
    <w:name w:val="TOC Heading"/>
    <w:basedOn w:val="Heading1"/>
    <w:next w:val="Normal"/>
    <w:uiPriority w:val="39"/>
    <w:semiHidden/>
    <w:unhideWhenUsed/>
    <w:qFormat/>
    <w:rsid w:val="00104D16"/>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D16"/>
  </w:style>
  <w:style w:type="paragraph" w:styleId="Heading1">
    <w:name w:val="heading 1"/>
    <w:basedOn w:val="Normal"/>
    <w:next w:val="Normal"/>
    <w:link w:val="Heading1Char"/>
    <w:uiPriority w:val="9"/>
    <w:qFormat/>
    <w:rsid w:val="00104D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04D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04D1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04D1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04D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04D1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04D1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04D1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04D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4D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4D1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04D1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04D16"/>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104D16"/>
    <w:pPr>
      <w:ind w:left="720"/>
      <w:contextualSpacing/>
    </w:pPr>
  </w:style>
  <w:style w:type="character" w:styleId="Hyperlink">
    <w:name w:val="Hyperlink"/>
    <w:basedOn w:val="DefaultParagraphFont"/>
    <w:uiPriority w:val="99"/>
    <w:unhideWhenUsed/>
    <w:rsid w:val="00EE0D7D"/>
    <w:rPr>
      <w:color w:val="0000FF" w:themeColor="hyperlink"/>
      <w:u w:val="single"/>
    </w:rPr>
  </w:style>
  <w:style w:type="character" w:customStyle="1" w:styleId="Heading1Char">
    <w:name w:val="Heading 1 Char"/>
    <w:basedOn w:val="DefaultParagraphFont"/>
    <w:link w:val="Heading1"/>
    <w:uiPriority w:val="9"/>
    <w:rsid w:val="00104D1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297238"/>
  </w:style>
  <w:style w:type="character" w:customStyle="1" w:styleId="FootnoteTextChar">
    <w:name w:val="Footnote Text Char"/>
    <w:basedOn w:val="DefaultParagraphFont"/>
    <w:link w:val="FootnoteText"/>
    <w:uiPriority w:val="99"/>
    <w:rsid w:val="00297238"/>
    <w:rPr>
      <w:lang w:val="en-AU"/>
    </w:rPr>
  </w:style>
  <w:style w:type="character" w:styleId="FootnoteReference">
    <w:name w:val="footnote reference"/>
    <w:basedOn w:val="DefaultParagraphFont"/>
    <w:uiPriority w:val="99"/>
    <w:unhideWhenUsed/>
    <w:rsid w:val="00297238"/>
    <w:rPr>
      <w:vertAlign w:val="superscript"/>
    </w:rPr>
  </w:style>
  <w:style w:type="character" w:customStyle="1" w:styleId="headertext">
    <w:name w:val="headertext"/>
    <w:basedOn w:val="DefaultParagraphFont"/>
    <w:rsid w:val="00297238"/>
  </w:style>
  <w:style w:type="character" w:customStyle="1" w:styleId="subtitle1">
    <w:name w:val="subtitle1"/>
    <w:basedOn w:val="DefaultParagraphFont"/>
    <w:rsid w:val="00297238"/>
  </w:style>
  <w:style w:type="character" w:customStyle="1" w:styleId="standardlabel">
    <w:name w:val="standardlabel"/>
    <w:basedOn w:val="DefaultParagraphFont"/>
    <w:rsid w:val="00297238"/>
  </w:style>
  <w:style w:type="paragraph" w:styleId="TOC1">
    <w:name w:val="toc 1"/>
    <w:basedOn w:val="Normal"/>
    <w:next w:val="Normal"/>
    <w:autoRedefine/>
    <w:uiPriority w:val="39"/>
    <w:unhideWhenUsed/>
    <w:rsid w:val="00850F14"/>
    <w:pPr>
      <w:tabs>
        <w:tab w:val="left" w:pos="436"/>
        <w:tab w:val="right" w:leader="dot" w:pos="8290"/>
      </w:tabs>
      <w:spacing w:before="120"/>
      <w:ind w:right="567"/>
    </w:pPr>
    <w:rPr>
      <w:rFonts w:asciiTheme="majorHAnsi" w:hAnsiTheme="majorHAnsi"/>
      <w:b/>
      <w:color w:val="548DD4"/>
    </w:rPr>
  </w:style>
  <w:style w:type="paragraph" w:styleId="TOC2">
    <w:name w:val="toc 2"/>
    <w:basedOn w:val="Normal"/>
    <w:next w:val="Normal"/>
    <w:autoRedefine/>
    <w:uiPriority w:val="39"/>
    <w:unhideWhenUsed/>
    <w:rsid w:val="009A249E"/>
  </w:style>
  <w:style w:type="paragraph" w:styleId="TOC3">
    <w:name w:val="toc 3"/>
    <w:basedOn w:val="Normal"/>
    <w:next w:val="Normal"/>
    <w:autoRedefine/>
    <w:uiPriority w:val="39"/>
    <w:unhideWhenUsed/>
    <w:rsid w:val="009A249E"/>
    <w:pPr>
      <w:ind w:left="240"/>
    </w:pPr>
    <w:rPr>
      <w:i/>
    </w:rPr>
  </w:style>
  <w:style w:type="paragraph" w:styleId="TOC4">
    <w:name w:val="toc 4"/>
    <w:basedOn w:val="Normal"/>
    <w:next w:val="Normal"/>
    <w:autoRedefine/>
    <w:uiPriority w:val="39"/>
    <w:unhideWhenUsed/>
    <w:rsid w:val="009A249E"/>
    <w:pPr>
      <w:pBdr>
        <w:between w:val="double" w:sz="6" w:space="0" w:color="auto"/>
      </w:pBdr>
      <w:ind w:left="480"/>
    </w:pPr>
    <w:rPr>
      <w:sz w:val="20"/>
      <w:szCs w:val="20"/>
    </w:rPr>
  </w:style>
  <w:style w:type="paragraph" w:styleId="TOC5">
    <w:name w:val="toc 5"/>
    <w:basedOn w:val="Normal"/>
    <w:next w:val="Normal"/>
    <w:autoRedefine/>
    <w:uiPriority w:val="39"/>
    <w:unhideWhenUsed/>
    <w:rsid w:val="009A249E"/>
    <w:pPr>
      <w:pBdr>
        <w:between w:val="double" w:sz="6" w:space="0" w:color="auto"/>
      </w:pBdr>
      <w:ind w:left="720"/>
    </w:pPr>
    <w:rPr>
      <w:sz w:val="20"/>
      <w:szCs w:val="20"/>
    </w:rPr>
  </w:style>
  <w:style w:type="paragraph" w:styleId="TOC6">
    <w:name w:val="toc 6"/>
    <w:basedOn w:val="Normal"/>
    <w:next w:val="Normal"/>
    <w:autoRedefine/>
    <w:uiPriority w:val="39"/>
    <w:unhideWhenUsed/>
    <w:rsid w:val="009A249E"/>
    <w:pPr>
      <w:pBdr>
        <w:between w:val="double" w:sz="6" w:space="0" w:color="auto"/>
      </w:pBdr>
      <w:ind w:left="960"/>
    </w:pPr>
    <w:rPr>
      <w:sz w:val="20"/>
      <w:szCs w:val="20"/>
    </w:rPr>
  </w:style>
  <w:style w:type="paragraph" w:styleId="TOC7">
    <w:name w:val="toc 7"/>
    <w:basedOn w:val="Normal"/>
    <w:next w:val="Normal"/>
    <w:autoRedefine/>
    <w:uiPriority w:val="39"/>
    <w:unhideWhenUsed/>
    <w:rsid w:val="009A249E"/>
    <w:pPr>
      <w:pBdr>
        <w:between w:val="double" w:sz="6" w:space="0" w:color="auto"/>
      </w:pBdr>
      <w:ind w:left="1200"/>
    </w:pPr>
    <w:rPr>
      <w:sz w:val="20"/>
      <w:szCs w:val="20"/>
    </w:rPr>
  </w:style>
  <w:style w:type="paragraph" w:styleId="TOC8">
    <w:name w:val="toc 8"/>
    <w:basedOn w:val="Normal"/>
    <w:next w:val="Normal"/>
    <w:autoRedefine/>
    <w:uiPriority w:val="39"/>
    <w:unhideWhenUsed/>
    <w:rsid w:val="009A249E"/>
    <w:pPr>
      <w:pBdr>
        <w:between w:val="double" w:sz="6" w:space="0" w:color="auto"/>
      </w:pBdr>
      <w:ind w:left="1440"/>
    </w:pPr>
    <w:rPr>
      <w:sz w:val="20"/>
      <w:szCs w:val="20"/>
    </w:rPr>
  </w:style>
  <w:style w:type="paragraph" w:styleId="TOC9">
    <w:name w:val="toc 9"/>
    <w:basedOn w:val="Normal"/>
    <w:next w:val="Normal"/>
    <w:autoRedefine/>
    <w:uiPriority w:val="39"/>
    <w:unhideWhenUsed/>
    <w:rsid w:val="009A249E"/>
    <w:pPr>
      <w:pBdr>
        <w:between w:val="double" w:sz="6" w:space="0" w:color="auto"/>
      </w:pBdr>
      <w:ind w:left="1680"/>
    </w:pPr>
    <w:rPr>
      <w:sz w:val="20"/>
      <w:szCs w:val="20"/>
    </w:rPr>
  </w:style>
  <w:style w:type="table" w:styleId="TableGrid">
    <w:name w:val="Table Grid"/>
    <w:basedOn w:val="TableNormal"/>
    <w:uiPriority w:val="59"/>
    <w:rsid w:val="0039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04D16"/>
    <w:pPr>
      <w:spacing w:line="240" w:lineRule="auto"/>
    </w:pPr>
    <w:rPr>
      <w:b/>
      <w:bCs/>
      <w:color w:val="4F81BD" w:themeColor="accent1"/>
      <w:sz w:val="18"/>
      <w:szCs w:val="18"/>
    </w:rPr>
  </w:style>
  <w:style w:type="table" w:styleId="LightShading-Accent1">
    <w:name w:val="Light Shading Accent 1"/>
    <w:basedOn w:val="TableNormal"/>
    <w:uiPriority w:val="60"/>
    <w:rsid w:val="00C7396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C7396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1-Accent1">
    <w:name w:val="Medium List 1 Accent 1"/>
    <w:basedOn w:val="TableNormal"/>
    <w:uiPriority w:val="65"/>
    <w:rsid w:val="00C7396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Grid1-Accent1">
    <w:name w:val="Medium Grid 1 Accent 1"/>
    <w:basedOn w:val="TableNormal"/>
    <w:uiPriority w:val="67"/>
    <w:rsid w:val="00C7396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NormalWeb">
    <w:name w:val="Normal (Web)"/>
    <w:basedOn w:val="Normal"/>
    <w:uiPriority w:val="99"/>
    <w:semiHidden/>
    <w:unhideWhenUsed/>
    <w:rsid w:val="00397360"/>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104D16"/>
    <w:rPr>
      <w:i/>
      <w:iCs/>
    </w:rPr>
  </w:style>
  <w:style w:type="paragraph" w:styleId="BalloonText">
    <w:name w:val="Balloon Text"/>
    <w:basedOn w:val="Normal"/>
    <w:link w:val="BalloonTextChar"/>
    <w:uiPriority w:val="99"/>
    <w:semiHidden/>
    <w:unhideWhenUsed/>
    <w:rsid w:val="00685E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5E24"/>
    <w:rPr>
      <w:rFonts w:ascii="Lucida Grande" w:hAnsi="Lucida Grande" w:cs="Lucida Grande"/>
      <w:sz w:val="18"/>
      <w:szCs w:val="18"/>
      <w:lang w:val="en-AU"/>
    </w:rPr>
  </w:style>
  <w:style w:type="paragraph" w:styleId="Header">
    <w:name w:val="header"/>
    <w:basedOn w:val="Normal"/>
    <w:link w:val="HeaderChar"/>
    <w:uiPriority w:val="99"/>
    <w:unhideWhenUsed/>
    <w:rsid w:val="00685E24"/>
    <w:pPr>
      <w:tabs>
        <w:tab w:val="center" w:pos="4320"/>
        <w:tab w:val="right" w:pos="8640"/>
      </w:tabs>
    </w:pPr>
  </w:style>
  <w:style w:type="character" w:customStyle="1" w:styleId="HeaderChar">
    <w:name w:val="Header Char"/>
    <w:basedOn w:val="DefaultParagraphFont"/>
    <w:link w:val="Header"/>
    <w:uiPriority w:val="99"/>
    <w:rsid w:val="00685E24"/>
    <w:rPr>
      <w:lang w:val="en-AU"/>
    </w:rPr>
  </w:style>
  <w:style w:type="paragraph" w:styleId="Footer">
    <w:name w:val="footer"/>
    <w:basedOn w:val="Normal"/>
    <w:link w:val="FooterChar"/>
    <w:uiPriority w:val="99"/>
    <w:unhideWhenUsed/>
    <w:rsid w:val="00685E24"/>
    <w:pPr>
      <w:tabs>
        <w:tab w:val="center" w:pos="4320"/>
        <w:tab w:val="right" w:pos="8640"/>
      </w:tabs>
    </w:pPr>
  </w:style>
  <w:style w:type="character" w:customStyle="1" w:styleId="FooterChar">
    <w:name w:val="Footer Char"/>
    <w:basedOn w:val="DefaultParagraphFont"/>
    <w:link w:val="Footer"/>
    <w:uiPriority w:val="99"/>
    <w:rsid w:val="00685E24"/>
    <w:rPr>
      <w:lang w:val="en-AU"/>
    </w:rPr>
  </w:style>
  <w:style w:type="character" w:styleId="PageNumber">
    <w:name w:val="page number"/>
    <w:basedOn w:val="DefaultParagraphFont"/>
    <w:uiPriority w:val="99"/>
    <w:semiHidden/>
    <w:unhideWhenUsed/>
    <w:rsid w:val="005D2674"/>
  </w:style>
  <w:style w:type="paragraph" w:styleId="Quote">
    <w:name w:val="Quote"/>
    <w:basedOn w:val="Normal"/>
    <w:next w:val="Normal"/>
    <w:link w:val="QuoteChar"/>
    <w:uiPriority w:val="29"/>
    <w:qFormat/>
    <w:rsid w:val="00104D16"/>
    <w:rPr>
      <w:i/>
      <w:iCs/>
      <w:color w:val="000000" w:themeColor="text1"/>
    </w:rPr>
  </w:style>
  <w:style w:type="character" w:customStyle="1" w:styleId="QuoteChar">
    <w:name w:val="Quote Char"/>
    <w:basedOn w:val="DefaultParagraphFont"/>
    <w:link w:val="Quote"/>
    <w:uiPriority w:val="29"/>
    <w:rsid w:val="00104D16"/>
    <w:rPr>
      <w:i/>
      <w:iCs/>
      <w:color w:val="000000" w:themeColor="text1"/>
    </w:rPr>
  </w:style>
  <w:style w:type="character" w:styleId="BookTitle">
    <w:name w:val="Book Title"/>
    <w:basedOn w:val="DefaultParagraphFont"/>
    <w:uiPriority w:val="33"/>
    <w:qFormat/>
    <w:rsid w:val="00104D16"/>
    <w:rPr>
      <w:b/>
      <w:bCs/>
      <w:smallCaps/>
      <w:spacing w:val="5"/>
    </w:rPr>
  </w:style>
  <w:style w:type="character" w:customStyle="1" w:styleId="Heading2Char">
    <w:name w:val="Heading 2 Char"/>
    <w:basedOn w:val="DefaultParagraphFont"/>
    <w:link w:val="Heading2"/>
    <w:uiPriority w:val="9"/>
    <w:semiHidden/>
    <w:rsid w:val="00104D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04D1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04D1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04D1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04D1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04D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04D1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04D16"/>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uiPriority w:val="22"/>
    <w:qFormat/>
    <w:rsid w:val="00104D16"/>
    <w:rPr>
      <w:b/>
      <w:bCs/>
    </w:rPr>
  </w:style>
  <w:style w:type="paragraph" w:styleId="NoSpacing">
    <w:name w:val="No Spacing"/>
    <w:uiPriority w:val="1"/>
    <w:qFormat/>
    <w:rsid w:val="00104D16"/>
    <w:pPr>
      <w:spacing w:after="0" w:line="240" w:lineRule="auto"/>
    </w:pPr>
  </w:style>
  <w:style w:type="paragraph" w:styleId="IntenseQuote">
    <w:name w:val="Intense Quote"/>
    <w:basedOn w:val="Normal"/>
    <w:next w:val="Normal"/>
    <w:link w:val="IntenseQuoteChar"/>
    <w:uiPriority w:val="30"/>
    <w:qFormat/>
    <w:rsid w:val="00104D1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04D16"/>
    <w:rPr>
      <w:b/>
      <w:bCs/>
      <w:i/>
      <w:iCs/>
      <w:color w:val="4F81BD" w:themeColor="accent1"/>
    </w:rPr>
  </w:style>
  <w:style w:type="character" w:styleId="SubtleEmphasis">
    <w:name w:val="Subtle Emphasis"/>
    <w:basedOn w:val="DefaultParagraphFont"/>
    <w:uiPriority w:val="19"/>
    <w:qFormat/>
    <w:rsid w:val="00104D16"/>
    <w:rPr>
      <w:i/>
      <w:iCs/>
      <w:color w:val="808080" w:themeColor="text1" w:themeTint="7F"/>
    </w:rPr>
  </w:style>
  <w:style w:type="character" w:styleId="IntenseEmphasis">
    <w:name w:val="Intense Emphasis"/>
    <w:basedOn w:val="DefaultParagraphFont"/>
    <w:uiPriority w:val="21"/>
    <w:qFormat/>
    <w:rsid w:val="00104D16"/>
    <w:rPr>
      <w:b/>
      <w:bCs/>
      <w:i/>
      <w:iCs/>
      <w:color w:val="4F81BD" w:themeColor="accent1"/>
    </w:rPr>
  </w:style>
  <w:style w:type="character" w:styleId="SubtleReference">
    <w:name w:val="Subtle Reference"/>
    <w:basedOn w:val="DefaultParagraphFont"/>
    <w:uiPriority w:val="31"/>
    <w:qFormat/>
    <w:rsid w:val="00104D16"/>
    <w:rPr>
      <w:smallCaps/>
      <w:color w:val="C0504D" w:themeColor="accent2"/>
      <w:u w:val="single"/>
    </w:rPr>
  </w:style>
  <w:style w:type="character" w:styleId="IntenseReference">
    <w:name w:val="Intense Reference"/>
    <w:basedOn w:val="DefaultParagraphFont"/>
    <w:uiPriority w:val="32"/>
    <w:qFormat/>
    <w:rsid w:val="00104D16"/>
    <w:rPr>
      <w:b/>
      <w:bCs/>
      <w:smallCaps/>
      <w:color w:val="C0504D" w:themeColor="accent2"/>
      <w:spacing w:val="5"/>
      <w:u w:val="single"/>
    </w:rPr>
  </w:style>
  <w:style w:type="paragraph" w:styleId="TOCHeading">
    <w:name w:val="TOC Heading"/>
    <w:basedOn w:val="Heading1"/>
    <w:next w:val="Normal"/>
    <w:uiPriority w:val="39"/>
    <w:semiHidden/>
    <w:unhideWhenUsed/>
    <w:qFormat/>
    <w:rsid w:val="00104D1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822299">
      <w:bodyDiv w:val="1"/>
      <w:marLeft w:val="0"/>
      <w:marRight w:val="0"/>
      <w:marTop w:val="0"/>
      <w:marBottom w:val="0"/>
      <w:divBdr>
        <w:top w:val="none" w:sz="0" w:space="0" w:color="auto"/>
        <w:left w:val="none" w:sz="0" w:space="0" w:color="auto"/>
        <w:bottom w:val="none" w:sz="0" w:space="0" w:color="auto"/>
        <w:right w:val="none" w:sz="0" w:space="0" w:color="auto"/>
      </w:divBdr>
    </w:div>
    <w:div w:id="1759599121">
      <w:bodyDiv w:val="1"/>
      <w:marLeft w:val="0"/>
      <w:marRight w:val="0"/>
      <w:marTop w:val="0"/>
      <w:marBottom w:val="0"/>
      <w:divBdr>
        <w:top w:val="none" w:sz="0" w:space="0" w:color="auto"/>
        <w:left w:val="none" w:sz="0" w:space="0" w:color="auto"/>
        <w:bottom w:val="none" w:sz="0" w:space="0" w:color="auto"/>
        <w:right w:val="none" w:sz="0" w:space="0" w:color="auto"/>
      </w:divBdr>
    </w:div>
    <w:div w:id="1814516972">
      <w:bodyDiv w:val="1"/>
      <w:marLeft w:val="0"/>
      <w:marRight w:val="0"/>
      <w:marTop w:val="0"/>
      <w:marBottom w:val="0"/>
      <w:divBdr>
        <w:top w:val="none" w:sz="0" w:space="0" w:color="auto"/>
        <w:left w:val="none" w:sz="0" w:space="0" w:color="auto"/>
        <w:bottom w:val="none" w:sz="0" w:space="0" w:color="auto"/>
        <w:right w:val="none" w:sz="0" w:space="0" w:color="auto"/>
      </w:divBdr>
      <w:divsChild>
        <w:div w:id="1716390197">
          <w:marLeft w:val="0"/>
          <w:marRight w:val="0"/>
          <w:marTop w:val="0"/>
          <w:marBottom w:val="0"/>
          <w:divBdr>
            <w:top w:val="none" w:sz="0" w:space="0" w:color="auto"/>
            <w:left w:val="none" w:sz="0" w:space="0" w:color="auto"/>
            <w:bottom w:val="none" w:sz="0" w:space="0" w:color="auto"/>
            <w:right w:val="none" w:sz="0" w:space="0" w:color="auto"/>
          </w:divBdr>
        </w:div>
        <w:div w:id="824323455">
          <w:marLeft w:val="0"/>
          <w:marRight w:val="0"/>
          <w:marTop w:val="0"/>
          <w:marBottom w:val="0"/>
          <w:divBdr>
            <w:top w:val="none" w:sz="0" w:space="0" w:color="auto"/>
            <w:left w:val="none" w:sz="0" w:space="0" w:color="auto"/>
            <w:bottom w:val="none" w:sz="0" w:space="0" w:color="auto"/>
            <w:right w:val="none" w:sz="0" w:space="0" w:color="auto"/>
          </w:divBdr>
        </w:div>
        <w:div w:id="10107626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hbr.org/1998/09/how-to-kill-creativity/ar/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en.wikipedia.org/wiki/Nathan_Rosenberg" TargetMode="External"/><Relationship Id="rId13" Type="http://schemas.openxmlformats.org/officeDocument/2006/relationships/hyperlink" Target="http://www.industry.gov.au/innovation/reportsandstudies/Documents/2010-11NSRCReport.pdf" TargetMode="External"/><Relationship Id="rId3" Type="http://schemas.openxmlformats.org/officeDocument/2006/relationships/hyperlink" Target="https://facultyaffairs-humsci.stanford.edu/chapter-4-promotion-full-tenure-line" TargetMode="External"/><Relationship Id="rId7" Type="http://schemas.openxmlformats.org/officeDocument/2006/relationships/hyperlink" Target="http://faculty.history.wisc.edu/hollingsworth/" TargetMode="External"/><Relationship Id="rId12" Type="http://schemas.openxmlformats.org/officeDocument/2006/relationships/hyperlink" Target="http://am.ascb.org/dora/" TargetMode="External"/><Relationship Id="rId2" Type="http://schemas.openxmlformats.org/officeDocument/2006/relationships/hyperlink" Target="https://submissions.education.gov.au/Forms/higher-education-research/Documents/Boosting%20Commercial%20Returns%20from%20Research%20%20-%2024102014.pdf" TargetMode="External"/><Relationship Id="rId16" Type="http://schemas.openxmlformats.org/officeDocument/2006/relationships/hyperlink" Target="http://www.bbc.co.uk/news/science-environment-11579949" TargetMode="External"/><Relationship Id="rId1" Type="http://schemas.openxmlformats.org/officeDocument/2006/relationships/hyperlink" Target="http://www.keepeek.com/Digital-Asset-Management/oecd/education/performance-based-funding-for-public-research-in-tertiary-education-institutions_9789264094611-en" TargetMode="External"/><Relationship Id="rId6" Type="http://schemas.openxmlformats.org/officeDocument/2006/relationships/hyperlink" Target="http://scholar.google.com/citations?view_op=search_authors&amp;hl=en&amp;mauthors=label:economics_of_innovation" TargetMode="External"/><Relationship Id="rId11" Type="http://schemas.openxmlformats.org/officeDocument/2006/relationships/hyperlink" Target="https://hbr.org/2012/04/balancing-the-four-factors-tha-1/" TargetMode="External"/><Relationship Id="rId5" Type="http://schemas.openxmlformats.org/officeDocument/2006/relationships/hyperlink" Target="http://en.wikipedia.org/wiki/Giovanni_Dosi" TargetMode="External"/><Relationship Id="rId15" Type="http://schemas.openxmlformats.org/officeDocument/2006/relationships/hyperlink" Target="http://www.afr.com/p/technology/it_left_out_in_australia_future_D2nc46aBoyKbBdWZcNwPnN" TargetMode="External"/><Relationship Id="rId10" Type="http://schemas.openxmlformats.org/officeDocument/2006/relationships/hyperlink" Target="http://www.speakersconnect.com/prof-gareth-jones-author-anyone-led-hk-june/" TargetMode="External"/><Relationship Id="rId4" Type="http://schemas.openxmlformats.org/officeDocument/2006/relationships/hyperlink" Target="http://www.chiefscientist.gov.au/wp-content/uploads/OPS2-OECD-for-web-FINAL.pdf" TargetMode="External"/><Relationship Id="rId9" Type="http://schemas.openxmlformats.org/officeDocument/2006/relationships/hyperlink" Target="http://faculty.london.edu/rgoffee/" TargetMode="External"/><Relationship Id="rId14" Type="http://schemas.openxmlformats.org/officeDocument/2006/relationships/hyperlink" Target="http://www.admin.cam.ac.uk/univ/so/pdfs/ordinance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Visibility xmlns="ed110c73-9675-4a40-bedd-85eaf2417466">Public</DocumentVisibility>
    <ApproverNotes xmlns="ed110c73-9675-4a40-bedd-85eaf2417466" xsi:nil="true"/>
    <DocumentStatus xmlns="ed110c73-9675-4a40-bedd-85eaf2417466">CompletedAccessible</DocumentStatus>
    <DocumentType xmlns="ed110c73-9675-4a40-bedd-85eaf2417466">SubmissionDoc</DocumentType>
    <SubmissionID xmlns="ed110c73-9675-4a40-bedd-85eaf2417466">BCR1400024</SubmissionID>
    <OriginalFileName xmlns="ed110c73-9675-4a40-bedd-85eaf2417466">NICTA.docx</OriginalFile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32659050105A4BB64EC7FE4940F188" ma:contentTypeVersion="6" ma:contentTypeDescription="Create a new document." ma:contentTypeScope="" ma:versionID="30af37d55298fa54ee7cc145298a8809">
  <xsd:schema xmlns:xsd="http://www.w3.org/2001/XMLSchema" xmlns:xs="http://www.w3.org/2001/XMLSchema" xmlns:p="http://schemas.microsoft.com/office/2006/metadata/properties" xmlns:ns2="ed110c73-9675-4a40-bedd-85eaf2417466" targetNamespace="http://schemas.microsoft.com/office/2006/metadata/properties" ma:root="true" ma:fieldsID="91248dea6c99aebf2c8210347db92905" ns2:_="">
    <xsd:import namespace="ed110c73-9675-4a40-bedd-85eaf2417466"/>
    <xsd:element name="properties">
      <xsd:complexType>
        <xsd:sequence>
          <xsd:element name="documentManagement">
            <xsd:complexType>
              <xsd:all>
                <xsd:element ref="ns2:SubmissionID"/>
                <xsd:element ref="ns2:DocumentType"/>
                <xsd:element ref="ns2:DocumentStatus"/>
                <xsd:element ref="ns2:DocumentVisibility"/>
                <xsd:element ref="ns2:ApproverNotes" minOccurs="0"/>
                <xsd:element ref="ns2: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0c73-9675-4a40-bedd-85eaf2417466" elementFormDefault="qualified">
    <xsd:import namespace="http://schemas.microsoft.com/office/2006/documentManagement/types"/>
    <xsd:import namespace="http://schemas.microsoft.com/office/infopath/2007/PartnerControls"/>
    <xsd:element name="SubmissionID" ma:index="8" ma:displayName="SubmissionID" ma:description="The matching SubmissionID for this document. Internal use only." ma:indexed="true" ma:internalName="SubmissionID">
      <xsd:simpleType>
        <xsd:restriction base="dms:Text"/>
      </xsd:simpleType>
    </xsd:element>
    <xsd:element name="DocumentType" ma:index="9" ma:displayName="DocumentType" ma:description="Indicates the document type." ma:internalName="DocumentType">
      <xsd:simpleType>
        <xsd:restriction base="dms:Choice">
          <xsd:enumeration value="SubmissionDoc"/>
          <xsd:enumeration value="AppendixDoc"/>
          <xsd:enumeration value="OtherDoc"/>
        </xsd:restriction>
      </xsd:simpleType>
    </xsd:element>
    <xsd:element name="DocumentStatus" ma:index="10" ma:displayName="DocumentStatus" ma:description="Indicates if the document is currently being processed or completed (accessible or not accessible or exempt)" ma:indexed="true" ma:internalName="DocumentStatus">
      <xsd:simpleType>
        <xsd:restriction base="dms:Choice">
          <xsd:enumeration value="Submitted"/>
          <xsd:enumeration value="Processing"/>
          <xsd:enumeration value="CompletedAccessible"/>
          <xsd:enumeration value="CompletedNotAccessible"/>
          <xsd:enumeration value="CompletedNotAccessibleExempt"/>
          <xsd:enumeration value="CompletedPrivate"/>
          <xsd:enumeration value="Declined"/>
          <xsd:enumeration value="Withdrawn"/>
        </xsd:restriction>
      </xsd:simpleType>
    </xsd:element>
    <xsd:element name="DocumentVisibility" ma:index="11" ma:displayName="DocumentVisibility" ma:description="Indicates whether the document can be seen publically. Internal use only." ma:internalName="DocumentVisibility">
      <xsd:simpleType>
        <xsd:restriction base="dms:Choice">
          <xsd:enumeration value="Public"/>
          <xsd:enumeration value="Hidden"/>
        </xsd:restriction>
      </xsd:simpleType>
    </xsd:element>
    <xsd:element name="ApproverNotes" ma:index="12" nillable="true" ma:displayName="ApproverNotes" ma:description="For adhoc comments by Approvers as required" ma:internalName="ApproverNotes">
      <xsd:simpleType>
        <xsd:restriction base="dms:Note">
          <xsd:maxLength value="255"/>
        </xsd:restriction>
      </xsd:simpleType>
    </xsd:element>
    <xsd:element name="OriginalFileName" ma:index="13" nillable="true" ma:displayName="OriginalFileName" ma:description="The original uploaded filename. Internal use only." ma:internalName="Original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04113-137B-4501-A4BF-DFDEDB4D9F44}"/>
</file>

<file path=customXml/itemProps2.xml><?xml version="1.0" encoding="utf-8"?>
<ds:datastoreItem xmlns:ds="http://schemas.openxmlformats.org/officeDocument/2006/customXml" ds:itemID="{93A0F3E3-7DB1-4E6D-913A-0EE1C7133286}"/>
</file>

<file path=customXml/itemProps3.xml><?xml version="1.0" encoding="utf-8"?>
<ds:datastoreItem xmlns:ds="http://schemas.openxmlformats.org/officeDocument/2006/customXml" ds:itemID="{DC6C717B-F409-48F6-AFCA-DF50B1A8243E}"/>
</file>

<file path=customXml/itemProps4.xml><?xml version="1.0" encoding="utf-8"?>
<ds:datastoreItem xmlns:ds="http://schemas.openxmlformats.org/officeDocument/2006/customXml" ds:itemID="{60A8A060-3B44-42B0-9C4B-26156D253A55}"/>
</file>

<file path=docProps/app.xml><?xml version="1.0" encoding="utf-8"?>
<Properties xmlns="http://schemas.openxmlformats.org/officeDocument/2006/extended-properties" xmlns:vt="http://schemas.openxmlformats.org/officeDocument/2006/docPropsVTypes">
  <Template>1D27A166.dotm</Template>
  <TotalTime>49</TotalTime>
  <Pages>19</Pages>
  <Words>5511</Words>
  <Characters>31416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1_Boosting_the_commercial_return_NICTA_27112014_BCR1400024.docx</vt:lpstr>
    </vt:vector>
  </TitlesOfParts>
  <Company>NICTA</Company>
  <LinksUpToDate>false</LinksUpToDate>
  <CharactersWithSpaces>36854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1_Boosting_the_commercial_return_NICTA_27112014_BCR1400024.docx</dc:title>
  <dc:creator>Robert Williamson</dc:creator>
  <cp:lastModifiedBy>Joyce Hotchkis</cp:lastModifiedBy>
  <cp:revision>5</cp:revision>
  <cp:lastPrinted>2015-02-26T01:22:00Z</cp:lastPrinted>
  <dcterms:created xsi:type="dcterms:W3CDTF">2014-11-27T06:05:00Z</dcterms:created>
  <dcterms:modified xsi:type="dcterms:W3CDTF">2015-02-26T01:22:00Z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0x0101009532659050105A4BB64EC7FE4940F188</vt:lpwstr>
  </property>
</Properties>
</file>