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AEFC" w14:textId="77777777" w:rsidR="007A24A7" w:rsidRDefault="00A81DFD" w:rsidP="007A24A7">
      <w:pPr>
        <w:spacing w:line="276" w:lineRule="auto"/>
        <w:rPr>
          <w:rFonts w:asciiTheme="minorHAnsi" w:hAnsiTheme="minorHAnsi" w:cstheme="minorHAnsi"/>
          <w:b/>
          <w:sz w:val="26"/>
          <w:szCs w:val="26"/>
        </w:rPr>
      </w:pPr>
      <w:r w:rsidRPr="00531CD7">
        <w:rPr>
          <w:rFonts w:asciiTheme="minorHAnsi" w:hAnsiTheme="minorHAnsi" w:cstheme="minorHAnsi"/>
          <w:b/>
          <w:sz w:val="26"/>
          <w:szCs w:val="26"/>
        </w:rPr>
        <w:t xml:space="preserve">Submission on </w:t>
      </w:r>
      <w:r w:rsidR="007A24A7">
        <w:rPr>
          <w:rFonts w:asciiTheme="minorHAnsi" w:hAnsiTheme="minorHAnsi" w:cstheme="minorHAnsi"/>
          <w:b/>
          <w:sz w:val="26"/>
          <w:szCs w:val="26"/>
        </w:rPr>
        <w:t xml:space="preserve">Performance-based funding for the </w:t>
      </w:r>
    </w:p>
    <w:p w14:paraId="2649DFEC" w14:textId="265BCBD0" w:rsidR="00A81DFD" w:rsidRPr="00531CD7" w:rsidRDefault="007A24A7" w:rsidP="007A24A7">
      <w:pPr>
        <w:spacing w:line="276" w:lineRule="auto"/>
        <w:rPr>
          <w:rFonts w:asciiTheme="minorHAnsi" w:hAnsiTheme="minorHAnsi" w:cstheme="minorHAnsi"/>
          <w:b/>
          <w:sz w:val="26"/>
          <w:szCs w:val="26"/>
        </w:rPr>
      </w:pPr>
      <w:r>
        <w:rPr>
          <w:rFonts w:asciiTheme="minorHAnsi" w:hAnsiTheme="minorHAnsi" w:cstheme="minorHAnsi"/>
          <w:b/>
          <w:sz w:val="26"/>
          <w:szCs w:val="26"/>
        </w:rPr>
        <w:t xml:space="preserve">Commonwealth Grant Scheme </w:t>
      </w:r>
      <w:r w:rsidR="00924833">
        <w:rPr>
          <w:rFonts w:asciiTheme="minorHAnsi" w:hAnsiTheme="minorHAnsi" w:cstheme="minorHAnsi"/>
          <w:b/>
          <w:sz w:val="26"/>
          <w:szCs w:val="26"/>
        </w:rPr>
        <w:t>Discussion P</w:t>
      </w:r>
      <w:r>
        <w:rPr>
          <w:rFonts w:asciiTheme="minorHAnsi" w:hAnsiTheme="minorHAnsi" w:cstheme="minorHAnsi"/>
          <w:b/>
          <w:sz w:val="26"/>
          <w:szCs w:val="26"/>
        </w:rPr>
        <w:t>aper</w:t>
      </w:r>
    </w:p>
    <w:p w14:paraId="3B3C61AE" w14:textId="5D6BAF8D" w:rsidR="00A81DFD" w:rsidRPr="00A178D8" w:rsidRDefault="00A178D8" w:rsidP="00BA1A1B">
      <w:pPr>
        <w:spacing w:line="276" w:lineRule="auto"/>
        <w:jc w:val="both"/>
        <w:rPr>
          <w:rFonts w:asciiTheme="minorHAnsi" w:hAnsiTheme="minorHAnsi" w:cstheme="minorHAnsi"/>
          <w:sz w:val="26"/>
          <w:szCs w:val="26"/>
        </w:rPr>
      </w:pPr>
      <w:r w:rsidRPr="00A178D8">
        <w:rPr>
          <w:rFonts w:asciiTheme="minorHAnsi" w:hAnsiTheme="minorHAnsi" w:cstheme="minorHAnsi"/>
          <w:sz w:val="26"/>
          <w:szCs w:val="26"/>
        </w:rPr>
        <w:t>University of the Sunshine Coast</w:t>
      </w:r>
    </w:p>
    <w:p w14:paraId="1629A1B4" w14:textId="56452523" w:rsidR="00A178D8" w:rsidRPr="00A178D8" w:rsidRDefault="00A178D8" w:rsidP="00BA1A1B">
      <w:pPr>
        <w:spacing w:line="276" w:lineRule="auto"/>
        <w:jc w:val="both"/>
        <w:rPr>
          <w:rFonts w:asciiTheme="minorHAnsi" w:hAnsiTheme="minorHAnsi" w:cstheme="minorHAnsi"/>
          <w:sz w:val="26"/>
          <w:szCs w:val="26"/>
        </w:rPr>
      </w:pPr>
      <w:r w:rsidRPr="00A178D8">
        <w:rPr>
          <w:rFonts w:asciiTheme="minorHAnsi" w:hAnsiTheme="minorHAnsi" w:cstheme="minorHAnsi"/>
          <w:sz w:val="26"/>
          <w:szCs w:val="26"/>
        </w:rPr>
        <w:t>1</w:t>
      </w:r>
      <w:r w:rsidR="0030087D">
        <w:rPr>
          <w:rFonts w:asciiTheme="minorHAnsi" w:hAnsiTheme="minorHAnsi" w:cstheme="minorHAnsi"/>
          <w:sz w:val="26"/>
          <w:szCs w:val="26"/>
        </w:rPr>
        <w:t>5</w:t>
      </w:r>
      <w:r w:rsidRPr="00A178D8">
        <w:rPr>
          <w:rFonts w:asciiTheme="minorHAnsi" w:hAnsiTheme="minorHAnsi" w:cstheme="minorHAnsi"/>
          <w:sz w:val="26"/>
          <w:szCs w:val="26"/>
        </w:rPr>
        <w:t xml:space="preserve"> February 2019</w:t>
      </w:r>
    </w:p>
    <w:p w14:paraId="2253AF86" w14:textId="77777777" w:rsidR="00A178D8" w:rsidRDefault="00A178D8" w:rsidP="00BA1A1B">
      <w:pPr>
        <w:spacing w:line="276" w:lineRule="auto"/>
        <w:jc w:val="both"/>
        <w:rPr>
          <w:rFonts w:asciiTheme="minorHAnsi" w:hAnsiTheme="minorHAnsi" w:cstheme="minorHAnsi"/>
          <w:b/>
          <w:sz w:val="26"/>
          <w:szCs w:val="26"/>
        </w:rPr>
      </w:pPr>
    </w:p>
    <w:p w14:paraId="3DFD3AB0" w14:textId="45202505" w:rsidR="002770D9" w:rsidRPr="00741F40" w:rsidRDefault="00734632" w:rsidP="00BA1A1B">
      <w:pPr>
        <w:pStyle w:val="Heading1"/>
        <w:spacing w:before="0" w:after="0" w:line="276" w:lineRule="auto"/>
        <w:jc w:val="both"/>
        <w:rPr>
          <w:rFonts w:cstheme="minorHAnsi"/>
          <w:sz w:val="22"/>
          <w:szCs w:val="22"/>
        </w:rPr>
      </w:pPr>
      <w:r w:rsidRPr="00741F40">
        <w:rPr>
          <w:rFonts w:cstheme="minorHAnsi"/>
          <w:sz w:val="22"/>
          <w:szCs w:val="22"/>
        </w:rPr>
        <w:t>Introductory Comments</w:t>
      </w:r>
      <w:r w:rsidR="00C47B59">
        <w:rPr>
          <w:rFonts w:cstheme="minorHAnsi"/>
          <w:sz w:val="22"/>
          <w:szCs w:val="22"/>
        </w:rPr>
        <w:t xml:space="preserve"> and Context</w:t>
      </w:r>
    </w:p>
    <w:p w14:paraId="3091A5CC" w14:textId="77777777" w:rsidR="00730C42" w:rsidRPr="00730C42" w:rsidRDefault="00D43DA6" w:rsidP="00730C42">
      <w:pPr>
        <w:spacing w:line="276" w:lineRule="auto"/>
        <w:jc w:val="both"/>
        <w:rPr>
          <w:rFonts w:asciiTheme="minorHAnsi" w:hAnsiTheme="minorHAnsi" w:cstheme="minorHAnsi"/>
          <w:sz w:val="22"/>
          <w:szCs w:val="22"/>
        </w:rPr>
      </w:pPr>
      <w:r>
        <w:rPr>
          <w:rFonts w:asciiTheme="minorHAnsi" w:hAnsiTheme="minorHAnsi" w:cstheme="minorHAnsi"/>
          <w:sz w:val="22"/>
          <w:szCs w:val="22"/>
        </w:rPr>
        <w:t>USC welcomes the opportunity to provide input to the consultation on the</w:t>
      </w:r>
      <w:r w:rsidR="00730C42">
        <w:rPr>
          <w:rFonts w:asciiTheme="minorHAnsi" w:hAnsiTheme="minorHAnsi" w:cstheme="minorHAnsi"/>
          <w:sz w:val="22"/>
          <w:szCs w:val="22"/>
        </w:rPr>
        <w:t xml:space="preserve"> </w:t>
      </w:r>
      <w:r w:rsidR="00730C42" w:rsidRPr="00730C42">
        <w:rPr>
          <w:rFonts w:asciiTheme="minorHAnsi" w:hAnsiTheme="minorHAnsi" w:cstheme="minorHAnsi"/>
          <w:sz w:val="22"/>
          <w:szCs w:val="22"/>
        </w:rPr>
        <w:t xml:space="preserve">Performance-based funding for the </w:t>
      </w:r>
    </w:p>
    <w:p w14:paraId="2EF9B54D" w14:textId="2F2A31C8" w:rsidR="002E6982" w:rsidRDefault="00730C42" w:rsidP="00730C42">
      <w:pPr>
        <w:spacing w:line="276" w:lineRule="auto"/>
        <w:jc w:val="both"/>
        <w:rPr>
          <w:rFonts w:asciiTheme="minorHAnsi" w:hAnsiTheme="minorHAnsi" w:cstheme="minorHAnsi"/>
          <w:sz w:val="22"/>
          <w:szCs w:val="22"/>
        </w:rPr>
      </w:pPr>
      <w:r w:rsidRPr="00730C42">
        <w:rPr>
          <w:rFonts w:asciiTheme="minorHAnsi" w:hAnsiTheme="minorHAnsi" w:cstheme="minorHAnsi"/>
          <w:sz w:val="22"/>
          <w:szCs w:val="22"/>
        </w:rPr>
        <w:t>Commonwealth Grant Scheme discussion paper</w:t>
      </w:r>
      <w:r w:rsidR="00D43DA6">
        <w:rPr>
          <w:rFonts w:asciiTheme="minorHAnsi" w:hAnsiTheme="minorHAnsi" w:cstheme="minorHAnsi"/>
          <w:sz w:val="22"/>
          <w:szCs w:val="22"/>
        </w:rPr>
        <w:t xml:space="preserve">.  </w:t>
      </w:r>
    </w:p>
    <w:p w14:paraId="560BB808" w14:textId="22AE8FAD" w:rsidR="002E6982" w:rsidRDefault="002E6982" w:rsidP="00BA1A1B">
      <w:pPr>
        <w:spacing w:line="276" w:lineRule="auto"/>
        <w:jc w:val="both"/>
        <w:rPr>
          <w:rFonts w:asciiTheme="minorHAnsi" w:hAnsiTheme="minorHAnsi" w:cstheme="minorHAnsi"/>
          <w:sz w:val="22"/>
          <w:szCs w:val="22"/>
        </w:rPr>
      </w:pPr>
    </w:p>
    <w:p w14:paraId="3BD5B33A" w14:textId="5BB82A2A" w:rsidR="003424AC" w:rsidRDefault="00924833" w:rsidP="00BA1A1B">
      <w:pPr>
        <w:spacing w:line="276" w:lineRule="auto"/>
        <w:jc w:val="both"/>
        <w:rPr>
          <w:rFonts w:asciiTheme="minorHAnsi" w:hAnsiTheme="minorHAnsi" w:cstheme="minorHAnsi"/>
          <w:sz w:val="22"/>
          <w:szCs w:val="22"/>
        </w:rPr>
      </w:pPr>
      <w:r>
        <w:rPr>
          <w:rFonts w:asciiTheme="minorHAnsi" w:hAnsiTheme="minorHAnsi" w:cstheme="minorHAnsi"/>
          <w:sz w:val="22"/>
          <w:szCs w:val="22"/>
        </w:rPr>
        <w:t>As a general comment, the topics covered in the Discussion Paper are expansive.  The discussion relating to operation of a scheme, including those related to technical and legislative</w:t>
      </w:r>
      <w:r w:rsidR="003424AC">
        <w:rPr>
          <w:rFonts w:asciiTheme="minorHAnsi" w:hAnsiTheme="minorHAnsi" w:cstheme="minorHAnsi"/>
          <w:sz w:val="22"/>
          <w:szCs w:val="22"/>
        </w:rPr>
        <w:t xml:space="preserve"> aspects</w:t>
      </w:r>
      <w:r>
        <w:rPr>
          <w:rFonts w:asciiTheme="minorHAnsi" w:hAnsiTheme="minorHAnsi" w:cstheme="minorHAnsi"/>
          <w:sz w:val="22"/>
          <w:szCs w:val="22"/>
        </w:rPr>
        <w:t>, are given appropriate consideration.  The question of “performance” is</w:t>
      </w:r>
      <w:r w:rsidR="003424AC">
        <w:rPr>
          <w:rFonts w:asciiTheme="minorHAnsi" w:hAnsiTheme="minorHAnsi" w:cstheme="minorHAnsi"/>
          <w:sz w:val="22"/>
          <w:szCs w:val="22"/>
        </w:rPr>
        <w:t xml:space="preserve"> the more difficult matter.</w:t>
      </w:r>
    </w:p>
    <w:p w14:paraId="6F55E17F" w14:textId="77777777" w:rsidR="003424AC" w:rsidRDefault="003424AC" w:rsidP="00BA1A1B">
      <w:pPr>
        <w:spacing w:line="276" w:lineRule="auto"/>
        <w:jc w:val="both"/>
        <w:rPr>
          <w:rFonts w:asciiTheme="minorHAnsi" w:hAnsiTheme="minorHAnsi" w:cstheme="minorHAnsi"/>
          <w:sz w:val="22"/>
          <w:szCs w:val="22"/>
        </w:rPr>
      </w:pPr>
    </w:p>
    <w:p w14:paraId="4A49393A" w14:textId="456D1072" w:rsidR="00761A92" w:rsidRDefault="003424AC" w:rsidP="00761A92">
      <w:pPr>
        <w:spacing w:line="276" w:lineRule="auto"/>
        <w:jc w:val="both"/>
        <w:rPr>
          <w:rFonts w:asciiTheme="minorHAnsi" w:hAnsiTheme="minorHAnsi" w:cstheme="minorHAnsi"/>
          <w:sz w:val="22"/>
          <w:szCs w:val="22"/>
        </w:rPr>
      </w:pPr>
      <w:r>
        <w:rPr>
          <w:rFonts w:asciiTheme="minorHAnsi" w:hAnsiTheme="minorHAnsi" w:cstheme="minorHAnsi"/>
          <w:sz w:val="22"/>
          <w:szCs w:val="22"/>
        </w:rPr>
        <w:t>The Discussion Paper references the di</w:t>
      </w:r>
      <w:r w:rsidR="004A30EB">
        <w:rPr>
          <w:rFonts w:asciiTheme="minorHAnsi" w:hAnsiTheme="minorHAnsi" w:cstheme="minorHAnsi"/>
          <w:sz w:val="22"/>
          <w:szCs w:val="22"/>
        </w:rPr>
        <w:t>fferent roles of different universities</w:t>
      </w:r>
      <w:r>
        <w:rPr>
          <w:rFonts w:asciiTheme="minorHAnsi" w:hAnsiTheme="minorHAnsi" w:cstheme="minorHAnsi"/>
          <w:sz w:val="22"/>
          <w:szCs w:val="22"/>
        </w:rPr>
        <w:t xml:space="preserve">.  As context to our response, USC would like to expand slightly on this them.  Of interest is the difference in </w:t>
      </w:r>
      <w:r w:rsidR="004A30EB">
        <w:rPr>
          <w:rFonts w:asciiTheme="minorHAnsi" w:hAnsiTheme="minorHAnsi" w:cstheme="minorHAnsi"/>
          <w:sz w:val="22"/>
          <w:szCs w:val="22"/>
        </w:rPr>
        <w:t>maturity of metropolitan and regional engagement with tertiary education, and of the potential to lock-in educational disadvantage with a “one size fits all”</w:t>
      </w:r>
      <w:r>
        <w:rPr>
          <w:rFonts w:asciiTheme="minorHAnsi" w:hAnsiTheme="minorHAnsi" w:cstheme="minorHAnsi"/>
          <w:sz w:val="22"/>
          <w:szCs w:val="22"/>
        </w:rPr>
        <w:t xml:space="preserve"> approach to funding only new (population-driven) demand</w:t>
      </w:r>
      <w:r w:rsidR="00761A92">
        <w:rPr>
          <w:rFonts w:asciiTheme="minorHAnsi" w:hAnsiTheme="minorHAnsi" w:cstheme="minorHAnsi"/>
          <w:sz w:val="22"/>
          <w:szCs w:val="22"/>
        </w:rPr>
        <w:t>.</w:t>
      </w:r>
      <w:r>
        <w:rPr>
          <w:rFonts w:asciiTheme="minorHAnsi" w:hAnsiTheme="minorHAnsi" w:cstheme="minorHAnsi"/>
          <w:sz w:val="22"/>
          <w:szCs w:val="22"/>
        </w:rPr>
        <w:t xml:space="preserve">  Even more broadly, t</w:t>
      </w:r>
      <w:r w:rsidR="00761A92" w:rsidRPr="00761A92">
        <w:rPr>
          <w:rFonts w:asciiTheme="minorHAnsi" w:hAnsiTheme="minorHAnsi" w:cstheme="minorHAnsi"/>
          <w:sz w:val="22"/>
          <w:szCs w:val="22"/>
        </w:rPr>
        <w:t>he alignment of economic, social and education p</w:t>
      </w:r>
      <w:r w:rsidR="00761A92">
        <w:rPr>
          <w:rFonts w:asciiTheme="minorHAnsi" w:hAnsiTheme="minorHAnsi" w:cstheme="minorHAnsi"/>
          <w:sz w:val="22"/>
          <w:szCs w:val="22"/>
        </w:rPr>
        <w:t>olicies is challenging, but its necessity comes to the fore when considering the potential for a change in institutional behaviour and priority setting (as will inevitably happen with “performance” is defined in a variable funding model).</w:t>
      </w:r>
    </w:p>
    <w:p w14:paraId="57D2E02D" w14:textId="4FEEF843" w:rsidR="00627051" w:rsidRDefault="00627051" w:rsidP="00761A92">
      <w:pPr>
        <w:spacing w:line="276" w:lineRule="auto"/>
        <w:jc w:val="both"/>
        <w:rPr>
          <w:rFonts w:asciiTheme="minorHAnsi" w:hAnsiTheme="minorHAnsi" w:cstheme="minorHAnsi"/>
          <w:sz w:val="22"/>
          <w:szCs w:val="22"/>
        </w:rPr>
      </w:pPr>
    </w:p>
    <w:p w14:paraId="7AFEBA0B" w14:textId="619C1CA6" w:rsidR="00BB2CCF" w:rsidRDefault="00627051" w:rsidP="00761A9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Performance funding for the CGS </w:t>
      </w:r>
      <w:r w:rsidR="003556CB">
        <w:rPr>
          <w:rFonts w:asciiTheme="minorHAnsi" w:hAnsiTheme="minorHAnsi" w:cstheme="minorHAnsi"/>
          <w:sz w:val="22"/>
          <w:szCs w:val="22"/>
        </w:rPr>
        <w:t>must relate to educational outcomes.</w:t>
      </w:r>
      <w:r w:rsidR="003B3C01">
        <w:rPr>
          <w:rFonts w:asciiTheme="minorHAnsi" w:hAnsiTheme="minorHAnsi" w:cstheme="minorHAnsi"/>
          <w:sz w:val="22"/>
          <w:szCs w:val="22"/>
        </w:rPr>
        <w:t xml:space="preserve">  However, allocation of new student load must balance new demand (population growth), latent demand (catchment educational disadvantage) and university strategic direction.</w:t>
      </w:r>
      <w:r w:rsidR="003556CB">
        <w:rPr>
          <w:rFonts w:asciiTheme="minorHAnsi" w:hAnsiTheme="minorHAnsi" w:cstheme="minorHAnsi"/>
          <w:sz w:val="22"/>
          <w:szCs w:val="22"/>
        </w:rPr>
        <w:t xml:space="preserve">  In this context, a</w:t>
      </w:r>
      <w:r w:rsidR="00BB2CCF">
        <w:rPr>
          <w:rFonts w:asciiTheme="minorHAnsi" w:hAnsiTheme="minorHAnsi" w:cstheme="minorHAnsi"/>
          <w:sz w:val="22"/>
          <w:szCs w:val="22"/>
        </w:rPr>
        <w:t xml:space="preserve">t the simplest level, </w:t>
      </w:r>
      <w:r w:rsidR="008914B6">
        <w:rPr>
          <w:rFonts w:asciiTheme="minorHAnsi" w:hAnsiTheme="minorHAnsi" w:cstheme="minorHAnsi"/>
          <w:sz w:val="22"/>
          <w:szCs w:val="22"/>
        </w:rPr>
        <w:t>consider</w:t>
      </w:r>
      <w:r w:rsidR="00BB2CCF">
        <w:rPr>
          <w:rFonts w:asciiTheme="minorHAnsi" w:hAnsiTheme="minorHAnsi" w:cstheme="minorHAnsi"/>
          <w:sz w:val="22"/>
          <w:szCs w:val="22"/>
        </w:rPr>
        <w:t xml:space="preserve"> several different “types” of university:</w:t>
      </w:r>
    </w:p>
    <w:p w14:paraId="5C1F3A40" w14:textId="350A9C91" w:rsidR="00BB2CCF" w:rsidRDefault="00BB2CCF" w:rsidP="00761A92">
      <w:pPr>
        <w:spacing w:line="276" w:lineRule="auto"/>
        <w:jc w:val="both"/>
        <w:rPr>
          <w:rFonts w:asciiTheme="minorHAnsi" w:hAnsiTheme="minorHAnsi" w:cstheme="minorHAnsi"/>
          <w:sz w:val="22"/>
          <w:szCs w:val="22"/>
        </w:rPr>
      </w:pPr>
    </w:p>
    <w:p w14:paraId="73252F0E" w14:textId="4C4E3B60" w:rsidR="00BB2CCF" w:rsidRDefault="00BB2CCF" w:rsidP="00BB2CCF">
      <w:pPr>
        <w:pStyle w:val="ListParagraph"/>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Research universities (largely Go8).  These institutions provide international, national and state </w:t>
      </w:r>
      <w:r w:rsidR="001D5906">
        <w:rPr>
          <w:rFonts w:asciiTheme="minorHAnsi" w:hAnsiTheme="minorHAnsi" w:cstheme="minorHAnsi"/>
          <w:sz w:val="22"/>
          <w:szCs w:val="22"/>
        </w:rPr>
        <w:t xml:space="preserve">academic and research </w:t>
      </w:r>
      <w:r>
        <w:rPr>
          <w:rFonts w:asciiTheme="minorHAnsi" w:hAnsiTheme="minorHAnsi" w:cstheme="minorHAnsi"/>
          <w:sz w:val="22"/>
          <w:szCs w:val="22"/>
        </w:rPr>
        <w:t>leadership, and are fundamental to having a competitive nation.  Market research show</w:t>
      </w:r>
      <w:r w:rsidR="003556CB">
        <w:rPr>
          <w:rFonts w:asciiTheme="minorHAnsi" w:hAnsiTheme="minorHAnsi" w:cstheme="minorHAnsi"/>
          <w:sz w:val="22"/>
          <w:szCs w:val="22"/>
        </w:rPr>
        <w:t>s</w:t>
      </w:r>
      <w:r>
        <w:rPr>
          <w:rFonts w:asciiTheme="minorHAnsi" w:hAnsiTheme="minorHAnsi" w:cstheme="minorHAnsi"/>
          <w:sz w:val="22"/>
          <w:szCs w:val="22"/>
        </w:rPr>
        <w:t xml:space="preserve"> that students who select these </w:t>
      </w:r>
      <w:r w:rsidR="003556CB">
        <w:rPr>
          <w:rFonts w:asciiTheme="minorHAnsi" w:hAnsiTheme="minorHAnsi" w:cstheme="minorHAnsi"/>
          <w:sz w:val="22"/>
          <w:szCs w:val="22"/>
        </w:rPr>
        <w:t xml:space="preserve">universities </w:t>
      </w:r>
      <w:r w:rsidR="00005BEC">
        <w:rPr>
          <w:rFonts w:asciiTheme="minorHAnsi" w:hAnsiTheme="minorHAnsi" w:cstheme="minorHAnsi"/>
          <w:sz w:val="22"/>
          <w:szCs w:val="22"/>
        </w:rPr>
        <w:t xml:space="preserve">are motivated by perceptions of institutional status, quality of facilities and academic staff, and the idea of an “elite” institution.  </w:t>
      </w:r>
      <w:r w:rsidR="00BB7577">
        <w:rPr>
          <w:rFonts w:asciiTheme="minorHAnsi" w:hAnsiTheme="minorHAnsi" w:cstheme="minorHAnsi"/>
          <w:sz w:val="22"/>
          <w:szCs w:val="22"/>
        </w:rPr>
        <w:t>These universities do not operate in areas of education disadvantage, and growth linked to national trends (or less) seems intuitively sensible.</w:t>
      </w:r>
      <w:r w:rsidR="00420E1B">
        <w:rPr>
          <w:rFonts w:asciiTheme="minorHAnsi" w:hAnsiTheme="minorHAnsi" w:cstheme="minorHAnsi"/>
          <w:sz w:val="22"/>
          <w:szCs w:val="22"/>
        </w:rPr>
        <w:t xml:space="preserve">  The stereotype of undergraduate teaching quality being of less important than research quality can be checked with some form of teaching performance measure (</w:t>
      </w:r>
      <w:r w:rsidR="002F7D75">
        <w:rPr>
          <w:rFonts w:asciiTheme="minorHAnsi" w:hAnsiTheme="minorHAnsi" w:cstheme="minorHAnsi"/>
          <w:sz w:val="22"/>
          <w:szCs w:val="22"/>
        </w:rPr>
        <w:t>e.g.</w:t>
      </w:r>
      <w:r w:rsidR="00420E1B">
        <w:rPr>
          <w:rFonts w:asciiTheme="minorHAnsi" w:hAnsiTheme="minorHAnsi" w:cstheme="minorHAnsi"/>
          <w:sz w:val="22"/>
          <w:szCs w:val="22"/>
        </w:rPr>
        <w:t xml:space="preserve"> QILT data).</w:t>
      </w:r>
    </w:p>
    <w:p w14:paraId="5ABB94B8" w14:textId="513C2FE2" w:rsidR="00BB7577" w:rsidRDefault="0020448D" w:rsidP="00BB2CCF">
      <w:pPr>
        <w:pStyle w:val="ListParagraph"/>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Emp</w:t>
      </w:r>
      <w:r w:rsidR="004A3BC7">
        <w:rPr>
          <w:rFonts w:asciiTheme="minorHAnsi" w:hAnsiTheme="minorHAnsi" w:cstheme="minorHAnsi"/>
          <w:sz w:val="22"/>
          <w:szCs w:val="22"/>
        </w:rPr>
        <w:t xml:space="preserve">loyment-focussed universities.  Students select these on the basis of </w:t>
      </w:r>
      <w:r w:rsidR="00FA7052">
        <w:rPr>
          <w:rFonts w:asciiTheme="minorHAnsi" w:hAnsiTheme="minorHAnsi" w:cstheme="minorHAnsi"/>
          <w:sz w:val="22"/>
          <w:szCs w:val="22"/>
        </w:rPr>
        <w:t>course offerings, location, perceptions of graduate employment outcomes, entry standards and support.  These universities can be grouped into three sets:</w:t>
      </w:r>
    </w:p>
    <w:p w14:paraId="0D05C639" w14:textId="07EE3766" w:rsidR="00FA7052" w:rsidRDefault="00FA7052" w:rsidP="00FA7052">
      <w:pPr>
        <w:pStyle w:val="ListParagraph"/>
        <w:numPr>
          <w:ilvl w:val="1"/>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Universities in metropolitan settings.  </w:t>
      </w:r>
      <w:r w:rsidR="001D5906">
        <w:rPr>
          <w:rFonts w:asciiTheme="minorHAnsi" w:hAnsiTheme="minorHAnsi" w:cstheme="minorHAnsi"/>
          <w:sz w:val="22"/>
          <w:szCs w:val="22"/>
        </w:rPr>
        <w:t>Growth of t</w:t>
      </w:r>
      <w:r>
        <w:rPr>
          <w:rFonts w:asciiTheme="minorHAnsi" w:hAnsiTheme="minorHAnsi" w:cstheme="minorHAnsi"/>
          <w:sz w:val="22"/>
          <w:szCs w:val="22"/>
        </w:rPr>
        <w:t>hese universities</w:t>
      </w:r>
      <w:r w:rsidR="001D5906">
        <w:rPr>
          <w:rFonts w:asciiTheme="minorHAnsi" w:hAnsiTheme="minorHAnsi" w:cstheme="minorHAnsi"/>
          <w:sz w:val="22"/>
          <w:szCs w:val="22"/>
        </w:rPr>
        <w:t xml:space="preserve"> is influenced by </w:t>
      </w:r>
      <w:r>
        <w:rPr>
          <w:rFonts w:asciiTheme="minorHAnsi" w:hAnsiTheme="minorHAnsi" w:cstheme="minorHAnsi"/>
          <w:sz w:val="22"/>
          <w:szCs w:val="22"/>
        </w:rPr>
        <w:t xml:space="preserve">organisational decision making – for example, Swinburne has been one of the fastest growing universities, </w:t>
      </w:r>
      <w:r w:rsidR="001D5906">
        <w:rPr>
          <w:rFonts w:asciiTheme="minorHAnsi" w:hAnsiTheme="minorHAnsi" w:cstheme="minorHAnsi"/>
          <w:sz w:val="22"/>
          <w:szCs w:val="22"/>
        </w:rPr>
        <w:t>while in the same catchment</w:t>
      </w:r>
      <w:r>
        <w:rPr>
          <w:rFonts w:asciiTheme="minorHAnsi" w:hAnsiTheme="minorHAnsi" w:cstheme="minorHAnsi"/>
          <w:sz w:val="22"/>
          <w:szCs w:val="22"/>
        </w:rPr>
        <w:t xml:space="preserve"> Victoria University has been one of the slowest.</w:t>
      </w:r>
    </w:p>
    <w:p w14:paraId="63138C8C" w14:textId="6BF07630" w:rsidR="00FA7052" w:rsidRDefault="00FA7052" w:rsidP="00FA7052">
      <w:pPr>
        <w:pStyle w:val="ListParagraph"/>
        <w:numPr>
          <w:ilvl w:val="1"/>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Universities in growing regional settings.  This includes USC, which has been the fastest (percentage) growing university in Australia over the last ten years.  USC services a growing population catchment</w:t>
      </w:r>
      <w:r w:rsidR="001D5906">
        <w:rPr>
          <w:rFonts w:asciiTheme="minorHAnsi" w:hAnsiTheme="minorHAnsi" w:cstheme="minorHAnsi"/>
          <w:sz w:val="22"/>
          <w:szCs w:val="22"/>
        </w:rPr>
        <w:t xml:space="preserve"> (new demand)</w:t>
      </w:r>
      <w:r>
        <w:rPr>
          <w:rFonts w:asciiTheme="minorHAnsi" w:hAnsiTheme="minorHAnsi" w:cstheme="minorHAnsi"/>
          <w:sz w:val="22"/>
          <w:szCs w:val="22"/>
        </w:rPr>
        <w:t>, areas of long-standing education disadvantage</w:t>
      </w:r>
      <w:r w:rsidR="001D5906">
        <w:rPr>
          <w:rFonts w:asciiTheme="minorHAnsi" w:hAnsiTheme="minorHAnsi" w:cstheme="minorHAnsi"/>
          <w:sz w:val="22"/>
          <w:szCs w:val="22"/>
        </w:rPr>
        <w:t xml:space="preserve"> (significant latent demand)</w:t>
      </w:r>
      <w:r>
        <w:rPr>
          <w:rFonts w:asciiTheme="minorHAnsi" w:hAnsiTheme="minorHAnsi" w:cstheme="minorHAnsi"/>
          <w:sz w:val="22"/>
          <w:szCs w:val="22"/>
        </w:rPr>
        <w:t>, and areas where economic growth is a topic of great importance</w:t>
      </w:r>
      <w:r w:rsidR="001D5906">
        <w:rPr>
          <w:rFonts w:asciiTheme="minorHAnsi" w:hAnsiTheme="minorHAnsi" w:cstheme="minorHAnsi"/>
          <w:sz w:val="22"/>
          <w:szCs w:val="22"/>
        </w:rPr>
        <w:t xml:space="preserve"> (increased strategic importance of the university)</w:t>
      </w:r>
      <w:r>
        <w:rPr>
          <w:rFonts w:asciiTheme="minorHAnsi" w:hAnsiTheme="minorHAnsi" w:cstheme="minorHAnsi"/>
          <w:sz w:val="22"/>
          <w:szCs w:val="22"/>
        </w:rPr>
        <w:t>.</w:t>
      </w:r>
    </w:p>
    <w:p w14:paraId="2DF083A6" w14:textId="20A01B4A" w:rsidR="00FA7052" w:rsidRDefault="00FA7052" w:rsidP="00FA7052">
      <w:pPr>
        <w:pStyle w:val="ListParagraph"/>
        <w:numPr>
          <w:ilvl w:val="1"/>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Universities in regional settings that are not growing and/or do not has a sustainable population base (for an Australian university, say 500,000+ people).  </w:t>
      </w:r>
    </w:p>
    <w:p w14:paraId="3943AD37" w14:textId="1BE74B92" w:rsidR="00FA7052" w:rsidRDefault="00FA7052" w:rsidP="00FA7052">
      <w:pPr>
        <w:spacing w:line="276" w:lineRule="auto"/>
        <w:jc w:val="both"/>
        <w:rPr>
          <w:rFonts w:asciiTheme="minorHAnsi" w:hAnsiTheme="minorHAnsi" w:cstheme="minorHAnsi"/>
          <w:sz w:val="22"/>
          <w:szCs w:val="22"/>
        </w:rPr>
      </w:pPr>
    </w:p>
    <w:p w14:paraId="134AD551" w14:textId="4A14F6A7" w:rsidR="00FA7052" w:rsidRDefault="00FA7052" w:rsidP="00FA705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challenge for a performance-based CGS increment is how to embrace and support realistic goals for </w:t>
      </w:r>
      <w:r w:rsidR="00ED0CFE">
        <w:rPr>
          <w:rFonts w:asciiTheme="minorHAnsi" w:hAnsiTheme="minorHAnsi" w:cstheme="minorHAnsi"/>
          <w:sz w:val="22"/>
          <w:szCs w:val="22"/>
        </w:rPr>
        <w:t>different university types</w:t>
      </w:r>
      <w:r w:rsidR="001D5906">
        <w:rPr>
          <w:rFonts w:asciiTheme="minorHAnsi" w:hAnsiTheme="minorHAnsi" w:cstheme="minorHAnsi"/>
          <w:sz w:val="22"/>
          <w:szCs w:val="22"/>
        </w:rPr>
        <w:t>, catchments and missions</w:t>
      </w:r>
      <w:r>
        <w:rPr>
          <w:rFonts w:asciiTheme="minorHAnsi" w:hAnsiTheme="minorHAnsi" w:cstheme="minorHAnsi"/>
          <w:sz w:val="22"/>
          <w:szCs w:val="22"/>
        </w:rPr>
        <w:t>.</w:t>
      </w:r>
      <w:r w:rsidR="001D5906">
        <w:rPr>
          <w:rFonts w:asciiTheme="minorHAnsi" w:hAnsiTheme="minorHAnsi" w:cstheme="minorHAnsi"/>
          <w:sz w:val="22"/>
          <w:szCs w:val="22"/>
        </w:rPr>
        <w:t xml:space="preserve">  Interestingly, this has parallels in the inception of Mission-based Compacts.</w:t>
      </w:r>
    </w:p>
    <w:p w14:paraId="43B2C617" w14:textId="3C6642F6" w:rsidR="00FA7052" w:rsidRDefault="00FA7052" w:rsidP="00FA7052">
      <w:pPr>
        <w:spacing w:line="276" w:lineRule="auto"/>
        <w:jc w:val="both"/>
        <w:rPr>
          <w:rFonts w:asciiTheme="minorHAnsi" w:hAnsiTheme="minorHAnsi" w:cstheme="minorHAnsi"/>
          <w:sz w:val="22"/>
          <w:szCs w:val="22"/>
        </w:rPr>
      </w:pPr>
    </w:p>
    <w:p w14:paraId="3A23B2B5" w14:textId="4D3F59C1" w:rsidR="00FA7052" w:rsidRDefault="0032281E" w:rsidP="00FA7052">
      <w:pPr>
        <w:spacing w:line="276" w:lineRule="auto"/>
        <w:jc w:val="both"/>
        <w:rPr>
          <w:rFonts w:asciiTheme="minorHAnsi" w:hAnsiTheme="minorHAnsi" w:cstheme="minorHAnsi"/>
          <w:sz w:val="22"/>
          <w:szCs w:val="22"/>
        </w:rPr>
      </w:pPr>
      <w:r w:rsidRPr="0032281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39495CE4" wp14:editId="5C5AC642">
                <wp:simplePos x="0" y="0"/>
                <wp:positionH relativeFrom="margin">
                  <wp:align>right</wp:align>
                </wp:positionH>
                <wp:positionV relativeFrom="paragraph">
                  <wp:posOffset>803910</wp:posOffset>
                </wp:positionV>
                <wp:extent cx="6245860" cy="3258185"/>
                <wp:effectExtent l="0" t="0" r="2159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3258355"/>
                        </a:xfrm>
                        <a:prstGeom prst="rect">
                          <a:avLst/>
                        </a:prstGeom>
                        <a:solidFill>
                          <a:srgbClr val="FFFFFF"/>
                        </a:solidFill>
                        <a:ln w="9525">
                          <a:solidFill>
                            <a:srgbClr val="000000"/>
                          </a:solidFill>
                          <a:miter lim="800000"/>
                          <a:headEnd/>
                          <a:tailEnd/>
                        </a:ln>
                      </wps:spPr>
                      <wps:txbx>
                        <w:txbxContent>
                          <w:p w14:paraId="7C30705C" w14:textId="477B35B4" w:rsidR="0032281E" w:rsidRPr="000C3F19" w:rsidRDefault="005629A6">
                            <w:pPr>
                              <w:rPr>
                                <w:i/>
                              </w:rPr>
                            </w:pPr>
                            <w:r w:rsidRPr="000C3F19">
                              <w:rPr>
                                <w:i/>
                              </w:rPr>
                              <w:t>Growth in domestic student load at Australian universities, 2007-2017.</w:t>
                            </w:r>
                          </w:p>
                          <w:p w14:paraId="2DB361BC" w14:textId="52C29CB9" w:rsidR="005629A6" w:rsidRDefault="005629A6"/>
                          <w:p w14:paraId="0F034139" w14:textId="77777777" w:rsidR="005629A6" w:rsidRDefault="005629A6"/>
                          <w:p w14:paraId="79670E10" w14:textId="40BCD3D4" w:rsidR="005629A6" w:rsidRDefault="005629A6">
                            <w:r w:rsidRPr="005629A6">
                              <w:rPr>
                                <w:noProof/>
                              </w:rPr>
                              <w:drawing>
                                <wp:inline distT="0" distB="0" distL="0" distR="0" wp14:anchorId="109468E3" wp14:editId="2910220F">
                                  <wp:extent cx="6045602" cy="2614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2849" cy="26175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95CE4" id="_x0000_t202" coordsize="21600,21600" o:spt="202" path="m,l,21600r21600,l21600,xe">
                <v:stroke joinstyle="miter"/>
                <v:path gradientshapeok="t" o:connecttype="rect"/>
              </v:shapetype>
              <v:shape id="Text Box 2" o:spid="_x0000_s1026" type="#_x0000_t202" style="position:absolute;left:0;text-align:left;margin-left:440.6pt;margin-top:63.3pt;width:491.8pt;height:25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">
                <v:textbox>
                  <w:txbxContent>
                    <w:p w14:paraId="7C30705C" w14:textId="477B35B4" w:rsidR="0032281E" w:rsidRPr="000C3F19" w:rsidRDefault="005629A6">
                      <w:pPr>
                        <w:rPr>
                          <w:i/>
                        </w:rPr>
                      </w:pPr>
                      <w:r w:rsidRPr="000C3F19">
                        <w:rPr>
                          <w:i/>
                        </w:rPr>
                        <w:t>Growth in domestic student load at Australian universities, 2007-2017.</w:t>
                      </w:r>
                    </w:p>
                    <w:p w14:paraId="2DB361BC" w14:textId="52C29CB9" w:rsidR="005629A6" w:rsidRDefault="005629A6"/>
                    <w:p w14:paraId="0F034139" w14:textId="77777777" w:rsidR="005629A6" w:rsidRDefault="005629A6"/>
                    <w:p w14:paraId="79670E10" w14:textId="40BCD3D4" w:rsidR="005629A6" w:rsidRDefault="005629A6">
                      <w:r w:rsidRPr="005629A6">
                        <w:drawing>
                          <wp:inline distT="0" distB="0" distL="0" distR="0" wp14:anchorId="109468E3" wp14:editId="2910220F">
                            <wp:extent cx="6045602" cy="2614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2849" cy="2617545"/>
                                    </a:xfrm>
                                    <a:prstGeom prst="rect">
                                      <a:avLst/>
                                    </a:prstGeom>
                                    <a:noFill/>
                                    <a:ln>
                                      <a:noFill/>
                                    </a:ln>
                                  </pic:spPr>
                                </pic:pic>
                              </a:graphicData>
                            </a:graphic>
                          </wp:inline>
                        </w:drawing>
                      </w:r>
                    </w:p>
                  </w:txbxContent>
                </v:textbox>
                <w10:wrap type="square" anchorx="margin"/>
              </v:shape>
            </w:pict>
          </mc:Fallback>
        </mc:AlternateContent>
      </w:r>
      <w:r w:rsidR="00FA7052">
        <w:rPr>
          <w:rFonts w:asciiTheme="minorHAnsi" w:hAnsiTheme="minorHAnsi" w:cstheme="minorHAnsi"/>
          <w:sz w:val="22"/>
          <w:szCs w:val="22"/>
        </w:rPr>
        <w:t xml:space="preserve">The diagram below </w:t>
      </w:r>
      <w:r w:rsidR="001D5906">
        <w:rPr>
          <w:rFonts w:asciiTheme="minorHAnsi" w:hAnsiTheme="minorHAnsi" w:cstheme="minorHAnsi"/>
          <w:sz w:val="22"/>
          <w:szCs w:val="22"/>
        </w:rPr>
        <w:t>illustrates</w:t>
      </w:r>
      <w:r w:rsidR="00FA7052">
        <w:rPr>
          <w:rFonts w:asciiTheme="minorHAnsi" w:hAnsiTheme="minorHAnsi" w:cstheme="minorHAnsi"/>
          <w:sz w:val="22"/>
          <w:szCs w:val="22"/>
        </w:rPr>
        <w:t xml:space="preserve"> the growth in Australian domestic student load (EFTSL) over the period 2007-2017.  Please note that no differentiation of internal and external (online) delivery has been made – this influences the results especially for universities in small regional settings.</w:t>
      </w:r>
    </w:p>
    <w:p w14:paraId="64AADD23" w14:textId="77777777" w:rsidR="00505CC3" w:rsidRDefault="00505CC3" w:rsidP="00FA7052">
      <w:pPr>
        <w:spacing w:line="276" w:lineRule="auto"/>
        <w:jc w:val="both"/>
        <w:rPr>
          <w:rFonts w:asciiTheme="minorHAnsi" w:hAnsiTheme="minorHAnsi" w:cstheme="minorHAnsi"/>
          <w:sz w:val="22"/>
          <w:szCs w:val="22"/>
        </w:rPr>
      </w:pPr>
    </w:p>
    <w:p w14:paraId="68B00969" w14:textId="675B5E26" w:rsidR="00FA7052" w:rsidRDefault="00A14090" w:rsidP="00FA7052">
      <w:pPr>
        <w:spacing w:line="276" w:lineRule="auto"/>
        <w:jc w:val="both"/>
        <w:rPr>
          <w:rFonts w:asciiTheme="minorHAnsi" w:hAnsiTheme="minorHAnsi" w:cstheme="minorHAnsi"/>
          <w:sz w:val="22"/>
          <w:szCs w:val="22"/>
        </w:rPr>
      </w:pPr>
      <w:r w:rsidRPr="0032281E">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3413BFCA" wp14:editId="057FF057">
                <wp:simplePos x="0" y="0"/>
                <wp:positionH relativeFrom="margin">
                  <wp:posOffset>3322240</wp:posOffset>
                </wp:positionH>
                <wp:positionV relativeFrom="paragraph">
                  <wp:posOffset>14944</wp:posOffset>
                </wp:positionV>
                <wp:extent cx="3193415" cy="3335020"/>
                <wp:effectExtent l="0" t="0" r="2603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335020"/>
                        </a:xfrm>
                        <a:prstGeom prst="rect">
                          <a:avLst/>
                        </a:prstGeom>
                        <a:solidFill>
                          <a:srgbClr val="FFFFFF"/>
                        </a:solidFill>
                        <a:ln w="9525">
                          <a:solidFill>
                            <a:srgbClr val="000000"/>
                          </a:solidFill>
                          <a:miter lim="800000"/>
                          <a:headEnd/>
                          <a:tailEnd/>
                        </a:ln>
                      </wps:spPr>
                      <wps:txbx>
                        <w:txbxContent>
                          <w:p w14:paraId="271FEEA6" w14:textId="28C0DAA2" w:rsidR="00582C74" w:rsidRPr="000C3F19" w:rsidRDefault="00582C74" w:rsidP="00582C74">
                            <w:pPr>
                              <w:rPr>
                                <w:i/>
                              </w:rPr>
                            </w:pPr>
                            <w:r w:rsidRPr="000C3F19">
                              <w:rPr>
                                <w:i/>
                              </w:rPr>
                              <w:t>Growth in domestic student load at Queensland universities, 2007-2017.</w:t>
                            </w:r>
                            <w:r w:rsidR="00A14090" w:rsidRPr="000C3F19">
                              <w:rPr>
                                <w:i/>
                              </w:rPr>
                              <w:t xml:space="preserve">  Growth is relative to the state growth of 40.7% over the period.</w:t>
                            </w:r>
                          </w:p>
                          <w:p w14:paraId="0F130B35" w14:textId="77777777" w:rsidR="00582C74" w:rsidRDefault="00582C74" w:rsidP="00582C74"/>
                          <w:p w14:paraId="1D71BED5" w14:textId="73E73D7D" w:rsidR="00582C74" w:rsidRDefault="00582C74" w:rsidP="00582C74">
                            <w:r w:rsidRPr="00582C74">
                              <w:rPr>
                                <w:noProof/>
                              </w:rPr>
                              <w:drawing>
                                <wp:inline distT="0" distB="0" distL="0" distR="0" wp14:anchorId="7C607C6D" wp14:editId="2FF5ED6A">
                                  <wp:extent cx="2949262" cy="2698503"/>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5719" cy="27044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3BFCA" id="_x0000_s1027" type="#_x0000_t202" style="position:absolute;left:0;text-align:left;margin-left:261.6pt;margin-top:1.2pt;width:251.45pt;height:26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">
                <v:textbox>
                  <w:txbxContent>
                    <w:p w14:paraId="271FEEA6" w14:textId="28C0DAA2" w:rsidR="00582C74" w:rsidRPr="000C3F19" w:rsidRDefault="00582C74" w:rsidP="00582C74">
                      <w:pPr>
                        <w:rPr>
                          <w:i/>
                        </w:rPr>
                      </w:pPr>
                      <w:r w:rsidRPr="000C3F19">
                        <w:rPr>
                          <w:i/>
                        </w:rPr>
                        <w:t xml:space="preserve">Growth in domestic student load at </w:t>
                      </w:r>
                      <w:r w:rsidRPr="000C3F19">
                        <w:rPr>
                          <w:i/>
                        </w:rPr>
                        <w:t>Queensland</w:t>
                      </w:r>
                      <w:r w:rsidRPr="000C3F19">
                        <w:rPr>
                          <w:i/>
                        </w:rPr>
                        <w:t xml:space="preserve"> universities, 2007-2017.</w:t>
                      </w:r>
                      <w:r w:rsidR="00A14090" w:rsidRPr="000C3F19">
                        <w:rPr>
                          <w:i/>
                        </w:rPr>
                        <w:t xml:space="preserve">  Growth is relative to the state growth of 40.7% over the period.</w:t>
                      </w:r>
                    </w:p>
                    <w:p w14:paraId="0F130B35" w14:textId="77777777" w:rsidR="00582C74" w:rsidRDefault="00582C74" w:rsidP="00582C74"/>
                    <w:p w14:paraId="1D71BED5" w14:textId="73E73D7D" w:rsidR="00582C74" w:rsidRDefault="00582C74" w:rsidP="00582C74">
                      <w:r w:rsidRPr="00582C74">
                        <w:drawing>
                          <wp:inline distT="0" distB="0" distL="0" distR="0" wp14:anchorId="7C607C6D" wp14:editId="2FF5ED6A">
                            <wp:extent cx="2949262" cy="2698503"/>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5719" cy="2704411"/>
                                    </a:xfrm>
                                    <a:prstGeom prst="rect">
                                      <a:avLst/>
                                    </a:prstGeom>
                                    <a:noFill/>
                                    <a:ln>
                                      <a:noFill/>
                                    </a:ln>
                                  </pic:spPr>
                                </pic:pic>
                              </a:graphicData>
                            </a:graphic>
                          </wp:inline>
                        </w:drawing>
                      </w:r>
                    </w:p>
                  </w:txbxContent>
                </v:textbox>
                <w10:wrap type="square" anchorx="margin"/>
              </v:shape>
            </w:pict>
          </mc:Fallback>
        </mc:AlternateContent>
      </w:r>
      <w:r w:rsidR="00505CC3">
        <w:rPr>
          <w:rFonts w:asciiTheme="minorHAnsi" w:hAnsiTheme="minorHAnsi" w:cstheme="minorHAnsi"/>
          <w:sz w:val="22"/>
          <w:szCs w:val="22"/>
        </w:rPr>
        <w:t xml:space="preserve">In terms of the previous discussion, </w:t>
      </w:r>
      <w:r w:rsidR="00123705">
        <w:rPr>
          <w:rFonts w:asciiTheme="minorHAnsi" w:hAnsiTheme="minorHAnsi" w:cstheme="minorHAnsi"/>
          <w:sz w:val="22"/>
          <w:szCs w:val="22"/>
        </w:rPr>
        <w:t>USC is the fastest growing institution in Australia</w:t>
      </w:r>
      <w:r w:rsidR="008931E2">
        <w:rPr>
          <w:rFonts w:asciiTheme="minorHAnsi" w:hAnsiTheme="minorHAnsi" w:cstheme="minorHAnsi"/>
          <w:sz w:val="22"/>
          <w:szCs w:val="22"/>
        </w:rPr>
        <w:t xml:space="preserve"> (1</w:t>
      </w:r>
      <w:r w:rsidR="00186CF9">
        <w:rPr>
          <w:rFonts w:asciiTheme="minorHAnsi" w:hAnsiTheme="minorHAnsi" w:cstheme="minorHAnsi"/>
          <w:sz w:val="22"/>
          <w:szCs w:val="22"/>
        </w:rPr>
        <w:t>66.9% increase)</w:t>
      </w:r>
      <w:r w:rsidR="00123705">
        <w:rPr>
          <w:rFonts w:asciiTheme="minorHAnsi" w:hAnsiTheme="minorHAnsi" w:cstheme="minorHAnsi"/>
          <w:sz w:val="22"/>
          <w:szCs w:val="22"/>
        </w:rPr>
        <w:t xml:space="preserve">.  </w:t>
      </w:r>
      <w:r w:rsidR="001D5906">
        <w:rPr>
          <w:rFonts w:asciiTheme="minorHAnsi" w:hAnsiTheme="minorHAnsi" w:cstheme="minorHAnsi"/>
          <w:sz w:val="22"/>
          <w:szCs w:val="22"/>
        </w:rPr>
        <w:t xml:space="preserve">As mentioned, </w:t>
      </w:r>
      <w:r w:rsidR="00123705">
        <w:rPr>
          <w:rFonts w:asciiTheme="minorHAnsi" w:hAnsiTheme="minorHAnsi" w:cstheme="minorHAnsi"/>
          <w:sz w:val="22"/>
          <w:szCs w:val="22"/>
        </w:rPr>
        <w:t>USC benefits from operating in a growing regional catchment (region defined roughly by 30 minutes of car travel) and long-standing education disadvantage.  With new campuses in Moreton Bay, Caboolture and Fraser Coast, the po</w:t>
      </w:r>
      <w:r w:rsidR="001D5906">
        <w:rPr>
          <w:rFonts w:asciiTheme="minorHAnsi" w:hAnsiTheme="minorHAnsi" w:cstheme="minorHAnsi"/>
          <w:sz w:val="22"/>
          <w:szCs w:val="22"/>
        </w:rPr>
        <w:t>tential for this level of growth from both new and latent demand</w:t>
      </w:r>
      <w:r w:rsidR="00123705">
        <w:rPr>
          <w:rFonts w:asciiTheme="minorHAnsi" w:hAnsiTheme="minorHAnsi" w:cstheme="minorHAnsi"/>
          <w:sz w:val="22"/>
          <w:szCs w:val="22"/>
        </w:rPr>
        <w:t xml:space="preserve"> is high.  </w:t>
      </w:r>
      <w:r w:rsidR="001D5906">
        <w:rPr>
          <w:rFonts w:asciiTheme="minorHAnsi" w:hAnsiTheme="minorHAnsi" w:cstheme="minorHAnsi"/>
          <w:sz w:val="22"/>
          <w:szCs w:val="22"/>
        </w:rPr>
        <w:t>To illustrate the latent demand, consider t</w:t>
      </w:r>
      <w:r w:rsidR="00123705">
        <w:rPr>
          <w:rFonts w:asciiTheme="minorHAnsi" w:hAnsiTheme="minorHAnsi" w:cstheme="minorHAnsi"/>
          <w:sz w:val="22"/>
          <w:szCs w:val="22"/>
        </w:rPr>
        <w:t>raveling the four hours from Brisbane to Hervey Bay, which is the USC catchment</w:t>
      </w:r>
      <w:r w:rsidR="001D5906">
        <w:rPr>
          <w:rFonts w:asciiTheme="minorHAnsi" w:hAnsiTheme="minorHAnsi" w:cstheme="minorHAnsi"/>
          <w:sz w:val="22"/>
          <w:szCs w:val="22"/>
        </w:rPr>
        <w:t>.  T</w:t>
      </w:r>
      <w:r w:rsidR="00123705">
        <w:rPr>
          <w:rFonts w:asciiTheme="minorHAnsi" w:hAnsiTheme="minorHAnsi" w:cstheme="minorHAnsi"/>
          <w:sz w:val="22"/>
          <w:szCs w:val="22"/>
        </w:rPr>
        <w:t>he percentage of young adults with degrees changes from 53% in Brisbane to 23% in Moreton Bay South (northern outskirts of Brisbane), to 13% in Moreton Bay North (55 km from the Brisbane CBD, and the lowest rate of degree attainment in Australia), to 24% in the Sunshine Coast, and finally to 14% in Wide Bay (the second lowest rate of degree attainment in Australia, and roughly four hours from the Brisbane CBD).</w:t>
      </w:r>
    </w:p>
    <w:p w14:paraId="2ADA8789" w14:textId="1C8E5F93" w:rsidR="00123705" w:rsidRDefault="00123705" w:rsidP="00FA7052">
      <w:pPr>
        <w:spacing w:line="276" w:lineRule="auto"/>
        <w:jc w:val="both"/>
        <w:rPr>
          <w:rFonts w:asciiTheme="minorHAnsi" w:hAnsiTheme="minorHAnsi" w:cstheme="minorHAnsi"/>
          <w:sz w:val="22"/>
          <w:szCs w:val="22"/>
        </w:rPr>
      </w:pPr>
    </w:p>
    <w:p w14:paraId="478996F0" w14:textId="77777777" w:rsidR="00AB13E9" w:rsidRDefault="00AB13E9">
      <w:pPr>
        <w:rPr>
          <w:rFonts w:asciiTheme="minorHAnsi" w:hAnsiTheme="minorHAnsi" w:cstheme="minorHAnsi"/>
          <w:b/>
          <w:sz w:val="22"/>
          <w:szCs w:val="22"/>
        </w:rPr>
      </w:pPr>
      <w:r>
        <w:rPr>
          <w:rFonts w:asciiTheme="minorHAnsi" w:hAnsiTheme="minorHAnsi" w:cstheme="minorHAnsi"/>
          <w:b/>
          <w:sz w:val="22"/>
          <w:szCs w:val="22"/>
        </w:rPr>
        <w:br w:type="page"/>
      </w:r>
    </w:p>
    <w:p w14:paraId="1CF544D9" w14:textId="16334277" w:rsidR="00123705" w:rsidRPr="00582C74" w:rsidRDefault="00582C74" w:rsidP="00FA7052">
      <w:pPr>
        <w:spacing w:line="276" w:lineRule="auto"/>
        <w:jc w:val="both"/>
        <w:rPr>
          <w:rFonts w:asciiTheme="minorHAnsi" w:hAnsiTheme="minorHAnsi" w:cstheme="minorHAnsi"/>
          <w:b/>
          <w:sz w:val="22"/>
          <w:szCs w:val="22"/>
        </w:rPr>
      </w:pPr>
      <w:bookmarkStart w:id="0" w:name="_GoBack"/>
      <w:bookmarkEnd w:id="0"/>
      <w:r w:rsidRPr="00582C74">
        <w:rPr>
          <w:rFonts w:asciiTheme="minorHAnsi" w:hAnsiTheme="minorHAnsi" w:cstheme="minorHAnsi"/>
          <w:b/>
          <w:sz w:val="22"/>
          <w:szCs w:val="22"/>
        </w:rPr>
        <w:lastRenderedPageBreak/>
        <w:t xml:space="preserve">In a fair society, the communities serviced by USC </w:t>
      </w:r>
      <w:r w:rsidR="009E38A4">
        <w:rPr>
          <w:rFonts w:asciiTheme="minorHAnsi" w:hAnsiTheme="minorHAnsi" w:cstheme="minorHAnsi"/>
          <w:b/>
          <w:sz w:val="22"/>
          <w:szCs w:val="22"/>
        </w:rPr>
        <w:t>deserve</w:t>
      </w:r>
      <w:r w:rsidRPr="00582C74">
        <w:rPr>
          <w:rFonts w:asciiTheme="minorHAnsi" w:hAnsiTheme="minorHAnsi" w:cstheme="minorHAnsi"/>
          <w:b/>
          <w:sz w:val="22"/>
          <w:szCs w:val="22"/>
        </w:rPr>
        <w:t xml:space="preserve"> a preferential increase in student places to break the cycle of educational disadvantage.  The performance measure at the heart of any assessment of USC must relate to delivery of this opportunity to the community, as well as supporting the communities in building capacity using the graduates.</w:t>
      </w:r>
    </w:p>
    <w:p w14:paraId="7FF9F6B2" w14:textId="254F20EB" w:rsidR="00582C74" w:rsidRDefault="00582C74" w:rsidP="00FA7052">
      <w:pPr>
        <w:spacing w:line="276" w:lineRule="auto"/>
        <w:jc w:val="both"/>
        <w:rPr>
          <w:rFonts w:asciiTheme="minorHAnsi" w:hAnsiTheme="minorHAnsi" w:cstheme="minorHAnsi"/>
          <w:sz w:val="22"/>
          <w:szCs w:val="22"/>
        </w:rPr>
      </w:pPr>
    </w:p>
    <w:p w14:paraId="67AEA345" w14:textId="63787D89" w:rsidR="00582C74" w:rsidRDefault="000C3F19" w:rsidP="00FA7052">
      <w:pPr>
        <w:spacing w:line="276" w:lineRule="auto"/>
        <w:jc w:val="both"/>
        <w:rPr>
          <w:rFonts w:asciiTheme="minorHAnsi" w:hAnsiTheme="minorHAnsi" w:cstheme="minorHAnsi"/>
          <w:sz w:val="22"/>
          <w:szCs w:val="22"/>
        </w:rPr>
      </w:pPr>
      <w:r>
        <w:rPr>
          <w:rFonts w:asciiTheme="minorHAnsi" w:hAnsiTheme="minorHAnsi" w:cstheme="minorHAnsi"/>
          <w:sz w:val="22"/>
          <w:szCs w:val="22"/>
        </w:rPr>
        <w:t>Growth in student load of other Queensland universities over the same 2007-2017 period, relative to the state average growth of 40.7%, is shown in the figure on the right.  The university with the least growth, James Coo</w:t>
      </w:r>
      <w:r w:rsidR="009E38A4">
        <w:rPr>
          <w:rFonts w:asciiTheme="minorHAnsi" w:hAnsiTheme="minorHAnsi" w:cstheme="minorHAnsi"/>
          <w:sz w:val="22"/>
          <w:szCs w:val="22"/>
        </w:rPr>
        <w:t>k University (25.1% over the 10-</w:t>
      </w:r>
      <w:r>
        <w:rPr>
          <w:rFonts w:asciiTheme="minorHAnsi" w:hAnsiTheme="minorHAnsi" w:cstheme="minorHAnsi"/>
          <w:sz w:val="22"/>
          <w:szCs w:val="22"/>
        </w:rPr>
        <w:t xml:space="preserve">year period), is arguably a regional university in a catchment with limited population and economic growth (apart from mining-related activities, which arguably detract from local university enrolments).  The second slowest growing university is the University of Queensland (25.6%), a research university and state / national / international leader in some areas.  UQ has a stated policy of limited domestic student expansion, as part of their larger strategic vision.  The next three – QUT, Bond, Griffith – are metropolitan universities that have chosen to grow at a </w:t>
      </w:r>
      <w:proofErr w:type="gramStart"/>
      <w:r>
        <w:rPr>
          <w:rFonts w:asciiTheme="minorHAnsi" w:hAnsiTheme="minorHAnsi" w:cstheme="minorHAnsi"/>
          <w:sz w:val="22"/>
          <w:szCs w:val="22"/>
        </w:rPr>
        <w:t>particular pace</w:t>
      </w:r>
      <w:proofErr w:type="gramEnd"/>
      <w:r>
        <w:rPr>
          <w:rFonts w:asciiTheme="minorHAnsi" w:hAnsiTheme="minorHAnsi" w:cstheme="minorHAnsi"/>
          <w:sz w:val="22"/>
          <w:szCs w:val="22"/>
        </w:rPr>
        <w:t>.  The two universities behind USC in growth rate, CQU (</w:t>
      </w:r>
      <w:r w:rsidR="00186CF9">
        <w:rPr>
          <w:rFonts w:asciiTheme="minorHAnsi" w:hAnsiTheme="minorHAnsi" w:cstheme="minorHAnsi"/>
          <w:sz w:val="22"/>
          <w:szCs w:val="22"/>
        </w:rPr>
        <w:t>57.3%) and USQ (50.1%), are regional universities who have embraced delivery outside of their jurisdiction to achieve scale.  This has obvious benefits to the local community in terms of institutional viability.</w:t>
      </w:r>
    </w:p>
    <w:p w14:paraId="53A20D39" w14:textId="250439E0" w:rsidR="00F22FC3" w:rsidRDefault="00F22FC3" w:rsidP="00FA7052">
      <w:pPr>
        <w:spacing w:line="276" w:lineRule="auto"/>
        <w:jc w:val="both"/>
        <w:rPr>
          <w:rFonts w:asciiTheme="minorHAnsi" w:hAnsiTheme="minorHAnsi" w:cstheme="minorHAnsi"/>
          <w:sz w:val="22"/>
          <w:szCs w:val="22"/>
        </w:rPr>
      </w:pPr>
    </w:p>
    <w:p w14:paraId="223502BC" w14:textId="413DBF9A" w:rsidR="00F22FC3" w:rsidRDefault="001D5906" w:rsidP="00FA7052">
      <w:pPr>
        <w:spacing w:line="276" w:lineRule="auto"/>
        <w:jc w:val="both"/>
        <w:rPr>
          <w:rFonts w:asciiTheme="minorHAnsi" w:hAnsiTheme="minorHAnsi" w:cstheme="minorHAnsi"/>
          <w:sz w:val="22"/>
          <w:szCs w:val="22"/>
        </w:rPr>
      </w:pPr>
      <w:r w:rsidRPr="0032281E">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76C27B44" wp14:editId="7403C908">
                <wp:simplePos x="0" y="0"/>
                <wp:positionH relativeFrom="margin">
                  <wp:posOffset>3284381</wp:posOffset>
                </wp:positionH>
                <wp:positionV relativeFrom="paragraph">
                  <wp:posOffset>8398</wp:posOffset>
                </wp:positionV>
                <wp:extent cx="3193415" cy="3129280"/>
                <wp:effectExtent l="0" t="0" r="2603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3129280"/>
                        </a:xfrm>
                        <a:prstGeom prst="rect">
                          <a:avLst/>
                        </a:prstGeom>
                        <a:solidFill>
                          <a:srgbClr val="FFFFFF"/>
                        </a:solidFill>
                        <a:ln w="9525">
                          <a:solidFill>
                            <a:srgbClr val="000000"/>
                          </a:solidFill>
                          <a:miter lim="800000"/>
                          <a:headEnd/>
                          <a:tailEnd/>
                        </a:ln>
                      </wps:spPr>
                      <wps:txbx>
                        <w:txbxContent>
                          <w:p w14:paraId="4C18AD93" w14:textId="17BD1DCC" w:rsidR="002542A0" w:rsidRDefault="009E38A4" w:rsidP="002542A0">
                            <w:pPr>
                              <w:rPr>
                                <w:i/>
                              </w:rPr>
                            </w:pPr>
                            <w:r>
                              <w:rPr>
                                <w:i/>
                              </w:rPr>
                              <w:t>EFTSL growth and population growth (%) by state, 2007-2017.</w:t>
                            </w:r>
                          </w:p>
                          <w:p w14:paraId="4D2CE06B" w14:textId="4DAA4362" w:rsidR="009E38A4" w:rsidRDefault="009E38A4" w:rsidP="002542A0">
                            <w:pPr>
                              <w:rPr>
                                <w:i/>
                              </w:rPr>
                            </w:pPr>
                          </w:p>
                          <w:p w14:paraId="17E7F0A1" w14:textId="1346EA42" w:rsidR="009E38A4" w:rsidRPr="000C3F19" w:rsidRDefault="009E38A4" w:rsidP="002542A0">
                            <w:pPr>
                              <w:rPr>
                                <w:i/>
                              </w:rPr>
                            </w:pPr>
                            <w:r w:rsidRPr="009E38A4">
                              <w:rPr>
                                <w:noProof/>
                              </w:rPr>
                              <w:drawing>
                                <wp:inline distT="0" distB="0" distL="0" distR="0" wp14:anchorId="043A153B" wp14:editId="05A92E51">
                                  <wp:extent cx="3001645" cy="2567744"/>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645" cy="2567744"/>
                                          </a:xfrm>
                                          <a:prstGeom prst="rect">
                                            <a:avLst/>
                                          </a:prstGeom>
                                          <a:noFill/>
                                          <a:ln>
                                            <a:noFill/>
                                          </a:ln>
                                        </pic:spPr>
                                      </pic:pic>
                                    </a:graphicData>
                                  </a:graphic>
                                </wp:inline>
                              </w:drawing>
                            </w:r>
                          </w:p>
                          <w:p w14:paraId="69C7CCF9" w14:textId="77777777" w:rsidR="002542A0" w:rsidRDefault="002542A0" w:rsidP="002542A0"/>
                          <w:p w14:paraId="310F64DE" w14:textId="7264B52C" w:rsidR="002542A0" w:rsidRDefault="002542A0" w:rsidP="00254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7B44" id="_x0000_s1028" type="#_x0000_t202" style="position:absolute;left:0;text-align:left;margin-left:258.6pt;margin-top:.65pt;width:251.45pt;height:246.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">
                <v:textbox>
                  <w:txbxContent>
                    <w:p w14:paraId="4C18AD93" w14:textId="17BD1DCC" w:rsidR="002542A0" w:rsidRDefault="009E38A4" w:rsidP="002542A0">
                      <w:pPr>
                        <w:rPr>
                          <w:i/>
                        </w:rPr>
                      </w:pPr>
                      <w:r>
                        <w:rPr>
                          <w:i/>
                        </w:rPr>
                        <w:t>EFTSL growth and population growth (%) by state, 2007-2017.</w:t>
                      </w:r>
                    </w:p>
                    <w:p w14:paraId="4D2CE06B" w14:textId="4DAA4362" w:rsidR="009E38A4" w:rsidRDefault="009E38A4" w:rsidP="002542A0">
                      <w:pPr>
                        <w:rPr>
                          <w:i/>
                        </w:rPr>
                      </w:pPr>
                    </w:p>
                    <w:p w14:paraId="17E7F0A1" w14:textId="1346EA42" w:rsidR="009E38A4" w:rsidRPr="000C3F19" w:rsidRDefault="009E38A4" w:rsidP="002542A0">
                      <w:pPr>
                        <w:rPr>
                          <w:i/>
                        </w:rPr>
                      </w:pPr>
                      <w:r w:rsidRPr="009E38A4">
                        <w:drawing>
                          <wp:inline distT="0" distB="0" distL="0" distR="0" wp14:anchorId="043A153B" wp14:editId="05A92E51">
                            <wp:extent cx="3001645" cy="2567744"/>
                            <wp:effectExtent l="0" t="0" r="825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1645" cy="2567744"/>
                                    </a:xfrm>
                                    <a:prstGeom prst="rect">
                                      <a:avLst/>
                                    </a:prstGeom>
                                    <a:noFill/>
                                    <a:ln>
                                      <a:noFill/>
                                    </a:ln>
                                  </pic:spPr>
                                </pic:pic>
                              </a:graphicData>
                            </a:graphic>
                          </wp:inline>
                        </w:drawing>
                      </w:r>
                    </w:p>
                    <w:p w14:paraId="69C7CCF9" w14:textId="77777777" w:rsidR="002542A0" w:rsidRDefault="002542A0" w:rsidP="002542A0"/>
                    <w:p w14:paraId="310F64DE" w14:textId="7264B52C" w:rsidR="002542A0" w:rsidRDefault="002542A0" w:rsidP="002542A0"/>
                  </w:txbxContent>
                </v:textbox>
                <w10:wrap type="square" anchorx="margin"/>
              </v:shape>
            </w:pict>
          </mc:Fallback>
        </mc:AlternateContent>
      </w:r>
      <w:r w:rsidR="00F22FC3">
        <w:rPr>
          <w:rFonts w:asciiTheme="minorHAnsi" w:hAnsiTheme="minorHAnsi" w:cstheme="minorHAnsi"/>
          <w:sz w:val="22"/>
          <w:szCs w:val="22"/>
        </w:rPr>
        <w:t>A final piece of contextual data is provided in the table on the right, illustrating the relationship between population growth and education growth over the period 2007 – 2017.</w:t>
      </w:r>
      <w:r w:rsidR="007D1C70">
        <w:rPr>
          <w:rFonts w:asciiTheme="minorHAnsi" w:hAnsiTheme="minorHAnsi" w:cstheme="minorHAnsi"/>
          <w:sz w:val="22"/>
          <w:szCs w:val="22"/>
        </w:rPr>
        <w:t xml:space="preserve">  There</w:t>
      </w:r>
      <w:r w:rsidR="00103429">
        <w:rPr>
          <w:rFonts w:asciiTheme="minorHAnsi" w:hAnsiTheme="minorHAnsi" w:cstheme="minorHAnsi"/>
          <w:sz w:val="22"/>
          <w:szCs w:val="22"/>
        </w:rPr>
        <w:t xml:space="preserve"> are some similarities between Victoria, Western Australia, Queensland and New South Wales (ratio between population growth and EFTSL growth is 2.16, 2.03, 2.01 and 2.34, respectively).  In other jurisdictions, this does not hold.  </w:t>
      </w:r>
      <w:r w:rsidR="007D1C70">
        <w:rPr>
          <w:rFonts w:asciiTheme="minorHAnsi" w:hAnsiTheme="minorHAnsi" w:cstheme="minorHAnsi"/>
          <w:sz w:val="22"/>
          <w:szCs w:val="22"/>
        </w:rPr>
        <w:t>It is possible to intuit explanations – WA</w:t>
      </w:r>
      <w:r w:rsidR="00103429">
        <w:rPr>
          <w:rFonts w:asciiTheme="minorHAnsi" w:hAnsiTheme="minorHAnsi" w:cstheme="minorHAnsi"/>
          <w:sz w:val="22"/>
          <w:szCs w:val="22"/>
        </w:rPr>
        <w:t xml:space="preserve"> and Queensland</w:t>
      </w:r>
      <w:r w:rsidR="007D1C70">
        <w:rPr>
          <w:rFonts w:asciiTheme="minorHAnsi" w:hAnsiTheme="minorHAnsi" w:cstheme="minorHAnsi"/>
          <w:sz w:val="22"/>
          <w:szCs w:val="22"/>
        </w:rPr>
        <w:t xml:space="preserve"> </w:t>
      </w:r>
      <w:r w:rsidR="00103429">
        <w:rPr>
          <w:rFonts w:asciiTheme="minorHAnsi" w:hAnsiTheme="minorHAnsi" w:cstheme="minorHAnsi"/>
          <w:sz w:val="22"/>
          <w:szCs w:val="22"/>
        </w:rPr>
        <w:t>trends</w:t>
      </w:r>
      <w:r>
        <w:rPr>
          <w:rFonts w:asciiTheme="minorHAnsi" w:hAnsiTheme="minorHAnsi" w:cstheme="minorHAnsi"/>
          <w:sz w:val="22"/>
          <w:szCs w:val="22"/>
        </w:rPr>
        <w:t xml:space="preserve"> are</w:t>
      </w:r>
      <w:r w:rsidR="00103429">
        <w:rPr>
          <w:rFonts w:asciiTheme="minorHAnsi" w:hAnsiTheme="minorHAnsi" w:cstheme="minorHAnsi"/>
          <w:sz w:val="22"/>
          <w:szCs w:val="22"/>
        </w:rPr>
        <w:t xml:space="preserve"> influenced</w:t>
      </w:r>
      <w:r w:rsidR="007D1C70">
        <w:rPr>
          <w:rFonts w:asciiTheme="minorHAnsi" w:hAnsiTheme="minorHAnsi" w:cstheme="minorHAnsi"/>
          <w:sz w:val="22"/>
          <w:szCs w:val="22"/>
        </w:rPr>
        <w:t xml:space="preserve"> by mining, Tasmania making concerted steps to address disadvantage, Victoria and NSW roughly in proportion with each other based on population growth, </w:t>
      </w:r>
      <w:r w:rsidR="00103429">
        <w:rPr>
          <w:rFonts w:asciiTheme="minorHAnsi" w:hAnsiTheme="minorHAnsi" w:cstheme="minorHAnsi"/>
          <w:sz w:val="22"/>
          <w:szCs w:val="22"/>
        </w:rPr>
        <w:t xml:space="preserve">ACT having people from interstate travel to attend ANU, NT student load growth driven by CDU’s </w:t>
      </w:r>
      <w:r w:rsidR="00743F71">
        <w:rPr>
          <w:rFonts w:asciiTheme="minorHAnsi" w:hAnsiTheme="minorHAnsi" w:cstheme="minorHAnsi"/>
          <w:sz w:val="22"/>
          <w:szCs w:val="22"/>
        </w:rPr>
        <w:t>external delivery growth, etc.  However, the point is that market-led behaviour under the demand driven system does not mimic a simple model of load distribution.</w:t>
      </w:r>
    </w:p>
    <w:p w14:paraId="0ECF04F5" w14:textId="36FDDD35" w:rsidR="00743F71" w:rsidRDefault="00743F71" w:rsidP="00FA7052">
      <w:pPr>
        <w:spacing w:line="276" w:lineRule="auto"/>
        <w:jc w:val="both"/>
        <w:rPr>
          <w:rFonts w:asciiTheme="minorHAnsi" w:hAnsiTheme="minorHAnsi" w:cstheme="minorHAnsi"/>
          <w:sz w:val="22"/>
          <w:szCs w:val="22"/>
        </w:rPr>
      </w:pPr>
    </w:p>
    <w:p w14:paraId="441C088E" w14:textId="695D1D6D" w:rsidR="00743F71" w:rsidRDefault="00F81C35" w:rsidP="00FA7052">
      <w:pPr>
        <w:spacing w:line="276" w:lineRule="auto"/>
        <w:jc w:val="both"/>
        <w:rPr>
          <w:rFonts w:asciiTheme="minorHAnsi" w:hAnsiTheme="minorHAnsi" w:cstheme="minorHAnsi"/>
          <w:b/>
          <w:sz w:val="22"/>
          <w:szCs w:val="22"/>
        </w:rPr>
      </w:pPr>
      <w:r>
        <w:rPr>
          <w:rFonts w:asciiTheme="minorHAnsi" w:hAnsiTheme="minorHAnsi" w:cstheme="minorHAnsi"/>
          <w:b/>
          <w:sz w:val="22"/>
          <w:szCs w:val="22"/>
        </w:rPr>
        <w:t>It is USC’s contention that distribution of new student load must include consideration of:</w:t>
      </w:r>
    </w:p>
    <w:p w14:paraId="343ECF97" w14:textId="68AEAA65" w:rsidR="00F81C35" w:rsidRDefault="00F81C35" w:rsidP="00FA7052">
      <w:pPr>
        <w:spacing w:line="276" w:lineRule="auto"/>
        <w:jc w:val="both"/>
        <w:rPr>
          <w:rFonts w:asciiTheme="minorHAnsi" w:hAnsiTheme="minorHAnsi" w:cstheme="minorHAnsi"/>
          <w:b/>
          <w:sz w:val="22"/>
          <w:szCs w:val="22"/>
        </w:rPr>
      </w:pPr>
    </w:p>
    <w:p w14:paraId="0FCBDD08" w14:textId="3FFBD539" w:rsidR="00F81C35" w:rsidRDefault="00F81C35" w:rsidP="00F81C35">
      <w:pPr>
        <w:pStyle w:val="ListParagraph"/>
        <w:numPr>
          <w:ilvl w:val="0"/>
          <w:numId w:val="10"/>
        </w:numPr>
        <w:spacing w:line="276" w:lineRule="auto"/>
        <w:jc w:val="both"/>
        <w:rPr>
          <w:rFonts w:asciiTheme="minorHAnsi" w:hAnsiTheme="minorHAnsi" w:cstheme="minorHAnsi"/>
          <w:b/>
          <w:sz w:val="22"/>
          <w:szCs w:val="22"/>
        </w:rPr>
      </w:pPr>
      <w:r>
        <w:rPr>
          <w:rFonts w:asciiTheme="minorHAnsi" w:hAnsiTheme="minorHAnsi" w:cstheme="minorHAnsi"/>
          <w:b/>
          <w:sz w:val="22"/>
          <w:szCs w:val="22"/>
        </w:rPr>
        <w:t>Population growth by catchment</w:t>
      </w:r>
      <w:r w:rsidR="001D5906">
        <w:rPr>
          <w:rFonts w:asciiTheme="minorHAnsi" w:hAnsiTheme="minorHAnsi" w:cstheme="minorHAnsi"/>
          <w:b/>
          <w:sz w:val="22"/>
          <w:szCs w:val="22"/>
        </w:rPr>
        <w:t xml:space="preserve"> (new student demand)</w:t>
      </w:r>
    </w:p>
    <w:p w14:paraId="43287E45" w14:textId="3BB8E6FE" w:rsidR="00F81C35" w:rsidRDefault="00F81C35" w:rsidP="00F81C35">
      <w:pPr>
        <w:pStyle w:val="ListParagraph"/>
        <w:numPr>
          <w:ilvl w:val="0"/>
          <w:numId w:val="10"/>
        </w:numPr>
        <w:spacing w:line="276" w:lineRule="auto"/>
        <w:jc w:val="both"/>
        <w:rPr>
          <w:rFonts w:asciiTheme="minorHAnsi" w:hAnsiTheme="minorHAnsi" w:cstheme="minorHAnsi"/>
          <w:b/>
          <w:sz w:val="22"/>
          <w:szCs w:val="22"/>
        </w:rPr>
      </w:pPr>
      <w:r>
        <w:rPr>
          <w:rFonts w:asciiTheme="minorHAnsi" w:hAnsiTheme="minorHAnsi" w:cstheme="minorHAnsi"/>
          <w:b/>
          <w:sz w:val="22"/>
          <w:szCs w:val="22"/>
        </w:rPr>
        <w:t>Education disadvantage</w:t>
      </w:r>
      <w:r w:rsidR="001D5906">
        <w:rPr>
          <w:rFonts w:asciiTheme="minorHAnsi" w:hAnsiTheme="minorHAnsi" w:cstheme="minorHAnsi"/>
          <w:b/>
          <w:sz w:val="22"/>
          <w:szCs w:val="22"/>
        </w:rPr>
        <w:t xml:space="preserve"> (latent student demand)</w:t>
      </w:r>
    </w:p>
    <w:p w14:paraId="37B576C8" w14:textId="3F55E5CD" w:rsidR="00F81C35" w:rsidRDefault="00F81C35" w:rsidP="00F81C35">
      <w:pPr>
        <w:pStyle w:val="ListParagraph"/>
        <w:numPr>
          <w:ilvl w:val="0"/>
          <w:numId w:val="10"/>
        </w:numPr>
        <w:spacing w:line="276" w:lineRule="auto"/>
        <w:jc w:val="both"/>
        <w:rPr>
          <w:rFonts w:asciiTheme="minorHAnsi" w:hAnsiTheme="minorHAnsi" w:cstheme="minorHAnsi"/>
          <w:b/>
          <w:sz w:val="22"/>
          <w:szCs w:val="22"/>
        </w:rPr>
      </w:pPr>
      <w:r>
        <w:rPr>
          <w:rFonts w:asciiTheme="minorHAnsi" w:hAnsiTheme="minorHAnsi" w:cstheme="minorHAnsi"/>
          <w:b/>
          <w:sz w:val="22"/>
          <w:szCs w:val="22"/>
        </w:rPr>
        <w:t>University strategic plans</w:t>
      </w:r>
    </w:p>
    <w:p w14:paraId="5D5DD13F" w14:textId="7EE719CD" w:rsidR="0066709B" w:rsidRPr="0066709B" w:rsidRDefault="0066709B" w:rsidP="00F81C35">
      <w:pPr>
        <w:pStyle w:val="ListParagraph"/>
        <w:numPr>
          <w:ilvl w:val="0"/>
          <w:numId w:val="10"/>
        </w:num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Past </w:t>
      </w:r>
      <w:r w:rsidR="00C44574">
        <w:rPr>
          <w:rFonts w:asciiTheme="minorHAnsi" w:hAnsiTheme="minorHAnsi" w:cstheme="minorHAnsi"/>
          <w:b/>
          <w:sz w:val="22"/>
          <w:szCs w:val="22"/>
        </w:rPr>
        <w:t xml:space="preserve">institution and </w:t>
      </w:r>
      <w:r>
        <w:rPr>
          <w:rFonts w:asciiTheme="minorHAnsi" w:hAnsiTheme="minorHAnsi" w:cstheme="minorHAnsi"/>
          <w:b/>
          <w:sz w:val="22"/>
          <w:szCs w:val="22"/>
        </w:rPr>
        <w:t>market behaviour under the demand driven system</w:t>
      </w:r>
    </w:p>
    <w:p w14:paraId="4EEDF967" w14:textId="0B2C83D5" w:rsidR="0066709B" w:rsidRDefault="0066709B" w:rsidP="0066709B">
      <w:pPr>
        <w:spacing w:line="276" w:lineRule="auto"/>
        <w:jc w:val="both"/>
        <w:rPr>
          <w:rFonts w:asciiTheme="minorHAnsi" w:hAnsiTheme="minorHAnsi" w:cstheme="minorHAnsi"/>
          <w:sz w:val="22"/>
          <w:szCs w:val="22"/>
        </w:rPr>
      </w:pPr>
    </w:p>
    <w:p w14:paraId="45CA419E" w14:textId="44A8E3BF" w:rsidR="00777656" w:rsidRPr="00777656" w:rsidRDefault="00777656" w:rsidP="0066709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Performance assessment </w:t>
      </w:r>
      <w:r w:rsidR="001D5906">
        <w:rPr>
          <w:rFonts w:asciiTheme="minorHAnsi" w:hAnsiTheme="minorHAnsi" w:cstheme="minorHAnsi"/>
          <w:sz w:val="22"/>
          <w:szCs w:val="22"/>
        </w:rPr>
        <w:t>must</w:t>
      </w:r>
      <w:r>
        <w:rPr>
          <w:rFonts w:asciiTheme="minorHAnsi" w:hAnsiTheme="minorHAnsi" w:cstheme="minorHAnsi"/>
          <w:sz w:val="22"/>
          <w:szCs w:val="22"/>
        </w:rPr>
        <w:t xml:space="preserve"> also take account these factors.</w:t>
      </w:r>
    </w:p>
    <w:p w14:paraId="13A0E6A6" w14:textId="500F9831" w:rsidR="002542A0" w:rsidRDefault="002542A0" w:rsidP="00FA7052">
      <w:pPr>
        <w:spacing w:line="276" w:lineRule="auto"/>
        <w:jc w:val="both"/>
        <w:rPr>
          <w:rFonts w:asciiTheme="minorHAnsi" w:hAnsiTheme="minorHAnsi" w:cstheme="minorHAnsi"/>
          <w:sz w:val="22"/>
          <w:szCs w:val="22"/>
        </w:rPr>
      </w:pPr>
    </w:p>
    <w:p w14:paraId="014E7795" w14:textId="0958443F" w:rsidR="007435C8" w:rsidRDefault="006675CD" w:rsidP="00FA7052">
      <w:pPr>
        <w:spacing w:line="276" w:lineRule="auto"/>
        <w:jc w:val="both"/>
        <w:rPr>
          <w:rFonts w:asciiTheme="minorHAnsi" w:hAnsiTheme="minorHAnsi" w:cstheme="minorHAnsi"/>
          <w:sz w:val="22"/>
          <w:szCs w:val="22"/>
        </w:rPr>
      </w:pPr>
      <w:r>
        <w:rPr>
          <w:rFonts w:asciiTheme="minorHAnsi" w:hAnsiTheme="minorHAnsi" w:cstheme="minorHAnsi"/>
          <w:sz w:val="22"/>
          <w:szCs w:val="22"/>
        </w:rPr>
        <w:t>Responses to Consultation Questions follow.</w:t>
      </w:r>
    </w:p>
    <w:p w14:paraId="2A5538D3" w14:textId="3A7DC2A3" w:rsidR="00181579" w:rsidRDefault="00181579" w:rsidP="00BA1A1B">
      <w:pPr>
        <w:spacing w:line="276" w:lineRule="auto"/>
        <w:jc w:val="both"/>
        <w:rPr>
          <w:rFonts w:asciiTheme="minorHAnsi" w:hAnsiTheme="minorHAnsi" w:cstheme="minorHAnsi"/>
          <w:sz w:val="22"/>
          <w:szCs w:val="22"/>
        </w:rPr>
      </w:pPr>
    </w:p>
    <w:p w14:paraId="6EB53107" w14:textId="77777777" w:rsidR="00B10D11" w:rsidRDefault="00B10D11">
      <w:pPr>
        <w:rPr>
          <w:rFonts w:asciiTheme="minorHAnsi" w:hAnsiTheme="minorHAnsi" w:cstheme="minorHAnsi"/>
          <w:b/>
          <w:kern w:val="28"/>
          <w:sz w:val="22"/>
          <w:szCs w:val="22"/>
          <w:u w:val="single"/>
        </w:rPr>
      </w:pPr>
      <w:r>
        <w:rPr>
          <w:rFonts w:cstheme="minorHAnsi"/>
          <w:sz w:val="22"/>
          <w:szCs w:val="22"/>
          <w:u w:val="single"/>
        </w:rPr>
        <w:br w:type="page"/>
      </w:r>
    </w:p>
    <w:p w14:paraId="2A1E00D8" w14:textId="7EC535FD" w:rsidR="004823DC" w:rsidRPr="008420EA" w:rsidRDefault="006675CD" w:rsidP="006675CD">
      <w:pPr>
        <w:pStyle w:val="Heading1"/>
        <w:numPr>
          <w:ilvl w:val="0"/>
          <w:numId w:val="11"/>
        </w:numPr>
        <w:spacing w:before="0" w:after="0" w:line="276" w:lineRule="auto"/>
        <w:jc w:val="both"/>
        <w:rPr>
          <w:rFonts w:cstheme="minorHAnsi"/>
          <w:sz w:val="22"/>
          <w:szCs w:val="22"/>
          <w:u w:val="single"/>
        </w:rPr>
      </w:pPr>
      <w:r>
        <w:rPr>
          <w:rFonts w:cstheme="minorHAnsi"/>
          <w:sz w:val="22"/>
          <w:szCs w:val="22"/>
          <w:u w:val="single"/>
        </w:rPr>
        <w:lastRenderedPageBreak/>
        <w:t>How should the PBF be implemented?</w:t>
      </w:r>
    </w:p>
    <w:p w14:paraId="1757254E" w14:textId="77777777" w:rsidR="006675CD" w:rsidRDefault="006675CD" w:rsidP="007A24A7">
      <w:pPr>
        <w:pStyle w:val="ListParagraph"/>
        <w:spacing w:line="276" w:lineRule="auto"/>
        <w:ind w:left="0"/>
        <w:jc w:val="both"/>
        <w:rPr>
          <w:rFonts w:asciiTheme="minorHAnsi" w:hAnsiTheme="minorHAnsi" w:cstheme="minorHAnsi"/>
          <w:sz w:val="22"/>
          <w:szCs w:val="22"/>
        </w:rPr>
      </w:pPr>
    </w:p>
    <w:p w14:paraId="042E3D10" w14:textId="77777777" w:rsidR="006675CD" w:rsidRPr="006675CD" w:rsidRDefault="006675CD" w:rsidP="006675CD">
      <w:pPr>
        <w:spacing w:line="276" w:lineRule="auto"/>
        <w:jc w:val="both"/>
        <w:rPr>
          <w:rFonts w:asciiTheme="minorHAnsi" w:hAnsiTheme="minorHAnsi" w:cstheme="minorHAnsi"/>
          <w:i/>
          <w:sz w:val="22"/>
          <w:szCs w:val="22"/>
        </w:rPr>
      </w:pPr>
      <w:r w:rsidRPr="006675CD">
        <w:rPr>
          <w:rFonts w:asciiTheme="minorHAnsi" w:hAnsiTheme="minorHAnsi" w:cstheme="minorHAnsi"/>
          <w:i/>
          <w:sz w:val="22"/>
          <w:szCs w:val="22"/>
        </w:rPr>
        <w:t>Consideration 1: how to grow a university’s PBF amount from 2021</w:t>
      </w:r>
    </w:p>
    <w:p w14:paraId="2990B385" w14:textId="77777777" w:rsidR="006675CD" w:rsidRDefault="006675CD" w:rsidP="006675CD">
      <w:pPr>
        <w:pStyle w:val="ListParagraph"/>
        <w:spacing w:line="276" w:lineRule="auto"/>
        <w:jc w:val="both"/>
        <w:rPr>
          <w:rFonts w:asciiTheme="minorHAnsi" w:hAnsiTheme="minorHAnsi" w:cstheme="minorHAnsi"/>
          <w:sz w:val="22"/>
          <w:szCs w:val="22"/>
        </w:rPr>
      </w:pPr>
    </w:p>
    <w:p w14:paraId="55021F23" w14:textId="54150DBE" w:rsidR="006675CD" w:rsidRDefault="006675CD" w:rsidP="006675CD">
      <w:pPr>
        <w:pStyle w:val="ListParagraph"/>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As described in the previous data, </w:t>
      </w:r>
      <w:r w:rsidR="000661F5">
        <w:rPr>
          <w:rFonts w:asciiTheme="minorHAnsi" w:hAnsiTheme="minorHAnsi" w:cstheme="minorHAnsi"/>
          <w:sz w:val="22"/>
          <w:szCs w:val="22"/>
        </w:rPr>
        <w:t xml:space="preserve">national and state population growth trends have been poor predictors of institutional student load growth over the last ten years.  </w:t>
      </w:r>
      <w:r w:rsidR="000661F5" w:rsidRPr="006566B4">
        <w:rPr>
          <w:rFonts w:asciiTheme="minorHAnsi" w:hAnsiTheme="minorHAnsi" w:cstheme="minorHAnsi"/>
          <w:b/>
          <w:sz w:val="22"/>
          <w:szCs w:val="22"/>
        </w:rPr>
        <w:t xml:space="preserve">USC strongly advocates for a </w:t>
      </w:r>
      <w:r w:rsidR="00FB079A" w:rsidRPr="006566B4">
        <w:rPr>
          <w:rFonts w:asciiTheme="minorHAnsi" w:hAnsiTheme="minorHAnsi" w:cstheme="minorHAnsi"/>
          <w:b/>
          <w:sz w:val="22"/>
          <w:szCs w:val="22"/>
        </w:rPr>
        <w:t xml:space="preserve">regional (catchment) scheme that considers local population growth (new demand), as well as </w:t>
      </w:r>
      <w:r w:rsidR="006566B4" w:rsidRPr="006566B4">
        <w:rPr>
          <w:rFonts w:asciiTheme="minorHAnsi" w:hAnsiTheme="minorHAnsi" w:cstheme="minorHAnsi"/>
          <w:b/>
          <w:sz w:val="22"/>
          <w:szCs w:val="22"/>
        </w:rPr>
        <w:t>regional disadvantage (latent demand).</w:t>
      </w:r>
    </w:p>
    <w:p w14:paraId="11EBDB96" w14:textId="46BD1E12" w:rsidR="006675CD" w:rsidRDefault="006675CD" w:rsidP="006675CD">
      <w:pPr>
        <w:pStyle w:val="ListParagraph"/>
        <w:spacing w:line="276" w:lineRule="auto"/>
        <w:ind w:left="0"/>
        <w:jc w:val="both"/>
        <w:rPr>
          <w:rFonts w:asciiTheme="minorHAnsi" w:hAnsiTheme="minorHAnsi" w:cstheme="minorHAnsi"/>
          <w:sz w:val="22"/>
          <w:szCs w:val="22"/>
        </w:rPr>
      </w:pPr>
    </w:p>
    <w:p w14:paraId="4A35E09B" w14:textId="0E1283D0" w:rsidR="006675CD" w:rsidRDefault="006566B4" w:rsidP="006566B4">
      <w:pPr>
        <w:pStyle w:val="ListParagraph"/>
        <w:spacing w:line="276" w:lineRule="auto"/>
        <w:ind w:left="0"/>
        <w:jc w:val="both"/>
        <w:rPr>
          <w:rFonts w:asciiTheme="minorHAnsi" w:hAnsiTheme="minorHAnsi" w:cstheme="minorHAnsi"/>
          <w:sz w:val="22"/>
          <w:szCs w:val="22"/>
        </w:rPr>
      </w:pPr>
      <w:r>
        <w:rPr>
          <w:rFonts w:asciiTheme="minorHAnsi" w:hAnsiTheme="minorHAnsi" w:cstheme="minorHAnsi"/>
          <w:sz w:val="22"/>
          <w:szCs w:val="22"/>
        </w:rPr>
        <w:t>For those universities engaged in significant online activities, o</w:t>
      </w:r>
      <w:r w:rsidR="006675CD" w:rsidRPr="006675CD">
        <w:rPr>
          <w:rFonts w:asciiTheme="minorHAnsi" w:hAnsiTheme="minorHAnsi" w:cstheme="minorHAnsi"/>
          <w:sz w:val="22"/>
          <w:szCs w:val="22"/>
        </w:rPr>
        <w:t xml:space="preserve">nline students constitute a national student group and should be evaluated in relation to national population growth.  </w:t>
      </w:r>
    </w:p>
    <w:p w14:paraId="77578C4A" w14:textId="71A228D4" w:rsidR="00CE07A2" w:rsidRDefault="00CE07A2" w:rsidP="006566B4">
      <w:pPr>
        <w:pStyle w:val="ListParagraph"/>
        <w:spacing w:line="276" w:lineRule="auto"/>
        <w:ind w:left="0"/>
        <w:jc w:val="both"/>
        <w:rPr>
          <w:rFonts w:asciiTheme="minorHAnsi" w:hAnsiTheme="minorHAnsi" w:cstheme="minorHAnsi"/>
          <w:sz w:val="22"/>
          <w:szCs w:val="22"/>
        </w:rPr>
      </w:pPr>
    </w:p>
    <w:p w14:paraId="0A90B063" w14:textId="5A91E474" w:rsidR="00637241" w:rsidRPr="00C13331" w:rsidRDefault="00637241" w:rsidP="00637241">
      <w:pPr>
        <w:spacing w:line="276" w:lineRule="auto"/>
        <w:jc w:val="both"/>
        <w:rPr>
          <w:rFonts w:asciiTheme="minorHAnsi" w:hAnsiTheme="minorHAnsi" w:cstheme="minorHAnsi"/>
          <w:i/>
          <w:sz w:val="22"/>
          <w:szCs w:val="22"/>
        </w:rPr>
      </w:pPr>
      <w:r w:rsidRPr="00C13331">
        <w:rPr>
          <w:rFonts w:asciiTheme="minorHAnsi" w:hAnsiTheme="minorHAnsi" w:cstheme="minorHAnsi"/>
          <w:i/>
          <w:sz w:val="22"/>
          <w:szCs w:val="22"/>
        </w:rPr>
        <w:t>Consideration 2: how to treat a university’s PBF amount from 2021</w:t>
      </w:r>
    </w:p>
    <w:p w14:paraId="29F61753" w14:textId="4349F414" w:rsidR="00637241" w:rsidRDefault="00637241" w:rsidP="00637241">
      <w:pPr>
        <w:spacing w:line="276" w:lineRule="auto"/>
        <w:jc w:val="both"/>
        <w:rPr>
          <w:rFonts w:asciiTheme="minorHAnsi" w:hAnsiTheme="minorHAnsi" w:cstheme="minorHAnsi"/>
          <w:sz w:val="22"/>
          <w:szCs w:val="22"/>
        </w:rPr>
      </w:pPr>
    </w:p>
    <w:p w14:paraId="07257145" w14:textId="2C2E3567" w:rsidR="00C13331" w:rsidRDefault="00C13331" w:rsidP="0063724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Performance schemes enable the government to drive institutional behaviours in a manner aligned with policy or priority of the day.  However, this must be balanced against planning.  For a small regional university such as USC, around 90% of teaching-derived income is spent on the business of teaching – wages, operational expenses, capital maintenance (but not new capital works), etc.  This is a stable model, and USC’s Aa3 stable credit rating from Moody’s supports that notion.  </w:t>
      </w:r>
    </w:p>
    <w:p w14:paraId="03C36971" w14:textId="7AB0D04A" w:rsidR="00C13331" w:rsidRDefault="00C13331" w:rsidP="00637241">
      <w:pPr>
        <w:spacing w:line="276" w:lineRule="auto"/>
        <w:jc w:val="both"/>
        <w:rPr>
          <w:rFonts w:asciiTheme="minorHAnsi" w:hAnsiTheme="minorHAnsi" w:cstheme="minorHAnsi"/>
          <w:sz w:val="22"/>
          <w:szCs w:val="22"/>
        </w:rPr>
      </w:pPr>
    </w:p>
    <w:p w14:paraId="6C33A895" w14:textId="7AFC0A09" w:rsidR="00C13331" w:rsidRDefault="00C13331" w:rsidP="00637241">
      <w:pPr>
        <w:spacing w:line="276" w:lineRule="auto"/>
        <w:jc w:val="both"/>
        <w:rPr>
          <w:rFonts w:asciiTheme="minorHAnsi" w:hAnsiTheme="minorHAnsi" w:cstheme="minorHAnsi"/>
          <w:sz w:val="22"/>
          <w:szCs w:val="22"/>
        </w:rPr>
      </w:pPr>
      <w:r>
        <w:rPr>
          <w:rFonts w:asciiTheme="minorHAnsi" w:hAnsiTheme="minorHAnsi" w:cstheme="minorHAnsi"/>
          <w:sz w:val="22"/>
          <w:szCs w:val="22"/>
        </w:rPr>
        <w:t>In this context, a small-percentage performance-based funding component will have a significant impact on USC’s functioning.  Separate funding will provide significant financial uncertainty.</w:t>
      </w:r>
    </w:p>
    <w:p w14:paraId="321A0284" w14:textId="2ADF568C" w:rsidR="00C13331" w:rsidRDefault="00C13331" w:rsidP="00637241">
      <w:pPr>
        <w:spacing w:line="276" w:lineRule="auto"/>
        <w:jc w:val="both"/>
        <w:rPr>
          <w:rFonts w:asciiTheme="minorHAnsi" w:hAnsiTheme="minorHAnsi" w:cstheme="minorHAnsi"/>
          <w:sz w:val="22"/>
          <w:szCs w:val="22"/>
        </w:rPr>
      </w:pPr>
    </w:p>
    <w:p w14:paraId="55081578" w14:textId="65B7CF13" w:rsidR="00C13331" w:rsidRPr="00C13331" w:rsidRDefault="00C13331" w:rsidP="00637241">
      <w:pPr>
        <w:spacing w:line="276" w:lineRule="auto"/>
        <w:jc w:val="both"/>
        <w:rPr>
          <w:rFonts w:asciiTheme="minorHAnsi" w:hAnsiTheme="minorHAnsi" w:cstheme="minorHAnsi"/>
          <w:b/>
          <w:sz w:val="22"/>
          <w:szCs w:val="22"/>
        </w:rPr>
      </w:pPr>
      <w:r>
        <w:rPr>
          <w:rFonts w:asciiTheme="minorHAnsi" w:hAnsiTheme="minorHAnsi" w:cstheme="minorHAnsi"/>
          <w:b/>
          <w:sz w:val="22"/>
          <w:szCs w:val="22"/>
        </w:rPr>
        <w:t>USC’s recommendation is that the performance funding be added to the MBGA.</w:t>
      </w:r>
    </w:p>
    <w:p w14:paraId="4E1EFC3A" w14:textId="15BF0F32" w:rsidR="00C13331" w:rsidRDefault="00C13331" w:rsidP="00637241">
      <w:pPr>
        <w:spacing w:line="276" w:lineRule="auto"/>
        <w:jc w:val="both"/>
        <w:rPr>
          <w:rFonts w:asciiTheme="minorHAnsi" w:hAnsiTheme="minorHAnsi" w:cstheme="minorHAnsi"/>
          <w:sz w:val="22"/>
          <w:szCs w:val="22"/>
        </w:rPr>
      </w:pPr>
    </w:p>
    <w:p w14:paraId="2139E8D3" w14:textId="46512D46" w:rsidR="00A53906" w:rsidRPr="008420EA" w:rsidRDefault="00A53906" w:rsidP="00A53906">
      <w:pPr>
        <w:pStyle w:val="Heading1"/>
        <w:numPr>
          <w:ilvl w:val="0"/>
          <w:numId w:val="11"/>
        </w:numPr>
        <w:spacing w:before="0" w:after="0" w:line="276" w:lineRule="auto"/>
        <w:jc w:val="both"/>
        <w:rPr>
          <w:rFonts w:cstheme="minorHAnsi"/>
          <w:sz w:val="22"/>
          <w:szCs w:val="22"/>
          <w:u w:val="single"/>
        </w:rPr>
      </w:pPr>
      <w:r w:rsidRPr="00A53906">
        <w:rPr>
          <w:rFonts w:cstheme="minorHAnsi"/>
          <w:sz w:val="22"/>
          <w:szCs w:val="22"/>
          <w:u w:val="single"/>
        </w:rPr>
        <w:t>What performance measures should the PBF scheme draw on?</w:t>
      </w:r>
    </w:p>
    <w:p w14:paraId="45A59FE6" w14:textId="77777777" w:rsidR="00A53906" w:rsidRDefault="00A53906" w:rsidP="00A53906">
      <w:pPr>
        <w:pStyle w:val="ListParagraph"/>
        <w:spacing w:line="276" w:lineRule="auto"/>
        <w:ind w:left="0"/>
        <w:jc w:val="both"/>
        <w:rPr>
          <w:rFonts w:asciiTheme="minorHAnsi" w:hAnsiTheme="minorHAnsi" w:cstheme="minorHAnsi"/>
          <w:sz w:val="22"/>
          <w:szCs w:val="22"/>
        </w:rPr>
      </w:pPr>
    </w:p>
    <w:p w14:paraId="4ECC7654" w14:textId="30EBAE70" w:rsidR="00CE07A2" w:rsidRDefault="008B24C6" w:rsidP="006566B4">
      <w:pPr>
        <w:pStyle w:val="ListParagraph"/>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In line with the previous discussion, different performance measures should be applied to each university.  There may be a “mandatory set” that all universities are assessed on, for example teaching quality, and then some </w:t>
      </w:r>
      <w:r w:rsidR="00E04A11">
        <w:rPr>
          <w:rFonts w:asciiTheme="minorHAnsi" w:hAnsiTheme="minorHAnsi" w:cstheme="minorHAnsi"/>
          <w:sz w:val="22"/>
          <w:szCs w:val="22"/>
        </w:rPr>
        <w:t xml:space="preserve">“optional items” that universities may </w:t>
      </w:r>
      <w:proofErr w:type="gramStart"/>
      <w:r w:rsidR="00E04A11">
        <w:rPr>
          <w:rFonts w:asciiTheme="minorHAnsi" w:hAnsiTheme="minorHAnsi" w:cstheme="minorHAnsi"/>
          <w:sz w:val="22"/>
          <w:szCs w:val="22"/>
        </w:rPr>
        <w:t>enter into</w:t>
      </w:r>
      <w:proofErr w:type="gramEnd"/>
      <w:r w:rsidR="00E04A11">
        <w:rPr>
          <w:rFonts w:asciiTheme="minorHAnsi" w:hAnsiTheme="minorHAnsi" w:cstheme="minorHAnsi"/>
          <w:sz w:val="22"/>
          <w:szCs w:val="22"/>
        </w:rPr>
        <w:t xml:space="preserve"> based upon catchment characteristics, community need and/or university strategic plan.</w:t>
      </w:r>
      <w:r w:rsidR="00036D17">
        <w:rPr>
          <w:rFonts w:asciiTheme="minorHAnsi" w:hAnsiTheme="minorHAnsi" w:cstheme="minorHAnsi"/>
          <w:sz w:val="22"/>
          <w:szCs w:val="22"/>
        </w:rPr>
        <w:t xml:space="preserve">  This option has been suggested in the Discussion Paper, and USC strongly supports the notion.</w:t>
      </w:r>
    </w:p>
    <w:p w14:paraId="5C5C101B" w14:textId="52E2B02D" w:rsidR="00E04A11" w:rsidRDefault="00E04A11" w:rsidP="006566B4">
      <w:pPr>
        <w:pStyle w:val="ListParagraph"/>
        <w:spacing w:line="276" w:lineRule="auto"/>
        <w:ind w:left="0"/>
        <w:jc w:val="both"/>
        <w:rPr>
          <w:rFonts w:asciiTheme="minorHAnsi" w:hAnsiTheme="minorHAnsi" w:cstheme="minorHAnsi"/>
          <w:sz w:val="22"/>
          <w:szCs w:val="22"/>
        </w:rPr>
      </w:pPr>
    </w:p>
    <w:p w14:paraId="122BC459" w14:textId="6FF5FC04" w:rsidR="00A53906" w:rsidRDefault="00E04A11" w:rsidP="00E04A1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An important </w:t>
      </w:r>
      <w:r w:rsidR="00A53906" w:rsidRPr="00E04A11">
        <w:rPr>
          <w:rFonts w:asciiTheme="minorHAnsi" w:hAnsiTheme="minorHAnsi" w:cstheme="minorHAnsi"/>
          <w:sz w:val="22"/>
          <w:szCs w:val="22"/>
        </w:rPr>
        <w:t>major consideration here is what factors universities can have control over their ability to influence (as stated in the discussion document).</w:t>
      </w:r>
      <w:r>
        <w:rPr>
          <w:rFonts w:asciiTheme="minorHAnsi" w:hAnsiTheme="minorHAnsi" w:cstheme="minorHAnsi"/>
          <w:sz w:val="22"/>
          <w:szCs w:val="22"/>
        </w:rPr>
        <w:t xml:space="preserve"> </w:t>
      </w:r>
      <w:r w:rsidR="00A53906" w:rsidRPr="00E04A11">
        <w:rPr>
          <w:rFonts w:asciiTheme="minorHAnsi" w:hAnsiTheme="minorHAnsi" w:cstheme="minorHAnsi"/>
          <w:sz w:val="22"/>
          <w:szCs w:val="22"/>
        </w:rPr>
        <w:t xml:space="preserve"> Concordant with measures defined by QILT, </w:t>
      </w:r>
      <w:r>
        <w:rPr>
          <w:rFonts w:asciiTheme="minorHAnsi" w:hAnsiTheme="minorHAnsi" w:cstheme="minorHAnsi"/>
          <w:sz w:val="22"/>
          <w:szCs w:val="22"/>
        </w:rPr>
        <w:t>a</w:t>
      </w:r>
      <w:r w:rsidR="00A53906" w:rsidRPr="00E04A11">
        <w:rPr>
          <w:rFonts w:asciiTheme="minorHAnsi" w:hAnsiTheme="minorHAnsi" w:cstheme="minorHAnsi"/>
          <w:sz w:val="22"/>
          <w:szCs w:val="22"/>
        </w:rPr>
        <w:t xml:space="preserve"> key driver must be the quality of the student experience, especially in learning and teaching.  This aspect is within the gift of each university, and where accreditation is a factor necessitating certain expectations, it is applied evenly to all universities. </w:t>
      </w:r>
    </w:p>
    <w:p w14:paraId="758199EB" w14:textId="77777777" w:rsidR="00E04A11" w:rsidRDefault="00E04A11" w:rsidP="00E04A11">
      <w:pPr>
        <w:spacing w:line="276" w:lineRule="auto"/>
        <w:jc w:val="both"/>
        <w:rPr>
          <w:rFonts w:asciiTheme="minorHAnsi" w:hAnsiTheme="minorHAnsi" w:cstheme="minorHAnsi"/>
          <w:sz w:val="22"/>
          <w:szCs w:val="22"/>
        </w:rPr>
      </w:pPr>
    </w:p>
    <w:p w14:paraId="34183D5C" w14:textId="769D839F" w:rsidR="00A53906" w:rsidRDefault="00DB083A" w:rsidP="00E04A1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Performance in areas such as </w:t>
      </w:r>
      <w:r w:rsidR="00A53906" w:rsidRPr="00E04A11">
        <w:rPr>
          <w:rFonts w:asciiTheme="minorHAnsi" w:hAnsiTheme="minorHAnsi" w:cstheme="minorHAnsi"/>
          <w:sz w:val="22"/>
          <w:szCs w:val="22"/>
        </w:rPr>
        <w:t>attrition and graduate employment are modulated by the regional and nat</w:t>
      </w:r>
      <w:r w:rsidR="00E04A11">
        <w:rPr>
          <w:rFonts w:asciiTheme="minorHAnsi" w:hAnsiTheme="minorHAnsi" w:cstheme="minorHAnsi"/>
          <w:sz w:val="22"/>
          <w:szCs w:val="22"/>
        </w:rPr>
        <w:t xml:space="preserve">ional economic circumstances.  </w:t>
      </w:r>
      <w:r w:rsidR="00E04A11" w:rsidRPr="00E04A11">
        <w:rPr>
          <w:rFonts w:asciiTheme="minorHAnsi" w:hAnsiTheme="minorHAnsi" w:cstheme="minorHAnsi"/>
          <w:sz w:val="22"/>
          <w:szCs w:val="22"/>
        </w:rPr>
        <w:t>Strict control over student intake</w:t>
      </w:r>
      <w:r w:rsidR="00E04A11">
        <w:rPr>
          <w:rFonts w:asciiTheme="minorHAnsi" w:hAnsiTheme="minorHAnsi" w:cstheme="minorHAnsi"/>
          <w:sz w:val="22"/>
          <w:szCs w:val="22"/>
        </w:rPr>
        <w:t xml:space="preserve"> may reduce attrition, but at the expense of an equity agenda.</w:t>
      </w:r>
      <w:r>
        <w:rPr>
          <w:rFonts w:asciiTheme="minorHAnsi" w:hAnsiTheme="minorHAnsi" w:cstheme="minorHAnsi"/>
          <w:sz w:val="22"/>
          <w:szCs w:val="22"/>
        </w:rPr>
        <w:t xml:space="preserve">  High levels of graduate employment are often related to local opportunity (mining, major construction) or the percentage of mature age students, where the student is already employed.  There are also related to subject areas on offer – for example, </w:t>
      </w:r>
      <w:r w:rsidR="00A53906" w:rsidRPr="00E04A11">
        <w:rPr>
          <w:rFonts w:asciiTheme="minorHAnsi" w:hAnsiTheme="minorHAnsi" w:cstheme="minorHAnsi"/>
          <w:sz w:val="22"/>
          <w:szCs w:val="22"/>
        </w:rPr>
        <w:t>if a university has a large proportion of creative arts graduates their overall employment rate will suffer when compared with an institution with high numbers of medical and dental graduates.</w:t>
      </w:r>
    </w:p>
    <w:p w14:paraId="13CF5430" w14:textId="13DD7ECC" w:rsidR="00DB083A" w:rsidRDefault="00DB083A" w:rsidP="00E04A11">
      <w:pPr>
        <w:spacing w:line="276" w:lineRule="auto"/>
        <w:jc w:val="both"/>
        <w:rPr>
          <w:rFonts w:asciiTheme="minorHAnsi" w:hAnsiTheme="minorHAnsi" w:cstheme="minorHAnsi"/>
          <w:sz w:val="22"/>
          <w:szCs w:val="22"/>
        </w:rPr>
      </w:pPr>
    </w:p>
    <w:p w14:paraId="6DF7633D" w14:textId="1C56B918" w:rsidR="00A53906" w:rsidRDefault="00DB083A" w:rsidP="00DB083A">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For USC, </w:t>
      </w:r>
      <w:r w:rsidR="00A53906" w:rsidRPr="00A53906">
        <w:rPr>
          <w:rFonts w:asciiTheme="minorHAnsi" w:hAnsiTheme="minorHAnsi" w:cstheme="minorHAnsi"/>
          <w:sz w:val="22"/>
          <w:szCs w:val="22"/>
        </w:rPr>
        <w:t xml:space="preserve">‘overall employment’ rates </w:t>
      </w:r>
      <w:r>
        <w:rPr>
          <w:rFonts w:asciiTheme="minorHAnsi" w:hAnsiTheme="minorHAnsi" w:cstheme="minorHAnsi"/>
          <w:sz w:val="22"/>
          <w:szCs w:val="22"/>
        </w:rPr>
        <w:t>would be a better measure</w:t>
      </w:r>
      <w:r w:rsidR="00A53906" w:rsidRPr="00A53906">
        <w:rPr>
          <w:rFonts w:asciiTheme="minorHAnsi" w:hAnsiTheme="minorHAnsi" w:cstheme="minorHAnsi"/>
          <w:sz w:val="22"/>
          <w:szCs w:val="22"/>
        </w:rPr>
        <w:t xml:space="preserve"> of graduate outcomes, as many graduates choose not to work full-time therefore it is incorrect to assume that only those in full-time employment are ‘successful’.</w:t>
      </w:r>
      <w:r>
        <w:rPr>
          <w:rFonts w:asciiTheme="minorHAnsi" w:hAnsiTheme="minorHAnsi" w:cstheme="minorHAnsi"/>
          <w:sz w:val="22"/>
          <w:szCs w:val="22"/>
        </w:rPr>
        <w:t xml:space="preserve">  Performance measures would also better align with the USC vision is they recognised </w:t>
      </w:r>
      <w:r w:rsidR="00A53906" w:rsidRPr="00A53906">
        <w:rPr>
          <w:rFonts w:asciiTheme="minorHAnsi" w:hAnsiTheme="minorHAnsi" w:cstheme="minorHAnsi"/>
          <w:sz w:val="22"/>
          <w:szCs w:val="22"/>
        </w:rPr>
        <w:t xml:space="preserve">work to improving attainment rates for students from under-represented groups </w:t>
      </w:r>
      <w:r>
        <w:rPr>
          <w:rFonts w:asciiTheme="minorHAnsi" w:hAnsiTheme="minorHAnsi" w:cstheme="minorHAnsi"/>
          <w:sz w:val="22"/>
          <w:szCs w:val="22"/>
        </w:rPr>
        <w:t>and long-standing educational disadvantage.</w:t>
      </w:r>
    </w:p>
    <w:p w14:paraId="46078ADC" w14:textId="2A66FC28" w:rsidR="00DB083A" w:rsidRDefault="00DB083A" w:rsidP="00DB083A">
      <w:pPr>
        <w:spacing w:line="276" w:lineRule="auto"/>
        <w:jc w:val="both"/>
        <w:rPr>
          <w:rFonts w:asciiTheme="minorHAnsi" w:hAnsiTheme="minorHAnsi" w:cstheme="minorHAnsi"/>
          <w:sz w:val="22"/>
          <w:szCs w:val="22"/>
        </w:rPr>
      </w:pPr>
    </w:p>
    <w:p w14:paraId="17F61A0E" w14:textId="57525796" w:rsidR="00DB083A" w:rsidRDefault="00DB083A" w:rsidP="00DB083A">
      <w:pPr>
        <w:spacing w:line="276" w:lineRule="auto"/>
        <w:jc w:val="both"/>
        <w:rPr>
          <w:rFonts w:asciiTheme="minorHAnsi" w:hAnsiTheme="minorHAnsi" w:cstheme="minorHAnsi"/>
          <w:sz w:val="22"/>
          <w:szCs w:val="22"/>
        </w:rPr>
      </w:pPr>
    </w:p>
    <w:p w14:paraId="6569F68D" w14:textId="2474ECF3" w:rsidR="00534A25" w:rsidRPr="008420EA" w:rsidRDefault="00036D17" w:rsidP="00534A25">
      <w:pPr>
        <w:pStyle w:val="Heading1"/>
        <w:numPr>
          <w:ilvl w:val="0"/>
          <w:numId w:val="11"/>
        </w:numPr>
        <w:spacing w:before="0" w:after="0" w:line="276" w:lineRule="auto"/>
        <w:jc w:val="both"/>
        <w:rPr>
          <w:rFonts w:cstheme="minorHAnsi"/>
          <w:sz w:val="22"/>
          <w:szCs w:val="22"/>
          <w:u w:val="single"/>
        </w:rPr>
      </w:pPr>
      <w:r>
        <w:rPr>
          <w:rFonts w:cstheme="minorHAnsi"/>
          <w:sz w:val="22"/>
          <w:szCs w:val="22"/>
          <w:u w:val="single"/>
        </w:rPr>
        <w:t>How should the PBF scheme be designed</w:t>
      </w:r>
      <w:r w:rsidR="00534A25" w:rsidRPr="00A53906">
        <w:rPr>
          <w:rFonts w:cstheme="minorHAnsi"/>
          <w:sz w:val="22"/>
          <w:szCs w:val="22"/>
          <w:u w:val="single"/>
        </w:rPr>
        <w:t>?</w:t>
      </w:r>
    </w:p>
    <w:p w14:paraId="0CF700CB" w14:textId="7AE6236A" w:rsidR="00DB083A" w:rsidRDefault="00DB083A" w:rsidP="00DB083A">
      <w:pPr>
        <w:spacing w:line="276" w:lineRule="auto"/>
        <w:jc w:val="both"/>
        <w:rPr>
          <w:rFonts w:asciiTheme="minorHAnsi" w:hAnsiTheme="minorHAnsi" w:cstheme="minorHAnsi"/>
          <w:sz w:val="22"/>
          <w:szCs w:val="22"/>
        </w:rPr>
      </w:pPr>
    </w:p>
    <w:p w14:paraId="37101B5D" w14:textId="5B65F95E" w:rsidR="009A0086" w:rsidRDefault="00534A25" w:rsidP="00534A25">
      <w:pPr>
        <w:spacing w:line="276" w:lineRule="auto"/>
        <w:jc w:val="both"/>
        <w:rPr>
          <w:rFonts w:asciiTheme="minorHAnsi" w:hAnsiTheme="minorHAnsi" w:cstheme="minorHAnsi"/>
          <w:sz w:val="22"/>
          <w:szCs w:val="22"/>
        </w:rPr>
      </w:pPr>
      <w:r w:rsidRPr="00534A25">
        <w:rPr>
          <w:rFonts w:asciiTheme="minorHAnsi" w:hAnsiTheme="minorHAnsi" w:cstheme="minorHAnsi"/>
          <w:sz w:val="22"/>
          <w:szCs w:val="22"/>
        </w:rPr>
        <w:t xml:space="preserve">A weighted segmented approach where QILT as a measure of Quality, Equity, </w:t>
      </w:r>
      <w:r w:rsidR="00036D17">
        <w:rPr>
          <w:rFonts w:asciiTheme="minorHAnsi" w:hAnsiTheme="minorHAnsi" w:cstheme="minorHAnsi"/>
          <w:sz w:val="22"/>
          <w:szCs w:val="22"/>
        </w:rPr>
        <w:t>Attrition and GOS could be used</w:t>
      </w:r>
      <w:r w:rsidRPr="00534A25">
        <w:rPr>
          <w:rFonts w:asciiTheme="minorHAnsi" w:hAnsiTheme="minorHAnsi" w:cstheme="minorHAnsi"/>
          <w:sz w:val="22"/>
          <w:szCs w:val="22"/>
        </w:rPr>
        <w:t xml:space="preserve">.   </w:t>
      </w:r>
      <w:r w:rsidR="00036D17">
        <w:rPr>
          <w:rFonts w:asciiTheme="minorHAnsi" w:hAnsiTheme="minorHAnsi" w:cstheme="minorHAnsi"/>
          <w:sz w:val="22"/>
          <w:szCs w:val="22"/>
        </w:rPr>
        <w:t>As mentioned previously, t</w:t>
      </w:r>
      <w:r w:rsidRPr="00534A25">
        <w:rPr>
          <w:rFonts w:asciiTheme="minorHAnsi" w:hAnsiTheme="minorHAnsi" w:cstheme="minorHAnsi"/>
          <w:sz w:val="22"/>
          <w:szCs w:val="22"/>
        </w:rPr>
        <w:t>he concept of core and supplementary measures would help</w:t>
      </w:r>
      <w:r w:rsidR="00036D17">
        <w:rPr>
          <w:rFonts w:asciiTheme="minorHAnsi" w:hAnsiTheme="minorHAnsi" w:cstheme="minorHAnsi"/>
          <w:sz w:val="22"/>
          <w:szCs w:val="22"/>
        </w:rPr>
        <w:t xml:space="preserve"> the scheme best fit the range of universities in Australia, the set of which contribute a sector that punches well above its weight in the international stage</w:t>
      </w:r>
      <w:r w:rsidR="009A0086">
        <w:rPr>
          <w:rFonts w:asciiTheme="minorHAnsi" w:hAnsiTheme="minorHAnsi" w:cstheme="minorHAnsi"/>
          <w:sz w:val="22"/>
          <w:szCs w:val="22"/>
        </w:rPr>
        <w:t>.</w:t>
      </w:r>
    </w:p>
    <w:p w14:paraId="721C7DDC" w14:textId="4A1564A5" w:rsidR="009A0086" w:rsidRDefault="009A0086" w:rsidP="00534A25">
      <w:pPr>
        <w:spacing w:line="276" w:lineRule="auto"/>
        <w:jc w:val="both"/>
        <w:rPr>
          <w:rFonts w:asciiTheme="minorHAnsi" w:hAnsiTheme="minorHAnsi" w:cstheme="minorHAnsi"/>
          <w:sz w:val="22"/>
          <w:szCs w:val="22"/>
        </w:rPr>
      </w:pPr>
    </w:p>
    <w:p w14:paraId="31C2F45F" w14:textId="38362496" w:rsidR="009A0086" w:rsidRDefault="009A0086" w:rsidP="00534A2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word of caution in relation to the setting of equity targets for all universities – past programs have driven institutions </w:t>
      </w:r>
      <w:r w:rsidR="0054502F">
        <w:rPr>
          <w:rFonts w:asciiTheme="minorHAnsi" w:hAnsiTheme="minorHAnsi" w:cstheme="minorHAnsi"/>
          <w:sz w:val="22"/>
          <w:szCs w:val="22"/>
        </w:rPr>
        <w:t xml:space="preserve">to engage </w:t>
      </w:r>
      <w:r w:rsidR="00063D37">
        <w:rPr>
          <w:rFonts w:asciiTheme="minorHAnsi" w:hAnsiTheme="minorHAnsi" w:cstheme="minorHAnsi"/>
          <w:sz w:val="22"/>
          <w:szCs w:val="22"/>
        </w:rPr>
        <w:t>in a “temporary” way with disadvantaged communities outside of their catchment, and then leave as soon as the funding program finishes.  This does more harm than good and leaves the community and its senior leaders unhappy with both the institution and the sector.</w:t>
      </w:r>
    </w:p>
    <w:p w14:paraId="64203827" w14:textId="43170AC2" w:rsidR="00063D37" w:rsidRDefault="00063D37" w:rsidP="00534A25">
      <w:pPr>
        <w:spacing w:line="276" w:lineRule="auto"/>
        <w:jc w:val="both"/>
        <w:rPr>
          <w:rFonts w:asciiTheme="minorHAnsi" w:hAnsiTheme="minorHAnsi" w:cstheme="minorHAnsi"/>
          <w:sz w:val="22"/>
          <w:szCs w:val="22"/>
        </w:rPr>
      </w:pPr>
    </w:p>
    <w:p w14:paraId="4F282CB2" w14:textId="3D07149C" w:rsidR="000E48EA" w:rsidRPr="008420EA" w:rsidRDefault="00F82E14" w:rsidP="00F82E14">
      <w:pPr>
        <w:pStyle w:val="Heading1"/>
        <w:numPr>
          <w:ilvl w:val="0"/>
          <w:numId w:val="11"/>
        </w:numPr>
        <w:spacing w:before="0" w:after="0" w:line="276" w:lineRule="auto"/>
        <w:jc w:val="both"/>
        <w:rPr>
          <w:rFonts w:cstheme="minorHAnsi"/>
          <w:sz w:val="22"/>
          <w:szCs w:val="22"/>
          <w:u w:val="single"/>
        </w:rPr>
      </w:pPr>
      <w:r w:rsidRPr="00F82E14">
        <w:rPr>
          <w:rFonts w:cstheme="minorHAnsi"/>
          <w:sz w:val="22"/>
          <w:szCs w:val="22"/>
          <w:u w:val="single"/>
        </w:rPr>
        <w:t>How should performance measure benchmarks be set?</w:t>
      </w:r>
    </w:p>
    <w:p w14:paraId="15133B63" w14:textId="53AE82A2" w:rsidR="000E48EA" w:rsidRDefault="000E48EA" w:rsidP="000E48EA">
      <w:pPr>
        <w:spacing w:line="276" w:lineRule="auto"/>
        <w:jc w:val="both"/>
        <w:rPr>
          <w:rFonts w:asciiTheme="minorHAnsi" w:hAnsiTheme="minorHAnsi" w:cstheme="minorHAnsi"/>
          <w:sz w:val="22"/>
          <w:szCs w:val="22"/>
        </w:rPr>
      </w:pPr>
    </w:p>
    <w:p w14:paraId="68D65226" w14:textId="30ADE206" w:rsidR="00F82E14" w:rsidRDefault="00F82E14" w:rsidP="000E48EA">
      <w:pPr>
        <w:spacing w:line="276" w:lineRule="auto"/>
        <w:jc w:val="both"/>
        <w:rPr>
          <w:rFonts w:asciiTheme="minorHAnsi" w:hAnsiTheme="minorHAnsi" w:cstheme="minorHAnsi"/>
          <w:sz w:val="22"/>
          <w:szCs w:val="22"/>
        </w:rPr>
      </w:pPr>
      <w:r>
        <w:rPr>
          <w:rFonts w:asciiTheme="minorHAnsi" w:hAnsiTheme="minorHAnsi" w:cstheme="minorHAnsi"/>
          <w:sz w:val="22"/>
          <w:szCs w:val="22"/>
        </w:rPr>
        <w:t>USC supports the notion of peer-group assessment in selected measures such as attrition.</w:t>
      </w:r>
    </w:p>
    <w:p w14:paraId="19C4DE38" w14:textId="308DBC3F" w:rsidR="00F82E14" w:rsidRDefault="00F82E14" w:rsidP="000E48EA">
      <w:pPr>
        <w:spacing w:line="276" w:lineRule="auto"/>
        <w:jc w:val="both"/>
        <w:rPr>
          <w:rFonts w:asciiTheme="minorHAnsi" w:hAnsiTheme="minorHAnsi" w:cstheme="minorHAnsi"/>
          <w:sz w:val="22"/>
          <w:szCs w:val="22"/>
        </w:rPr>
      </w:pPr>
    </w:p>
    <w:p w14:paraId="442BBAAA" w14:textId="0EA0F9F4" w:rsidR="00324BCA" w:rsidRDefault="00324BCA" w:rsidP="00324BCA">
      <w:pPr>
        <w:spacing w:line="276" w:lineRule="auto"/>
        <w:jc w:val="both"/>
        <w:rPr>
          <w:rFonts w:asciiTheme="minorHAnsi" w:hAnsiTheme="minorHAnsi" w:cstheme="minorHAnsi"/>
          <w:sz w:val="22"/>
          <w:szCs w:val="22"/>
        </w:rPr>
      </w:pPr>
      <w:r w:rsidRPr="000E48EA">
        <w:rPr>
          <w:rFonts w:asciiTheme="minorHAnsi" w:hAnsiTheme="minorHAnsi" w:cstheme="minorHAnsi"/>
          <w:sz w:val="22"/>
          <w:szCs w:val="22"/>
        </w:rPr>
        <w:t xml:space="preserve">The threshold approach of minimal acceptable levels if used to simply additionally fund or not fund may require a value judgment that could be avoided if a weighted approach to a basket of measures is used, with a sliding scale that evaluates each factor.  Given that attrition is a lagged </w:t>
      </w:r>
      <w:proofErr w:type="gramStart"/>
      <w:r w:rsidRPr="000E48EA">
        <w:rPr>
          <w:rFonts w:asciiTheme="minorHAnsi" w:hAnsiTheme="minorHAnsi" w:cstheme="minorHAnsi"/>
          <w:sz w:val="22"/>
          <w:szCs w:val="22"/>
        </w:rPr>
        <w:t>measure, and</w:t>
      </w:r>
      <w:proofErr w:type="gramEnd"/>
      <w:r w:rsidRPr="000E48EA">
        <w:rPr>
          <w:rFonts w:asciiTheme="minorHAnsi" w:hAnsiTheme="minorHAnsi" w:cstheme="minorHAnsi"/>
          <w:sz w:val="22"/>
          <w:szCs w:val="22"/>
        </w:rPr>
        <w:t xml:space="preserve"> taking into account the time it takes for new initiatives to take effect, an approach which looks at each institution’s time-series performance through one of the measures, e.g. moving average, simple assessment from one year to the next, may be appropriate.  For each of the performance measures determined, the data of each institution will need to be assessed and the minimum acceptable level of performance determined based on that for each institution considering their strategic goals.  An approach of weighting measures seems appropriate, based on factors such as:</w:t>
      </w:r>
    </w:p>
    <w:p w14:paraId="50A1AD94" w14:textId="77777777" w:rsidR="00324BCA" w:rsidRPr="000E48EA" w:rsidRDefault="00324BCA" w:rsidP="00324BCA">
      <w:pPr>
        <w:spacing w:line="276" w:lineRule="auto"/>
        <w:jc w:val="both"/>
        <w:rPr>
          <w:rFonts w:asciiTheme="minorHAnsi" w:hAnsiTheme="minorHAnsi" w:cstheme="minorHAnsi"/>
          <w:sz w:val="22"/>
          <w:szCs w:val="22"/>
        </w:rPr>
      </w:pPr>
    </w:p>
    <w:p w14:paraId="5CA4EF56" w14:textId="1833F194" w:rsidR="00324BCA" w:rsidRPr="003424AC" w:rsidRDefault="00324BCA" w:rsidP="003424AC">
      <w:pPr>
        <w:pStyle w:val="ListParagraph"/>
        <w:numPr>
          <w:ilvl w:val="0"/>
          <w:numId w:val="12"/>
        </w:numPr>
        <w:spacing w:line="276" w:lineRule="auto"/>
        <w:jc w:val="both"/>
        <w:rPr>
          <w:rFonts w:asciiTheme="minorHAnsi" w:hAnsiTheme="minorHAnsi" w:cstheme="minorHAnsi"/>
          <w:sz w:val="22"/>
          <w:szCs w:val="22"/>
        </w:rPr>
      </w:pPr>
      <w:r w:rsidRPr="003424AC">
        <w:rPr>
          <w:rFonts w:asciiTheme="minorHAnsi" w:hAnsiTheme="minorHAnsi" w:cstheme="minorHAnsi"/>
          <w:sz w:val="22"/>
          <w:szCs w:val="22"/>
        </w:rPr>
        <w:t>lag time - relevance of data</w:t>
      </w:r>
    </w:p>
    <w:p w14:paraId="3E7E9F71" w14:textId="1BC7888B" w:rsidR="00324BCA" w:rsidRPr="003424AC" w:rsidRDefault="00324BCA" w:rsidP="003424AC">
      <w:pPr>
        <w:pStyle w:val="ListParagraph"/>
        <w:numPr>
          <w:ilvl w:val="0"/>
          <w:numId w:val="12"/>
        </w:numPr>
        <w:spacing w:line="276" w:lineRule="auto"/>
        <w:jc w:val="both"/>
        <w:rPr>
          <w:rFonts w:asciiTheme="minorHAnsi" w:hAnsiTheme="minorHAnsi" w:cstheme="minorHAnsi"/>
          <w:sz w:val="22"/>
          <w:szCs w:val="22"/>
        </w:rPr>
      </w:pPr>
      <w:r w:rsidRPr="003424AC">
        <w:rPr>
          <w:rFonts w:asciiTheme="minorHAnsi" w:hAnsiTheme="minorHAnsi" w:cstheme="minorHAnsi"/>
          <w:sz w:val="22"/>
          <w:szCs w:val="22"/>
        </w:rPr>
        <w:t>what institutions have most control over; and</w:t>
      </w:r>
    </w:p>
    <w:p w14:paraId="1AB78CCB" w14:textId="50CE04CD" w:rsidR="00324BCA" w:rsidRPr="003424AC" w:rsidRDefault="00324BCA" w:rsidP="003424AC">
      <w:pPr>
        <w:pStyle w:val="ListParagraph"/>
        <w:numPr>
          <w:ilvl w:val="0"/>
          <w:numId w:val="12"/>
        </w:numPr>
        <w:spacing w:line="276" w:lineRule="auto"/>
        <w:jc w:val="both"/>
        <w:rPr>
          <w:rFonts w:asciiTheme="minorHAnsi" w:hAnsiTheme="minorHAnsi" w:cstheme="minorHAnsi"/>
          <w:sz w:val="22"/>
          <w:szCs w:val="22"/>
        </w:rPr>
      </w:pPr>
      <w:r w:rsidRPr="003424AC">
        <w:rPr>
          <w:rFonts w:asciiTheme="minorHAnsi" w:hAnsiTheme="minorHAnsi" w:cstheme="minorHAnsi"/>
          <w:sz w:val="22"/>
          <w:szCs w:val="22"/>
        </w:rPr>
        <w:t>relevance in relation to government priorities</w:t>
      </w:r>
    </w:p>
    <w:p w14:paraId="6F150787" w14:textId="2FD7A3BB" w:rsidR="00844E23" w:rsidRDefault="00844E23" w:rsidP="000E48EA">
      <w:pPr>
        <w:spacing w:line="276" w:lineRule="auto"/>
        <w:jc w:val="both"/>
        <w:rPr>
          <w:rFonts w:asciiTheme="minorHAnsi" w:hAnsiTheme="minorHAnsi" w:cstheme="minorHAnsi"/>
          <w:sz w:val="22"/>
          <w:szCs w:val="22"/>
        </w:rPr>
      </w:pPr>
    </w:p>
    <w:p w14:paraId="1C009670" w14:textId="3712C674" w:rsidR="00844E23" w:rsidRDefault="00844E23" w:rsidP="00844E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Given the focus on attrition, some additional comments are warranted.  A privately commissioned study of 2500 </w:t>
      </w:r>
      <w:proofErr w:type="spellStart"/>
      <w:r>
        <w:rPr>
          <w:rFonts w:asciiTheme="minorHAnsi" w:hAnsiTheme="minorHAnsi" w:cstheme="minorHAnsi"/>
          <w:sz w:val="22"/>
          <w:szCs w:val="22"/>
        </w:rPr>
        <w:t>attritted</w:t>
      </w:r>
      <w:proofErr w:type="spellEnd"/>
      <w:r>
        <w:rPr>
          <w:rFonts w:asciiTheme="minorHAnsi" w:hAnsiTheme="minorHAnsi" w:cstheme="minorHAnsi"/>
          <w:sz w:val="22"/>
          <w:szCs w:val="22"/>
        </w:rPr>
        <w:t xml:space="preserve"> students from a particularly Australian regional university, </w:t>
      </w:r>
      <w:r w:rsidRPr="00844E23">
        <w:rPr>
          <w:rFonts w:asciiTheme="minorHAnsi" w:hAnsiTheme="minorHAnsi" w:cstheme="minorHAnsi"/>
          <w:sz w:val="22"/>
          <w:szCs w:val="22"/>
        </w:rPr>
        <w:t>68% of students classified as</w:t>
      </w:r>
      <w:r>
        <w:rPr>
          <w:rFonts w:asciiTheme="minorHAnsi" w:hAnsiTheme="minorHAnsi" w:cstheme="minorHAnsi"/>
          <w:sz w:val="22"/>
          <w:szCs w:val="22"/>
        </w:rPr>
        <w:t xml:space="preserve"> </w:t>
      </w:r>
      <w:r w:rsidRPr="00844E23">
        <w:rPr>
          <w:rFonts w:asciiTheme="minorHAnsi" w:hAnsiTheme="minorHAnsi" w:cstheme="minorHAnsi"/>
          <w:sz w:val="22"/>
          <w:szCs w:val="22"/>
        </w:rPr>
        <w:t xml:space="preserve">‘not-retained’ have in fact only ‘deferred’ their study </w:t>
      </w:r>
      <w:r>
        <w:rPr>
          <w:rFonts w:asciiTheme="minorHAnsi" w:hAnsiTheme="minorHAnsi" w:cstheme="minorHAnsi"/>
          <w:sz w:val="22"/>
          <w:szCs w:val="22"/>
        </w:rPr>
        <w:t>(in their view).  These “d</w:t>
      </w:r>
      <w:r w:rsidRPr="00844E23">
        <w:rPr>
          <w:rFonts w:asciiTheme="minorHAnsi" w:hAnsiTheme="minorHAnsi" w:cstheme="minorHAnsi"/>
          <w:sz w:val="22"/>
          <w:szCs w:val="22"/>
        </w:rPr>
        <w:t>eferrers</w:t>
      </w:r>
      <w:r>
        <w:rPr>
          <w:rFonts w:asciiTheme="minorHAnsi" w:hAnsiTheme="minorHAnsi" w:cstheme="minorHAnsi"/>
          <w:sz w:val="22"/>
          <w:szCs w:val="22"/>
        </w:rPr>
        <w:t>”</w:t>
      </w:r>
      <w:r w:rsidRPr="00844E23">
        <w:rPr>
          <w:rFonts w:asciiTheme="minorHAnsi" w:hAnsiTheme="minorHAnsi" w:cstheme="minorHAnsi"/>
          <w:sz w:val="22"/>
          <w:szCs w:val="22"/>
        </w:rPr>
        <w:t xml:space="preserve"> were found to be predominantly older (more likely to be 31 to 35 years old) and enrolled</w:t>
      </w:r>
      <w:r>
        <w:rPr>
          <w:rFonts w:asciiTheme="minorHAnsi" w:hAnsiTheme="minorHAnsi" w:cstheme="minorHAnsi"/>
          <w:sz w:val="22"/>
          <w:szCs w:val="22"/>
        </w:rPr>
        <w:t xml:space="preserve"> </w:t>
      </w:r>
      <w:r w:rsidRPr="00844E23">
        <w:rPr>
          <w:rFonts w:asciiTheme="minorHAnsi" w:hAnsiTheme="minorHAnsi" w:cstheme="minorHAnsi"/>
          <w:sz w:val="22"/>
          <w:szCs w:val="22"/>
        </w:rPr>
        <w:t xml:space="preserve">part-time. </w:t>
      </w:r>
      <w:r>
        <w:rPr>
          <w:rFonts w:asciiTheme="minorHAnsi" w:hAnsiTheme="minorHAnsi" w:cstheme="minorHAnsi"/>
          <w:sz w:val="22"/>
          <w:szCs w:val="22"/>
        </w:rPr>
        <w:t xml:space="preserve"> The decision to defer study was </w:t>
      </w:r>
      <w:r w:rsidRPr="00844E23">
        <w:rPr>
          <w:rFonts w:asciiTheme="minorHAnsi" w:hAnsiTheme="minorHAnsi" w:cstheme="minorHAnsi"/>
          <w:sz w:val="22"/>
          <w:szCs w:val="22"/>
        </w:rPr>
        <w:t>strongly influenced by non-institutional factors, of work and</w:t>
      </w:r>
      <w:r>
        <w:rPr>
          <w:rFonts w:asciiTheme="minorHAnsi" w:hAnsiTheme="minorHAnsi" w:cstheme="minorHAnsi"/>
          <w:sz w:val="22"/>
          <w:szCs w:val="22"/>
        </w:rPr>
        <w:t xml:space="preserve"> </w:t>
      </w:r>
      <w:r w:rsidRPr="00844E23">
        <w:rPr>
          <w:rFonts w:asciiTheme="minorHAnsi" w:hAnsiTheme="minorHAnsi" w:cstheme="minorHAnsi"/>
          <w:sz w:val="22"/>
          <w:szCs w:val="22"/>
        </w:rPr>
        <w:t>family demands and health concerns. Of these three non-institutional influencers, work demands</w:t>
      </w:r>
      <w:r>
        <w:rPr>
          <w:rFonts w:asciiTheme="minorHAnsi" w:hAnsiTheme="minorHAnsi" w:cstheme="minorHAnsi"/>
          <w:sz w:val="22"/>
          <w:szCs w:val="22"/>
        </w:rPr>
        <w:t xml:space="preserve"> </w:t>
      </w:r>
      <w:r w:rsidRPr="00844E23">
        <w:rPr>
          <w:rFonts w:asciiTheme="minorHAnsi" w:hAnsiTheme="minorHAnsi" w:cstheme="minorHAnsi"/>
          <w:sz w:val="22"/>
          <w:szCs w:val="22"/>
        </w:rPr>
        <w:t>were most influential, with these students struggling to balance the combined load of work, family</w:t>
      </w:r>
      <w:r>
        <w:rPr>
          <w:rFonts w:asciiTheme="minorHAnsi" w:hAnsiTheme="minorHAnsi" w:cstheme="minorHAnsi"/>
          <w:sz w:val="22"/>
          <w:szCs w:val="22"/>
        </w:rPr>
        <w:t xml:space="preserve"> </w:t>
      </w:r>
      <w:r w:rsidRPr="00844E23">
        <w:rPr>
          <w:rFonts w:asciiTheme="minorHAnsi" w:hAnsiTheme="minorHAnsi" w:cstheme="minorHAnsi"/>
          <w:sz w:val="22"/>
          <w:szCs w:val="22"/>
        </w:rPr>
        <w:t>and study.</w:t>
      </w:r>
      <w:r w:rsidR="00324BCA">
        <w:rPr>
          <w:rFonts w:asciiTheme="minorHAnsi" w:hAnsiTheme="minorHAnsi" w:cstheme="minorHAnsi"/>
          <w:sz w:val="22"/>
          <w:szCs w:val="22"/>
        </w:rPr>
        <w:t xml:space="preserve">  This suggests some mitigation of attrition measurements by age, study status, region and equity status.  This mitigation may be simpler with an institutional peer comparison regime or year-by-year comparisons (although for USC, this may be problematic as programs are moved into disadvantaged regions.</w:t>
      </w:r>
    </w:p>
    <w:p w14:paraId="665430B9" w14:textId="3FE33AD9" w:rsidR="00324BCA" w:rsidRDefault="00324BCA" w:rsidP="00844E23">
      <w:pPr>
        <w:spacing w:line="276" w:lineRule="auto"/>
        <w:jc w:val="both"/>
        <w:rPr>
          <w:rFonts w:asciiTheme="minorHAnsi" w:hAnsiTheme="minorHAnsi" w:cstheme="minorHAnsi"/>
          <w:sz w:val="22"/>
          <w:szCs w:val="22"/>
        </w:rPr>
      </w:pPr>
    </w:p>
    <w:p w14:paraId="69FE31FE" w14:textId="2F5D734B" w:rsidR="003634D7" w:rsidRPr="008420EA" w:rsidRDefault="003634D7" w:rsidP="003634D7">
      <w:pPr>
        <w:pStyle w:val="Heading1"/>
        <w:numPr>
          <w:ilvl w:val="0"/>
          <w:numId w:val="11"/>
        </w:numPr>
        <w:spacing w:before="0" w:after="0" w:line="276" w:lineRule="auto"/>
        <w:jc w:val="both"/>
        <w:rPr>
          <w:rFonts w:cstheme="minorHAnsi"/>
          <w:sz w:val="22"/>
          <w:szCs w:val="22"/>
          <w:u w:val="single"/>
        </w:rPr>
      </w:pPr>
      <w:r w:rsidRPr="003634D7">
        <w:rPr>
          <w:rFonts w:cstheme="minorHAnsi"/>
          <w:sz w:val="22"/>
          <w:szCs w:val="22"/>
          <w:u w:val="single"/>
        </w:rPr>
        <w:lastRenderedPageBreak/>
        <w:t>Should the PBF funding of unsuccessful universities be</w:t>
      </w:r>
      <w:r w:rsidR="000E2C7E">
        <w:rPr>
          <w:rFonts w:cstheme="minorHAnsi"/>
          <w:sz w:val="22"/>
          <w:szCs w:val="22"/>
          <w:u w:val="single"/>
        </w:rPr>
        <w:t xml:space="preserve"> redistributed</w:t>
      </w:r>
      <w:r w:rsidRPr="00F82E14">
        <w:rPr>
          <w:rFonts w:cstheme="minorHAnsi"/>
          <w:sz w:val="22"/>
          <w:szCs w:val="22"/>
          <w:u w:val="single"/>
        </w:rPr>
        <w:t>?</w:t>
      </w:r>
    </w:p>
    <w:p w14:paraId="0B5565A9" w14:textId="4CEDA07E" w:rsidR="003634D7" w:rsidRDefault="003634D7" w:rsidP="00844E23">
      <w:pPr>
        <w:spacing w:line="276" w:lineRule="auto"/>
        <w:jc w:val="both"/>
        <w:rPr>
          <w:rFonts w:asciiTheme="minorHAnsi" w:hAnsiTheme="minorHAnsi" w:cstheme="minorHAnsi"/>
          <w:sz w:val="22"/>
          <w:szCs w:val="22"/>
        </w:rPr>
      </w:pPr>
    </w:p>
    <w:p w14:paraId="0B2D335C" w14:textId="77777777" w:rsidR="008B6FF9" w:rsidRDefault="003634D7" w:rsidP="003634D7">
      <w:pPr>
        <w:spacing w:line="276" w:lineRule="auto"/>
        <w:jc w:val="both"/>
        <w:rPr>
          <w:rFonts w:asciiTheme="minorHAnsi" w:hAnsiTheme="minorHAnsi" w:cstheme="minorHAnsi"/>
          <w:sz w:val="22"/>
          <w:szCs w:val="22"/>
        </w:rPr>
      </w:pPr>
      <w:r w:rsidRPr="003634D7">
        <w:rPr>
          <w:rFonts w:asciiTheme="minorHAnsi" w:hAnsiTheme="minorHAnsi" w:cstheme="minorHAnsi"/>
          <w:sz w:val="22"/>
          <w:szCs w:val="22"/>
        </w:rPr>
        <w:t>We agree that the pooling of funds would be appropriate.</w:t>
      </w:r>
    </w:p>
    <w:p w14:paraId="12EA70C9" w14:textId="77777777" w:rsidR="008B6FF9" w:rsidRDefault="008B6FF9" w:rsidP="003634D7">
      <w:pPr>
        <w:spacing w:line="276" w:lineRule="auto"/>
        <w:jc w:val="both"/>
        <w:rPr>
          <w:rFonts w:asciiTheme="minorHAnsi" w:hAnsiTheme="minorHAnsi" w:cstheme="minorHAnsi"/>
          <w:sz w:val="22"/>
          <w:szCs w:val="22"/>
        </w:rPr>
      </w:pPr>
    </w:p>
    <w:p w14:paraId="548077DD" w14:textId="423D2F89" w:rsidR="003634D7" w:rsidRDefault="003634D7" w:rsidP="003634D7">
      <w:pPr>
        <w:spacing w:line="276" w:lineRule="auto"/>
        <w:jc w:val="both"/>
        <w:rPr>
          <w:rFonts w:asciiTheme="minorHAnsi" w:hAnsiTheme="minorHAnsi" w:cstheme="minorHAnsi"/>
          <w:sz w:val="22"/>
          <w:szCs w:val="22"/>
        </w:rPr>
      </w:pPr>
      <w:r w:rsidRPr="003634D7">
        <w:rPr>
          <w:rFonts w:asciiTheme="minorHAnsi" w:hAnsiTheme="minorHAnsi" w:cstheme="minorHAnsi"/>
          <w:sz w:val="22"/>
          <w:szCs w:val="22"/>
        </w:rPr>
        <w:t>The redistribution of pooled funds through designated places would help to produce supplementary effects th</w:t>
      </w:r>
      <w:r w:rsidR="008B6FF9">
        <w:rPr>
          <w:rFonts w:asciiTheme="minorHAnsi" w:hAnsiTheme="minorHAnsi" w:cstheme="minorHAnsi"/>
          <w:sz w:val="22"/>
          <w:szCs w:val="22"/>
        </w:rPr>
        <w:t>at may support the need for sub-</w:t>
      </w:r>
      <w:r w:rsidRPr="003634D7">
        <w:rPr>
          <w:rFonts w:asciiTheme="minorHAnsi" w:hAnsiTheme="minorHAnsi" w:cstheme="minorHAnsi"/>
          <w:sz w:val="22"/>
          <w:szCs w:val="22"/>
        </w:rPr>
        <w:t>bachelor qualifications as a route to higher education that suits the current economic circumstances. This could be revisited every 3 -5 years. Clarity would be needed about any redistribution. The scheme needs to ensure that universities that are improving on their measures are rewarded   to continue this work to potentially reach the threshold that may be set.</w:t>
      </w:r>
    </w:p>
    <w:p w14:paraId="6CD5583D" w14:textId="40556420" w:rsidR="008B6FF9" w:rsidRDefault="008B6FF9" w:rsidP="003634D7">
      <w:pPr>
        <w:spacing w:line="276" w:lineRule="auto"/>
        <w:jc w:val="both"/>
        <w:rPr>
          <w:rFonts w:asciiTheme="minorHAnsi" w:hAnsiTheme="minorHAnsi" w:cstheme="minorHAnsi"/>
          <w:sz w:val="22"/>
          <w:szCs w:val="22"/>
        </w:rPr>
      </w:pPr>
    </w:p>
    <w:p w14:paraId="26EEF2CC" w14:textId="3D627E58" w:rsidR="008B6FF9" w:rsidRDefault="008B6FF9" w:rsidP="003634D7">
      <w:pPr>
        <w:spacing w:line="276" w:lineRule="auto"/>
        <w:jc w:val="both"/>
        <w:rPr>
          <w:rFonts w:asciiTheme="minorHAnsi" w:hAnsiTheme="minorHAnsi" w:cstheme="minorHAnsi"/>
          <w:sz w:val="22"/>
          <w:szCs w:val="22"/>
        </w:rPr>
      </w:pPr>
      <w:r>
        <w:rPr>
          <w:rFonts w:asciiTheme="minorHAnsi" w:hAnsiTheme="minorHAnsi" w:cstheme="minorHAnsi"/>
          <w:sz w:val="22"/>
          <w:szCs w:val="22"/>
        </w:rPr>
        <w:t>Generalising this, pooled funding could be used for initiatives (including by the universities who were unsuccessful in attaining necessary performance funding levels) as deemed necessary for the sector – teaching quality initiatives, targeted scholarships, regional teaching fellows to work in regional / rural / remote areas, etc.</w:t>
      </w:r>
    </w:p>
    <w:p w14:paraId="302F216C" w14:textId="77777777" w:rsidR="000E2C7E" w:rsidRDefault="000E2C7E" w:rsidP="000E2C7E">
      <w:pPr>
        <w:spacing w:line="276" w:lineRule="auto"/>
        <w:jc w:val="both"/>
        <w:rPr>
          <w:rFonts w:asciiTheme="minorHAnsi" w:hAnsiTheme="minorHAnsi" w:cstheme="minorHAnsi"/>
          <w:sz w:val="22"/>
          <w:szCs w:val="22"/>
        </w:rPr>
      </w:pPr>
    </w:p>
    <w:p w14:paraId="1B21F987" w14:textId="26375FB3" w:rsidR="000E2C7E" w:rsidRPr="008420EA" w:rsidRDefault="000E2C7E" w:rsidP="000E2C7E">
      <w:pPr>
        <w:pStyle w:val="Heading1"/>
        <w:numPr>
          <w:ilvl w:val="0"/>
          <w:numId w:val="11"/>
        </w:numPr>
        <w:spacing w:before="0" w:after="0" w:line="276" w:lineRule="auto"/>
        <w:jc w:val="both"/>
        <w:rPr>
          <w:rFonts w:cstheme="minorHAnsi"/>
          <w:sz w:val="22"/>
          <w:szCs w:val="22"/>
          <w:u w:val="single"/>
        </w:rPr>
      </w:pPr>
      <w:r w:rsidRPr="000E2C7E">
        <w:rPr>
          <w:rFonts w:cstheme="minorHAnsi"/>
          <w:sz w:val="22"/>
          <w:szCs w:val="22"/>
          <w:u w:val="single"/>
        </w:rPr>
        <w:t>How much “lag” is acceptable between PBF data and the funding year?</w:t>
      </w:r>
    </w:p>
    <w:p w14:paraId="6F581632" w14:textId="355F2EE5" w:rsidR="008B6FF9" w:rsidRDefault="008B6FF9" w:rsidP="003634D7">
      <w:pPr>
        <w:spacing w:line="276" w:lineRule="auto"/>
        <w:jc w:val="both"/>
        <w:rPr>
          <w:rFonts w:asciiTheme="minorHAnsi" w:hAnsiTheme="minorHAnsi" w:cstheme="minorHAnsi"/>
          <w:sz w:val="22"/>
          <w:szCs w:val="22"/>
        </w:rPr>
      </w:pPr>
    </w:p>
    <w:p w14:paraId="5DE9F66E" w14:textId="78E20C3E" w:rsidR="00387121" w:rsidRDefault="00387121" w:rsidP="00387121">
      <w:pPr>
        <w:spacing w:line="276" w:lineRule="auto"/>
        <w:jc w:val="both"/>
        <w:rPr>
          <w:rFonts w:asciiTheme="minorHAnsi" w:hAnsiTheme="minorHAnsi" w:cstheme="minorHAnsi"/>
          <w:sz w:val="22"/>
          <w:szCs w:val="22"/>
        </w:rPr>
      </w:pPr>
      <w:r w:rsidRPr="00387121">
        <w:rPr>
          <w:rFonts w:asciiTheme="minorHAnsi" w:hAnsiTheme="minorHAnsi" w:cstheme="minorHAnsi"/>
          <w:sz w:val="22"/>
          <w:szCs w:val="22"/>
        </w:rPr>
        <w:t>The ability for a university to respond to a new funding stream depends on the timeliness of the data used in evaluation. Attrition by the national measures is highly lagged and it is difficult to see the effect of interventions unless shorter term proxy measures are used by each University.</w:t>
      </w:r>
      <w:r w:rsidR="000E2C7E">
        <w:rPr>
          <w:rFonts w:asciiTheme="minorHAnsi" w:hAnsiTheme="minorHAnsi" w:cstheme="minorHAnsi"/>
          <w:sz w:val="22"/>
          <w:szCs w:val="22"/>
        </w:rPr>
        <w:t xml:space="preserve"> </w:t>
      </w:r>
      <w:r w:rsidRPr="00387121">
        <w:rPr>
          <w:rFonts w:asciiTheme="minorHAnsi" w:hAnsiTheme="minorHAnsi" w:cstheme="minorHAnsi"/>
          <w:sz w:val="22"/>
          <w:szCs w:val="22"/>
        </w:rPr>
        <w:t xml:space="preserve"> Since the overall thesis of this response from USC is that quality of the learning and teaching experience is the key factor within the control of the Universities and a major factor that adds value to the student’s capability, we strongly endorse the use of measures from QILT with immediacy that are not strongly modulated by socioeconomic determinants such as is the case for attrition. </w:t>
      </w:r>
    </w:p>
    <w:p w14:paraId="12FC9712" w14:textId="7F3C3A6B" w:rsidR="000E2C7E" w:rsidRDefault="000E2C7E" w:rsidP="00387121">
      <w:pPr>
        <w:spacing w:line="276" w:lineRule="auto"/>
        <w:jc w:val="both"/>
        <w:rPr>
          <w:rFonts w:asciiTheme="minorHAnsi" w:hAnsiTheme="minorHAnsi" w:cstheme="minorHAnsi"/>
          <w:sz w:val="22"/>
          <w:szCs w:val="22"/>
        </w:rPr>
      </w:pPr>
    </w:p>
    <w:p w14:paraId="449A1381" w14:textId="41CB169A" w:rsidR="000E2C7E" w:rsidRDefault="000E2C7E" w:rsidP="000E2C7E">
      <w:pPr>
        <w:pStyle w:val="Heading1"/>
        <w:numPr>
          <w:ilvl w:val="0"/>
          <w:numId w:val="11"/>
        </w:numPr>
        <w:spacing w:before="0" w:after="0" w:line="276" w:lineRule="auto"/>
        <w:jc w:val="both"/>
        <w:rPr>
          <w:rFonts w:cstheme="minorHAnsi"/>
          <w:sz w:val="22"/>
          <w:szCs w:val="22"/>
          <w:u w:val="single"/>
        </w:rPr>
      </w:pPr>
      <w:r w:rsidRPr="000E2C7E">
        <w:rPr>
          <w:rFonts w:cstheme="minorHAnsi"/>
          <w:sz w:val="22"/>
          <w:szCs w:val="22"/>
          <w:u w:val="single"/>
        </w:rPr>
        <w:t>How should the PBF scheme be regulated?</w:t>
      </w:r>
    </w:p>
    <w:p w14:paraId="7629D07E" w14:textId="77777777" w:rsidR="000E2C7E" w:rsidRPr="000E2C7E" w:rsidRDefault="000E2C7E" w:rsidP="000E2C7E"/>
    <w:p w14:paraId="739FB166" w14:textId="77777777" w:rsidR="00387121" w:rsidRPr="00387121" w:rsidRDefault="00387121" w:rsidP="00387121">
      <w:pPr>
        <w:spacing w:line="276" w:lineRule="auto"/>
        <w:jc w:val="both"/>
        <w:rPr>
          <w:rFonts w:asciiTheme="minorHAnsi" w:hAnsiTheme="minorHAnsi" w:cstheme="minorHAnsi"/>
          <w:sz w:val="22"/>
          <w:szCs w:val="22"/>
        </w:rPr>
      </w:pPr>
      <w:r w:rsidRPr="00387121">
        <w:rPr>
          <w:rFonts w:asciiTheme="minorHAnsi" w:hAnsiTheme="minorHAnsi" w:cstheme="minorHAnsi"/>
          <w:sz w:val="22"/>
          <w:szCs w:val="22"/>
        </w:rPr>
        <w:t>7. How should the PBF scheme be regulated?</w:t>
      </w:r>
    </w:p>
    <w:p w14:paraId="02DCC040" w14:textId="77777777" w:rsidR="000E2C7E" w:rsidRDefault="000E2C7E" w:rsidP="00387121">
      <w:pPr>
        <w:spacing w:line="276" w:lineRule="auto"/>
        <w:jc w:val="both"/>
        <w:rPr>
          <w:rFonts w:asciiTheme="minorHAnsi" w:hAnsiTheme="minorHAnsi" w:cstheme="minorHAnsi"/>
          <w:sz w:val="22"/>
          <w:szCs w:val="22"/>
        </w:rPr>
      </w:pPr>
    </w:p>
    <w:p w14:paraId="08CBAB2A" w14:textId="0284F581" w:rsidR="00387121" w:rsidRDefault="00387121" w:rsidP="00387121">
      <w:pPr>
        <w:spacing w:line="276" w:lineRule="auto"/>
        <w:jc w:val="both"/>
        <w:rPr>
          <w:rFonts w:asciiTheme="minorHAnsi" w:hAnsiTheme="minorHAnsi" w:cstheme="minorHAnsi"/>
          <w:sz w:val="22"/>
          <w:szCs w:val="22"/>
        </w:rPr>
      </w:pPr>
      <w:r w:rsidRPr="00387121">
        <w:rPr>
          <w:rFonts w:asciiTheme="minorHAnsi" w:hAnsiTheme="minorHAnsi" w:cstheme="minorHAnsi"/>
          <w:sz w:val="22"/>
          <w:szCs w:val="22"/>
        </w:rPr>
        <w:t xml:space="preserve">There needs to be a national framework (transparent so it is clear which data fields/algorithms have been used) by which universities are assessed. </w:t>
      </w:r>
      <w:r w:rsidR="000E2C7E">
        <w:rPr>
          <w:rFonts w:asciiTheme="minorHAnsi" w:hAnsiTheme="minorHAnsi" w:cstheme="minorHAnsi"/>
          <w:sz w:val="22"/>
          <w:szCs w:val="22"/>
        </w:rPr>
        <w:t xml:space="preserve"> </w:t>
      </w:r>
      <w:r w:rsidRPr="00387121">
        <w:rPr>
          <w:rFonts w:asciiTheme="minorHAnsi" w:hAnsiTheme="minorHAnsi" w:cstheme="minorHAnsi"/>
          <w:sz w:val="22"/>
          <w:szCs w:val="22"/>
        </w:rPr>
        <w:t xml:space="preserve">The drivers for each university to achieve can be stated in </w:t>
      </w:r>
      <w:r w:rsidR="000E2C7E">
        <w:rPr>
          <w:rFonts w:asciiTheme="minorHAnsi" w:hAnsiTheme="minorHAnsi" w:cstheme="minorHAnsi"/>
          <w:sz w:val="22"/>
          <w:szCs w:val="22"/>
        </w:rPr>
        <w:t>the Funding Agreement or Compact</w:t>
      </w:r>
      <w:r w:rsidRPr="00387121">
        <w:rPr>
          <w:rFonts w:asciiTheme="minorHAnsi" w:hAnsiTheme="minorHAnsi" w:cstheme="minorHAnsi"/>
          <w:sz w:val="22"/>
          <w:szCs w:val="22"/>
        </w:rPr>
        <w:t>.</w:t>
      </w:r>
    </w:p>
    <w:sectPr w:rsidR="00387121" w:rsidSect="00900613">
      <w:footerReference w:type="even" r:id="rId17"/>
      <w:footerReference w:type="default" r:id="rId18"/>
      <w:headerReference w:type="first" r:id="rId19"/>
      <w:pgSz w:w="11907" w:h="16840" w:code="9"/>
      <w:pgMar w:top="964" w:right="964" w:bottom="964" w:left="9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7775" w14:textId="77777777" w:rsidR="0086565E" w:rsidRDefault="0086565E">
      <w:r>
        <w:separator/>
      </w:r>
    </w:p>
  </w:endnote>
  <w:endnote w:type="continuationSeparator" w:id="0">
    <w:p w14:paraId="3C7EFB1F" w14:textId="77777777" w:rsidR="0086565E" w:rsidRDefault="0086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FF68" w14:textId="77777777" w:rsidR="00681A85" w:rsidRDefault="00681A85" w:rsidP="00611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A09B3" w14:textId="77777777" w:rsidR="00681A85" w:rsidRDefault="00681A85" w:rsidP="00BF2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55CE" w14:textId="3D019951" w:rsidR="00681A85" w:rsidRDefault="00681A85" w:rsidP="00611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0D2">
      <w:rPr>
        <w:rStyle w:val="PageNumber"/>
        <w:noProof/>
      </w:rPr>
      <w:t>6</w:t>
    </w:r>
    <w:r>
      <w:rPr>
        <w:rStyle w:val="PageNumber"/>
      </w:rPr>
      <w:fldChar w:fldCharType="end"/>
    </w:r>
  </w:p>
  <w:p w14:paraId="39226873" w14:textId="77777777" w:rsidR="00681A85" w:rsidRDefault="00681A85" w:rsidP="00BF27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397F" w14:textId="77777777" w:rsidR="0086565E" w:rsidRDefault="0086565E">
      <w:r>
        <w:separator/>
      </w:r>
    </w:p>
  </w:footnote>
  <w:footnote w:type="continuationSeparator" w:id="0">
    <w:p w14:paraId="44A843D9" w14:textId="77777777" w:rsidR="0086565E" w:rsidRDefault="0086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2C8A" w14:textId="43B3A271" w:rsidR="00681A85" w:rsidRPr="008C1399" w:rsidRDefault="00681A85" w:rsidP="00BA1A1B">
    <w:pPr>
      <w:spacing w:line="276" w:lineRule="auto"/>
      <w:rPr>
        <w:rFonts w:asciiTheme="minorHAnsi" w:hAnsiTheme="minorHAnsi" w:cstheme="minorHAnsi"/>
        <w:sz w:val="20"/>
      </w:rPr>
    </w:pPr>
    <w:r w:rsidRPr="008C1399">
      <w:rPr>
        <w:rFonts w:asciiTheme="minorHAnsi" w:hAnsiTheme="minorHAnsi" w:cstheme="minorHAnsi"/>
        <w:noProof/>
        <w:sz w:val="20"/>
        <w:lang w:val="en-US"/>
      </w:rPr>
      <w:drawing>
        <wp:anchor distT="0" distB="0" distL="114300" distR="114300" simplePos="0" relativeHeight="251658240" behindDoc="1" locked="0" layoutInCell="1" allowOverlap="1" wp14:anchorId="2FB074BD" wp14:editId="1F7B40FE">
          <wp:simplePos x="0" y="0"/>
          <wp:positionH relativeFrom="column">
            <wp:posOffset>-609600</wp:posOffset>
          </wp:positionH>
          <wp:positionV relativeFrom="paragraph">
            <wp:posOffset>-428625</wp:posOffset>
          </wp:positionV>
          <wp:extent cx="7526154" cy="1065045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 letterhead_working.jpg"/>
                  <pic:cNvPicPr/>
                </pic:nvPicPr>
                <pic:blipFill>
                  <a:blip r:embed="rId1">
                    <a:extLst>
                      <a:ext uri="{28A0092B-C50C-407E-A947-70E740481C1C}">
                        <a14:useLocalDpi xmlns:a14="http://schemas.microsoft.com/office/drawing/2010/main" val="0"/>
                      </a:ext>
                    </a:extLst>
                  </a:blip>
                  <a:stretch>
                    <a:fillRect/>
                  </a:stretch>
                </pic:blipFill>
                <pic:spPr>
                  <a:xfrm>
                    <a:off x="0" y="0"/>
                    <a:ext cx="7526154" cy="10650457"/>
                  </a:xfrm>
                  <a:prstGeom prst="rect">
                    <a:avLst/>
                  </a:prstGeom>
                </pic:spPr>
              </pic:pic>
            </a:graphicData>
          </a:graphic>
          <wp14:sizeRelH relativeFrom="margin">
            <wp14:pctWidth>0</wp14:pctWidth>
          </wp14:sizeRelH>
          <wp14:sizeRelV relativeFrom="margin">
            <wp14:pctHeight>0</wp14:pctHeight>
          </wp14:sizeRelV>
        </wp:anchor>
      </w:drawing>
    </w:r>
  </w:p>
  <w:p w14:paraId="4AA68EC3" w14:textId="77777777" w:rsidR="00681A85" w:rsidRDefault="0068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55"/>
    <w:multiLevelType w:val="hybridMultilevel"/>
    <w:tmpl w:val="3A44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A79ED"/>
    <w:multiLevelType w:val="hybridMultilevel"/>
    <w:tmpl w:val="B18C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D6C90"/>
    <w:multiLevelType w:val="hybridMultilevel"/>
    <w:tmpl w:val="26AA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90BC2"/>
    <w:multiLevelType w:val="hybridMultilevel"/>
    <w:tmpl w:val="98FC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16CC7"/>
    <w:multiLevelType w:val="hybridMultilevel"/>
    <w:tmpl w:val="CB88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A49E1"/>
    <w:multiLevelType w:val="hybridMultilevel"/>
    <w:tmpl w:val="F4D8B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E5E17"/>
    <w:multiLevelType w:val="hybridMultilevel"/>
    <w:tmpl w:val="D616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0B0680"/>
    <w:multiLevelType w:val="hybridMultilevel"/>
    <w:tmpl w:val="3B5E0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C10BBF"/>
    <w:multiLevelType w:val="hybridMultilevel"/>
    <w:tmpl w:val="95B82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F3B7E"/>
    <w:multiLevelType w:val="hybridMultilevel"/>
    <w:tmpl w:val="CA6A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8A171B"/>
    <w:multiLevelType w:val="hybridMultilevel"/>
    <w:tmpl w:val="AEC09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D218E4"/>
    <w:multiLevelType w:val="hybridMultilevel"/>
    <w:tmpl w:val="7D7A24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9"/>
  </w:num>
  <w:num w:numId="3">
    <w:abstractNumId w:val="4"/>
  </w:num>
  <w:num w:numId="4">
    <w:abstractNumId w:val="2"/>
  </w:num>
  <w:num w:numId="5">
    <w:abstractNumId w:val="0"/>
  </w:num>
  <w:num w:numId="6">
    <w:abstractNumId w:val="3"/>
  </w:num>
  <w:num w:numId="7">
    <w:abstractNumId w:val="8"/>
  </w:num>
  <w:num w:numId="8">
    <w:abstractNumId w:val="7"/>
  </w:num>
  <w:num w:numId="9">
    <w:abstractNumId w:val="10"/>
  </w:num>
  <w:num w:numId="10">
    <w:abstractNumId w:val="5"/>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39"/>
    <w:rsid w:val="00004216"/>
    <w:rsid w:val="00005BEC"/>
    <w:rsid w:val="000072B8"/>
    <w:rsid w:val="00010AC0"/>
    <w:rsid w:val="00023E17"/>
    <w:rsid w:val="000270C3"/>
    <w:rsid w:val="00030160"/>
    <w:rsid w:val="00036D17"/>
    <w:rsid w:val="00037C94"/>
    <w:rsid w:val="00041509"/>
    <w:rsid w:val="000439AE"/>
    <w:rsid w:val="00051379"/>
    <w:rsid w:val="0005351F"/>
    <w:rsid w:val="00053CBE"/>
    <w:rsid w:val="0005711C"/>
    <w:rsid w:val="00062D2B"/>
    <w:rsid w:val="00063D37"/>
    <w:rsid w:val="000661F5"/>
    <w:rsid w:val="00067CCB"/>
    <w:rsid w:val="0007135B"/>
    <w:rsid w:val="000717CB"/>
    <w:rsid w:val="00075659"/>
    <w:rsid w:val="00082B76"/>
    <w:rsid w:val="000837FF"/>
    <w:rsid w:val="00086201"/>
    <w:rsid w:val="0009796D"/>
    <w:rsid w:val="00097BD2"/>
    <w:rsid w:val="000A05E5"/>
    <w:rsid w:val="000A11C2"/>
    <w:rsid w:val="000A27DB"/>
    <w:rsid w:val="000B1EF2"/>
    <w:rsid w:val="000B37E1"/>
    <w:rsid w:val="000B4B84"/>
    <w:rsid w:val="000B6445"/>
    <w:rsid w:val="000C0F77"/>
    <w:rsid w:val="000C3F19"/>
    <w:rsid w:val="000D2C19"/>
    <w:rsid w:val="000D369B"/>
    <w:rsid w:val="000D5C15"/>
    <w:rsid w:val="000D7B5B"/>
    <w:rsid w:val="000E1DA7"/>
    <w:rsid w:val="000E1E32"/>
    <w:rsid w:val="000E272E"/>
    <w:rsid w:val="000E283A"/>
    <w:rsid w:val="000E297A"/>
    <w:rsid w:val="000E2C7E"/>
    <w:rsid w:val="000E48EA"/>
    <w:rsid w:val="000F04DC"/>
    <w:rsid w:val="000F1AD2"/>
    <w:rsid w:val="000F2AB8"/>
    <w:rsid w:val="0010091C"/>
    <w:rsid w:val="00102920"/>
    <w:rsid w:val="00103429"/>
    <w:rsid w:val="001044DE"/>
    <w:rsid w:val="00112466"/>
    <w:rsid w:val="001205AA"/>
    <w:rsid w:val="00120FB2"/>
    <w:rsid w:val="00123705"/>
    <w:rsid w:val="001251F4"/>
    <w:rsid w:val="00133840"/>
    <w:rsid w:val="0013755F"/>
    <w:rsid w:val="00137E04"/>
    <w:rsid w:val="00141CB7"/>
    <w:rsid w:val="00151077"/>
    <w:rsid w:val="0015328E"/>
    <w:rsid w:val="00161834"/>
    <w:rsid w:val="0016730F"/>
    <w:rsid w:val="00181579"/>
    <w:rsid w:val="00184879"/>
    <w:rsid w:val="00185BE3"/>
    <w:rsid w:val="00186CF9"/>
    <w:rsid w:val="00192F4E"/>
    <w:rsid w:val="00193297"/>
    <w:rsid w:val="001969B2"/>
    <w:rsid w:val="0019759F"/>
    <w:rsid w:val="001A065B"/>
    <w:rsid w:val="001A0D11"/>
    <w:rsid w:val="001A2E65"/>
    <w:rsid w:val="001A3EC9"/>
    <w:rsid w:val="001A454E"/>
    <w:rsid w:val="001B3FF6"/>
    <w:rsid w:val="001B6096"/>
    <w:rsid w:val="001B66AE"/>
    <w:rsid w:val="001C04A5"/>
    <w:rsid w:val="001C061C"/>
    <w:rsid w:val="001C1CEC"/>
    <w:rsid w:val="001C4F47"/>
    <w:rsid w:val="001C689E"/>
    <w:rsid w:val="001C6A90"/>
    <w:rsid w:val="001D5906"/>
    <w:rsid w:val="001E126B"/>
    <w:rsid w:val="001E1A28"/>
    <w:rsid w:val="001E27DE"/>
    <w:rsid w:val="001F0FA3"/>
    <w:rsid w:val="001F2BF9"/>
    <w:rsid w:val="001F4265"/>
    <w:rsid w:val="001F5765"/>
    <w:rsid w:val="001F5CDA"/>
    <w:rsid w:val="001F5F22"/>
    <w:rsid w:val="00202BEF"/>
    <w:rsid w:val="00203D3D"/>
    <w:rsid w:val="0020448D"/>
    <w:rsid w:val="00207F40"/>
    <w:rsid w:val="00217437"/>
    <w:rsid w:val="00222DA9"/>
    <w:rsid w:val="00233027"/>
    <w:rsid w:val="00235044"/>
    <w:rsid w:val="002359AA"/>
    <w:rsid w:val="0024319E"/>
    <w:rsid w:val="00244A24"/>
    <w:rsid w:val="00245668"/>
    <w:rsid w:val="00246058"/>
    <w:rsid w:val="00251825"/>
    <w:rsid w:val="002542A0"/>
    <w:rsid w:val="00255D82"/>
    <w:rsid w:val="00263347"/>
    <w:rsid w:val="00264707"/>
    <w:rsid w:val="002649F5"/>
    <w:rsid w:val="00271A55"/>
    <w:rsid w:val="002766CA"/>
    <w:rsid w:val="002770D9"/>
    <w:rsid w:val="00280783"/>
    <w:rsid w:val="00282B89"/>
    <w:rsid w:val="00283706"/>
    <w:rsid w:val="0028377A"/>
    <w:rsid w:val="00284A86"/>
    <w:rsid w:val="00286AE9"/>
    <w:rsid w:val="00290105"/>
    <w:rsid w:val="00292361"/>
    <w:rsid w:val="00292AA2"/>
    <w:rsid w:val="00295BC5"/>
    <w:rsid w:val="00297FC6"/>
    <w:rsid w:val="002A1D27"/>
    <w:rsid w:val="002B417B"/>
    <w:rsid w:val="002B5235"/>
    <w:rsid w:val="002B6411"/>
    <w:rsid w:val="002B753E"/>
    <w:rsid w:val="002C3740"/>
    <w:rsid w:val="002C37A3"/>
    <w:rsid w:val="002C56DD"/>
    <w:rsid w:val="002D2FF4"/>
    <w:rsid w:val="002E0549"/>
    <w:rsid w:val="002E6982"/>
    <w:rsid w:val="002E7354"/>
    <w:rsid w:val="002F289B"/>
    <w:rsid w:val="002F5FF4"/>
    <w:rsid w:val="002F649C"/>
    <w:rsid w:val="002F7D75"/>
    <w:rsid w:val="0030087D"/>
    <w:rsid w:val="00305273"/>
    <w:rsid w:val="00307B19"/>
    <w:rsid w:val="00307E86"/>
    <w:rsid w:val="00310388"/>
    <w:rsid w:val="00311AF4"/>
    <w:rsid w:val="0031268C"/>
    <w:rsid w:val="00313291"/>
    <w:rsid w:val="00316439"/>
    <w:rsid w:val="00322563"/>
    <w:rsid w:val="0032281E"/>
    <w:rsid w:val="0032335E"/>
    <w:rsid w:val="00324BCA"/>
    <w:rsid w:val="00332DEC"/>
    <w:rsid w:val="0033740B"/>
    <w:rsid w:val="00340C06"/>
    <w:rsid w:val="00340D1D"/>
    <w:rsid w:val="003424AC"/>
    <w:rsid w:val="0035032E"/>
    <w:rsid w:val="003556CB"/>
    <w:rsid w:val="00360694"/>
    <w:rsid w:val="00360989"/>
    <w:rsid w:val="00361AD6"/>
    <w:rsid w:val="003634D7"/>
    <w:rsid w:val="00363CA0"/>
    <w:rsid w:val="003641AA"/>
    <w:rsid w:val="00364B7B"/>
    <w:rsid w:val="003733A3"/>
    <w:rsid w:val="00373B51"/>
    <w:rsid w:val="00382178"/>
    <w:rsid w:val="00386A29"/>
    <w:rsid w:val="00387121"/>
    <w:rsid w:val="00387B6A"/>
    <w:rsid w:val="00391688"/>
    <w:rsid w:val="00396029"/>
    <w:rsid w:val="003A0E1A"/>
    <w:rsid w:val="003A1CEB"/>
    <w:rsid w:val="003A318D"/>
    <w:rsid w:val="003A503F"/>
    <w:rsid w:val="003A677C"/>
    <w:rsid w:val="003A7A75"/>
    <w:rsid w:val="003B0E6D"/>
    <w:rsid w:val="003B3C01"/>
    <w:rsid w:val="003C0DBA"/>
    <w:rsid w:val="003C10C5"/>
    <w:rsid w:val="003C3BAC"/>
    <w:rsid w:val="003D0052"/>
    <w:rsid w:val="003D2614"/>
    <w:rsid w:val="003E30BA"/>
    <w:rsid w:val="003E36D1"/>
    <w:rsid w:val="003F5A74"/>
    <w:rsid w:val="00406D66"/>
    <w:rsid w:val="00410E18"/>
    <w:rsid w:val="004133CA"/>
    <w:rsid w:val="004134BA"/>
    <w:rsid w:val="0041429B"/>
    <w:rsid w:val="00415627"/>
    <w:rsid w:val="00415E90"/>
    <w:rsid w:val="00416734"/>
    <w:rsid w:val="004169F7"/>
    <w:rsid w:val="0041791B"/>
    <w:rsid w:val="00420E1B"/>
    <w:rsid w:val="00424060"/>
    <w:rsid w:val="00426102"/>
    <w:rsid w:val="004356A6"/>
    <w:rsid w:val="00441F3A"/>
    <w:rsid w:val="00450923"/>
    <w:rsid w:val="00451797"/>
    <w:rsid w:val="00454C79"/>
    <w:rsid w:val="0045780F"/>
    <w:rsid w:val="00460BFF"/>
    <w:rsid w:val="0046181C"/>
    <w:rsid w:val="00461F99"/>
    <w:rsid w:val="00462448"/>
    <w:rsid w:val="00471DC1"/>
    <w:rsid w:val="004723C5"/>
    <w:rsid w:val="00472EB9"/>
    <w:rsid w:val="0047411A"/>
    <w:rsid w:val="0047538D"/>
    <w:rsid w:val="00476D19"/>
    <w:rsid w:val="00480FCA"/>
    <w:rsid w:val="004823DC"/>
    <w:rsid w:val="00485F12"/>
    <w:rsid w:val="004876E0"/>
    <w:rsid w:val="004910CB"/>
    <w:rsid w:val="00496306"/>
    <w:rsid w:val="004A28D8"/>
    <w:rsid w:val="004A298F"/>
    <w:rsid w:val="004A30EB"/>
    <w:rsid w:val="004A3BC7"/>
    <w:rsid w:val="004A4099"/>
    <w:rsid w:val="004B20EE"/>
    <w:rsid w:val="004C2D56"/>
    <w:rsid w:val="004D3D35"/>
    <w:rsid w:val="004D7049"/>
    <w:rsid w:val="004E0C56"/>
    <w:rsid w:val="004E1E4D"/>
    <w:rsid w:val="004E216B"/>
    <w:rsid w:val="004E232D"/>
    <w:rsid w:val="004F014F"/>
    <w:rsid w:val="004F7EAF"/>
    <w:rsid w:val="00500365"/>
    <w:rsid w:val="0050554B"/>
    <w:rsid w:val="00505A5B"/>
    <w:rsid w:val="00505CC3"/>
    <w:rsid w:val="00511B71"/>
    <w:rsid w:val="00515CA4"/>
    <w:rsid w:val="00517881"/>
    <w:rsid w:val="00521F17"/>
    <w:rsid w:val="00523742"/>
    <w:rsid w:val="005311A2"/>
    <w:rsid w:val="00531CD7"/>
    <w:rsid w:val="00534A25"/>
    <w:rsid w:val="005401B6"/>
    <w:rsid w:val="00540C1C"/>
    <w:rsid w:val="005424D1"/>
    <w:rsid w:val="00543306"/>
    <w:rsid w:val="00543ED7"/>
    <w:rsid w:val="0054502F"/>
    <w:rsid w:val="00550C35"/>
    <w:rsid w:val="00552C49"/>
    <w:rsid w:val="005571D9"/>
    <w:rsid w:val="005629A6"/>
    <w:rsid w:val="00564E97"/>
    <w:rsid w:val="005678AB"/>
    <w:rsid w:val="00573EE0"/>
    <w:rsid w:val="005740B5"/>
    <w:rsid w:val="005752CC"/>
    <w:rsid w:val="00576291"/>
    <w:rsid w:val="00581AEA"/>
    <w:rsid w:val="0058284E"/>
    <w:rsid w:val="00582C74"/>
    <w:rsid w:val="005859DB"/>
    <w:rsid w:val="00587092"/>
    <w:rsid w:val="00595DE4"/>
    <w:rsid w:val="005A0195"/>
    <w:rsid w:val="005A7626"/>
    <w:rsid w:val="005A7743"/>
    <w:rsid w:val="005B0A9E"/>
    <w:rsid w:val="005B1DD7"/>
    <w:rsid w:val="005B404F"/>
    <w:rsid w:val="005B4E8E"/>
    <w:rsid w:val="005D41A0"/>
    <w:rsid w:val="005D4C62"/>
    <w:rsid w:val="005D5EED"/>
    <w:rsid w:val="005D6167"/>
    <w:rsid w:val="005D64E1"/>
    <w:rsid w:val="005D7213"/>
    <w:rsid w:val="005D75BD"/>
    <w:rsid w:val="005E0468"/>
    <w:rsid w:val="005E10E1"/>
    <w:rsid w:val="005E5876"/>
    <w:rsid w:val="005E5A12"/>
    <w:rsid w:val="005F60D2"/>
    <w:rsid w:val="00600DC7"/>
    <w:rsid w:val="00605EA5"/>
    <w:rsid w:val="00606223"/>
    <w:rsid w:val="0061099C"/>
    <w:rsid w:val="00611D5D"/>
    <w:rsid w:val="0061279B"/>
    <w:rsid w:val="00613A82"/>
    <w:rsid w:val="00627051"/>
    <w:rsid w:val="00631A02"/>
    <w:rsid w:val="006328F1"/>
    <w:rsid w:val="006357EE"/>
    <w:rsid w:val="00635A3B"/>
    <w:rsid w:val="00636D4F"/>
    <w:rsid w:val="00637241"/>
    <w:rsid w:val="00642019"/>
    <w:rsid w:val="00643652"/>
    <w:rsid w:val="00646C8E"/>
    <w:rsid w:val="006474F1"/>
    <w:rsid w:val="0065287A"/>
    <w:rsid w:val="006557B7"/>
    <w:rsid w:val="006558A4"/>
    <w:rsid w:val="006566B4"/>
    <w:rsid w:val="006569F8"/>
    <w:rsid w:val="00662C57"/>
    <w:rsid w:val="00663ECF"/>
    <w:rsid w:val="00666D4E"/>
    <w:rsid w:val="0066709B"/>
    <w:rsid w:val="006675CD"/>
    <w:rsid w:val="006739A4"/>
    <w:rsid w:val="006743B3"/>
    <w:rsid w:val="00676FD9"/>
    <w:rsid w:val="00677172"/>
    <w:rsid w:val="00681574"/>
    <w:rsid w:val="00681A85"/>
    <w:rsid w:val="006879A2"/>
    <w:rsid w:val="006915FA"/>
    <w:rsid w:val="006917B0"/>
    <w:rsid w:val="006947BF"/>
    <w:rsid w:val="0069701F"/>
    <w:rsid w:val="00697632"/>
    <w:rsid w:val="006A2FFA"/>
    <w:rsid w:val="006B34FA"/>
    <w:rsid w:val="006C0B4B"/>
    <w:rsid w:val="006C0E65"/>
    <w:rsid w:val="006C5590"/>
    <w:rsid w:val="006C5C3F"/>
    <w:rsid w:val="006C7731"/>
    <w:rsid w:val="006D061F"/>
    <w:rsid w:val="006D2B45"/>
    <w:rsid w:val="006D354D"/>
    <w:rsid w:val="006D504A"/>
    <w:rsid w:val="006D54D9"/>
    <w:rsid w:val="006D62C7"/>
    <w:rsid w:val="006E1C70"/>
    <w:rsid w:val="006E3C08"/>
    <w:rsid w:val="006E40CF"/>
    <w:rsid w:val="006F04F1"/>
    <w:rsid w:val="006F3098"/>
    <w:rsid w:val="006F446F"/>
    <w:rsid w:val="006F65E8"/>
    <w:rsid w:val="006F6FF7"/>
    <w:rsid w:val="00704ECA"/>
    <w:rsid w:val="007060B1"/>
    <w:rsid w:val="0071278F"/>
    <w:rsid w:val="00720F3B"/>
    <w:rsid w:val="00721933"/>
    <w:rsid w:val="00723FB2"/>
    <w:rsid w:val="00727C77"/>
    <w:rsid w:val="007300AB"/>
    <w:rsid w:val="00730C42"/>
    <w:rsid w:val="00732D4E"/>
    <w:rsid w:val="00734632"/>
    <w:rsid w:val="00735CA3"/>
    <w:rsid w:val="00741F40"/>
    <w:rsid w:val="007435C8"/>
    <w:rsid w:val="00743F71"/>
    <w:rsid w:val="00751C3D"/>
    <w:rsid w:val="00751CE4"/>
    <w:rsid w:val="00752C9D"/>
    <w:rsid w:val="00761A92"/>
    <w:rsid w:val="00762F0A"/>
    <w:rsid w:val="00763237"/>
    <w:rsid w:val="00764C0F"/>
    <w:rsid w:val="00774D8A"/>
    <w:rsid w:val="00777656"/>
    <w:rsid w:val="00782528"/>
    <w:rsid w:val="00784627"/>
    <w:rsid w:val="0079323E"/>
    <w:rsid w:val="00793516"/>
    <w:rsid w:val="007937D8"/>
    <w:rsid w:val="00795817"/>
    <w:rsid w:val="007A03E2"/>
    <w:rsid w:val="007A0D68"/>
    <w:rsid w:val="007A24A7"/>
    <w:rsid w:val="007A30E9"/>
    <w:rsid w:val="007A4412"/>
    <w:rsid w:val="007A6FBA"/>
    <w:rsid w:val="007B1BF6"/>
    <w:rsid w:val="007B3750"/>
    <w:rsid w:val="007C00E6"/>
    <w:rsid w:val="007C219A"/>
    <w:rsid w:val="007C4490"/>
    <w:rsid w:val="007C47AE"/>
    <w:rsid w:val="007C49C6"/>
    <w:rsid w:val="007C6D61"/>
    <w:rsid w:val="007C7191"/>
    <w:rsid w:val="007D1C70"/>
    <w:rsid w:val="007D5621"/>
    <w:rsid w:val="007D5BB1"/>
    <w:rsid w:val="007D6AB8"/>
    <w:rsid w:val="007E049B"/>
    <w:rsid w:val="007E1E42"/>
    <w:rsid w:val="007E24BA"/>
    <w:rsid w:val="007E3396"/>
    <w:rsid w:val="007E505A"/>
    <w:rsid w:val="007F3343"/>
    <w:rsid w:val="007F48AA"/>
    <w:rsid w:val="00802FD2"/>
    <w:rsid w:val="008052BD"/>
    <w:rsid w:val="008057C7"/>
    <w:rsid w:val="008068AF"/>
    <w:rsid w:val="00811A36"/>
    <w:rsid w:val="0081612D"/>
    <w:rsid w:val="00822F5A"/>
    <w:rsid w:val="00824914"/>
    <w:rsid w:val="008264D7"/>
    <w:rsid w:val="0082673F"/>
    <w:rsid w:val="008317E2"/>
    <w:rsid w:val="0083428F"/>
    <w:rsid w:val="008370DD"/>
    <w:rsid w:val="008420EA"/>
    <w:rsid w:val="00844E23"/>
    <w:rsid w:val="0084554A"/>
    <w:rsid w:val="00847F19"/>
    <w:rsid w:val="00850D8E"/>
    <w:rsid w:val="008514B9"/>
    <w:rsid w:val="00864A1E"/>
    <w:rsid w:val="00864D2C"/>
    <w:rsid w:val="0086565E"/>
    <w:rsid w:val="00867AD8"/>
    <w:rsid w:val="00870217"/>
    <w:rsid w:val="00874AFA"/>
    <w:rsid w:val="0088151E"/>
    <w:rsid w:val="0088641D"/>
    <w:rsid w:val="008911AD"/>
    <w:rsid w:val="008914B6"/>
    <w:rsid w:val="008918B5"/>
    <w:rsid w:val="008929F9"/>
    <w:rsid w:val="008931E2"/>
    <w:rsid w:val="008933EF"/>
    <w:rsid w:val="00893E31"/>
    <w:rsid w:val="008A2B09"/>
    <w:rsid w:val="008A3600"/>
    <w:rsid w:val="008A4618"/>
    <w:rsid w:val="008A4E05"/>
    <w:rsid w:val="008A6F5C"/>
    <w:rsid w:val="008B24C6"/>
    <w:rsid w:val="008B3078"/>
    <w:rsid w:val="008B4B8C"/>
    <w:rsid w:val="008B6FF9"/>
    <w:rsid w:val="008B7358"/>
    <w:rsid w:val="008B73E4"/>
    <w:rsid w:val="008C0AAC"/>
    <w:rsid w:val="008C1369"/>
    <w:rsid w:val="008C1399"/>
    <w:rsid w:val="008C1C09"/>
    <w:rsid w:val="008D3FDB"/>
    <w:rsid w:val="008D59F0"/>
    <w:rsid w:val="008E0E33"/>
    <w:rsid w:val="008E0EE1"/>
    <w:rsid w:val="008E4188"/>
    <w:rsid w:val="008E5303"/>
    <w:rsid w:val="008E7FB1"/>
    <w:rsid w:val="008F3363"/>
    <w:rsid w:val="008F3B9F"/>
    <w:rsid w:val="008F506F"/>
    <w:rsid w:val="00900613"/>
    <w:rsid w:val="00904973"/>
    <w:rsid w:val="009103D3"/>
    <w:rsid w:val="0091385D"/>
    <w:rsid w:val="00914611"/>
    <w:rsid w:val="009166F5"/>
    <w:rsid w:val="00922985"/>
    <w:rsid w:val="00924833"/>
    <w:rsid w:val="009276E3"/>
    <w:rsid w:val="009304BF"/>
    <w:rsid w:val="00931B63"/>
    <w:rsid w:val="00931C5D"/>
    <w:rsid w:val="009336D2"/>
    <w:rsid w:val="00933CC4"/>
    <w:rsid w:val="0094001D"/>
    <w:rsid w:val="00944944"/>
    <w:rsid w:val="00947B5B"/>
    <w:rsid w:val="009501B5"/>
    <w:rsid w:val="00954824"/>
    <w:rsid w:val="00955009"/>
    <w:rsid w:val="00956653"/>
    <w:rsid w:val="009679FB"/>
    <w:rsid w:val="00972C68"/>
    <w:rsid w:val="009742EB"/>
    <w:rsid w:val="00975A38"/>
    <w:rsid w:val="00977277"/>
    <w:rsid w:val="00980412"/>
    <w:rsid w:val="00980C42"/>
    <w:rsid w:val="009852AE"/>
    <w:rsid w:val="00986139"/>
    <w:rsid w:val="00986F90"/>
    <w:rsid w:val="00987D92"/>
    <w:rsid w:val="0099447D"/>
    <w:rsid w:val="009A0086"/>
    <w:rsid w:val="009A1A35"/>
    <w:rsid w:val="009A2057"/>
    <w:rsid w:val="009A62DF"/>
    <w:rsid w:val="009A7C36"/>
    <w:rsid w:val="009B034A"/>
    <w:rsid w:val="009B0FB4"/>
    <w:rsid w:val="009B76C0"/>
    <w:rsid w:val="009C6677"/>
    <w:rsid w:val="009C7B5A"/>
    <w:rsid w:val="009D3595"/>
    <w:rsid w:val="009D765C"/>
    <w:rsid w:val="009D7909"/>
    <w:rsid w:val="009E38A4"/>
    <w:rsid w:val="009E4EFE"/>
    <w:rsid w:val="009F3627"/>
    <w:rsid w:val="009F537F"/>
    <w:rsid w:val="009F61E9"/>
    <w:rsid w:val="00A0492B"/>
    <w:rsid w:val="00A06729"/>
    <w:rsid w:val="00A1254C"/>
    <w:rsid w:val="00A13A38"/>
    <w:rsid w:val="00A14090"/>
    <w:rsid w:val="00A15729"/>
    <w:rsid w:val="00A178D8"/>
    <w:rsid w:val="00A302BA"/>
    <w:rsid w:val="00A33627"/>
    <w:rsid w:val="00A3686F"/>
    <w:rsid w:val="00A403D3"/>
    <w:rsid w:val="00A46864"/>
    <w:rsid w:val="00A533A1"/>
    <w:rsid w:val="00A53906"/>
    <w:rsid w:val="00A61613"/>
    <w:rsid w:val="00A6422B"/>
    <w:rsid w:val="00A75198"/>
    <w:rsid w:val="00A76669"/>
    <w:rsid w:val="00A76B22"/>
    <w:rsid w:val="00A774F1"/>
    <w:rsid w:val="00A81DFD"/>
    <w:rsid w:val="00A832FA"/>
    <w:rsid w:val="00A869DD"/>
    <w:rsid w:val="00A87632"/>
    <w:rsid w:val="00A9091D"/>
    <w:rsid w:val="00A9142B"/>
    <w:rsid w:val="00A919DF"/>
    <w:rsid w:val="00A92CDC"/>
    <w:rsid w:val="00A968DF"/>
    <w:rsid w:val="00AA1994"/>
    <w:rsid w:val="00AA5D61"/>
    <w:rsid w:val="00AA7301"/>
    <w:rsid w:val="00AB13E9"/>
    <w:rsid w:val="00AC0D2E"/>
    <w:rsid w:val="00AC192A"/>
    <w:rsid w:val="00AC26D1"/>
    <w:rsid w:val="00AC3DFE"/>
    <w:rsid w:val="00AC7132"/>
    <w:rsid w:val="00AC7CF5"/>
    <w:rsid w:val="00AD16C2"/>
    <w:rsid w:val="00AD5104"/>
    <w:rsid w:val="00AE05CE"/>
    <w:rsid w:val="00AE1A41"/>
    <w:rsid w:val="00AE2209"/>
    <w:rsid w:val="00AE5215"/>
    <w:rsid w:val="00AE6013"/>
    <w:rsid w:val="00AF0A28"/>
    <w:rsid w:val="00AF47F9"/>
    <w:rsid w:val="00AF4B88"/>
    <w:rsid w:val="00AF636F"/>
    <w:rsid w:val="00AF7722"/>
    <w:rsid w:val="00B03965"/>
    <w:rsid w:val="00B10D11"/>
    <w:rsid w:val="00B114AC"/>
    <w:rsid w:val="00B150A1"/>
    <w:rsid w:val="00B17B29"/>
    <w:rsid w:val="00B2340C"/>
    <w:rsid w:val="00B24148"/>
    <w:rsid w:val="00B25502"/>
    <w:rsid w:val="00B255CA"/>
    <w:rsid w:val="00B3238B"/>
    <w:rsid w:val="00B32B44"/>
    <w:rsid w:val="00B36C84"/>
    <w:rsid w:val="00B41FE1"/>
    <w:rsid w:val="00B448FA"/>
    <w:rsid w:val="00B47118"/>
    <w:rsid w:val="00B47D7D"/>
    <w:rsid w:val="00B51A5C"/>
    <w:rsid w:val="00B53F2A"/>
    <w:rsid w:val="00B5413B"/>
    <w:rsid w:val="00B571E2"/>
    <w:rsid w:val="00B63F46"/>
    <w:rsid w:val="00B64A0A"/>
    <w:rsid w:val="00B64B3D"/>
    <w:rsid w:val="00B7548D"/>
    <w:rsid w:val="00B8126A"/>
    <w:rsid w:val="00B819D3"/>
    <w:rsid w:val="00B913E1"/>
    <w:rsid w:val="00B9630F"/>
    <w:rsid w:val="00B96C13"/>
    <w:rsid w:val="00BA011B"/>
    <w:rsid w:val="00BA0B39"/>
    <w:rsid w:val="00BA1A1B"/>
    <w:rsid w:val="00BA277B"/>
    <w:rsid w:val="00BA3ABF"/>
    <w:rsid w:val="00BA799C"/>
    <w:rsid w:val="00BA7D14"/>
    <w:rsid w:val="00BA7D67"/>
    <w:rsid w:val="00BB0803"/>
    <w:rsid w:val="00BB2CCF"/>
    <w:rsid w:val="00BB3E25"/>
    <w:rsid w:val="00BB44B5"/>
    <w:rsid w:val="00BB5382"/>
    <w:rsid w:val="00BB69CA"/>
    <w:rsid w:val="00BB7577"/>
    <w:rsid w:val="00BC06D3"/>
    <w:rsid w:val="00BC0C4D"/>
    <w:rsid w:val="00BC0E87"/>
    <w:rsid w:val="00BC2E39"/>
    <w:rsid w:val="00BC60D3"/>
    <w:rsid w:val="00BD1D79"/>
    <w:rsid w:val="00BD58BA"/>
    <w:rsid w:val="00BE2AB5"/>
    <w:rsid w:val="00BE3209"/>
    <w:rsid w:val="00BE3453"/>
    <w:rsid w:val="00BE352B"/>
    <w:rsid w:val="00BE4F16"/>
    <w:rsid w:val="00BF2778"/>
    <w:rsid w:val="00C118F2"/>
    <w:rsid w:val="00C13331"/>
    <w:rsid w:val="00C24B3D"/>
    <w:rsid w:val="00C35771"/>
    <w:rsid w:val="00C44237"/>
    <w:rsid w:val="00C44574"/>
    <w:rsid w:val="00C47B59"/>
    <w:rsid w:val="00C50F39"/>
    <w:rsid w:val="00C62831"/>
    <w:rsid w:val="00C62A74"/>
    <w:rsid w:val="00C64AC6"/>
    <w:rsid w:val="00C67AB2"/>
    <w:rsid w:val="00C70098"/>
    <w:rsid w:val="00C752AC"/>
    <w:rsid w:val="00C762D3"/>
    <w:rsid w:val="00C767A6"/>
    <w:rsid w:val="00C80075"/>
    <w:rsid w:val="00C8396E"/>
    <w:rsid w:val="00C93A0F"/>
    <w:rsid w:val="00CA1E67"/>
    <w:rsid w:val="00CA2D44"/>
    <w:rsid w:val="00CC145D"/>
    <w:rsid w:val="00CC7E95"/>
    <w:rsid w:val="00CD1ACE"/>
    <w:rsid w:val="00CD2691"/>
    <w:rsid w:val="00CD5A0B"/>
    <w:rsid w:val="00CE07A2"/>
    <w:rsid w:val="00CE2626"/>
    <w:rsid w:val="00CE57DA"/>
    <w:rsid w:val="00CF0EB3"/>
    <w:rsid w:val="00CF2020"/>
    <w:rsid w:val="00CF24F8"/>
    <w:rsid w:val="00D00D8D"/>
    <w:rsid w:val="00D02BF2"/>
    <w:rsid w:val="00D05819"/>
    <w:rsid w:val="00D07146"/>
    <w:rsid w:val="00D07D6B"/>
    <w:rsid w:val="00D13D56"/>
    <w:rsid w:val="00D1610F"/>
    <w:rsid w:val="00D32C75"/>
    <w:rsid w:val="00D35DED"/>
    <w:rsid w:val="00D40B7A"/>
    <w:rsid w:val="00D414B1"/>
    <w:rsid w:val="00D43DA6"/>
    <w:rsid w:val="00D46CB6"/>
    <w:rsid w:val="00D5120B"/>
    <w:rsid w:val="00D51F46"/>
    <w:rsid w:val="00D624C3"/>
    <w:rsid w:val="00D67C81"/>
    <w:rsid w:val="00D72F1E"/>
    <w:rsid w:val="00D777E1"/>
    <w:rsid w:val="00D80A71"/>
    <w:rsid w:val="00D8684D"/>
    <w:rsid w:val="00DA5588"/>
    <w:rsid w:val="00DA6B67"/>
    <w:rsid w:val="00DA7EA5"/>
    <w:rsid w:val="00DB0362"/>
    <w:rsid w:val="00DB083A"/>
    <w:rsid w:val="00DB4A48"/>
    <w:rsid w:val="00DB5F6A"/>
    <w:rsid w:val="00DB6D91"/>
    <w:rsid w:val="00DB79B8"/>
    <w:rsid w:val="00DC6EF7"/>
    <w:rsid w:val="00DD3B59"/>
    <w:rsid w:val="00DD5C99"/>
    <w:rsid w:val="00DE0F8A"/>
    <w:rsid w:val="00DE1C39"/>
    <w:rsid w:val="00DE36DB"/>
    <w:rsid w:val="00DE513D"/>
    <w:rsid w:val="00DE6B87"/>
    <w:rsid w:val="00DF0B34"/>
    <w:rsid w:val="00DF11D9"/>
    <w:rsid w:val="00DF12FC"/>
    <w:rsid w:val="00DF1775"/>
    <w:rsid w:val="00DF321B"/>
    <w:rsid w:val="00E02F30"/>
    <w:rsid w:val="00E04A11"/>
    <w:rsid w:val="00E0722A"/>
    <w:rsid w:val="00E073B9"/>
    <w:rsid w:val="00E0751B"/>
    <w:rsid w:val="00E1731B"/>
    <w:rsid w:val="00E20DC4"/>
    <w:rsid w:val="00E30D29"/>
    <w:rsid w:val="00E417E1"/>
    <w:rsid w:val="00E42E94"/>
    <w:rsid w:val="00E51C0D"/>
    <w:rsid w:val="00E554E5"/>
    <w:rsid w:val="00E5564F"/>
    <w:rsid w:val="00E55B55"/>
    <w:rsid w:val="00E64AEB"/>
    <w:rsid w:val="00E678E5"/>
    <w:rsid w:val="00E73014"/>
    <w:rsid w:val="00E733E9"/>
    <w:rsid w:val="00E737A7"/>
    <w:rsid w:val="00E758FA"/>
    <w:rsid w:val="00E81FCE"/>
    <w:rsid w:val="00E85E09"/>
    <w:rsid w:val="00E914BD"/>
    <w:rsid w:val="00E93B34"/>
    <w:rsid w:val="00E95C42"/>
    <w:rsid w:val="00E96124"/>
    <w:rsid w:val="00EA2E90"/>
    <w:rsid w:val="00EB0860"/>
    <w:rsid w:val="00EB0D7D"/>
    <w:rsid w:val="00EB5651"/>
    <w:rsid w:val="00EC2099"/>
    <w:rsid w:val="00EC2A65"/>
    <w:rsid w:val="00EC31F7"/>
    <w:rsid w:val="00EC43F4"/>
    <w:rsid w:val="00EC4457"/>
    <w:rsid w:val="00EC559D"/>
    <w:rsid w:val="00EC5709"/>
    <w:rsid w:val="00EC7928"/>
    <w:rsid w:val="00ED0CFE"/>
    <w:rsid w:val="00ED2805"/>
    <w:rsid w:val="00ED5A7C"/>
    <w:rsid w:val="00ED67C4"/>
    <w:rsid w:val="00ED7F4B"/>
    <w:rsid w:val="00EE135F"/>
    <w:rsid w:val="00EE39F4"/>
    <w:rsid w:val="00EE4773"/>
    <w:rsid w:val="00EE5F6A"/>
    <w:rsid w:val="00EE727F"/>
    <w:rsid w:val="00EF38DF"/>
    <w:rsid w:val="00F01CF3"/>
    <w:rsid w:val="00F0627C"/>
    <w:rsid w:val="00F105D2"/>
    <w:rsid w:val="00F11DAA"/>
    <w:rsid w:val="00F1478C"/>
    <w:rsid w:val="00F15C0F"/>
    <w:rsid w:val="00F163A3"/>
    <w:rsid w:val="00F17A4A"/>
    <w:rsid w:val="00F22B1B"/>
    <w:rsid w:val="00F22FC3"/>
    <w:rsid w:val="00F27A26"/>
    <w:rsid w:val="00F32D3C"/>
    <w:rsid w:val="00F5197F"/>
    <w:rsid w:val="00F52337"/>
    <w:rsid w:val="00F61E63"/>
    <w:rsid w:val="00F7351F"/>
    <w:rsid w:val="00F73ED4"/>
    <w:rsid w:val="00F75C78"/>
    <w:rsid w:val="00F818FF"/>
    <w:rsid w:val="00F81C35"/>
    <w:rsid w:val="00F82E14"/>
    <w:rsid w:val="00F84A6E"/>
    <w:rsid w:val="00F9693D"/>
    <w:rsid w:val="00FA0900"/>
    <w:rsid w:val="00FA4091"/>
    <w:rsid w:val="00FA7052"/>
    <w:rsid w:val="00FA74B4"/>
    <w:rsid w:val="00FB04BA"/>
    <w:rsid w:val="00FB079A"/>
    <w:rsid w:val="00FB466A"/>
    <w:rsid w:val="00FB5B6E"/>
    <w:rsid w:val="00FB613E"/>
    <w:rsid w:val="00FB7A9C"/>
    <w:rsid w:val="00FC338E"/>
    <w:rsid w:val="00FC6DBB"/>
    <w:rsid w:val="00FC7AFA"/>
    <w:rsid w:val="00FE00E2"/>
    <w:rsid w:val="00FE23A2"/>
    <w:rsid w:val="00FE7163"/>
    <w:rsid w:val="00FF5235"/>
    <w:rsid w:val="00FF7B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5A201"/>
  <w15:docId w15:val="{52033E65-EB74-4923-8D8C-9A320A56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D44"/>
    <w:rPr>
      <w:rFonts w:ascii="Tahoma" w:hAnsi="Tahoma"/>
      <w:sz w:val="18"/>
      <w:lang w:eastAsia="en-US"/>
    </w:rPr>
  </w:style>
  <w:style w:type="paragraph" w:styleId="Heading1">
    <w:name w:val="heading 1"/>
    <w:basedOn w:val="Normal"/>
    <w:next w:val="Normal"/>
    <w:link w:val="Heading1Char"/>
    <w:qFormat/>
    <w:rsid w:val="00C80075"/>
    <w:pPr>
      <w:keepNext/>
      <w:spacing w:before="240" w:after="120"/>
      <w:outlineLvl w:val="0"/>
    </w:pPr>
    <w:rPr>
      <w:rFonts w:asciiTheme="minorHAnsi" w:hAnsiTheme="minorHAnsi"/>
      <w:b/>
      <w:kern w:val="28"/>
      <w:sz w:val="28"/>
    </w:rPr>
  </w:style>
  <w:style w:type="paragraph" w:styleId="Heading2">
    <w:name w:val="heading 2"/>
    <w:basedOn w:val="Normal"/>
    <w:next w:val="Normal"/>
    <w:link w:val="Heading2Char"/>
    <w:qFormat/>
    <w:rsid w:val="00340D1D"/>
    <w:pPr>
      <w:keepNext/>
      <w:spacing w:before="60" w:after="60"/>
      <w:outlineLvl w:val="1"/>
    </w:pPr>
    <w:rPr>
      <w:b/>
      <w:sz w:val="22"/>
    </w:rPr>
  </w:style>
  <w:style w:type="paragraph" w:styleId="Heading3">
    <w:name w:val="heading 3"/>
    <w:basedOn w:val="Normal"/>
    <w:next w:val="Normal"/>
    <w:qFormat/>
    <w:rsid w:val="00CA2D44"/>
    <w:pPr>
      <w:keepNext/>
      <w:spacing w:before="60" w:after="60"/>
      <w:outlineLvl w:val="2"/>
    </w:pPr>
    <w:rPr>
      <w:sz w:val="21"/>
    </w:rPr>
  </w:style>
  <w:style w:type="paragraph" w:styleId="Heading4">
    <w:name w:val="heading 4"/>
    <w:basedOn w:val="Normal"/>
    <w:next w:val="Normal"/>
    <w:qFormat/>
    <w:pPr>
      <w:keepNext/>
      <w:spacing w:before="240" w:after="60"/>
      <w:outlineLvl w:val="3"/>
    </w:pPr>
    <w:rPr>
      <w:rFonts w:ascii="Arial" w:hAnsi="Arial"/>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2D44"/>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semiHidden/>
    <w:pPr>
      <w:tabs>
        <w:tab w:val="right" w:leader="dot" w:pos="9979"/>
      </w:tabs>
      <w:spacing w:before="120" w:after="120"/>
    </w:pPr>
    <w:rPr>
      <w:b/>
      <w:noProof/>
    </w:rPr>
  </w:style>
  <w:style w:type="paragraph" w:styleId="TOC2">
    <w:name w:val="toc 2"/>
    <w:basedOn w:val="Normal"/>
    <w:next w:val="Normal"/>
    <w:semiHidden/>
    <w:pPr>
      <w:tabs>
        <w:tab w:val="right" w:leader="dot" w:pos="9979"/>
      </w:tabs>
      <w:ind w:left="240"/>
    </w:pPr>
    <w:rPr>
      <w:noProof/>
    </w:rPr>
  </w:style>
  <w:style w:type="paragraph" w:styleId="TOC3">
    <w:name w:val="toc 3"/>
    <w:basedOn w:val="Normal"/>
    <w:next w:val="Normal"/>
    <w:semiHidden/>
    <w:pPr>
      <w:tabs>
        <w:tab w:val="right" w:leader="dot" w:pos="9979"/>
      </w:tabs>
      <w:ind w:left="480"/>
    </w:pPr>
    <w:rPr>
      <w:noProof/>
    </w:rPr>
  </w:style>
  <w:style w:type="paragraph" w:styleId="TOC4">
    <w:name w:val="toc 4"/>
    <w:basedOn w:val="Normal"/>
    <w:next w:val="Normal"/>
    <w:semiHidden/>
    <w:pPr>
      <w:tabs>
        <w:tab w:val="right" w:leader="dot" w:pos="9979"/>
      </w:tabs>
      <w:ind w:left="720"/>
    </w:pPr>
    <w:rPr>
      <w:rFonts w:ascii="Times New Roman" w:hAnsi="Times New Roman"/>
    </w:rPr>
  </w:style>
  <w:style w:type="paragraph" w:styleId="TOC5">
    <w:name w:val="toc 5"/>
    <w:basedOn w:val="Normal"/>
    <w:next w:val="Normal"/>
    <w:semiHidden/>
    <w:pPr>
      <w:tabs>
        <w:tab w:val="right" w:leader="dot" w:pos="9979"/>
      </w:tabs>
      <w:ind w:left="960"/>
    </w:pPr>
    <w:rPr>
      <w:rFonts w:ascii="Times New Roman" w:hAnsi="Times New Roman"/>
    </w:rPr>
  </w:style>
  <w:style w:type="paragraph" w:styleId="TOC6">
    <w:name w:val="toc 6"/>
    <w:basedOn w:val="Normal"/>
    <w:next w:val="Normal"/>
    <w:semiHidden/>
    <w:pPr>
      <w:tabs>
        <w:tab w:val="right" w:leader="dot" w:pos="9979"/>
      </w:tabs>
      <w:ind w:left="1200"/>
    </w:pPr>
    <w:rPr>
      <w:rFonts w:ascii="Times New Roman" w:hAnsi="Times New Roman"/>
    </w:rPr>
  </w:style>
  <w:style w:type="paragraph" w:styleId="TOC7">
    <w:name w:val="toc 7"/>
    <w:basedOn w:val="Normal"/>
    <w:next w:val="Normal"/>
    <w:semiHidden/>
    <w:pPr>
      <w:tabs>
        <w:tab w:val="right" w:leader="dot" w:pos="9979"/>
      </w:tabs>
      <w:ind w:left="1440"/>
    </w:pPr>
    <w:rPr>
      <w:rFonts w:ascii="Times New Roman" w:hAnsi="Times New Roman"/>
    </w:rPr>
  </w:style>
  <w:style w:type="paragraph" w:styleId="TOC8">
    <w:name w:val="toc 8"/>
    <w:basedOn w:val="Normal"/>
    <w:next w:val="Normal"/>
    <w:semiHidden/>
    <w:pPr>
      <w:tabs>
        <w:tab w:val="right" w:leader="dot" w:pos="9979"/>
      </w:tabs>
      <w:ind w:left="1680"/>
    </w:pPr>
    <w:rPr>
      <w:rFonts w:ascii="Times New Roman" w:hAnsi="Times New Roman"/>
    </w:rPr>
  </w:style>
  <w:style w:type="paragraph" w:styleId="TOC9">
    <w:name w:val="toc 9"/>
    <w:basedOn w:val="Normal"/>
    <w:next w:val="Normal"/>
    <w:semiHidden/>
    <w:pPr>
      <w:tabs>
        <w:tab w:val="right" w:leader="dot" w:pos="9979"/>
      </w:tabs>
      <w:ind w:left="1920"/>
    </w:pPr>
    <w:rPr>
      <w:rFonts w:ascii="Times New Roman" w:hAnsi="Times New Roman"/>
    </w:r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ind w:left="720"/>
    </w:pPr>
  </w:style>
  <w:style w:type="paragraph" w:styleId="BodyText">
    <w:name w:val="Body Text"/>
    <w:basedOn w:val="Normal"/>
    <w:pPr>
      <w:overflowPunct w:val="0"/>
      <w:autoSpaceDE w:val="0"/>
      <w:autoSpaceDN w:val="0"/>
      <w:adjustRightInd w:val="0"/>
      <w:textAlignment w:val="baseline"/>
    </w:pPr>
    <w:rPr>
      <w:rFonts w:ascii="Times New Roman" w:hAnsi="Times New Roman"/>
      <w:color w:val="FF0000"/>
      <w:sz w:val="16"/>
    </w:rPr>
  </w:style>
  <w:style w:type="character" w:customStyle="1" w:styleId="A1">
    <w:name w:val="A1"/>
    <w:rsid w:val="00B47D7D"/>
    <w:rPr>
      <w:bCs/>
      <w:color w:val="013668"/>
      <w:sz w:val="101"/>
      <w:szCs w:val="101"/>
    </w:rPr>
  </w:style>
  <w:style w:type="character" w:customStyle="1" w:styleId="A0">
    <w:name w:val="A0"/>
    <w:rsid w:val="00B47D7D"/>
    <w:rPr>
      <w:color w:val="000000"/>
      <w:sz w:val="36"/>
      <w:szCs w:val="36"/>
    </w:rPr>
  </w:style>
  <w:style w:type="paragraph" w:customStyle="1" w:styleId="A3">
    <w:name w:val="A3"/>
    <w:basedOn w:val="Normal"/>
    <w:autoRedefine/>
    <w:qFormat/>
    <w:rsid w:val="00E81FCE"/>
    <w:pPr>
      <w:framePr w:hSpace="180" w:wrap="around" w:vAnchor="text" w:hAnchor="margin" w:y="174"/>
      <w:ind w:right="34"/>
      <w:outlineLvl w:val="0"/>
    </w:pPr>
    <w:rPr>
      <w:rFonts w:eastAsia="Calibri" w:cs="Tahoma"/>
      <w:b/>
      <w:sz w:val="22"/>
      <w:szCs w:val="22"/>
    </w:rPr>
  </w:style>
  <w:style w:type="paragraph" w:customStyle="1" w:styleId="A2">
    <w:name w:val="A2"/>
    <w:basedOn w:val="Normal"/>
    <w:autoRedefine/>
    <w:qFormat/>
    <w:rsid w:val="00E81FCE"/>
    <w:pPr>
      <w:framePr w:hSpace="180" w:wrap="around" w:vAnchor="text" w:hAnchor="margin" w:y="174"/>
      <w:spacing w:line="276" w:lineRule="auto"/>
      <w:ind w:right="33"/>
      <w:outlineLvl w:val="0"/>
    </w:pPr>
    <w:rPr>
      <w:rFonts w:eastAsia="Calibri" w:cs="Tahoma"/>
      <w:b/>
      <w:sz w:val="24"/>
      <w:szCs w:val="24"/>
    </w:rPr>
  </w:style>
  <w:style w:type="paragraph" w:customStyle="1" w:styleId="A4b">
    <w:name w:val="A4b"/>
    <w:basedOn w:val="Normal"/>
    <w:autoRedefine/>
    <w:qFormat/>
    <w:rsid w:val="00B47D7D"/>
    <w:pPr>
      <w:spacing w:before="70" w:after="30"/>
      <w:ind w:right="34"/>
      <w:outlineLvl w:val="0"/>
    </w:pPr>
    <w:rPr>
      <w:rFonts w:ascii="Arial" w:eastAsia="Calibri" w:hAnsi="Arial" w:cs="Arial"/>
      <w:sz w:val="24"/>
      <w:szCs w:val="22"/>
    </w:rPr>
  </w:style>
  <w:style w:type="paragraph" w:customStyle="1" w:styleId="A4a">
    <w:name w:val="A4a"/>
    <w:basedOn w:val="A4b"/>
    <w:qFormat/>
    <w:rsid w:val="00B47D7D"/>
    <w:pPr>
      <w:spacing w:after="0"/>
    </w:pPr>
    <w:rPr>
      <w:b/>
    </w:rPr>
  </w:style>
  <w:style w:type="paragraph" w:styleId="BalloonText">
    <w:name w:val="Balloon Text"/>
    <w:basedOn w:val="Normal"/>
    <w:link w:val="BalloonTextChar"/>
    <w:rsid w:val="00E81FCE"/>
    <w:rPr>
      <w:rFonts w:cs="Tahoma"/>
      <w:sz w:val="16"/>
      <w:szCs w:val="16"/>
    </w:rPr>
  </w:style>
  <w:style w:type="character" w:customStyle="1" w:styleId="BalloonTextChar">
    <w:name w:val="Balloon Text Char"/>
    <w:basedOn w:val="DefaultParagraphFont"/>
    <w:link w:val="BalloonText"/>
    <w:rsid w:val="00E81FCE"/>
    <w:rPr>
      <w:rFonts w:ascii="Tahoma" w:hAnsi="Tahoma" w:cs="Tahoma"/>
      <w:sz w:val="16"/>
      <w:szCs w:val="16"/>
      <w:lang w:eastAsia="en-US"/>
    </w:rPr>
  </w:style>
  <w:style w:type="character" w:customStyle="1" w:styleId="HeaderChar">
    <w:name w:val="Header Char"/>
    <w:basedOn w:val="DefaultParagraphFont"/>
    <w:link w:val="Header"/>
    <w:uiPriority w:val="99"/>
    <w:rsid w:val="00CC145D"/>
    <w:rPr>
      <w:rFonts w:ascii="Tahoma" w:hAnsi="Tahoma"/>
      <w:sz w:val="18"/>
      <w:lang w:eastAsia="en-US"/>
    </w:rPr>
  </w:style>
  <w:style w:type="table" w:styleId="TableGrid">
    <w:name w:val="Table Grid"/>
    <w:basedOn w:val="TableNormal"/>
    <w:rsid w:val="002B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825"/>
    <w:pPr>
      <w:ind w:left="720"/>
      <w:contextualSpacing/>
    </w:pPr>
  </w:style>
  <w:style w:type="character" w:customStyle="1" w:styleId="Heading1Char">
    <w:name w:val="Heading 1 Char"/>
    <w:basedOn w:val="DefaultParagraphFont"/>
    <w:link w:val="Heading1"/>
    <w:rsid w:val="00C80075"/>
    <w:rPr>
      <w:rFonts w:asciiTheme="minorHAnsi" w:hAnsiTheme="minorHAnsi"/>
      <w:b/>
      <w:kern w:val="28"/>
      <w:sz w:val="28"/>
      <w:lang w:eastAsia="en-US"/>
    </w:rPr>
  </w:style>
  <w:style w:type="paragraph" w:styleId="Date">
    <w:name w:val="Date"/>
    <w:basedOn w:val="Normal"/>
    <w:next w:val="Normal"/>
    <w:link w:val="DateChar"/>
    <w:semiHidden/>
    <w:unhideWhenUsed/>
    <w:rsid w:val="002770D9"/>
  </w:style>
  <w:style w:type="character" w:customStyle="1" w:styleId="DateChar">
    <w:name w:val="Date Char"/>
    <w:basedOn w:val="DefaultParagraphFont"/>
    <w:link w:val="Date"/>
    <w:semiHidden/>
    <w:rsid w:val="002770D9"/>
    <w:rPr>
      <w:rFonts w:ascii="Tahoma" w:hAnsi="Tahoma"/>
      <w:sz w:val="18"/>
      <w:lang w:eastAsia="en-US"/>
    </w:rPr>
  </w:style>
  <w:style w:type="character" w:customStyle="1" w:styleId="Heading2Char">
    <w:name w:val="Heading 2 Char"/>
    <w:basedOn w:val="DefaultParagraphFont"/>
    <w:link w:val="Heading2"/>
    <w:rsid w:val="00DE1C39"/>
    <w:rPr>
      <w:rFonts w:ascii="Tahoma" w:hAnsi="Tahoma"/>
      <w:b/>
      <w:sz w:val="22"/>
      <w:lang w:eastAsia="en-US"/>
    </w:rPr>
  </w:style>
  <w:style w:type="character" w:styleId="CommentReference">
    <w:name w:val="annotation reference"/>
    <w:basedOn w:val="DefaultParagraphFont"/>
    <w:semiHidden/>
    <w:unhideWhenUsed/>
    <w:rsid w:val="00D13D56"/>
    <w:rPr>
      <w:sz w:val="18"/>
      <w:szCs w:val="18"/>
    </w:rPr>
  </w:style>
  <w:style w:type="paragraph" w:styleId="CommentText">
    <w:name w:val="annotation text"/>
    <w:basedOn w:val="Normal"/>
    <w:link w:val="CommentTextChar"/>
    <w:semiHidden/>
    <w:unhideWhenUsed/>
    <w:rsid w:val="00D13D56"/>
    <w:rPr>
      <w:sz w:val="24"/>
      <w:szCs w:val="24"/>
    </w:rPr>
  </w:style>
  <w:style w:type="character" w:customStyle="1" w:styleId="CommentTextChar">
    <w:name w:val="Comment Text Char"/>
    <w:basedOn w:val="DefaultParagraphFont"/>
    <w:link w:val="CommentText"/>
    <w:semiHidden/>
    <w:rsid w:val="00D13D56"/>
    <w:rPr>
      <w:rFonts w:ascii="Tahoma" w:hAnsi="Tahoma"/>
      <w:sz w:val="24"/>
      <w:szCs w:val="24"/>
      <w:lang w:eastAsia="en-US"/>
    </w:rPr>
  </w:style>
  <w:style w:type="paragraph" w:styleId="CommentSubject">
    <w:name w:val="annotation subject"/>
    <w:basedOn w:val="CommentText"/>
    <w:next w:val="CommentText"/>
    <w:link w:val="CommentSubjectChar"/>
    <w:semiHidden/>
    <w:unhideWhenUsed/>
    <w:rsid w:val="00D13D56"/>
    <w:rPr>
      <w:b/>
      <w:bCs/>
      <w:sz w:val="20"/>
      <w:szCs w:val="20"/>
    </w:rPr>
  </w:style>
  <w:style w:type="character" w:customStyle="1" w:styleId="CommentSubjectChar">
    <w:name w:val="Comment Subject Char"/>
    <w:basedOn w:val="CommentTextChar"/>
    <w:link w:val="CommentSubject"/>
    <w:semiHidden/>
    <w:rsid w:val="00D13D56"/>
    <w:rPr>
      <w:rFonts w:ascii="Tahoma" w:hAnsi="Tahoma"/>
      <w:b/>
      <w:bCs/>
      <w:sz w:val="24"/>
      <w:szCs w:val="24"/>
      <w:lang w:eastAsia="en-US"/>
    </w:rPr>
  </w:style>
  <w:style w:type="paragraph" w:customStyle="1" w:styleId="Default">
    <w:name w:val="Default"/>
    <w:rsid w:val="00DF321B"/>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FE00E2"/>
    <w:rPr>
      <w:rFonts w:ascii="Tahoma" w:hAnsi="Tahom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590">
      <w:bodyDiv w:val="1"/>
      <w:marLeft w:val="0"/>
      <w:marRight w:val="0"/>
      <w:marTop w:val="0"/>
      <w:marBottom w:val="0"/>
      <w:divBdr>
        <w:top w:val="none" w:sz="0" w:space="0" w:color="auto"/>
        <w:left w:val="none" w:sz="0" w:space="0" w:color="auto"/>
        <w:bottom w:val="none" w:sz="0" w:space="0" w:color="auto"/>
        <w:right w:val="none" w:sz="0" w:space="0" w:color="auto"/>
      </w:divBdr>
    </w:div>
    <w:div w:id="269894255">
      <w:bodyDiv w:val="1"/>
      <w:marLeft w:val="0"/>
      <w:marRight w:val="0"/>
      <w:marTop w:val="0"/>
      <w:marBottom w:val="0"/>
      <w:divBdr>
        <w:top w:val="none" w:sz="0" w:space="0" w:color="auto"/>
        <w:left w:val="none" w:sz="0" w:space="0" w:color="auto"/>
        <w:bottom w:val="none" w:sz="0" w:space="0" w:color="auto"/>
        <w:right w:val="none" w:sz="0" w:space="0" w:color="auto"/>
      </w:divBdr>
    </w:div>
    <w:div w:id="535317198">
      <w:bodyDiv w:val="1"/>
      <w:marLeft w:val="0"/>
      <w:marRight w:val="0"/>
      <w:marTop w:val="0"/>
      <w:marBottom w:val="0"/>
      <w:divBdr>
        <w:top w:val="none" w:sz="0" w:space="0" w:color="auto"/>
        <w:left w:val="none" w:sz="0" w:space="0" w:color="auto"/>
        <w:bottom w:val="none" w:sz="0" w:space="0" w:color="auto"/>
        <w:right w:val="none" w:sz="0" w:space="0" w:color="auto"/>
      </w:divBdr>
    </w:div>
    <w:div w:id="1458445798">
      <w:bodyDiv w:val="1"/>
      <w:marLeft w:val="0"/>
      <w:marRight w:val="0"/>
      <w:marTop w:val="0"/>
      <w:marBottom w:val="0"/>
      <w:divBdr>
        <w:top w:val="none" w:sz="0" w:space="0" w:color="auto"/>
        <w:left w:val="none" w:sz="0" w:space="0" w:color="auto"/>
        <w:bottom w:val="none" w:sz="0" w:space="0" w:color="auto"/>
        <w:right w:val="none" w:sz="0" w:space="0" w:color="auto"/>
      </w:divBdr>
    </w:div>
    <w:div w:id="1464613003">
      <w:bodyDiv w:val="1"/>
      <w:marLeft w:val="0"/>
      <w:marRight w:val="0"/>
      <w:marTop w:val="0"/>
      <w:marBottom w:val="0"/>
      <w:divBdr>
        <w:top w:val="none" w:sz="0" w:space="0" w:color="auto"/>
        <w:left w:val="none" w:sz="0" w:space="0" w:color="auto"/>
        <w:bottom w:val="none" w:sz="0" w:space="0" w:color="auto"/>
        <w:right w:val="none" w:sz="0" w:space="0" w:color="auto"/>
      </w:divBdr>
    </w:div>
    <w:div w:id="17078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New%20VI%20Templates\End_Repor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5153E78B6F144BBDBA7F382D6EC561" ma:contentTypeVersion="1" ma:contentTypeDescription="Create a new document." ma:contentTypeScope="" ma:versionID="60331b24b8b42e8cc2ef280e6f90b5a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47BC5-E3A1-487B-89F7-F09348A9457E}"/>
</file>

<file path=customXml/itemProps2.xml><?xml version="1.0" encoding="utf-8"?>
<ds:datastoreItem xmlns:ds="http://schemas.openxmlformats.org/officeDocument/2006/customXml" ds:itemID="{834A839E-B166-4254-95F0-C9257C72435B}"/>
</file>

<file path=customXml/itemProps3.xml><?xml version="1.0" encoding="utf-8"?>
<ds:datastoreItem xmlns:ds="http://schemas.openxmlformats.org/officeDocument/2006/customXml" ds:itemID="{BF73B39E-0AFF-4C7B-9668-BDAC718FB386}"/>
</file>

<file path=customXml/itemProps4.xml><?xml version="1.0" encoding="utf-8"?>
<ds:datastoreItem xmlns:ds="http://schemas.openxmlformats.org/officeDocument/2006/customXml" ds:itemID="{E112BE31-B313-4412-9FCA-E7D43550383F}"/>
</file>

<file path=docProps/app.xml><?xml version="1.0" encoding="utf-8"?>
<Properties xmlns="http://schemas.openxmlformats.org/officeDocument/2006/extended-properties" xmlns:vt="http://schemas.openxmlformats.org/officeDocument/2006/docPropsVTypes">
  <Template>End_Report_1</Template>
  <TotalTime>2</TotalTime>
  <Pages>6</Pages>
  <Words>2443</Words>
  <Characters>13780</Characters>
  <Application>Microsoft Office Word</Application>
  <DocSecurity>0</DocSecurity>
  <Lines>372</Lines>
  <Paragraphs>249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Snyder</dc:creator>
  <cp:lastModifiedBy>Kate Hunt</cp:lastModifiedBy>
  <cp:revision>3</cp:revision>
  <cp:lastPrinted>2019-02-01T01:32:00Z</cp:lastPrinted>
  <dcterms:created xsi:type="dcterms:W3CDTF">2019-02-15T00:35:00Z</dcterms:created>
  <dcterms:modified xsi:type="dcterms:W3CDTF">2019-02-15T00:36:00Z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0x010100E15153E78B6F144BBDBA7F382D6EC561</vt:lpwstr>
  </property>
  <property fmtid="{D5CDD505-2E9C-101B-9397-08002B2CF9AE}" pid="3" name="AuthorIds_UIVersion_1024">
    <vt:lpwstr>40</vt:lpwstr>
  </property>
</Properties>
</file>