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01" w:rsidRDefault="00571B01" w:rsidP="00571B01">
      <w:pPr>
        <w:pStyle w:val="Heading1"/>
        <w:rPr>
          <w:rStyle w:val="Tabletext"/>
          <w:rFonts w:cs="Tahoma"/>
          <w:color w:val="auto"/>
        </w:rPr>
      </w:pPr>
      <w:r>
        <w:rPr>
          <w:rStyle w:val="Tabletext"/>
          <w:rFonts w:cs="Tahoma"/>
          <w:color w:val="auto"/>
        </w:rPr>
        <w:t>Australian Government</w:t>
      </w:r>
    </w:p>
    <w:p w:rsidR="00571B01" w:rsidRDefault="00571B01" w:rsidP="00571B01">
      <w:pPr>
        <w:pStyle w:val="Heading1"/>
        <w:rPr>
          <w:rStyle w:val="Tabletext"/>
          <w:rFonts w:cs="Tahoma"/>
          <w:color w:val="auto"/>
        </w:rPr>
      </w:pPr>
      <w:r>
        <w:rPr>
          <w:rStyle w:val="Tabletext"/>
          <w:rFonts w:cs="Tahoma"/>
          <w:color w:val="auto"/>
        </w:rPr>
        <w:t>Department of Education, Employment and Workplace Relations</w:t>
      </w:r>
    </w:p>
    <w:p w:rsidR="00571B01" w:rsidRDefault="00571B01" w:rsidP="00571B01">
      <w:pPr>
        <w:pStyle w:val="Heading1"/>
        <w:rPr>
          <w:rStyle w:val="Tabletext"/>
          <w:rFonts w:cs="Tahoma"/>
          <w:color w:val="auto"/>
        </w:rPr>
      </w:pPr>
      <w:r>
        <w:rPr>
          <w:rStyle w:val="Tabletext"/>
          <w:rFonts w:cs="Tahoma"/>
          <w:color w:val="auto"/>
        </w:rPr>
        <w:t xml:space="preserve">Office of Early </w:t>
      </w:r>
      <w:r w:rsidR="0086536E">
        <w:rPr>
          <w:rStyle w:val="Tabletext"/>
          <w:rFonts w:cs="Tahoma"/>
          <w:color w:val="auto"/>
        </w:rPr>
        <w:t>C</w:t>
      </w:r>
      <w:r>
        <w:rPr>
          <w:rStyle w:val="Tabletext"/>
          <w:rFonts w:cs="Tahoma"/>
          <w:color w:val="auto"/>
        </w:rPr>
        <w:t>hildhood Education and Child Care</w:t>
      </w:r>
    </w:p>
    <w:p w:rsidR="0086536E" w:rsidRDefault="0086536E" w:rsidP="00A538B5">
      <w:pPr>
        <w:spacing w:before="3000"/>
        <w:jc w:val="right"/>
        <w:rPr>
          <w:rFonts w:ascii="Calibri" w:hAnsi="Calibri"/>
          <w:sz w:val="90"/>
          <w:szCs w:val="90"/>
        </w:rPr>
      </w:pPr>
      <w:r w:rsidRPr="003117C2">
        <w:rPr>
          <w:rFonts w:ascii="Calibri" w:hAnsi="Calibri"/>
          <w:sz w:val="90"/>
          <w:szCs w:val="90"/>
        </w:rPr>
        <w:t xml:space="preserve">Child Care </w:t>
      </w:r>
      <w:r>
        <w:rPr>
          <w:rFonts w:ascii="Calibri" w:hAnsi="Calibri"/>
          <w:sz w:val="90"/>
          <w:szCs w:val="90"/>
        </w:rPr>
        <w:t>Summary Data</w:t>
      </w:r>
      <w:proofErr w:type="gramStart"/>
      <w:r>
        <w:rPr>
          <w:rFonts w:ascii="Calibri" w:hAnsi="Calibri"/>
          <w:sz w:val="90"/>
          <w:szCs w:val="90"/>
        </w:rPr>
        <w:t>:</w:t>
      </w:r>
      <w:proofErr w:type="gramEnd"/>
      <w:r w:rsidR="00A538B5">
        <w:rPr>
          <w:rFonts w:ascii="Calibri" w:hAnsi="Calibri"/>
          <w:sz w:val="90"/>
          <w:szCs w:val="90"/>
        </w:rPr>
        <w:br/>
      </w:r>
      <w:r>
        <w:rPr>
          <w:rFonts w:ascii="Calibri" w:hAnsi="Calibri"/>
          <w:sz w:val="90"/>
          <w:szCs w:val="90"/>
        </w:rPr>
        <w:t>Financial year 2010-11</w:t>
      </w:r>
    </w:p>
    <w:p w:rsidR="00CF5784" w:rsidRPr="00CF5784" w:rsidRDefault="00CF5784" w:rsidP="00CB42F6">
      <w:pPr>
        <w:spacing w:before="7800"/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29 February</w:t>
      </w:r>
      <w:r w:rsidRPr="00603065">
        <w:rPr>
          <w:rFonts w:ascii="Calibri" w:hAnsi="Calibri" w:cs="Tahoma"/>
          <w:b/>
          <w:sz w:val="32"/>
          <w:szCs w:val="32"/>
        </w:rPr>
        <w:t xml:space="preserve"> 201</w:t>
      </w:r>
      <w:r>
        <w:rPr>
          <w:rFonts w:ascii="Calibri" w:hAnsi="Calibri" w:cs="Tahoma"/>
          <w:b/>
          <w:sz w:val="32"/>
          <w:szCs w:val="32"/>
        </w:rPr>
        <w:t>2</w:t>
      </w:r>
    </w:p>
    <w:p w:rsidR="00CF5784" w:rsidRPr="00CF5784" w:rsidRDefault="00CF5784" w:rsidP="00CB42F6">
      <w:pPr>
        <w:spacing w:before="7800"/>
        <w:jc w:val="right"/>
        <w:rPr>
          <w:rFonts w:ascii="Calibri" w:hAnsi="Calibri"/>
          <w:b/>
          <w:sz w:val="32"/>
          <w:szCs w:val="32"/>
        </w:rPr>
        <w:sectPr w:rsidR="00CF5784" w:rsidRPr="00CF5784" w:rsidSect="00CB42F6">
          <w:footerReference w:type="default" r:id="rId9"/>
          <w:footerReference w:type="first" r:id="rId10"/>
          <w:pgSz w:w="11906" w:h="16838" w:code="9"/>
          <w:pgMar w:top="1440" w:right="707" w:bottom="902" w:left="900" w:header="709" w:footer="253" w:gutter="0"/>
          <w:cols w:space="708"/>
          <w:docGrid w:linePitch="360"/>
        </w:sectPr>
      </w:pPr>
    </w:p>
    <w:tbl>
      <w:tblPr>
        <w:tblStyle w:val="TableGrid"/>
        <w:tblW w:w="3750" w:type="pct"/>
        <w:tblLook w:val="04A0" w:firstRow="1" w:lastRow="0" w:firstColumn="1" w:lastColumn="0" w:noHBand="0" w:noVBand="1"/>
        <w:tblCaption w:val="Table 1: Australia child care summary data: Financial year time series"/>
        <w:tblDescription w:val="Child care summary data by financial year."/>
      </w:tblPr>
      <w:tblGrid>
        <w:gridCol w:w="1137"/>
        <w:gridCol w:w="1194"/>
        <w:gridCol w:w="1194"/>
        <w:gridCol w:w="1135"/>
        <w:gridCol w:w="1135"/>
        <w:gridCol w:w="1137"/>
      </w:tblGrid>
      <w:tr w:rsidR="00571B01" w:rsidRPr="0042543E" w:rsidTr="00AA25C9">
        <w:trPr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b/>
                <w:bCs/>
              </w:rPr>
            </w:pPr>
            <w:r w:rsidRPr="0042543E">
              <w:rPr>
                <w:rFonts w:asciiTheme="minorHAnsi" w:hAnsiTheme="minorHAnsi" w:cs="Calibri"/>
                <w:b/>
              </w:rPr>
              <w:lastRenderedPageBreak/>
              <w:t>Table 1: Australia child care summary data: Financial year time series</w:t>
            </w:r>
          </w:p>
        </w:tc>
      </w:tr>
      <w:tr w:rsidR="00571B01" w:rsidRPr="0042543E" w:rsidTr="00571B01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Financial year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Child Care Benefit (CCB) estimated entitlement*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('000)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Child Care Rebate (CCR) estimated entitlement* ('000)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families using approved child care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children using approved child care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approved child care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services**</w:t>
            </w:r>
          </w:p>
        </w:tc>
      </w:tr>
      <w:tr w:rsidR="00571B01" w:rsidRPr="0042543E" w:rsidTr="00571B01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2006 – 07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$1,452,379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$521,366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749,500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1,078,710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11,266</w:t>
            </w:r>
          </w:p>
        </w:tc>
      </w:tr>
      <w:tr w:rsidR="00571B01" w:rsidRPr="0042543E" w:rsidTr="00571B01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2007 – 08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$1,723,839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$561,418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794,210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1,142,960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11,709</w:t>
            </w:r>
          </w:p>
        </w:tc>
      </w:tr>
      <w:tr w:rsidR="00571B01" w:rsidRPr="0042543E" w:rsidTr="00571B01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2008 – 09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$1,621,515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$1,262,225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773,350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1,108,510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13,516</w:t>
            </w:r>
          </w:p>
        </w:tc>
      </w:tr>
      <w:tr w:rsidR="00571B01" w:rsidRPr="0042543E" w:rsidTr="00571B01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2009 – 10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Cs/>
                <w:sz w:val="18"/>
                <w:szCs w:val="18"/>
              </w:rPr>
              <w:t>$1,819,218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Cs/>
                <w:sz w:val="18"/>
                <w:szCs w:val="18"/>
              </w:rPr>
              <w:t>$1,297,011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Cs/>
                <w:sz w:val="18"/>
                <w:szCs w:val="18"/>
              </w:rPr>
              <w:t>806,550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Cs/>
                <w:sz w:val="18"/>
                <w:szCs w:val="18"/>
              </w:rPr>
              <w:t>1,158,690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Cs/>
                <w:sz w:val="18"/>
                <w:szCs w:val="18"/>
              </w:rPr>
              <w:t>15,245</w:t>
            </w:r>
          </w:p>
        </w:tc>
      </w:tr>
      <w:tr w:rsidR="00571B01" w:rsidRPr="0042543E" w:rsidTr="00571B01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2010 – 11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$1,960,225 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$1,586,193 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865,070 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1,250,770 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15,336 </w:t>
            </w:r>
          </w:p>
        </w:tc>
      </w:tr>
    </w:tbl>
    <w:p w:rsidR="00571B01" w:rsidRPr="0042543E" w:rsidRDefault="00571B01" w:rsidP="00571B01">
      <w:pPr>
        <w:rPr>
          <w:rFonts w:asciiTheme="minorHAnsi" w:hAnsiTheme="minorHAnsi" w:cs="Calibri"/>
          <w:sz w:val="16"/>
          <w:szCs w:val="16"/>
        </w:rPr>
      </w:pPr>
      <w:r w:rsidRPr="0042543E">
        <w:rPr>
          <w:rFonts w:asciiTheme="minorHAnsi" w:hAnsiTheme="minorHAnsi" w:cs="Calibri"/>
          <w:sz w:val="16"/>
          <w:szCs w:val="16"/>
        </w:rPr>
        <w:t>* Estimated entitlement does not include any adjustments for accrued expenses relating to reconciliation of a family’s entitlement. For this reason the estimated entitlement should not be compared with data reported in the Annual Report or Portfolio Budget Statements.</w:t>
      </w:r>
    </w:p>
    <w:p w:rsidR="00571B01" w:rsidRPr="0042543E" w:rsidRDefault="00571B01" w:rsidP="00571B01">
      <w:pPr>
        <w:rPr>
          <w:rFonts w:asciiTheme="minorHAnsi" w:hAnsiTheme="minorHAnsi" w:cs="Calibri"/>
          <w:sz w:val="16"/>
          <w:szCs w:val="16"/>
        </w:rPr>
      </w:pPr>
      <w:r w:rsidRPr="0042543E">
        <w:rPr>
          <w:rFonts w:asciiTheme="minorHAnsi" w:hAnsiTheme="minorHAnsi" w:cs="Calibri"/>
          <w:sz w:val="16"/>
          <w:szCs w:val="16"/>
        </w:rPr>
        <w:t xml:space="preserve">**Number of services for FY 2006 – 07, FY 2007 – 08, FY 2008 – 09 </w:t>
      </w:r>
      <w:proofErr w:type="gramStart"/>
      <w:r w:rsidRPr="0042543E">
        <w:rPr>
          <w:rFonts w:asciiTheme="minorHAnsi" w:hAnsiTheme="minorHAnsi" w:cs="Calibri"/>
          <w:sz w:val="16"/>
          <w:szCs w:val="16"/>
        </w:rPr>
        <w:t>are</w:t>
      </w:r>
      <w:proofErr w:type="gramEnd"/>
      <w:r w:rsidRPr="0042543E">
        <w:rPr>
          <w:rFonts w:asciiTheme="minorHAnsi" w:hAnsiTheme="minorHAnsi" w:cs="Calibri"/>
          <w:sz w:val="16"/>
          <w:szCs w:val="16"/>
        </w:rPr>
        <w:t xml:space="preserve"> only those with attendances in June quarter. Number of services for FY 2009 – 10 and FY 2010 – 11 includes all services with attendances at any time in the year.</w:t>
      </w:r>
    </w:p>
    <w:p w:rsidR="00571B01" w:rsidRPr="0042543E" w:rsidRDefault="00571B01" w:rsidP="00571B01">
      <w:pPr>
        <w:rPr>
          <w:rFonts w:asciiTheme="minorHAnsi" w:hAnsiTheme="minorHAnsi" w:cs="Calibr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2A: Australia child care summary data by state and territory: Financial year 2010–11"/>
        <w:tblDescription w:val="Child care summary data by state and territory for the 2010-11 financial year."/>
      </w:tblPr>
      <w:tblGrid>
        <w:gridCol w:w="1142"/>
        <w:gridCol w:w="1193"/>
        <w:gridCol w:w="1193"/>
        <w:gridCol w:w="1142"/>
        <w:gridCol w:w="1143"/>
        <w:gridCol w:w="1143"/>
        <w:gridCol w:w="1143"/>
        <w:gridCol w:w="1143"/>
      </w:tblGrid>
      <w:tr w:rsidR="00571B01" w:rsidRPr="0042543E" w:rsidTr="00AA25C9">
        <w:trPr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1B01" w:rsidRPr="0042543E" w:rsidRDefault="00571B01" w:rsidP="00494619">
            <w:pPr>
              <w:rPr>
                <w:rFonts w:asciiTheme="minorHAnsi" w:hAnsiTheme="minorHAnsi" w:cs="Calibri"/>
              </w:rPr>
            </w:pPr>
            <w:r w:rsidRPr="0042543E">
              <w:rPr>
                <w:rFonts w:asciiTheme="minorHAnsi" w:hAnsiTheme="minorHAnsi" w:cs="Calibri"/>
                <w:b/>
              </w:rPr>
              <w:t xml:space="preserve">Table </w:t>
            </w:r>
            <w:proofErr w:type="spellStart"/>
            <w:r w:rsidRPr="0042543E">
              <w:rPr>
                <w:rFonts w:asciiTheme="minorHAnsi" w:hAnsiTheme="minorHAnsi" w:cs="Calibri"/>
                <w:b/>
              </w:rPr>
              <w:t>2A</w:t>
            </w:r>
            <w:proofErr w:type="spellEnd"/>
            <w:r w:rsidRPr="0042543E">
              <w:rPr>
                <w:rFonts w:asciiTheme="minorHAnsi" w:hAnsiTheme="minorHAnsi" w:cs="Calibri"/>
                <w:b/>
              </w:rPr>
              <w:t>: Australia child care summary data by state and territory: Financial year 2010–11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State and territory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Child Care Benefit (CCB) estimated entitlement*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('000)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Child Care Rebate (CCR) estimated entitlement* ('000)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families using approved child care**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children using approved child care**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approved child care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services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Number of families receiving CCR**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Estimated</w:t>
            </w:r>
          </w:p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30% to 50%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CCR increase ('000)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NSW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$615,990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$565,094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286,780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402,350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5,211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256,880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$226,037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Vic.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$453,761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$363,806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196,720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288,740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3,561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178,480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$145,522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Qld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$554,457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$355,521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212,530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314,110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3,331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192,900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$142,208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SA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$134,700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$81,986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63,550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95,100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1,206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57,610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$32,794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WA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$126,414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$120,217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68,910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95,710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1,147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61,740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$48,087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Tas.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$42,959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$25,573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20,110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29,870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382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18,260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$10,229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NT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$14,128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$18,733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7,720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11,190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190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7,120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$7,493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ACT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$17,816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$55,264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17,650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25,260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308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 xml:space="preserve">16,140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$22,105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Total Australia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$1,960,225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$1,586,193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865,070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1,250,770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15,336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782,040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$634,477</w:t>
            </w:r>
          </w:p>
        </w:tc>
      </w:tr>
    </w:tbl>
    <w:p w:rsidR="00571B01" w:rsidRPr="0042543E" w:rsidRDefault="00571B01" w:rsidP="00571B01">
      <w:pPr>
        <w:rPr>
          <w:rFonts w:asciiTheme="minorHAnsi" w:hAnsiTheme="minorHAnsi" w:cs="Calibri"/>
          <w:sz w:val="16"/>
          <w:szCs w:val="16"/>
        </w:rPr>
      </w:pPr>
      <w:r w:rsidRPr="0042543E">
        <w:rPr>
          <w:rFonts w:asciiTheme="minorHAnsi" w:hAnsiTheme="minorHAnsi" w:cs="Calibri"/>
          <w:sz w:val="16"/>
          <w:szCs w:val="16"/>
        </w:rPr>
        <w:t>* Estimated entitlement does not include any adjustments for accrued expenses relating to reconciliation of a family’s entitlement. For this reason the estimated entitlement should not be compared with data reported in the Annual Report or Portfolio Budget Statements.</w:t>
      </w:r>
    </w:p>
    <w:p w:rsidR="00571B01" w:rsidRPr="0042543E" w:rsidRDefault="00571B01" w:rsidP="00571B01">
      <w:pPr>
        <w:rPr>
          <w:rFonts w:asciiTheme="minorHAnsi" w:hAnsiTheme="minorHAnsi" w:cs="Calibri"/>
          <w:sz w:val="16"/>
          <w:szCs w:val="16"/>
        </w:rPr>
      </w:pPr>
      <w:r w:rsidRPr="0042543E">
        <w:rPr>
          <w:rFonts w:asciiTheme="minorHAnsi" w:hAnsiTheme="minorHAnsi" w:cs="Calibri"/>
          <w:sz w:val="16"/>
          <w:szCs w:val="16"/>
        </w:rPr>
        <w:t>**As families and children may use services in more than one state and due to rounding, the sum of the component parts may not equal the Total.</w:t>
      </w:r>
    </w:p>
    <w:p w:rsidR="00571B01" w:rsidRPr="0042543E" w:rsidRDefault="00571B01" w:rsidP="00571B01">
      <w:pPr>
        <w:rPr>
          <w:rFonts w:asciiTheme="minorHAnsi" w:hAnsiTheme="minorHAnsi" w:cs="Calibr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2B: Australia child care summary data by region: Financial year 2010–11"/>
        <w:tblDescription w:val="Child care summary data by region for the 2010-11 financial year."/>
      </w:tblPr>
      <w:tblGrid>
        <w:gridCol w:w="1112"/>
        <w:gridCol w:w="1283"/>
        <w:gridCol w:w="1283"/>
        <w:gridCol w:w="1112"/>
        <w:gridCol w:w="1113"/>
        <w:gridCol w:w="1113"/>
        <w:gridCol w:w="1113"/>
        <w:gridCol w:w="1113"/>
      </w:tblGrid>
      <w:tr w:rsidR="00571B01" w:rsidRPr="0042543E" w:rsidTr="00AA25C9">
        <w:trPr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1B01" w:rsidRPr="0042543E" w:rsidRDefault="00571B01" w:rsidP="00494619">
            <w:pPr>
              <w:rPr>
                <w:rFonts w:asciiTheme="minorHAnsi" w:hAnsiTheme="minorHAnsi" w:cs="Calibri"/>
              </w:rPr>
            </w:pPr>
            <w:r w:rsidRPr="0042543E">
              <w:rPr>
                <w:rFonts w:asciiTheme="minorHAnsi" w:hAnsiTheme="minorHAnsi" w:cs="Calibri"/>
                <w:b/>
              </w:rPr>
              <w:t xml:space="preserve">Table </w:t>
            </w:r>
            <w:proofErr w:type="spellStart"/>
            <w:r w:rsidRPr="0042543E">
              <w:rPr>
                <w:rFonts w:asciiTheme="minorHAnsi" w:hAnsiTheme="minorHAnsi" w:cs="Calibri"/>
                <w:b/>
              </w:rPr>
              <w:t>2B</w:t>
            </w:r>
            <w:proofErr w:type="spellEnd"/>
            <w:r w:rsidRPr="0042543E">
              <w:rPr>
                <w:rFonts w:asciiTheme="minorHAnsi" w:hAnsiTheme="minorHAnsi" w:cs="Calibri"/>
                <w:b/>
              </w:rPr>
              <w:t>: Australia child care summary data by region: Financial year 2010–11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Region*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Child Care Benefit (CCB) estimated entitlement**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('000)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Child Care Rebate (CCR) estimated entitlement** ('000)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families using approved child care***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children using approved child care***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Number of 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approved child care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services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Number of families receiving CCR***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Estimated</w:t>
            </w:r>
          </w:p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30% to 50%</w:t>
            </w: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CCR increase ('000)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Major cities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$1,380,394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$1,257,192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637,850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912,080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11,306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577,210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$502,877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Inner regional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$406,797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$217,916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169,850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250,520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2,680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151,850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$87,167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Outer regional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$157,260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$94,995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68,490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101,060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1,151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61,230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$37,998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Remote &amp; Very remote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$15,774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$16,090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9,260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13,320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199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8,100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sz w:val="18"/>
                <w:szCs w:val="18"/>
              </w:rPr>
              <w:t>$6,436</w:t>
            </w:r>
          </w:p>
        </w:tc>
      </w:tr>
      <w:tr w:rsidR="00571B01" w:rsidRPr="0042543E" w:rsidTr="00571B01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Total Australia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$1,960,225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$1,586,193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865,070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1,250,770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15,336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782,040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B01" w:rsidRPr="0042543E" w:rsidRDefault="00571B01" w:rsidP="00494619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2543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$634,477</w:t>
            </w:r>
          </w:p>
        </w:tc>
      </w:tr>
    </w:tbl>
    <w:p w:rsidR="00571B01" w:rsidRPr="0042543E" w:rsidRDefault="00571B01" w:rsidP="00571B01">
      <w:pPr>
        <w:rPr>
          <w:rFonts w:asciiTheme="minorHAnsi" w:hAnsiTheme="minorHAnsi" w:cs="Calibri"/>
          <w:sz w:val="16"/>
          <w:szCs w:val="16"/>
        </w:rPr>
      </w:pPr>
      <w:r w:rsidRPr="0042543E">
        <w:rPr>
          <w:rFonts w:asciiTheme="minorHAnsi" w:hAnsiTheme="minorHAnsi" w:cs="Calibri"/>
          <w:sz w:val="16"/>
          <w:szCs w:val="16"/>
        </w:rPr>
        <w:t xml:space="preserve">*Region is classified according to the Accessibility/Remoteness Index of Australia (ARIA) classification. </w:t>
      </w:r>
    </w:p>
    <w:p w:rsidR="00571B01" w:rsidRPr="0042543E" w:rsidRDefault="00571B01" w:rsidP="00571B01">
      <w:pPr>
        <w:rPr>
          <w:rFonts w:asciiTheme="minorHAnsi" w:hAnsiTheme="minorHAnsi" w:cs="Calibri"/>
          <w:sz w:val="16"/>
          <w:szCs w:val="16"/>
        </w:rPr>
      </w:pPr>
      <w:r w:rsidRPr="0042543E">
        <w:rPr>
          <w:rFonts w:asciiTheme="minorHAnsi" w:hAnsiTheme="minorHAnsi" w:cs="Calibri"/>
          <w:sz w:val="16"/>
          <w:szCs w:val="16"/>
        </w:rPr>
        <w:t>** Estimated entitlement does not include any adjustments for accrued expenses relating to reconciliation of a family’s entitlement. For this reason the estimated entitlement should not be compared with data reported in the Annual Report or Portfolio Budget Statements.</w:t>
      </w:r>
    </w:p>
    <w:p w:rsidR="00571B01" w:rsidRPr="0042543E" w:rsidRDefault="00571B01" w:rsidP="00571B01">
      <w:pPr>
        <w:rPr>
          <w:rFonts w:asciiTheme="minorHAnsi" w:hAnsiTheme="minorHAnsi" w:cs="Calibri"/>
        </w:rPr>
      </w:pPr>
      <w:r w:rsidRPr="0042543E">
        <w:rPr>
          <w:rFonts w:asciiTheme="minorHAnsi" w:hAnsiTheme="minorHAnsi" w:cs="Calibri"/>
          <w:sz w:val="16"/>
          <w:szCs w:val="16"/>
        </w:rPr>
        <w:t>***As families and children may use services in more than one region and due to rounding, the sum of the component parts may not equal the Total.</w:t>
      </w:r>
    </w:p>
    <w:p w:rsidR="00571B01" w:rsidRPr="0042543E" w:rsidRDefault="00571B01" w:rsidP="00571B01">
      <w:pPr>
        <w:spacing w:after="200" w:line="276" w:lineRule="auto"/>
        <w:rPr>
          <w:rFonts w:asciiTheme="minorHAnsi" w:hAnsiTheme="minorHAnsi" w:cs="Calibri"/>
          <w:b/>
          <w:bCs/>
          <w:kern w:val="32"/>
          <w:sz w:val="28"/>
          <w:szCs w:val="28"/>
        </w:rPr>
      </w:pPr>
      <w:bookmarkStart w:id="0" w:name="_Toc251316926"/>
      <w:bookmarkStart w:id="1" w:name="_Toc315152321"/>
      <w:r w:rsidRPr="0042543E">
        <w:rPr>
          <w:rFonts w:asciiTheme="minorHAnsi" w:hAnsiTheme="minorHAnsi" w:cs="Calibri"/>
          <w:sz w:val="28"/>
          <w:szCs w:val="28"/>
        </w:rPr>
        <w:br w:type="page"/>
      </w:r>
    </w:p>
    <w:p w:rsidR="00571B01" w:rsidRPr="0042543E" w:rsidRDefault="00571B01" w:rsidP="00571B01">
      <w:pPr>
        <w:pStyle w:val="StyleHeading1CalibriLightBlue"/>
        <w:rPr>
          <w:rFonts w:asciiTheme="minorHAnsi" w:hAnsiTheme="minorHAnsi" w:cs="Calibri"/>
          <w:color w:val="auto"/>
          <w:sz w:val="28"/>
          <w:szCs w:val="28"/>
        </w:rPr>
      </w:pPr>
      <w:r w:rsidRPr="0042543E">
        <w:rPr>
          <w:rFonts w:asciiTheme="minorHAnsi" w:hAnsiTheme="minorHAnsi" w:cs="Calibri"/>
          <w:color w:val="auto"/>
          <w:sz w:val="28"/>
          <w:szCs w:val="28"/>
        </w:rPr>
        <w:lastRenderedPageBreak/>
        <w:t>Explanatory notes</w:t>
      </w:r>
      <w:bookmarkEnd w:id="0"/>
      <w:bookmarkEnd w:id="1"/>
    </w:p>
    <w:p w:rsidR="00571B01" w:rsidRPr="0042543E" w:rsidRDefault="00571B01" w:rsidP="00571B01">
      <w:pPr>
        <w:pStyle w:val="Nonnumberedheading"/>
        <w:rPr>
          <w:rFonts w:asciiTheme="minorHAnsi" w:hAnsiTheme="minorHAnsi" w:cs="Calibri"/>
          <w:bCs/>
          <w:color w:val="auto"/>
          <w:kern w:val="32"/>
          <w:szCs w:val="28"/>
          <w:lang w:eastAsia="en-AU"/>
        </w:rPr>
      </w:pPr>
    </w:p>
    <w:p w:rsidR="00571B01" w:rsidRPr="0042543E" w:rsidRDefault="00571B01" w:rsidP="00571B01">
      <w:pPr>
        <w:pStyle w:val="Nonnumberedheading"/>
        <w:rPr>
          <w:rFonts w:asciiTheme="minorHAnsi" w:hAnsiTheme="minorHAnsi" w:cs="Calibri"/>
          <w:bCs/>
          <w:color w:val="auto"/>
          <w:sz w:val="26"/>
        </w:rPr>
      </w:pPr>
      <w:r w:rsidRPr="0042543E">
        <w:rPr>
          <w:rFonts w:asciiTheme="minorHAnsi" w:hAnsiTheme="minorHAnsi" w:cs="Calibri"/>
          <w:bCs/>
          <w:color w:val="auto"/>
          <w:sz w:val="26"/>
        </w:rPr>
        <w:t>General counting rules</w:t>
      </w:r>
    </w:p>
    <w:p w:rsidR="00571B01" w:rsidRPr="0042543E" w:rsidRDefault="00571B01" w:rsidP="00571B01">
      <w:pPr>
        <w:pStyle w:val="Nonnumberedheading"/>
        <w:rPr>
          <w:rFonts w:asciiTheme="minorHAnsi" w:hAnsiTheme="minorHAnsi" w:cs="Calibri"/>
          <w:bCs/>
          <w:color w:val="auto"/>
          <w:sz w:val="22"/>
          <w:szCs w:val="22"/>
        </w:rPr>
      </w:pPr>
    </w:p>
    <w:p w:rsidR="00571B01" w:rsidRPr="0042543E" w:rsidRDefault="00CB3656" w:rsidP="00571B01">
      <w:pPr>
        <w:pStyle w:val="QMIRText"/>
        <w:spacing w:after="85" w:line="260" w:lineRule="atLeast"/>
        <w:rPr>
          <w:rFonts w:asciiTheme="minorHAnsi" w:hAnsiTheme="minorHAnsi" w:cs="Calibri"/>
          <w:sz w:val="22"/>
          <w:szCs w:val="22"/>
          <w:u w:color="000000"/>
        </w:rPr>
      </w:pPr>
      <w:r w:rsidRPr="0042543E">
        <w:rPr>
          <w:rFonts w:asciiTheme="minorHAnsi" w:hAnsiTheme="minorHAnsi" w:cs="Calibri"/>
          <w:sz w:val="22"/>
          <w:szCs w:val="22"/>
          <w:u w:color="000000"/>
        </w:rPr>
        <w:t xml:space="preserve">Use of child care services is counted for each individual child using approved child care services. </w:t>
      </w:r>
      <w:r w:rsidR="00571B01" w:rsidRPr="0042543E">
        <w:rPr>
          <w:rFonts w:asciiTheme="minorHAnsi" w:hAnsiTheme="minorHAnsi" w:cs="Calibri"/>
          <w:sz w:val="22"/>
          <w:szCs w:val="22"/>
          <w:u w:color="000000"/>
        </w:rPr>
        <w:t xml:space="preserve">An instance of child care usage is defined as at least one child care attendance per child care service for the year irrespective of duration or frequency. For example, a single hour at an Occasional care centre as well as 40 hours per week throughout the year at a Long day care centre, are both counted as an instance of child care usage. </w:t>
      </w:r>
    </w:p>
    <w:p w:rsidR="00571B01" w:rsidRPr="0042543E" w:rsidRDefault="00571B01" w:rsidP="00571B01">
      <w:pPr>
        <w:pStyle w:val="QMIRText"/>
        <w:spacing w:after="85" w:line="260" w:lineRule="atLeast"/>
        <w:rPr>
          <w:rFonts w:asciiTheme="minorHAnsi" w:hAnsiTheme="minorHAnsi" w:cs="Calibri"/>
          <w:sz w:val="22"/>
          <w:szCs w:val="22"/>
          <w:u w:color="000000"/>
        </w:rPr>
      </w:pPr>
      <w:r w:rsidRPr="0042543E">
        <w:rPr>
          <w:rFonts w:asciiTheme="minorHAnsi" w:hAnsiTheme="minorHAnsi" w:cs="Calibri"/>
          <w:sz w:val="22"/>
          <w:szCs w:val="22"/>
          <w:u w:color="000000"/>
        </w:rPr>
        <w:t>Children and families using more than one service type during the financial year are counted only once.</w:t>
      </w:r>
    </w:p>
    <w:p w:rsidR="00571B01" w:rsidRPr="0042543E" w:rsidRDefault="00571B01" w:rsidP="00571B01">
      <w:pPr>
        <w:pStyle w:val="QMIRText"/>
        <w:spacing w:after="85" w:line="260" w:lineRule="atLeast"/>
        <w:rPr>
          <w:rFonts w:asciiTheme="minorHAnsi" w:hAnsiTheme="minorHAnsi" w:cs="Calibri"/>
          <w:sz w:val="22"/>
          <w:u w:color="000000"/>
        </w:rPr>
      </w:pPr>
      <w:r w:rsidRPr="0042543E">
        <w:rPr>
          <w:rFonts w:asciiTheme="minorHAnsi" w:hAnsiTheme="minorHAnsi" w:cs="Calibri"/>
          <w:sz w:val="22"/>
          <w:u w:color="000000"/>
        </w:rPr>
        <w:t xml:space="preserve">Note that prior to June quarter 2009, </w:t>
      </w:r>
      <w:proofErr w:type="gramStart"/>
      <w:r w:rsidRPr="0042543E">
        <w:rPr>
          <w:rFonts w:asciiTheme="minorHAnsi" w:hAnsiTheme="minorHAnsi" w:cs="Calibri"/>
          <w:sz w:val="22"/>
          <w:u w:color="000000"/>
        </w:rPr>
        <w:t>Outside</w:t>
      </w:r>
      <w:proofErr w:type="gramEnd"/>
      <w:r w:rsidRPr="0042543E">
        <w:rPr>
          <w:rFonts w:asciiTheme="minorHAnsi" w:hAnsiTheme="minorHAnsi" w:cs="Calibri"/>
          <w:sz w:val="22"/>
          <w:u w:color="000000"/>
        </w:rPr>
        <w:t xml:space="preserve"> school hours care services that were </w:t>
      </w:r>
      <w:r w:rsidRPr="0042543E">
        <w:rPr>
          <w:rFonts w:asciiTheme="minorHAnsi" w:hAnsiTheme="minorHAnsi" w:cs="Calibri"/>
          <w:snapToGrid w:val="0"/>
          <w:sz w:val="22"/>
          <w:u w:color="000000"/>
        </w:rPr>
        <w:t xml:space="preserve">co-located and co-managed were generally counted as a single service. With the introduction of the Child Care Management System, </w:t>
      </w:r>
      <w:proofErr w:type="gramStart"/>
      <w:r w:rsidRPr="0042543E">
        <w:rPr>
          <w:rFonts w:asciiTheme="minorHAnsi" w:hAnsiTheme="minorHAnsi" w:cs="Calibri"/>
          <w:snapToGrid w:val="0"/>
          <w:sz w:val="22"/>
          <w:u w:color="000000"/>
        </w:rPr>
        <w:t>Before</w:t>
      </w:r>
      <w:proofErr w:type="gramEnd"/>
      <w:r w:rsidRPr="0042543E">
        <w:rPr>
          <w:rFonts w:asciiTheme="minorHAnsi" w:hAnsiTheme="minorHAnsi" w:cs="Calibri"/>
          <w:snapToGrid w:val="0"/>
          <w:sz w:val="22"/>
          <w:u w:color="000000"/>
        </w:rPr>
        <w:t xml:space="preserve"> and After school hours care services are now counted as separate services. This has had the effect of increasing the total number of services.</w:t>
      </w:r>
      <w:r w:rsidRPr="0042543E">
        <w:rPr>
          <w:rFonts w:asciiTheme="minorHAnsi" w:hAnsiTheme="minorHAnsi" w:cs="Calibri"/>
          <w:sz w:val="22"/>
          <w:u w:color="000000"/>
        </w:rPr>
        <w:t xml:space="preserve"> </w:t>
      </w:r>
    </w:p>
    <w:p w:rsidR="00571B01" w:rsidRPr="0042543E" w:rsidRDefault="00571B01" w:rsidP="00571B01">
      <w:pPr>
        <w:pStyle w:val="QMIRText"/>
        <w:spacing w:after="85" w:line="260" w:lineRule="atLeast"/>
        <w:rPr>
          <w:rFonts w:asciiTheme="minorHAnsi" w:hAnsiTheme="minorHAnsi" w:cs="Calibri"/>
          <w:sz w:val="22"/>
          <w:szCs w:val="22"/>
          <w:u w:color="000000"/>
        </w:rPr>
      </w:pPr>
    </w:p>
    <w:p w:rsidR="00571B01" w:rsidRPr="0042543E" w:rsidRDefault="00571B01" w:rsidP="00571B01">
      <w:pPr>
        <w:pStyle w:val="Nonnumberedheading"/>
        <w:rPr>
          <w:rFonts w:asciiTheme="minorHAnsi" w:hAnsiTheme="minorHAnsi" w:cs="Calibri"/>
          <w:bCs/>
          <w:color w:val="auto"/>
          <w:sz w:val="26"/>
        </w:rPr>
      </w:pPr>
      <w:r w:rsidRPr="0042543E">
        <w:rPr>
          <w:rFonts w:asciiTheme="minorHAnsi" w:hAnsiTheme="minorHAnsi" w:cs="Calibri"/>
          <w:bCs/>
          <w:color w:val="auto"/>
          <w:sz w:val="26"/>
        </w:rPr>
        <w:t>Data sources</w:t>
      </w:r>
    </w:p>
    <w:p w:rsidR="00571B01" w:rsidRPr="0042543E" w:rsidRDefault="00571B01" w:rsidP="00571B01">
      <w:pPr>
        <w:pStyle w:val="Nonnumberedheading"/>
        <w:rPr>
          <w:rFonts w:asciiTheme="minorHAnsi" w:hAnsiTheme="minorHAnsi" w:cs="Calibri"/>
          <w:bCs/>
          <w:color w:val="auto"/>
          <w:sz w:val="26"/>
        </w:rPr>
      </w:pPr>
    </w:p>
    <w:p w:rsidR="00571B01" w:rsidRPr="0042543E" w:rsidRDefault="00571B01" w:rsidP="00571B01">
      <w:pPr>
        <w:pStyle w:val="QMIRText"/>
        <w:spacing w:after="85" w:line="260" w:lineRule="atLeast"/>
        <w:rPr>
          <w:rFonts w:asciiTheme="minorHAnsi" w:hAnsiTheme="minorHAnsi" w:cs="Calibri"/>
          <w:sz w:val="22"/>
          <w:szCs w:val="22"/>
        </w:rPr>
      </w:pPr>
      <w:r w:rsidRPr="0042543E">
        <w:rPr>
          <w:rFonts w:asciiTheme="minorHAnsi" w:hAnsiTheme="minorHAnsi" w:cs="Calibri"/>
          <w:sz w:val="22"/>
          <w:szCs w:val="22"/>
          <w:u w:color="000000"/>
        </w:rPr>
        <w:t xml:space="preserve">Data included in this report </w:t>
      </w:r>
      <w:r w:rsidRPr="0042543E">
        <w:rPr>
          <w:rFonts w:asciiTheme="minorHAnsi" w:hAnsiTheme="minorHAnsi" w:cs="Calibri"/>
          <w:sz w:val="22"/>
          <w:szCs w:val="22"/>
        </w:rPr>
        <w:t>is extracted from the Centrelink Mainframe. Supplementary data is sourced from the FaHCSIA Online Funding Management System (FOFMS).</w:t>
      </w:r>
    </w:p>
    <w:p w:rsidR="00571B01" w:rsidRPr="0042543E" w:rsidRDefault="00571B01" w:rsidP="00571B01">
      <w:pPr>
        <w:pStyle w:val="QMIRText"/>
        <w:spacing w:after="85" w:line="260" w:lineRule="atLeast"/>
        <w:rPr>
          <w:rFonts w:asciiTheme="minorHAnsi" w:hAnsiTheme="minorHAnsi" w:cs="Calibri"/>
          <w:b/>
          <w:bCs/>
          <w:sz w:val="22"/>
          <w:szCs w:val="22"/>
        </w:rPr>
      </w:pPr>
    </w:p>
    <w:p w:rsidR="00571B01" w:rsidRPr="0042543E" w:rsidRDefault="00571B01" w:rsidP="00571B01">
      <w:pPr>
        <w:pStyle w:val="Nonnumberedheading"/>
        <w:rPr>
          <w:rFonts w:asciiTheme="minorHAnsi" w:hAnsiTheme="minorHAnsi" w:cs="Calibri"/>
          <w:bCs/>
          <w:color w:val="auto"/>
          <w:sz w:val="26"/>
        </w:rPr>
      </w:pPr>
      <w:r w:rsidRPr="0042543E">
        <w:rPr>
          <w:rFonts w:asciiTheme="minorHAnsi" w:hAnsiTheme="minorHAnsi" w:cs="Calibri"/>
          <w:bCs/>
          <w:color w:val="auto"/>
          <w:sz w:val="26"/>
        </w:rPr>
        <w:t>Estimated 30% to 50% Child Care Rebate (CCR) increase</w:t>
      </w:r>
    </w:p>
    <w:p w:rsidR="00571B01" w:rsidRPr="0042543E" w:rsidRDefault="00571B01" w:rsidP="00571B01">
      <w:pPr>
        <w:pStyle w:val="Nonnumberedheading"/>
        <w:rPr>
          <w:rFonts w:asciiTheme="minorHAnsi" w:hAnsiTheme="minorHAnsi" w:cs="Calibri"/>
          <w:bCs/>
          <w:color w:val="auto"/>
          <w:sz w:val="26"/>
        </w:rPr>
      </w:pPr>
    </w:p>
    <w:p w:rsidR="00571B01" w:rsidRPr="0042543E" w:rsidRDefault="00571B01" w:rsidP="00571B01">
      <w:pPr>
        <w:pStyle w:val="Nonnumberedheading"/>
        <w:rPr>
          <w:rFonts w:asciiTheme="minorHAnsi" w:hAnsiTheme="minorHAnsi" w:cs="Calibri"/>
          <w:b w:val="0"/>
          <w:color w:val="auto"/>
          <w:sz w:val="22"/>
          <w:szCs w:val="22"/>
          <w:u w:color="000000"/>
        </w:rPr>
      </w:pPr>
      <w:r w:rsidRPr="0042543E">
        <w:rPr>
          <w:rFonts w:asciiTheme="minorHAnsi" w:hAnsiTheme="minorHAnsi" w:cs="Calibri"/>
          <w:b w:val="0"/>
          <w:color w:val="auto"/>
          <w:sz w:val="22"/>
          <w:szCs w:val="22"/>
          <w:u w:color="000000"/>
        </w:rPr>
        <w:t xml:space="preserve">This data represents the </w:t>
      </w:r>
      <w:r w:rsidRPr="0042543E">
        <w:rPr>
          <w:rFonts w:asciiTheme="minorHAnsi" w:hAnsiTheme="minorHAnsi" w:cs="Calibri"/>
          <w:b w:val="0"/>
          <w:color w:val="auto"/>
          <w:sz w:val="22"/>
          <w:szCs w:val="22"/>
          <w:u w:val="single" w:color="000000"/>
        </w:rPr>
        <w:t>estimated</w:t>
      </w:r>
      <w:r w:rsidRPr="0042543E">
        <w:rPr>
          <w:rFonts w:asciiTheme="minorHAnsi" w:hAnsiTheme="minorHAnsi" w:cs="Calibri"/>
          <w:b w:val="0"/>
          <w:color w:val="auto"/>
          <w:sz w:val="22"/>
          <w:szCs w:val="22"/>
          <w:u w:color="000000"/>
        </w:rPr>
        <w:t xml:space="preserve"> additional assistance for families as a result of the increase in the CCR from 30 to 50 per </w:t>
      </w:r>
      <w:r w:rsidR="00A538B5">
        <w:rPr>
          <w:rFonts w:asciiTheme="minorHAnsi" w:hAnsiTheme="minorHAnsi" w:cs="Calibri"/>
          <w:b w:val="0"/>
          <w:color w:val="auto"/>
          <w:sz w:val="22"/>
          <w:szCs w:val="22"/>
          <w:u w:color="000000"/>
        </w:rPr>
        <w:t>cent of out-of-pocket expenses.</w:t>
      </w:r>
    </w:p>
    <w:p w:rsidR="00571B01" w:rsidRPr="0042543E" w:rsidRDefault="00571B01" w:rsidP="00571B01">
      <w:pPr>
        <w:rPr>
          <w:rFonts w:asciiTheme="minorHAnsi" w:hAnsiTheme="minorHAnsi" w:cs="Calibri"/>
        </w:rPr>
      </w:pPr>
    </w:p>
    <w:p w:rsidR="00571B01" w:rsidRPr="0042543E" w:rsidRDefault="00571B01" w:rsidP="00CB42F6">
      <w:pPr>
        <w:spacing w:before="3400"/>
        <w:rPr>
          <w:rFonts w:asciiTheme="minorHAnsi" w:hAnsiTheme="minorHAnsi" w:cs="Calibri"/>
          <w:b/>
          <w:sz w:val="18"/>
          <w:szCs w:val="18"/>
        </w:rPr>
      </w:pPr>
      <w:r w:rsidRPr="0042543E">
        <w:rPr>
          <w:rFonts w:asciiTheme="minorHAnsi" w:hAnsiTheme="minorHAnsi" w:cs="Calibri"/>
          <w:b/>
          <w:sz w:val="18"/>
          <w:szCs w:val="18"/>
        </w:rPr>
        <w:t>© Commonwealth of Australia, 2012</w:t>
      </w:r>
      <w:bookmarkStart w:id="2" w:name="_GoBack"/>
      <w:bookmarkEnd w:id="2"/>
    </w:p>
    <w:p w:rsidR="00571B01" w:rsidRPr="0042543E" w:rsidRDefault="00571B01" w:rsidP="00821E93">
      <w:pPr>
        <w:pStyle w:val="Imprint"/>
        <w:spacing w:beforeLines="20" w:before="48" w:line="240" w:lineRule="auto"/>
        <w:ind w:right="-289"/>
        <w:rPr>
          <w:rStyle w:val="BodyBOLD"/>
          <w:rFonts w:asciiTheme="minorHAnsi" w:hAnsiTheme="minorHAnsi" w:cs="Calibri"/>
          <w:bCs w:val="0"/>
          <w:spacing w:val="-1"/>
          <w:kern w:val="32"/>
          <w:u w:color="000000"/>
        </w:rPr>
      </w:pP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u w:color="000000"/>
        </w:rPr>
        <w:t xml:space="preserve">This work has been produced by the Department of Education, Employment and Workplace Relations (DEEWR) on behalf of the Australian Government.  Apart from any use permitted under the </w:t>
      </w:r>
      <w:r w:rsidRPr="0042543E">
        <w:rPr>
          <w:rStyle w:val="BodyBOLD"/>
          <w:rFonts w:asciiTheme="minorHAnsi" w:hAnsiTheme="minorHAnsi" w:cs="Calibri"/>
          <w:bCs w:val="0"/>
          <w:i/>
          <w:spacing w:val="-1"/>
          <w:kern w:val="32"/>
          <w:u w:color="000000"/>
        </w:rPr>
        <w:t>Copyright Act 1968</w:t>
      </w: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u w:color="000000"/>
        </w:rPr>
        <w:t>, no part of this publication may be reproduced by any process without written permission from DEEWR.</w:t>
      </w:r>
    </w:p>
    <w:p w:rsidR="00571B01" w:rsidRPr="0042543E" w:rsidRDefault="00571B01" w:rsidP="00821E93">
      <w:pPr>
        <w:pStyle w:val="Imprint"/>
        <w:spacing w:beforeLines="20" w:before="48"/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  <w:lang w:eastAsia="en-AU"/>
        </w:rPr>
      </w:pP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 xml:space="preserve">Cataloguing title:  Child Care Summary Data: Financial year 2010-11.  ISBN: </w:t>
      </w:r>
      <w:r w:rsidRPr="0042543E">
        <w:rPr>
          <w:rFonts w:asciiTheme="minorHAnsi" w:hAnsiTheme="minorHAnsi" w:cs="Calibri"/>
          <w:sz w:val="18"/>
          <w:szCs w:val="18"/>
        </w:rPr>
        <w:t>978-0-642-78310-3</w:t>
      </w:r>
    </w:p>
    <w:p w:rsidR="00571B01" w:rsidRPr="0042543E" w:rsidRDefault="00571B01" w:rsidP="00821E93">
      <w:pPr>
        <w:pStyle w:val="Imprint"/>
        <w:spacing w:beforeLines="20" w:before="48"/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  <w:lang w:eastAsia="en-AU"/>
        </w:rPr>
      </w:pP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>Comments and suggestions regarding this publication are welcomed and should be forwarded to DEEWR.</w:t>
      </w:r>
    </w:p>
    <w:p w:rsidR="00571B01" w:rsidRPr="0042543E" w:rsidRDefault="00571B01" w:rsidP="00821E93">
      <w:pPr>
        <w:pStyle w:val="Imprint"/>
        <w:spacing w:beforeLines="20" w:before="48"/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  <w:lang w:eastAsia="en-AU"/>
        </w:rPr>
      </w:pP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>Published by DEEWR</w:t>
      </w:r>
    </w:p>
    <w:p w:rsidR="00571B01" w:rsidRPr="0042543E" w:rsidRDefault="00571B01" w:rsidP="00571B01">
      <w:pPr>
        <w:pStyle w:val="Imprint"/>
        <w:spacing w:before="0"/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</w:pP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>ABN 87 007 967 311</w:t>
      </w:r>
    </w:p>
    <w:p w:rsidR="00571B01" w:rsidRPr="0042543E" w:rsidRDefault="00571B01" w:rsidP="00571B01">
      <w:pPr>
        <w:pStyle w:val="Imprint"/>
        <w:spacing w:before="0"/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</w:pP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>Level 3, 17 Moore Street, Canberra ACT 2600</w:t>
      </w:r>
    </w:p>
    <w:p w:rsidR="00571B01" w:rsidRPr="0042543E" w:rsidRDefault="00571B01" w:rsidP="00571B01">
      <w:pPr>
        <w:pStyle w:val="Imprint"/>
        <w:spacing w:before="0"/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</w:pP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>GPO Box 9880 Canberra ACT 2601, Australia</w:t>
      </w:r>
    </w:p>
    <w:p w:rsidR="00786974" w:rsidRPr="0042543E" w:rsidRDefault="00571B01" w:rsidP="00571B01">
      <w:pPr>
        <w:pStyle w:val="Imprint"/>
        <w:spacing w:before="0"/>
        <w:rPr>
          <w:rFonts w:asciiTheme="minorHAnsi" w:hAnsiTheme="minorHAnsi" w:cs="Calibri"/>
          <w:bCs w:val="0"/>
          <w:color w:val="3366FF"/>
          <w:spacing w:val="-1"/>
          <w:kern w:val="32"/>
          <w:sz w:val="18"/>
          <w:szCs w:val="18"/>
          <w:u w:color="3366FF"/>
        </w:rPr>
      </w:pPr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>Web:</w:t>
      </w:r>
      <w:r w:rsidR="00951C1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 xml:space="preserve"> </w:t>
      </w:r>
      <w:hyperlink r:id="rId11" w:history="1">
        <w:r w:rsidRPr="0042543E">
          <w:rPr>
            <w:rStyle w:val="BodyBOLD"/>
            <w:rFonts w:asciiTheme="minorHAnsi" w:hAnsiTheme="minorHAnsi" w:cs="Calibri"/>
            <w:bCs w:val="0"/>
            <w:spacing w:val="-1"/>
            <w:kern w:val="32"/>
            <w:sz w:val="18"/>
            <w:szCs w:val="18"/>
            <w:u w:color="000000"/>
          </w:rPr>
          <w:t>http://www.DEEWR.gov.au</w:t>
        </w:r>
      </w:hyperlink>
      <w:r w:rsidRPr="0042543E">
        <w:rPr>
          <w:rStyle w:val="BodyBOLD"/>
          <w:rFonts w:asciiTheme="minorHAnsi" w:hAnsiTheme="minorHAnsi" w:cs="Calibri"/>
          <w:bCs w:val="0"/>
          <w:spacing w:val="-1"/>
          <w:kern w:val="32"/>
          <w:sz w:val="18"/>
          <w:szCs w:val="18"/>
          <w:u w:color="000000"/>
        </w:rPr>
        <w:tab/>
        <w:t xml:space="preserve">Email: </w:t>
      </w:r>
      <w:hyperlink r:id="rId12" w:history="1">
        <w:r w:rsidRPr="0042543E">
          <w:rPr>
            <w:rStyle w:val="Hyperlink"/>
            <w:rFonts w:asciiTheme="minorHAnsi" w:hAnsiTheme="minorHAnsi" w:cs="Calibri"/>
            <w:b/>
            <w:color w:val="auto"/>
            <w:spacing w:val="-1"/>
            <w:kern w:val="32"/>
            <w:sz w:val="18"/>
            <w:szCs w:val="18"/>
            <w:u w:color="3366FF"/>
          </w:rPr>
          <w:t>childcare.data@deewr.gov.au</w:t>
        </w:r>
      </w:hyperlink>
    </w:p>
    <w:sectPr w:rsidR="00786974" w:rsidRPr="0042543E" w:rsidSect="00CB42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993" w:left="1440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CE" w:rsidRDefault="00D30CCE" w:rsidP="00571B01">
      <w:r>
        <w:separator/>
      </w:r>
    </w:p>
  </w:endnote>
  <w:endnote w:type="continuationSeparator" w:id="0">
    <w:p w:rsidR="00D30CCE" w:rsidRDefault="00D30CCE" w:rsidP="005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PlusBold-Roman">
    <w:altName w:val="MetaPlus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F6" w:rsidRPr="00932DF1" w:rsidRDefault="00CB42F6" w:rsidP="00CB42F6">
    <w:pPr>
      <w:tabs>
        <w:tab w:val="left" w:pos="2268"/>
        <w:tab w:val="right" w:pos="10348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2"/>
      </w:rPr>
      <w:tab/>
    </w:r>
    <w:r w:rsidRPr="00932DF1">
      <w:rPr>
        <w:rFonts w:ascii="Arial" w:hAnsi="Arial" w:cs="Arial"/>
        <w:b/>
        <w:sz w:val="22"/>
        <w:szCs w:val="22"/>
      </w:rPr>
      <w:t xml:space="preserve">Child Care </w:t>
    </w:r>
    <w:r>
      <w:rPr>
        <w:rFonts w:ascii="Arial" w:hAnsi="Arial" w:cs="Arial"/>
        <w:b/>
        <w:sz w:val="22"/>
        <w:szCs w:val="22"/>
      </w:rPr>
      <w:t>Summary Data</w:t>
    </w:r>
    <w:r w:rsidRPr="00932DF1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–</w:t>
    </w:r>
    <w:r w:rsidRPr="00932DF1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Financial Year 2010-11</w:t>
    </w:r>
    <w:r w:rsidRPr="00932DF1">
      <w:rPr>
        <w:rFonts w:ascii="Arial" w:hAnsi="Arial" w:cs="Arial"/>
        <w:b/>
        <w:sz w:val="20"/>
        <w:szCs w:val="20"/>
      </w:rPr>
      <w:tab/>
    </w:r>
    <w:r w:rsidRPr="00932DF1">
      <w:rPr>
        <w:rFonts w:ascii="Arial" w:hAnsi="Arial" w:cs="Arial"/>
        <w:b/>
        <w:sz w:val="20"/>
        <w:szCs w:val="20"/>
      </w:rPr>
      <w:fldChar w:fldCharType="begin"/>
    </w:r>
    <w:r w:rsidRPr="00932DF1">
      <w:rPr>
        <w:rFonts w:ascii="Arial" w:hAnsi="Arial" w:cs="Arial"/>
        <w:b/>
        <w:sz w:val="20"/>
        <w:szCs w:val="20"/>
      </w:rPr>
      <w:instrText xml:space="preserve"> PAGE </w:instrText>
    </w:r>
    <w:r w:rsidRPr="00932DF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932DF1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F6" w:rsidRPr="00932DF1" w:rsidRDefault="00CB42F6" w:rsidP="00CB42F6">
    <w:pPr>
      <w:tabs>
        <w:tab w:val="left" w:pos="2268"/>
        <w:tab w:val="right" w:pos="1020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2"/>
      </w:rPr>
      <w:tab/>
    </w:r>
    <w:r w:rsidRPr="00932DF1">
      <w:rPr>
        <w:rFonts w:ascii="Arial" w:hAnsi="Arial" w:cs="Arial"/>
        <w:b/>
        <w:sz w:val="22"/>
        <w:szCs w:val="22"/>
      </w:rPr>
      <w:t xml:space="preserve">Child Care </w:t>
    </w:r>
    <w:r>
      <w:rPr>
        <w:rFonts w:ascii="Arial" w:hAnsi="Arial" w:cs="Arial"/>
        <w:b/>
        <w:sz w:val="22"/>
        <w:szCs w:val="22"/>
      </w:rPr>
      <w:t>Summary Data</w:t>
    </w:r>
    <w:r w:rsidRPr="00932DF1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–</w:t>
    </w:r>
    <w:r w:rsidRPr="00932DF1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Financial Year 2010-11</w:t>
    </w:r>
    <w:r w:rsidRPr="00932DF1">
      <w:rPr>
        <w:rFonts w:ascii="Arial" w:hAnsi="Arial" w:cs="Arial"/>
        <w:b/>
        <w:sz w:val="20"/>
        <w:szCs w:val="20"/>
      </w:rPr>
      <w:tab/>
    </w:r>
    <w:r w:rsidRPr="00932DF1">
      <w:rPr>
        <w:rFonts w:ascii="Arial" w:hAnsi="Arial" w:cs="Arial"/>
        <w:b/>
        <w:sz w:val="20"/>
        <w:szCs w:val="20"/>
      </w:rPr>
      <w:fldChar w:fldCharType="begin"/>
    </w:r>
    <w:r w:rsidRPr="00932DF1">
      <w:rPr>
        <w:rFonts w:ascii="Arial" w:hAnsi="Arial" w:cs="Arial"/>
        <w:b/>
        <w:sz w:val="20"/>
        <w:szCs w:val="20"/>
      </w:rPr>
      <w:instrText xml:space="preserve"> PAGE </w:instrText>
    </w:r>
    <w:r w:rsidRPr="00932DF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932DF1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1" w:rsidRDefault="00571B0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F6" w:rsidRPr="00CB42F6" w:rsidRDefault="00CB42F6" w:rsidP="00CB42F6">
    <w:pPr>
      <w:tabs>
        <w:tab w:val="left" w:pos="2268"/>
        <w:tab w:val="right" w:pos="9781"/>
      </w:tabs>
      <w:rPr>
        <w:rFonts w:ascii="Arial" w:hAnsi="Arial" w:cs="Arial"/>
        <w:b/>
        <w:sz w:val="20"/>
        <w:szCs w:val="20"/>
      </w:rPr>
    </w:pPr>
    <w:r w:rsidRPr="00CB42F6">
      <w:rPr>
        <w:rFonts w:ascii="Arial" w:hAnsi="Arial" w:cs="Arial"/>
        <w:b/>
        <w:sz w:val="22"/>
        <w:szCs w:val="22"/>
      </w:rPr>
      <w:tab/>
      <w:t>Child Care Summary Data – Financial Year 2010-11</w:t>
    </w:r>
    <w:r w:rsidRPr="00CB42F6">
      <w:rPr>
        <w:rFonts w:ascii="Arial" w:hAnsi="Arial" w:cs="Arial"/>
        <w:b/>
        <w:sz w:val="20"/>
        <w:szCs w:val="20"/>
      </w:rPr>
      <w:tab/>
    </w:r>
    <w:r w:rsidRPr="00CB42F6">
      <w:rPr>
        <w:rFonts w:ascii="Arial" w:hAnsi="Arial" w:cs="Arial"/>
        <w:b/>
        <w:sz w:val="20"/>
        <w:szCs w:val="20"/>
      </w:rPr>
      <w:fldChar w:fldCharType="begin"/>
    </w:r>
    <w:r w:rsidRPr="00CB42F6">
      <w:rPr>
        <w:rFonts w:ascii="Arial" w:hAnsi="Arial" w:cs="Arial"/>
        <w:b/>
        <w:sz w:val="20"/>
        <w:szCs w:val="20"/>
      </w:rPr>
      <w:instrText xml:space="preserve"> PAGE </w:instrText>
    </w:r>
    <w:r w:rsidRPr="00CB42F6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CB42F6">
      <w:rPr>
        <w:rFonts w:ascii="Arial" w:hAnsi="Arial" w:cs="Arial"/>
        <w:b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1" w:rsidRDefault="00571B01" w:rsidP="0041392F">
    <w:pPr>
      <w:tabs>
        <w:tab w:val="left" w:pos="1305"/>
        <w:tab w:val="left" w:pos="8700"/>
        <w:tab w:val="right" w:pos="9070"/>
        <w:tab w:val="right" w:pos="9900"/>
      </w:tabs>
      <w:ind w:left="855" w:firstLine="1305"/>
      <w:jc w:val="center"/>
      <w:rPr>
        <w:rFonts w:ascii="Arial" w:hAnsi="Arial" w:cs="Arial"/>
        <w:b/>
        <w:color w:val="FFFFFF"/>
        <w:sz w:val="20"/>
        <w:szCs w:val="20"/>
      </w:rPr>
    </w:pPr>
  </w:p>
  <w:p w:rsidR="00571B01" w:rsidRDefault="000F333A" w:rsidP="0041392F">
    <w:pPr>
      <w:tabs>
        <w:tab w:val="left" w:pos="1305"/>
        <w:tab w:val="left" w:pos="8700"/>
        <w:tab w:val="right" w:pos="9070"/>
        <w:tab w:val="right" w:pos="9900"/>
      </w:tabs>
      <w:ind w:left="855" w:firstLine="1305"/>
      <w:jc w:val="center"/>
      <w:rPr>
        <w:rFonts w:ascii="Arial" w:hAnsi="Arial" w:cs="Arial"/>
        <w:b/>
        <w:color w:val="FFFFFF"/>
        <w:sz w:val="20"/>
        <w:szCs w:val="20"/>
      </w:rPr>
    </w:pPr>
    <w:r>
      <w:rPr>
        <w:noProof/>
      </w:rPr>
      <w:drawing>
        <wp:anchor distT="0" distB="0" distL="114300" distR="114300" simplePos="1" relativeHeight="251657216" behindDoc="1" locked="0" layoutInCell="1" allowOverlap="1" wp14:anchorId="77F453D5" wp14:editId="7341156D">
          <wp:simplePos x="-2752725" y="10344150"/>
          <wp:positionH relativeFrom="column">
            <wp:posOffset>-844550</wp:posOffset>
          </wp:positionH>
          <wp:positionV relativeFrom="paragraph">
            <wp:posOffset>36830</wp:posOffset>
          </wp:positionV>
          <wp:extent cx="8045450" cy="635000"/>
          <wp:effectExtent l="0" t="0" r="0" b="0"/>
          <wp:wrapNone/>
          <wp:docPr id="1" name="Picture 1" descr="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1B01" w:rsidRPr="007927F6" w:rsidRDefault="00571B01" w:rsidP="007927F6">
    <w:pPr>
      <w:tabs>
        <w:tab w:val="left" w:pos="1305"/>
        <w:tab w:val="left" w:pos="8700"/>
        <w:tab w:val="right" w:pos="9070"/>
        <w:tab w:val="right" w:pos="9900"/>
      </w:tabs>
      <w:rPr>
        <w:rFonts w:ascii="Arial" w:hAnsi="Arial" w:cs="Arial"/>
        <w:b/>
        <w:color w:val="FFFFFF"/>
        <w:sz w:val="22"/>
        <w:szCs w:val="22"/>
      </w:rPr>
    </w:pPr>
    <w:r>
      <w:rPr>
        <w:rFonts w:ascii="Arial" w:hAnsi="Arial" w:cs="Arial"/>
        <w:b/>
        <w:color w:val="FFFFFF"/>
        <w:sz w:val="22"/>
        <w:szCs w:val="22"/>
      </w:rPr>
      <w:tab/>
    </w:r>
    <w:r w:rsidRPr="007927F6">
      <w:rPr>
        <w:rFonts w:ascii="Arial" w:hAnsi="Arial" w:cs="Arial"/>
        <w:b/>
        <w:color w:val="FFFFFF"/>
        <w:sz w:val="22"/>
        <w:szCs w:val="22"/>
      </w:rPr>
      <w:t xml:space="preserve">                           </w:t>
    </w:r>
    <w:r>
      <w:rPr>
        <w:rFonts w:ascii="Arial" w:hAnsi="Arial" w:cs="Arial"/>
        <w:b/>
        <w:color w:val="FFFFFF"/>
        <w:sz w:val="22"/>
        <w:szCs w:val="22"/>
      </w:rPr>
      <w:t xml:space="preserve">Child Care </w:t>
    </w:r>
    <w:r w:rsidRPr="000320C0">
      <w:rPr>
        <w:rFonts w:ascii="Arial" w:hAnsi="Arial" w:cs="Arial"/>
        <w:b/>
        <w:color w:val="FFFFFF"/>
        <w:sz w:val="22"/>
        <w:szCs w:val="22"/>
      </w:rPr>
      <w:t xml:space="preserve">Update - </w:t>
    </w:r>
    <w:r>
      <w:rPr>
        <w:rFonts w:ascii="Arial" w:hAnsi="Arial" w:cs="Arial"/>
        <w:b/>
        <w:color w:val="FFFFFF"/>
        <w:sz w:val="22"/>
        <w:szCs w:val="22"/>
      </w:rPr>
      <w:t>June quarter 2011</w:t>
    </w:r>
    <w:r w:rsidRPr="007927F6">
      <w:rPr>
        <w:rFonts w:ascii="Arial" w:hAnsi="Arial" w:cs="Arial"/>
        <w:b/>
        <w:color w:val="FFFFFF"/>
        <w:sz w:val="22"/>
        <w:szCs w:val="22"/>
      </w:rPr>
      <w:tab/>
    </w:r>
    <w:r w:rsidRPr="007927F6">
      <w:rPr>
        <w:rFonts w:ascii="Arial" w:hAnsi="Arial" w:cs="Arial"/>
        <w:b/>
        <w:color w:val="FFFFFF"/>
        <w:sz w:val="22"/>
        <w:szCs w:val="22"/>
      </w:rPr>
      <w:tab/>
    </w:r>
    <w:r w:rsidRPr="007927F6">
      <w:rPr>
        <w:rFonts w:ascii="Arial" w:hAnsi="Arial" w:cs="Arial"/>
        <w:b/>
        <w:color w:val="FFFFFF"/>
        <w:sz w:val="22"/>
        <w:szCs w:val="22"/>
      </w:rPr>
      <w:tab/>
    </w:r>
    <w:r>
      <w:rPr>
        <w:rFonts w:ascii="Arial" w:hAnsi="Arial" w:cs="Arial"/>
        <w:b/>
        <w:color w:val="FFFFFF"/>
        <w:sz w:val="22"/>
        <w:szCs w:val="22"/>
      </w:rPr>
      <w:tab/>
    </w:r>
    <w:r w:rsidRPr="007927F6">
      <w:rPr>
        <w:rFonts w:ascii="Arial" w:hAnsi="Arial" w:cs="Arial"/>
        <w:b/>
        <w:color w:val="FFFFFF"/>
        <w:sz w:val="22"/>
        <w:szCs w:val="22"/>
      </w:rPr>
      <w:fldChar w:fldCharType="begin"/>
    </w:r>
    <w:r w:rsidRPr="007927F6">
      <w:rPr>
        <w:rFonts w:ascii="Arial" w:hAnsi="Arial" w:cs="Arial"/>
        <w:b/>
        <w:color w:val="FFFFFF"/>
        <w:sz w:val="22"/>
        <w:szCs w:val="22"/>
      </w:rPr>
      <w:instrText xml:space="preserve"> PAGE </w:instrText>
    </w:r>
    <w:r w:rsidRPr="007927F6">
      <w:rPr>
        <w:rFonts w:ascii="Arial" w:hAnsi="Arial" w:cs="Arial"/>
        <w:b/>
        <w:color w:val="FFFFFF"/>
        <w:sz w:val="22"/>
        <w:szCs w:val="22"/>
      </w:rPr>
      <w:fldChar w:fldCharType="separate"/>
    </w:r>
    <w:r>
      <w:rPr>
        <w:rFonts w:ascii="Arial" w:hAnsi="Arial" w:cs="Arial"/>
        <w:b/>
        <w:noProof/>
        <w:color w:val="FFFFFF"/>
        <w:sz w:val="22"/>
        <w:szCs w:val="22"/>
      </w:rPr>
      <w:t>2</w:t>
    </w:r>
    <w:r w:rsidRPr="007927F6">
      <w:rPr>
        <w:rFonts w:ascii="Arial" w:hAnsi="Arial" w:cs="Arial"/>
        <w:b/>
        <w:color w:val="FFFFF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CE" w:rsidRDefault="00D30CCE" w:rsidP="00571B01">
      <w:r>
        <w:separator/>
      </w:r>
    </w:p>
  </w:footnote>
  <w:footnote w:type="continuationSeparator" w:id="0">
    <w:p w:rsidR="00D30CCE" w:rsidRDefault="00D30CCE" w:rsidP="0057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1" w:rsidRDefault="00571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1" w:rsidRDefault="00571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1" w:rsidRDefault="00CB4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FC"/>
    <w:multiLevelType w:val="hybridMultilevel"/>
    <w:tmpl w:val="3222B800"/>
    <w:lvl w:ilvl="0" w:tplc="6DDC21C8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06654"/>
    <w:multiLevelType w:val="hybridMultilevel"/>
    <w:tmpl w:val="CAB4D72E"/>
    <w:lvl w:ilvl="0" w:tplc="6DDC21C8">
      <w:start w:val="1"/>
      <w:numFmt w:val="bullet"/>
      <w:pStyle w:val="bullets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571B01"/>
    <w:rsid w:val="00031096"/>
    <w:rsid w:val="000320C0"/>
    <w:rsid w:val="000D1A8F"/>
    <w:rsid w:val="000F333A"/>
    <w:rsid w:val="001430EF"/>
    <w:rsid w:val="001827BD"/>
    <w:rsid w:val="00205C0B"/>
    <w:rsid w:val="0022310C"/>
    <w:rsid w:val="002733E4"/>
    <w:rsid w:val="002A7386"/>
    <w:rsid w:val="003117C2"/>
    <w:rsid w:val="00316A77"/>
    <w:rsid w:val="0041392F"/>
    <w:rsid w:val="0042543E"/>
    <w:rsid w:val="0044031C"/>
    <w:rsid w:val="004550E6"/>
    <w:rsid w:val="00455EF7"/>
    <w:rsid w:val="00494619"/>
    <w:rsid w:val="00497ED5"/>
    <w:rsid w:val="00571B01"/>
    <w:rsid w:val="00582E25"/>
    <w:rsid w:val="005F6E90"/>
    <w:rsid w:val="00603065"/>
    <w:rsid w:val="00675385"/>
    <w:rsid w:val="006F6D3D"/>
    <w:rsid w:val="00742ADC"/>
    <w:rsid w:val="00786974"/>
    <w:rsid w:val="007927F6"/>
    <w:rsid w:val="0082058E"/>
    <w:rsid w:val="00821E93"/>
    <w:rsid w:val="00822DEE"/>
    <w:rsid w:val="00857E9C"/>
    <w:rsid w:val="0086536E"/>
    <w:rsid w:val="008655A6"/>
    <w:rsid w:val="008C212F"/>
    <w:rsid w:val="008F43F4"/>
    <w:rsid w:val="00950358"/>
    <w:rsid w:val="00950FD6"/>
    <w:rsid w:val="00951C1E"/>
    <w:rsid w:val="009C1A47"/>
    <w:rsid w:val="00A238AD"/>
    <w:rsid w:val="00A51190"/>
    <w:rsid w:val="00A538B5"/>
    <w:rsid w:val="00A7426C"/>
    <w:rsid w:val="00AA0FA4"/>
    <w:rsid w:val="00AA25C9"/>
    <w:rsid w:val="00B33A5F"/>
    <w:rsid w:val="00C355AA"/>
    <w:rsid w:val="00C6036A"/>
    <w:rsid w:val="00C63070"/>
    <w:rsid w:val="00C8718B"/>
    <w:rsid w:val="00CB3656"/>
    <w:rsid w:val="00CB42F6"/>
    <w:rsid w:val="00CC2EC8"/>
    <w:rsid w:val="00CD2E8A"/>
    <w:rsid w:val="00CF11B9"/>
    <w:rsid w:val="00CF5784"/>
    <w:rsid w:val="00D30CCE"/>
    <w:rsid w:val="00E06218"/>
    <w:rsid w:val="00ED090D"/>
    <w:rsid w:val="00EE1461"/>
    <w:rsid w:val="00F35FCC"/>
    <w:rsid w:val="00F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F6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B01"/>
    <w:pPr>
      <w:autoSpaceDE w:val="0"/>
      <w:autoSpaceDN w:val="0"/>
      <w:adjustRightInd w:val="0"/>
      <w:spacing w:after="113" w:line="288" w:lineRule="auto"/>
      <w:textAlignment w:val="center"/>
      <w:outlineLvl w:val="0"/>
    </w:pPr>
    <w:rPr>
      <w:rFonts w:ascii="Tahoma" w:hAnsi="Tahoma" w:cs="Tahoma"/>
      <w:color w:val="006DB1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B01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1B01"/>
    <w:rPr>
      <w:rFonts w:ascii="Tahoma" w:hAnsi="Tahoma" w:cs="Tahoma"/>
      <w:color w:val="006DB1"/>
      <w:sz w:val="48"/>
      <w:szCs w:val="48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71B01"/>
    <w:rPr>
      <w:rFonts w:ascii="Arial" w:hAnsi="Arial" w:cs="Arial"/>
      <w:b/>
      <w:bCs/>
      <w:color w:val="000000"/>
      <w:sz w:val="26"/>
      <w:szCs w:val="26"/>
      <w:lang w:val="x-none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Tabletext">
    <w:name w:val="Table text"/>
    <w:basedOn w:val="DefaultParagraphFont"/>
    <w:rsid w:val="00571B01"/>
    <w:rPr>
      <w:rFonts w:ascii="Arial Narrow" w:hAnsi="Arial Narrow" w:cs="Times New Roman"/>
      <w:sz w:val="20"/>
    </w:rPr>
  </w:style>
  <w:style w:type="paragraph" w:customStyle="1" w:styleId="bullets">
    <w:name w:val="bullets"/>
    <w:basedOn w:val="Normal"/>
    <w:rsid w:val="00571B01"/>
    <w:pPr>
      <w:numPr>
        <w:numId w:val="1"/>
      </w:numPr>
    </w:pPr>
    <w:rPr>
      <w:rFonts w:ascii="Tahoma" w:hAnsi="Tahoma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571B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1B01"/>
    <w:rPr>
      <w:rFonts w:ascii="Times New Roman" w:hAnsi="Times New Roman" w:cs="Times New Roman"/>
      <w:sz w:val="24"/>
      <w:szCs w:val="24"/>
      <w:lang w:val="x-none" w:eastAsia="en-AU"/>
    </w:rPr>
  </w:style>
  <w:style w:type="paragraph" w:styleId="Footer">
    <w:name w:val="footer"/>
    <w:basedOn w:val="Normal"/>
    <w:link w:val="FooterChar"/>
    <w:uiPriority w:val="99"/>
    <w:rsid w:val="00571B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1B01"/>
    <w:rPr>
      <w:rFonts w:ascii="Times New Roman" w:hAnsi="Times New Roman" w:cs="Times New Roman"/>
      <w:sz w:val="24"/>
      <w:szCs w:val="24"/>
      <w:lang w:val="x-none" w:eastAsia="en-AU"/>
    </w:rPr>
  </w:style>
  <w:style w:type="table" w:styleId="TableGrid">
    <w:name w:val="Table Grid"/>
    <w:basedOn w:val="TableNormal"/>
    <w:uiPriority w:val="59"/>
    <w:rsid w:val="00571B0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MIRText">
    <w:name w:val="QMIR Text"/>
    <w:basedOn w:val="Normal"/>
    <w:link w:val="QMIRTextChar"/>
    <w:uiPriority w:val="99"/>
    <w:rsid w:val="00571B01"/>
    <w:rPr>
      <w:rFonts w:ascii="Calibri" w:hAnsi="Calibri"/>
      <w:lang w:eastAsia="en-US"/>
    </w:rPr>
  </w:style>
  <w:style w:type="character" w:customStyle="1" w:styleId="QMIRTextChar">
    <w:name w:val="QMIR Text Char"/>
    <w:basedOn w:val="DefaultParagraphFont"/>
    <w:link w:val="QMIRText"/>
    <w:uiPriority w:val="99"/>
    <w:locked/>
    <w:rsid w:val="00571B01"/>
    <w:rPr>
      <w:rFonts w:ascii="Calibri" w:hAnsi="Calibri" w:cs="Times New Roman"/>
      <w:sz w:val="24"/>
      <w:szCs w:val="24"/>
    </w:rPr>
  </w:style>
  <w:style w:type="paragraph" w:customStyle="1" w:styleId="Nonnumberedheading">
    <w:name w:val="Non_numbered heading"/>
    <w:basedOn w:val="QMIRText"/>
    <w:uiPriority w:val="99"/>
    <w:rsid w:val="00571B01"/>
    <w:rPr>
      <w:b/>
      <w:color w:val="33CCCC"/>
      <w:sz w:val="28"/>
    </w:rPr>
  </w:style>
  <w:style w:type="paragraph" w:customStyle="1" w:styleId="StyleHeading1CalibriLightBlue">
    <w:name w:val="Style Heading 1 + Calibri Light Blue"/>
    <w:basedOn w:val="Heading1"/>
    <w:link w:val="StyleHeading1CalibriLightBlueChar"/>
    <w:uiPriority w:val="99"/>
    <w:rsid w:val="00571B01"/>
    <w:pPr>
      <w:keepNext/>
      <w:autoSpaceDE/>
      <w:autoSpaceDN/>
      <w:adjustRightInd/>
      <w:spacing w:before="240" w:after="60" w:line="240" w:lineRule="auto"/>
      <w:textAlignment w:val="auto"/>
    </w:pPr>
    <w:rPr>
      <w:rFonts w:ascii="Calibri" w:hAnsi="Calibri" w:cs="Arial"/>
      <w:b/>
      <w:bCs/>
      <w:color w:val="3366FF"/>
      <w:kern w:val="32"/>
      <w:sz w:val="56"/>
      <w:szCs w:val="32"/>
      <w:lang w:val="en-AU"/>
    </w:rPr>
  </w:style>
  <w:style w:type="character" w:customStyle="1" w:styleId="StyleHeading1CalibriLightBlueChar">
    <w:name w:val="Style Heading 1 + Calibri Light Blue Char"/>
    <w:basedOn w:val="Heading1Char"/>
    <w:link w:val="StyleHeading1CalibriLightBlue"/>
    <w:uiPriority w:val="99"/>
    <w:locked/>
    <w:rsid w:val="00571B01"/>
    <w:rPr>
      <w:rFonts w:ascii="Calibri" w:hAnsi="Calibri" w:cs="Arial"/>
      <w:b/>
      <w:bCs/>
      <w:color w:val="3366FF"/>
      <w:kern w:val="32"/>
      <w:sz w:val="32"/>
      <w:szCs w:val="32"/>
      <w:lang w:val="en-US" w:eastAsia="en-AU"/>
    </w:rPr>
  </w:style>
  <w:style w:type="character" w:customStyle="1" w:styleId="BodyBOLD">
    <w:name w:val="Body BOLD"/>
    <w:uiPriority w:val="99"/>
    <w:rsid w:val="00571B01"/>
    <w:rPr>
      <w:rFonts w:ascii="MetaPlusBold-Roman" w:hAnsi="MetaPlusBold-Roman"/>
      <w:sz w:val="20"/>
    </w:rPr>
  </w:style>
  <w:style w:type="paragraph" w:customStyle="1" w:styleId="Imprint">
    <w:name w:val="Imprint"/>
    <w:rsid w:val="00571B01"/>
    <w:pPr>
      <w:spacing w:before="160" w:after="0" w:line="260" w:lineRule="atLeast"/>
    </w:pPr>
    <w:rPr>
      <w:rFonts w:ascii="Helvetica" w:hAnsi="Helvetica" w:cs="Arial"/>
      <w:bCs/>
      <w:sz w:val="16"/>
      <w:szCs w:val="16"/>
    </w:rPr>
  </w:style>
  <w:style w:type="character" w:styleId="Hyperlink">
    <w:name w:val="Hyperlink"/>
    <w:basedOn w:val="DefaultParagraphFont"/>
    <w:uiPriority w:val="99"/>
    <w:rsid w:val="00571B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F6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B01"/>
    <w:pPr>
      <w:autoSpaceDE w:val="0"/>
      <w:autoSpaceDN w:val="0"/>
      <w:adjustRightInd w:val="0"/>
      <w:spacing w:after="113" w:line="288" w:lineRule="auto"/>
      <w:textAlignment w:val="center"/>
      <w:outlineLvl w:val="0"/>
    </w:pPr>
    <w:rPr>
      <w:rFonts w:ascii="Tahoma" w:hAnsi="Tahoma" w:cs="Tahoma"/>
      <w:color w:val="006DB1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B01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1B01"/>
    <w:rPr>
      <w:rFonts w:ascii="Tahoma" w:hAnsi="Tahoma" w:cs="Tahoma"/>
      <w:color w:val="006DB1"/>
      <w:sz w:val="48"/>
      <w:szCs w:val="48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71B01"/>
    <w:rPr>
      <w:rFonts w:ascii="Arial" w:hAnsi="Arial" w:cs="Arial"/>
      <w:b/>
      <w:bCs/>
      <w:color w:val="000000"/>
      <w:sz w:val="26"/>
      <w:szCs w:val="26"/>
      <w:lang w:val="x-none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Tabletext">
    <w:name w:val="Table text"/>
    <w:basedOn w:val="DefaultParagraphFont"/>
    <w:rsid w:val="00571B01"/>
    <w:rPr>
      <w:rFonts w:ascii="Arial Narrow" w:hAnsi="Arial Narrow" w:cs="Times New Roman"/>
      <w:sz w:val="20"/>
    </w:rPr>
  </w:style>
  <w:style w:type="paragraph" w:customStyle="1" w:styleId="bullets">
    <w:name w:val="bullets"/>
    <w:basedOn w:val="Normal"/>
    <w:rsid w:val="00571B01"/>
    <w:pPr>
      <w:numPr>
        <w:numId w:val="1"/>
      </w:numPr>
    </w:pPr>
    <w:rPr>
      <w:rFonts w:ascii="Tahoma" w:hAnsi="Tahoma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571B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1B01"/>
    <w:rPr>
      <w:rFonts w:ascii="Times New Roman" w:hAnsi="Times New Roman" w:cs="Times New Roman"/>
      <w:sz w:val="24"/>
      <w:szCs w:val="24"/>
      <w:lang w:val="x-none" w:eastAsia="en-AU"/>
    </w:rPr>
  </w:style>
  <w:style w:type="paragraph" w:styleId="Footer">
    <w:name w:val="footer"/>
    <w:basedOn w:val="Normal"/>
    <w:link w:val="FooterChar"/>
    <w:uiPriority w:val="99"/>
    <w:rsid w:val="00571B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1B01"/>
    <w:rPr>
      <w:rFonts w:ascii="Times New Roman" w:hAnsi="Times New Roman" w:cs="Times New Roman"/>
      <w:sz w:val="24"/>
      <w:szCs w:val="24"/>
      <w:lang w:val="x-none" w:eastAsia="en-AU"/>
    </w:rPr>
  </w:style>
  <w:style w:type="table" w:styleId="TableGrid">
    <w:name w:val="Table Grid"/>
    <w:basedOn w:val="TableNormal"/>
    <w:uiPriority w:val="59"/>
    <w:rsid w:val="00571B0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MIRText">
    <w:name w:val="QMIR Text"/>
    <w:basedOn w:val="Normal"/>
    <w:link w:val="QMIRTextChar"/>
    <w:uiPriority w:val="99"/>
    <w:rsid w:val="00571B01"/>
    <w:rPr>
      <w:rFonts w:ascii="Calibri" w:hAnsi="Calibri"/>
      <w:lang w:eastAsia="en-US"/>
    </w:rPr>
  </w:style>
  <w:style w:type="character" w:customStyle="1" w:styleId="QMIRTextChar">
    <w:name w:val="QMIR Text Char"/>
    <w:basedOn w:val="DefaultParagraphFont"/>
    <w:link w:val="QMIRText"/>
    <w:uiPriority w:val="99"/>
    <w:locked/>
    <w:rsid w:val="00571B01"/>
    <w:rPr>
      <w:rFonts w:ascii="Calibri" w:hAnsi="Calibri" w:cs="Times New Roman"/>
      <w:sz w:val="24"/>
      <w:szCs w:val="24"/>
    </w:rPr>
  </w:style>
  <w:style w:type="paragraph" w:customStyle="1" w:styleId="Nonnumberedheading">
    <w:name w:val="Non_numbered heading"/>
    <w:basedOn w:val="QMIRText"/>
    <w:uiPriority w:val="99"/>
    <w:rsid w:val="00571B01"/>
    <w:rPr>
      <w:b/>
      <w:color w:val="33CCCC"/>
      <w:sz w:val="28"/>
    </w:rPr>
  </w:style>
  <w:style w:type="paragraph" w:customStyle="1" w:styleId="StyleHeading1CalibriLightBlue">
    <w:name w:val="Style Heading 1 + Calibri Light Blue"/>
    <w:basedOn w:val="Heading1"/>
    <w:link w:val="StyleHeading1CalibriLightBlueChar"/>
    <w:uiPriority w:val="99"/>
    <w:rsid w:val="00571B01"/>
    <w:pPr>
      <w:keepNext/>
      <w:autoSpaceDE/>
      <w:autoSpaceDN/>
      <w:adjustRightInd/>
      <w:spacing w:before="240" w:after="60" w:line="240" w:lineRule="auto"/>
      <w:textAlignment w:val="auto"/>
    </w:pPr>
    <w:rPr>
      <w:rFonts w:ascii="Calibri" w:hAnsi="Calibri" w:cs="Arial"/>
      <w:b/>
      <w:bCs/>
      <w:color w:val="3366FF"/>
      <w:kern w:val="32"/>
      <w:sz w:val="56"/>
      <w:szCs w:val="32"/>
      <w:lang w:val="en-AU"/>
    </w:rPr>
  </w:style>
  <w:style w:type="character" w:customStyle="1" w:styleId="StyleHeading1CalibriLightBlueChar">
    <w:name w:val="Style Heading 1 + Calibri Light Blue Char"/>
    <w:basedOn w:val="Heading1Char"/>
    <w:link w:val="StyleHeading1CalibriLightBlue"/>
    <w:uiPriority w:val="99"/>
    <w:locked/>
    <w:rsid w:val="00571B01"/>
    <w:rPr>
      <w:rFonts w:ascii="Calibri" w:hAnsi="Calibri" w:cs="Arial"/>
      <w:b/>
      <w:bCs/>
      <w:color w:val="3366FF"/>
      <w:kern w:val="32"/>
      <w:sz w:val="32"/>
      <w:szCs w:val="32"/>
      <w:lang w:val="en-US" w:eastAsia="en-AU"/>
    </w:rPr>
  </w:style>
  <w:style w:type="character" w:customStyle="1" w:styleId="BodyBOLD">
    <w:name w:val="Body BOLD"/>
    <w:uiPriority w:val="99"/>
    <w:rsid w:val="00571B01"/>
    <w:rPr>
      <w:rFonts w:ascii="MetaPlusBold-Roman" w:hAnsi="MetaPlusBold-Roman"/>
      <w:sz w:val="20"/>
    </w:rPr>
  </w:style>
  <w:style w:type="paragraph" w:customStyle="1" w:styleId="Imprint">
    <w:name w:val="Imprint"/>
    <w:rsid w:val="00571B01"/>
    <w:pPr>
      <w:spacing w:before="160" w:after="0" w:line="260" w:lineRule="atLeast"/>
    </w:pPr>
    <w:rPr>
      <w:rFonts w:ascii="Helvetica" w:hAnsi="Helvetica" w:cs="Arial"/>
      <w:bCs/>
      <w:sz w:val="16"/>
      <w:szCs w:val="16"/>
    </w:rPr>
  </w:style>
  <w:style w:type="character" w:styleId="Hyperlink">
    <w:name w:val="Hyperlink"/>
    <w:basedOn w:val="DefaultParagraphFont"/>
    <w:uiPriority w:val="99"/>
    <w:rsid w:val="00571B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childcare.data@deewr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EWR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2E0D5-043F-48B1-BB0F-8F2F6F51CAB7}"/>
</file>

<file path=customXml/itemProps2.xml><?xml version="1.0" encoding="utf-8"?>
<ds:datastoreItem xmlns:ds="http://schemas.openxmlformats.org/officeDocument/2006/customXml" ds:itemID="{0AD3ABE7-A853-47C5-8E32-B50F2DA52691}"/>
</file>

<file path=customXml/itemProps3.xml><?xml version="1.0" encoding="utf-8"?>
<ds:datastoreItem xmlns:ds="http://schemas.openxmlformats.org/officeDocument/2006/customXml" ds:itemID="{060A268D-BFE6-4BC0-852F-E346A5F38DA0}"/>
</file>

<file path=customXml/itemProps4.xml><?xml version="1.0" encoding="utf-8"?>
<ds:datastoreItem xmlns:ds="http://schemas.openxmlformats.org/officeDocument/2006/customXml" ds:itemID="{112A1CE1-10CC-4DA2-8A23-CC720DD37F38}"/>
</file>

<file path=docProps/app.xml><?xml version="1.0" encoding="utf-8"?>
<Properties xmlns="http://schemas.openxmlformats.org/officeDocument/2006/extended-properties" xmlns:vt="http://schemas.openxmlformats.org/officeDocument/2006/docPropsVTypes">
  <Template>7313C728.dotm</Template>
  <TotalTime>20</TotalTime>
  <Pages>3</Pages>
  <Words>903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Prowd</dc:creator>
  <cp:lastModifiedBy>Cara Stafford</cp:lastModifiedBy>
  <cp:revision>5</cp:revision>
  <dcterms:created xsi:type="dcterms:W3CDTF">2013-12-02T02:04:00Z</dcterms:created>
  <dcterms:modified xsi:type="dcterms:W3CDTF">2013-12-02T04:55:00Z</dcterms:modified>
</cp:coreProperties>
</file>