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557E3" w14:textId="12877717" w:rsidR="00AB2766" w:rsidRPr="00AB2766" w:rsidRDefault="00AB2766" w:rsidP="00AB2766">
      <w:pPr>
        <w:pStyle w:val="Heading1"/>
        <w:jc w:val="right"/>
        <w:rPr>
          <w:color w:val="auto"/>
          <w:sz w:val="28"/>
          <w:szCs w:val="26"/>
        </w:rPr>
      </w:pPr>
      <w:bookmarkStart w:id="0" w:name="_GoBack"/>
      <w:bookmarkEnd w:id="0"/>
      <w:r w:rsidRPr="00AB2766">
        <w:rPr>
          <w:color w:val="auto"/>
          <w:sz w:val="28"/>
          <w:szCs w:val="26"/>
        </w:rPr>
        <w:t>Appendix A</w:t>
      </w:r>
    </w:p>
    <w:p w14:paraId="6882F7A7" w14:textId="54148C2C" w:rsidR="00E75A27" w:rsidRDefault="00E75A27" w:rsidP="00E75A27">
      <w:pPr>
        <w:pStyle w:val="Heading1"/>
      </w:pPr>
      <w:r w:rsidRPr="00E75A27">
        <w:t>AC</w:t>
      </w:r>
      <w:r w:rsidR="00B825B8">
        <w:t>CESS AND PARTICIPATION PLAN 2020</w:t>
      </w:r>
    </w:p>
    <w:p w14:paraId="6C007826" w14:textId="6432A590" w:rsidR="00E75A27" w:rsidRPr="00E75A27" w:rsidRDefault="001B63B7" w:rsidP="0028522A">
      <w:pPr>
        <w:pStyle w:val="Heading2"/>
        <w:spacing w:after="120"/>
      </w:pPr>
      <w:r>
        <w:t>La Trobe University</w:t>
      </w:r>
    </w:p>
    <w:p w14:paraId="636829FD" w14:textId="69112AFE" w:rsidR="00E75A27" w:rsidRPr="00C41083" w:rsidRDefault="00E75A27" w:rsidP="00E12873">
      <w:pPr>
        <w:pStyle w:val="ListNumber"/>
        <w:numPr>
          <w:ilvl w:val="0"/>
          <w:numId w:val="27"/>
        </w:numPr>
        <w:spacing w:after="240" w:line="240" w:lineRule="auto"/>
        <w:ind w:left="357" w:hanging="357"/>
        <w:rPr>
          <w:sz w:val="20"/>
          <w:szCs w:val="20"/>
        </w:rPr>
      </w:pPr>
      <w:r w:rsidRPr="00C41083">
        <w:rPr>
          <w:b/>
          <w:sz w:val="20"/>
          <w:szCs w:val="20"/>
        </w:rPr>
        <w:t>Equity outcomes</w:t>
      </w:r>
      <w:r w:rsidR="00BE4F09" w:rsidRPr="00C41083">
        <w:rPr>
          <w:b/>
          <w:sz w:val="20"/>
          <w:szCs w:val="20"/>
        </w:rPr>
        <w:t xml:space="preserve"> and strategies</w:t>
      </w:r>
      <w:r w:rsidRPr="00C41083">
        <w:rPr>
          <w:sz w:val="20"/>
          <w:szCs w:val="20"/>
        </w:rPr>
        <w:t xml:space="preserve">: </w:t>
      </w:r>
      <w:r w:rsidR="00BE4F09" w:rsidRPr="00C41083">
        <w:rPr>
          <w:sz w:val="20"/>
          <w:szCs w:val="20"/>
        </w:rPr>
        <w:t>for improving outcomes for people from a low SES background</w:t>
      </w:r>
      <w:r w:rsidRPr="00C41083">
        <w:rPr>
          <w:sz w:val="20"/>
          <w:szCs w:val="20"/>
        </w:rPr>
        <w:t>.</w:t>
      </w:r>
    </w:p>
    <w:p w14:paraId="52AB4A62" w14:textId="77777777" w:rsidR="001B63B7" w:rsidRDefault="001B63B7" w:rsidP="001B63B7">
      <w:pPr>
        <w:pStyle w:val="ListNumber"/>
        <w:numPr>
          <w:ilvl w:val="0"/>
          <w:numId w:val="0"/>
        </w:numPr>
        <w:spacing w:after="240" w:line="240" w:lineRule="auto"/>
        <w:ind w:left="357"/>
        <w:rPr>
          <w:sz w:val="24"/>
          <w:szCs w:val="24"/>
        </w:rPr>
      </w:pPr>
    </w:p>
    <w:p w14:paraId="07EA8B9E" w14:textId="0D043702" w:rsidR="001B63B7" w:rsidRPr="0074424A" w:rsidRDefault="001B63B7" w:rsidP="0028522A">
      <w:pPr>
        <w:pStyle w:val="ListNumber"/>
        <w:numPr>
          <w:ilvl w:val="0"/>
          <w:numId w:val="0"/>
        </w:numPr>
        <w:spacing w:after="0" w:line="240" w:lineRule="auto"/>
        <w:ind w:left="360" w:hanging="360"/>
        <w:rPr>
          <w:rFonts w:cstheme="minorHAnsi"/>
          <w:sz w:val="20"/>
          <w:szCs w:val="20"/>
        </w:rPr>
      </w:pPr>
      <w:r w:rsidRPr="0074424A">
        <w:rPr>
          <w:rFonts w:cstheme="minorHAnsi"/>
          <w:sz w:val="20"/>
          <w:szCs w:val="20"/>
        </w:rPr>
        <w:t xml:space="preserve">a) Outcomes </w:t>
      </w:r>
      <w:r w:rsidRPr="0074424A">
        <w:rPr>
          <w:sz w:val="20"/>
          <w:szCs w:val="20"/>
        </w:rPr>
        <w:t>for people from low SES backgrounds:</w:t>
      </w:r>
    </w:p>
    <w:p w14:paraId="4BFAE186" w14:textId="77777777" w:rsidR="001B63B7" w:rsidRPr="006A2736" w:rsidRDefault="001B63B7" w:rsidP="001B63B7">
      <w:pPr>
        <w:pStyle w:val="ListParagraph"/>
        <w:numPr>
          <w:ilvl w:val="0"/>
          <w:numId w:val="33"/>
        </w:numPr>
        <w:spacing w:after="0" w:line="240" w:lineRule="auto"/>
        <w:rPr>
          <w:rFonts w:cstheme="minorHAnsi"/>
          <w:sz w:val="20"/>
          <w:szCs w:val="20"/>
        </w:rPr>
      </w:pPr>
      <w:r w:rsidRPr="006A2736">
        <w:rPr>
          <w:rFonts w:cstheme="minorHAnsi"/>
          <w:sz w:val="20"/>
          <w:szCs w:val="20"/>
        </w:rPr>
        <w:t xml:space="preserve">Continue to exceed the national average of the participation rate of domestic undergraduate students from low SES backgrounds. </w:t>
      </w:r>
    </w:p>
    <w:p w14:paraId="72AABA31" w14:textId="77777777" w:rsidR="001B63B7" w:rsidRPr="0074424A" w:rsidRDefault="001B63B7" w:rsidP="001B63B7">
      <w:pPr>
        <w:spacing w:after="0" w:line="240" w:lineRule="auto"/>
        <w:contextualSpacing/>
        <w:rPr>
          <w:rFonts w:cstheme="minorHAnsi"/>
          <w:sz w:val="20"/>
          <w:szCs w:val="20"/>
        </w:rPr>
      </w:pPr>
    </w:p>
    <w:p w14:paraId="4FD09AD5" w14:textId="5C0452DE" w:rsidR="001B63B7" w:rsidRPr="006A7538" w:rsidRDefault="001B63B7" w:rsidP="006A7538">
      <w:pPr>
        <w:pStyle w:val="ListNumber"/>
        <w:numPr>
          <w:ilvl w:val="0"/>
          <w:numId w:val="0"/>
        </w:numPr>
        <w:spacing w:after="0" w:line="240" w:lineRule="auto"/>
        <w:ind w:left="360" w:hanging="360"/>
        <w:rPr>
          <w:sz w:val="20"/>
          <w:szCs w:val="20"/>
        </w:rPr>
      </w:pPr>
      <w:r w:rsidRPr="0074424A">
        <w:rPr>
          <w:rFonts w:cstheme="minorHAnsi"/>
          <w:sz w:val="20"/>
          <w:szCs w:val="20"/>
        </w:rPr>
        <w:t xml:space="preserve">b) Strategies for developing positive outcomes for </w:t>
      </w:r>
      <w:r w:rsidRPr="0074424A">
        <w:rPr>
          <w:sz w:val="20"/>
          <w:szCs w:val="20"/>
        </w:rPr>
        <w:t>people from low SES backgrounds:</w:t>
      </w:r>
    </w:p>
    <w:p w14:paraId="65AA5E5E" w14:textId="1AE870B5" w:rsidR="006A519E" w:rsidRPr="00336DFB" w:rsidRDefault="000A352E" w:rsidP="006A519E">
      <w:pPr>
        <w:pStyle w:val="ListParagraph"/>
        <w:numPr>
          <w:ilvl w:val="0"/>
          <w:numId w:val="32"/>
        </w:numPr>
        <w:spacing w:after="0" w:line="240" w:lineRule="auto"/>
        <w:rPr>
          <w:rFonts w:cs="Calibri"/>
          <w:sz w:val="20"/>
          <w:szCs w:val="20"/>
        </w:rPr>
      </w:pPr>
      <w:r w:rsidRPr="00145AB3">
        <w:rPr>
          <w:rFonts w:cs="Calibri"/>
          <w:sz w:val="20"/>
          <w:szCs w:val="20"/>
        </w:rPr>
        <w:t>Develop and implement</w:t>
      </w:r>
      <w:r w:rsidR="006A519E">
        <w:rPr>
          <w:rFonts w:cs="Calibri"/>
          <w:sz w:val="20"/>
          <w:szCs w:val="20"/>
        </w:rPr>
        <w:t xml:space="preserve"> La Trobe’s inaugural Student Equity and Diversity Plan (2020-2022);</w:t>
      </w:r>
    </w:p>
    <w:p w14:paraId="10D0B2F3" w14:textId="44FAD42B" w:rsidR="001B63B7" w:rsidRPr="0074424A" w:rsidRDefault="001B63B7" w:rsidP="001B63B7">
      <w:pPr>
        <w:pStyle w:val="ListParagraph"/>
        <w:numPr>
          <w:ilvl w:val="0"/>
          <w:numId w:val="32"/>
        </w:numPr>
        <w:spacing w:after="0" w:line="240" w:lineRule="auto"/>
        <w:rPr>
          <w:rFonts w:cstheme="minorHAnsi"/>
          <w:sz w:val="20"/>
          <w:szCs w:val="20"/>
        </w:rPr>
      </w:pPr>
      <w:r w:rsidRPr="0074424A">
        <w:rPr>
          <w:rFonts w:cs="Calibri"/>
          <w:sz w:val="20"/>
          <w:szCs w:val="20"/>
        </w:rPr>
        <w:t>Increase participation and achievement of under-represented students through equity scholarships targeted to students from low SES backgrounds;</w:t>
      </w:r>
    </w:p>
    <w:p w14:paraId="316DD863" w14:textId="77777777" w:rsidR="001B63B7" w:rsidRPr="0074424A" w:rsidRDefault="001B63B7" w:rsidP="001B63B7">
      <w:pPr>
        <w:pStyle w:val="ListParagraph"/>
        <w:numPr>
          <w:ilvl w:val="0"/>
          <w:numId w:val="32"/>
        </w:numPr>
        <w:spacing w:after="0" w:line="240" w:lineRule="auto"/>
        <w:rPr>
          <w:rFonts w:cs="Calibri"/>
          <w:sz w:val="20"/>
          <w:szCs w:val="20"/>
        </w:rPr>
      </w:pPr>
      <w:r w:rsidRPr="0074424A">
        <w:rPr>
          <w:rFonts w:cs="Calibri"/>
          <w:sz w:val="20"/>
          <w:szCs w:val="20"/>
        </w:rPr>
        <w:t>Maintain the University’s outreach programs, including the School Partnerships Program;</w:t>
      </w:r>
    </w:p>
    <w:p w14:paraId="5E132C13" w14:textId="0D8E78CD" w:rsidR="001B63B7" w:rsidRPr="0074424A" w:rsidRDefault="001B63B7" w:rsidP="001B63B7">
      <w:pPr>
        <w:pStyle w:val="ListParagraph"/>
        <w:numPr>
          <w:ilvl w:val="0"/>
          <w:numId w:val="32"/>
        </w:numPr>
        <w:spacing w:after="0" w:line="240" w:lineRule="auto"/>
        <w:rPr>
          <w:rFonts w:cs="Calibri"/>
          <w:sz w:val="20"/>
          <w:szCs w:val="20"/>
        </w:rPr>
      </w:pPr>
      <w:r w:rsidRPr="0074424A">
        <w:rPr>
          <w:rFonts w:cs="Calibri"/>
          <w:sz w:val="20"/>
          <w:szCs w:val="20"/>
        </w:rPr>
        <w:t>Maintain and enhance the University-wide approach to peer mentoring</w:t>
      </w:r>
      <w:r w:rsidR="00C41083">
        <w:rPr>
          <w:rFonts w:cs="Calibri"/>
          <w:sz w:val="20"/>
          <w:szCs w:val="20"/>
        </w:rPr>
        <w:t>,</w:t>
      </w:r>
      <w:r w:rsidRPr="0074424A">
        <w:rPr>
          <w:rFonts w:cs="Calibri"/>
          <w:sz w:val="20"/>
          <w:szCs w:val="20"/>
        </w:rPr>
        <w:t xml:space="preserve"> academic advising</w:t>
      </w:r>
      <w:r w:rsidR="00C41083">
        <w:rPr>
          <w:rFonts w:cs="Calibri"/>
          <w:sz w:val="20"/>
          <w:szCs w:val="20"/>
        </w:rPr>
        <w:t xml:space="preserve"> and subject support</w:t>
      </w:r>
      <w:r w:rsidRPr="0074424A">
        <w:rPr>
          <w:rFonts w:cs="Calibri"/>
          <w:sz w:val="20"/>
          <w:szCs w:val="20"/>
        </w:rPr>
        <w:t>;</w:t>
      </w:r>
    </w:p>
    <w:p w14:paraId="208EB423" w14:textId="635DE07C" w:rsidR="001B63B7" w:rsidRPr="0074424A" w:rsidRDefault="001B63B7" w:rsidP="001B63B7">
      <w:pPr>
        <w:pStyle w:val="ListParagraph"/>
        <w:numPr>
          <w:ilvl w:val="0"/>
          <w:numId w:val="32"/>
        </w:numPr>
        <w:spacing w:after="0" w:line="240" w:lineRule="auto"/>
        <w:rPr>
          <w:rFonts w:cs="Calibri"/>
          <w:sz w:val="20"/>
          <w:szCs w:val="20"/>
        </w:rPr>
      </w:pPr>
      <w:r w:rsidRPr="0074424A">
        <w:rPr>
          <w:rFonts w:cs="Calibri"/>
          <w:sz w:val="20"/>
          <w:szCs w:val="20"/>
        </w:rPr>
        <w:t xml:space="preserve">Ensure that equity is embedded within La Trobe curricula, including through the mandatory </w:t>
      </w:r>
      <w:proofErr w:type="spellStart"/>
      <w:r w:rsidRPr="0074424A">
        <w:rPr>
          <w:rFonts w:cs="Calibri"/>
          <w:sz w:val="20"/>
          <w:szCs w:val="20"/>
        </w:rPr>
        <w:t>Wominjeka</w:t>
      </w:r>
      <w:proofErr w:type="spellEnd"/>
      <w:r w:rsidRPr="0074424A">
        <w:rPr>
          <w:rFonts w:cs="Calibri"/>
          <w:sz w:val="20"/>
          <w:szCs w:val="20"/>
        </w:rPr>
        <w:t xml:space="preserve"> module exploring Indigenous cultures;</w:t>
      </w:r>
    </w:p>
    <w:p w14:paraId="1DA17763" w14:textId="77777777" w:rsidR="001B63B7" w:rsidRPr="0074424A" w:rsidRDefault="001B63B7" w:rsidP="001B63B7">
      <w:pPr>
        <w:pStyle w:val="ListParagraph"/>
        <w:numPr>
          <w:ilvl w:val="0"/>
          <w:numId w:val="32"/>
        </w:numPr>
        <w:spacing w:after="0" w:line="240" w:lineRule="auto"/>
        <w:rPr>
          <w:rFonts w:cs="Calibri"/>
          <w:sz w:val="20"/>
          <w:szCs w:val="20"/>
        </w:rPr>
      </w:pPr>
      <w:r w:rsidRPr="0074424A">
        <w:rPr>
          <w:rFonts w:cs="Calibri"/>
          <w:sz w:val="20"/>
          <w:szCs w:val="20"/>
        </w:rPr>
        <w:t xml:space="preserve">Ensure that equity is embedded within co-curricular and extra-curricular activities, including low SES bursaries for outbound mobility and employability; </w:t>
      </w:r>
    </w:p>
    <w:p w14:paraId="566DCE2E" w14:textId="77777777" w:rsidR="001B63B7" w:rsidRPr="0074424A" w:rsidRDefault="001B63B7" w:rsidP="001B63B7">
      <w:pPr>
        <w:pStyle w:val="ListParagraph"/>
        <w:numPr>
          <w:ilvl w:val="0"/>
          <w:numId w:val="32"/>
        </w:numPr>
        <w:spacing w:after="0" w:line="240" w:lineRule="auto"/>
        <w:rPr>
          <w:rFonts w:cs="Calibri"/>
          <w:sz w:val="20"/>
          <w:szCs w:val="20"/>
        </w:rPr>
      </w:pPr>
      <w:r w:rsidRPr="0074424A">
        <w:rPr>
          <w:rFonts w:cs="Calibri"/>
          <w:sz w:val="20"/>
          <w:szCs w:val="20"/>
        </w:rPr>
        <w:t xml:space="preserve">Provide targeted scholarships and bursaries to low SES students, including to care leavers and students from refugee backgrounds;   </w:t>
      </w:r>
    </w:p>
    <w:p w14:paraId="4D8BA3E9" w14:textId="77777777" w:rsidR="001B63B7" w:rsidRPr="0074424A" w:rsidRDefault="001B63B7" w:rsidP="001B63B7">
      <w:pPr>
        <w:pStyle w:val="ListParagraph"/>
        <w:numPr>
          <w:ilvl w:val="0"/>
          <w:numId w:val="32"/>
        </w:numPr>
        <w:spacing w:after="0" w:line="240" w:lineRule="auto"/>
        <w:rPr>
          <w:rFonts w:cs="Calibri"/>
          <w:sz w:val="20"/>
          <w:szCs w:val="20"/>
        </w:rPr>
      </w:pPr>
      <w:r w:rsidRPr="0074424A">
        <w:rPr>
          <w:rFonts w:cs="Calibri"/>
          <w:sz w:val="20"/>
          <w:szCs w:val="20"/>
        </w:rPr>
        <w:t>Continue to raise participation through expansion of alternative entry pathways, including the ‘Pathways’ program on regional campuses;</w:t>
      </w:r>
    </w:p>
    <w:p w14:paraId="011BFC63" w14:textId="7DCFB278" w:rsidR="001B63B7" w:rsidRPr="0074424A" w:rsidRDefault="001B63B7" w:rsidP="001B63B7">
      <w:pPr>
        <w:pStyle w:val="ListParagraph"/>
        <w:numPr>
          <w:ilvl w:val="0"/>
          <w:numId w:val="32"/>
        </w:numPr>
        <w:spacing w:after="0" w:line="240" w:lineRule="auto"/>
        <w:rPr>
          <w:rFonts w:cs="Calibri"/>
          <w:sz w:val="20"/>
          <w:szCs w:val="20"/>
        </w:rPr>
      </w:pPr>
      <w:r w:rsidRPr="0074424A">
        <w:rPr>
          <w:rFonts w:cs="Calibri"/>
          <w:sz w:val="20"/>
          <w:szCs w:val="20"/>
        </w:rPr>
        <w:t xml:space="preserve">Continue to utilise predictive and learning analytics to identify risks of failure and attrition among low SES </w:t>
      </w:r>
      <w:r w:rsidR="00284049">
        <w:rPr>
          <w:rFonts w:cs="Calibri"/>
          <w:sz w:val="20"/>
          <w:szCs w:val="20"/>
        </w:rPr>
        <w:t>students</w:t>
      </w:r>
      <w:r w:rsidRPr="0074424A">
        <w:rPr>
          <w:rFonts w:cs="Calibri"/>
          <w:sz w:val="20"/>
          <w:szCs w:val="20"/>
        </w:rPr>
        <w:t xml:space="preserve">. </w:t>
      </w:r>
    </w:p>
    <w:p w14:paraId="2D36270A" w14:textId="77777777" w:rsidR="00395311" w:rsidRPr="00712BE3" w:rsidRDefault="00395311" w:rsidP="00C41083">
      <w:pPr>
        <w:pStyle w:val="ListNumber"/>
        <w:numPr>
          <w:ilvl w:val="0"/>
          <w:numId w:val="0"/>
        </w:numPr>
        <w:spacing w:after="240" w:line="240" w:lineRule="auto"/>
        <w:rPr>
          <w:sz w:val="24"/>
          <w:szCs w:val="24"/>
        </w:rPr>
      </w:pPr>
    </w:p>
    <w:p w14:paraId="186F897B" w14:textId="6EC40BDC" w:rsidR="00395311" w:rsidRPr="00C41083" w:rsidRDefault="00E75A27" w:rsidP="006A7538">
      <w:pPr>
        <w:pStyle w:val="ListNumber"/>
        <w:numPr>
          <w:ilvl w:val="0"/>
          <w:numId w:val="27"/>
        </w:numPr>
        <w:spacing w:line="240" w:lineRule="auto"/>
        <w:ind w:left="357" w:hanging="357"/>
        <w:rPr>
          <w:sz w:val="20"/>
          <w:szCs w:val="20"/>
        </w:rPr>
      </w:pPr>
      <w:r w:rsidRPr="00C41083">
        <w:rPr>
          <w:b/>
          <w:sz w:val="20"/>
          <w:szCs w:val="20"/>
        </w:rPr>
        <w:t>Key activities</w:t>
      </w:r>
      <w:r w:rsidRPr="00C41083">
        <w:rPr>
          <w:sz w:val="20"/>
          <w:szCs w:val="20"/>
        </w:rPr>
        <w:t>: which will deliver an increase in the access, participation and success of people from a low SES background.</w:t>
      </w:r>
    </w:p>
    <w:p w14:paraId="203E5049" w14:textId="77777777" w:rsidR="001B63B7" w:rsidRPr="0074424A" w:rsidRDefault="001B63B7" w:rsidP="006A7538">
      <w:pPr>
        <w:pStyle w:val="NormalWeb"/>
        <w:spacing w:before="120" w:beforeAutospacing="0" w:after="120" w:afterAutospacing="0"/>
        <w:contextualSpacing/>
        <w:rPr>
          <w:rFonts w:asciiTheme="minorHAnsi" w:eastAsiaTheme="minorEastAsia" w:hAnsiTheme="minorHAnsi"/>
          <w:sz w:val="20"/>
          <w:szCs w:val="20"/>
          <w:lang w:val="en-GB" w:eastAsia="en-US"/>
        </w:rPr>
      </w:pPr>
      <w:r w:rsidRPr="0074424A">
        <w:rPr>
          <w:rFonts w:asciiTheme="minorHAnsi" w:eastAsiaTheme="minorEastAsia" w:hAnsiTheme="minorHAnsi"/>
          <w:sz w:val="20"/>
          <w:szCs w:val="20"/>
          <w:lang w:val="en-GB" w:eastAsia="en-US"/>
        </w:rPr>
        <w:t xml:space="preserve">La Trobe uses HEPPP funding to support major equity initiatives across the University, including: </w:t>
      </w:r>
    </w:p>
    <w:p w14:paraId="119ABBB7" w14:textId="77777777" w:rsidR="001B63B7" w:rsidRPr="0074424A" w:rsidRDefault="001B63B7" w:rsidP="001B63B7">
      <w:pPr>
        <w:pStyle w:val="ListParagraph"/>
        <w:numPr>
          <w:ilvl w:val="0"/>
          <w:numId w:val="34"/>
        </w:numPr>
        <w:spacing w:after="0" w:line="240" w:lineRule="auto"/>
        <w:ind w:left="709" w:hanging="283"/>
        <w:rPr>
          <w:b/>
          <w:i/>
          <w:sz w:val="20"/>
          <w:szCs w:val="20"/>
        </w:rPr>
      </w:pPr>
      <w:r w:rsidRPr="0074424A">
        <w:rPr>
          <w:b/>
          <w:i/>
          <w:sz w:val="20"/>
          <w:szCs w:val="20"/>
        </w:rPr>
        <w:t>Pre-access (outreach to schools and communities)</w:t>
      </w:r>
    </w:p>
    <w:p w14:paraId="782021FC" w14:textId="0AEC7789" w:rsidR="001B63B7" w:rsidRPr="0074424A" w:rsidRDefault="001B63B7" w:rsidP="001B63B7">
      <w:pPr>
        <w:spacing w:after="0" w:line="240" w:lineRule="auto"/>
        <w:ind w:left="709"/>
        <w:contextualSpacing/>
        <w:rPr>
          <w:sz w:val="20"/>
          <w:szCs w:val="20"/>
        </w:rPr>
      </w:pPr>
      <w:r w:rsidRPr="0074424A">
        <w:rPr>
          <w:rFonts w:cs="Arial"/>
          <w:sz w:val="20"/>
          <w:szCs w:val="20"/>
        </w:rPr>
        <w:t xml:space="preserve">School Partnerships Program: </w:t>
      </w:r>
      <w:r w:rsidRPr="0074424A">
        <w:rPr>
          <w:rFonts w:cs="Times New Roman"/>
          <w:sz w:val="20"/>
          <w:szCs w:val="20"/>
          <w:lang w:val="en-GB"/>
        </w:rPr>
        <w:t xml:space="preserve">Collaborate with </w:t>
      </w:r>
      <w:r w:rsidR="00164FFD">
        <w:rPr>
          <w:rFonts w:cs="Times New Roman"/>
          <w:sz w:val="20"/>
          <w:szCs w:val="20"/>
          <w:lang w:val="en-GB"/>
        </w:rPr>
        <w:t>41</w:t>
      </w:r>
      <w:r w:rsidRPr="00145AB3">
        <w:rPr>
          <w:rFonts w:cs="Times New Roman"/>
          <w:sz w:val="20"/>
          <w:szCs w:val="20"/>
          <w:lang w:val="en-GB"/>
        </w:rPr>
        <w:t xml:space="preserve"> low SES schools</w:t>
      </w:r>
      <w:r w:rsidRPr="0074424A">
        <w:rPr>
          <w:rFonts w:cs="Times New Roman"/>
          <w:sz w:val="20"/>
          <w:szCs w:val="20"/>
          <w:lang w:val="en-GB"/>
        </w:rPr>
        <w:t xml:space="preserve"> and two Flexible Learning Centres </w:t>
      </w:r>
      <w:r w:rsidR="00284049" w:rsidRPr="00284049">
        <w:rPr>
          <w:rFonts w:cs="Times New Roman"/>
          <w:sz w:val="20"/>
          <w:szCs w:val="20"/>
        </w:rPr>
        <w:t>to deliver sequential activities that provide knowledge and understanding of university, academic preparation, and career planning and management linked to university qualifications.</w:t>
      </w:r>
      <w:r w:rsidRPr="0074424A">
        <w:rPr>
          <w:sz w:val="20"/>
          <w:szCs w:val="20"/>
        </w:rPr>
        <w:t xml:space="preserve"> </w:t>
      </w:r>
    </w:p>
    <w:p w14:paraId="03C4BDD5" w14:textId="77777777" w:rsidR="001B63B7" w:rsidRPr="0074424A" w:rsidRDefault="001B63B7" w:rsidP="001B63B7">
      <w:pPr>
        <w:spacing w:after="0" w:line="240" w:lineRule="auto"/>
        <w:ind w:left="709"/>
        <w:contextualSpacing/>
        <w:rPr>
          <w:rFonts w:cs="Times New Roman"/>
          <w:sz w:val="20"/>
          <w:szCs w:val="20"/>
          <w:lang w:val="en-GB"/>
        </w:rPr>
      </w:pPr>
    </w:p>
    <w:p w14:paraId="2DB33C78" w14:textId="77777777" w:rsidR="001B63B7" w:rsidRPr="0074424A" w:rsidRDefault="001B63B7" w:rsidP="001B63B7">
      <w:pPr>
        <w:pStyle w:val="LTU-Body0pt"/>
        <w:ind w:left="709"/>
        <w:contextualSpacing/>
        <w:rPr>
          <w:rFonts w:asciiTheme="minorHAnsi" w:eastAsiaTheme="minorEastAsia" w:hAnsiTheme="minorHAnsi" w:cs="Times New Roman"/>
          <w:color w:val="auto"/>
          <w:sz w:val="20"/>
          <w:szCs w:val="20"/>
          <w:lang w:val="en-GB"/>
        </w:rPr>
      </w:pPr>
      <w:r w:rsidRPr="0074424A">
        <w:rPr>
          <w:rFonts w:asciiTheme="minorHAnsi" w:eastAsiaTheme="minorEastAsia" w:hAnsiTheme="minorHAnsi" w:cs="Times New Roman"/>
          <w:color w:val="auto"/>
          <w:sz w:val="20"/>
          <w:szCs w:val="20"/>
          <w:lang w:val="en-GB"/>
        </w:rPr>
        <w:t xml:space="preserve">Science, Health and Engineering (SHE) Outreach programs: Stimulate interest in Science, Technology, Engineering, and Mathematics (STEM) disciplines for students from low SES schools. </w:t>
      </w:r>
    </w:p>
    <w:p w14:paraId="502381E3" w14:textId="77777777" w:rsidR="001B63B7" w:rsidRPr="0074424A" w:rsidRDefault="001B63B7" w:rsidP="001B63B7">
      <w:pPr>
        <w:pStyle w:val="Header"/>
        <w:ind w:left="709"/>
        <w:contextualSpacing/>
        <w:rPr>
          <w:rFonts w:cs="Times New Roman"/>
          <w:sz w:val="20"/>
          <w:szCs w:val="20"/>
          <w:lang w:val="en-GB"/>
        </w:rPr>
      </w:pPr>
    </w:p>
    <w:p w14:paraId="53021C0E" w14:textId="49E532CB" w:rsidR="001B63B7" w:rsidRDefault="001B63B7" w:rsidP="001B63B7">
      <w:pPr>
        <w:spacing w:line="240" w:lineRule="auto"/>
        <w:ind w:left="709"/>
        <w:contextualSpacing/>
        <w:rPr>
          <w:rFonts w:cs="Times New Roman"/>
          <w:sz w:val="20"/>
          <w:szCs w:val="20"/>
          <w:lang w:val="en-GB"/>
        </w:rPr>
      </w:pPr>
      <w:r w:rsidRPr="0074424A">
        <w:rPr>
          <w:rFonts w:cs="Times New Roman"/>
          <w:sz w:val="20"/>
          <w:szCs w:val="20"/>
          <w:lang w:val="en-GB"/>
        </w:rPr>
        <w:t xml:space="preserve">Arts, Social Sciences and Commerce (ASSC) Outreach programs: </w:t>
      </w:r>
      <w:r w:rsidR="0028522A">
        <w:rPr>
          <w:rFonts w:cs="Times New Roman"/>
          <w:sz w:val="20"/>
          <w:szCs w:val="20"/>
          <w:lang w:val="en-GB"/>
        </w:rPr>
        <w:t>I</w:t>
      </w:r>
      <w:r w:rsidR="00145AB3">
        <w:rPr>
          <w:rFonts w:cs="Times New Roman"/>
          <w:sz w:val="20"/>
          <w:szCs w:val="20"/>
          <w:lang w:val="en-GB"/>
        </w:rPr>
        <w:t>ncrease</w:t>
      </w:r>
      <w:r w:rsidR="0028522A" w:rsidRPr="0028522A">
        <w:rPr>
          <w:rFonts w:cs="Times New Roman"/>
          <w:sz w:val="20"/>
          <w:szCs w:val="20"/>
        </w:rPr>
        <w:t xml:space="preserve"> the capabilities and pathways of students from low </w:t>
      </w:r>
      <w:r w:rsidR="0028522A">
        <w:rPr>
          <w:rFonts w:cs="Times New Roman"/>
          <w:sz w:val="20"/>
          <w:szCs w:val="20"/>
        </w:rPr>
        <w:t>SES</w:t>
      </w:r>
      <w:r w:rsidR="0028522A" w:rsidRPr="0028522A">
        <w:rPr>
          <w:rFonts w:cs="Times New Roman"/>
          <w:sz w:val="20"/>
          <w:szCs w:val="20"/>
        </w:rPr>
        <w:t xml:space="preserve"> and regional schools by providing high quality enrichment opportunities and curriculum support in ASSC related studies.</w:t>
      </w:r>
      <w:r w:rsidR="0028522A">
        <w:rPr>
          <w:rFonts w:cs="Times New Roman"/>
          <w:sz w:val="20"/>
          <w:szCs w:val="20"/>
        </w:rPr>
        <w:t xml:space="preserve"> </w:t>
      </w:r>
    </w:p>
    <w:p w14:paraId="597828AD" w14:textId="77777777" w:rsidR="0028522A" w:rsidRPr="0074424A" w:rsidRDefault="0028522A" w:rsidP="001B63B7">
      <w:pPr>
        <w:spacing w:line="240" w:lineRule="auto"/>
        <w:ind w:left="709"/>
        <w:contextualSpacing/>
        <w:rPr>
          <w:rFonts w:cs="Times New Roman"/>
          <w:sz w:val="20"/>
          <w:szCs w:val="20"/>
          <w:lang w:val="en-GB"/>
        </w:rPr>
      </w:pPr>
    </w:p>
    <w:p w14:paraId="79D3C340" w14:textId="77777777" w:rsidR="00145AB3" w:rsidRDefault="001B63B7" w:rsidP="00345E84">
      <w:pPr>
        <w:spacing w:line="240" w:lineRule="auto"/>
        <w:ind w:left="709"/>
        <w:contextualSpacing/>
        <w:rPr>
          <w:rFonts w:cs="Times New Roman"/>
          <w:sz w:val="20"/>
          <w:szCs w:val="20"/>
        </w:rPr>
      </w:pPr>
      <w:r w:rsidRPr="0074424A">
        <w:rPr>
          <w:rFonts w:cs="Times New Roman"/>
          <w:sz w:val="20"/>
          <w:szCs w:val="20"/>
        </w:rPr>
        <w:t>The Bradford Shepparton Pathway Program:</w:t>
      </w:r>
      <w:r w:rsidRPr="0074424A">
        <w:rPr>
          <w:rFonts w:cs="Times New Roman"/>
          <w:i/>
          <w:sz w:val="20"/>
          <w:szCs w:val="20"/>
        </w:rPr>
        <w:t xml:space="preserve"> </w:t>
      </w:r>
      <w:r w:rsidRPr="0074424A">
        <w:rPr>
          <w:rFonts w:cs="Times New Roman"/>
          <w:sz w:val="20"/>
          <w:szCs w:val="20"/>
        </w:rPr>
        <w:t>Support Year 11 students from low SES backgrounds in the Shepparton area through the final 15 months of secondary schooling</w:t>
      </w:r>
      <w:r w:rsidR="00AE78E8">
        <w:rPr>
          <w:rFonts w:cs="Times New Roman"/>
          <w:sz w:val="20"/>
          <w:szCs w:val="20"/>
        </w:rPr>
        <w:t>.</w:t>
      </w:r>
    </w:p>
    <w:p w14:paraId="452C6A2A" w14:textId="77777777" w:rsidR="00145AB3" w:rsidRDefault="00145AB3" w:rsidP="00345E84">
      <w:pPr>
        <w:spacing w:line="240" w:lineRule="auto"/>
        <w:ind w:left="709"/>
        <w:contextualSpacing/>
        <w:rPr>
          <w:rFonts w:cs="Times New Roman"/>
          <w:sz w:val="20"/>
          <w:szCs w:val="20"/>
        </w:rPr>
      </w:pPr>
    </w:p>
    <w:p w14:paraId="162B41F7" w14:textId="4BF65BCB" w:rsidR="0028522A" w:rsidRPr="00345E84" w:rsidRDefault="001B63B7" w:rsidP="00345E84">
      <w:pPr>
        <w:spacing w:line="240" w:lineRule="auto"/>
        <w:ind w:left="709"/>
        <w:contextualSpacing/>
        <w:rPr>
          <w:rFonts w:eastAsia="Times New Roman" w:cs="Times New Roman"/>
          <w:sz w:val="20"/>
          <w:szCs w:val="20"/>
        </w:rPr>
      </w:pPr>
      <w:r w:rsidRPr="0074424A">
        <w:rPr>
          <w:rFonts w:cs="Times New Roman"/>
          <w:iCs/>
          <w:sz w:val="20"/>
          <w:szCs w:val="20"/>
          <w:lang w:val="en-GB"/>
        </w:rPr>
        <w:t>Wildlife Sanctuary Outreach:</w:t>
      </w:r>
      <w:r w:rsidRPr="0074424A">
        <w:rPr>
          <w:rFonts w:eastAsia="Times New Roman" w:cs="Times New Roman"/>
          <w:iCs/>
          <w:sz w:val="20"/>
          <w:szCs w:val="20"/>
          <w:lang w:val="en"/>
        </w:rPr>
        <w:t xml:space="preserve"> Provide</w:t>
      </w:r>
      <w:r w:rsidRPr="0074424A">
        <w:rPr>
          <w:rFonts w:eastAsia="Times New Roman" w:cs="Times New Roman"/>
          <w:sz w:val="20"/>
          <w:szCs w:val="20"/>
          <w:lang w:val="en"/>
        </w:rPr>
        <w:t xml:space="preserve"> an opportunity for students from low </w:t>
      </w:r>
      <w:r w:rsidR="00145AB3">
        <w:rPr>
          <w:rFonts w:eastAsia="Times New Roman" w:cs="Times New Roman"/>
          <w:sz w:val="20"/>
          <w:szCs w:val="20"/>
          <w:lang w:val="en"/>
        </w:rPr>
        <w:t>SES</w:t>
      </w:r>
      <w:r w:rsidRPr="0074424A">
        <w:rPr>
          <w:rFonts w:eastAsia="Times New Roman" w:cs="Times New Roman"/>
          <w:sz w:val="20"/>
          <w:szCs w:val="20"/>
          <w:lang w:val="en"/>
        </w:rPr>
        <w:t xml:space="preserve"> schools to participate in hands on ecological investigations and citizen science in </w:t>
      </w:r>
      <w:r w:rsidR="006A7538">
        <w:rPr>
          <w:rFonts w:eastAsia="Times New Roman" w:cs="Times New Roman"/>
          <w:sz w:val="20"/>
          <w:szCs w:val="20"/>
          <w:lang w:val="en"/>
        </w:rPr>
        <w:t>La Trobe’s</w:t>
      </w:r>
      <w:r w:rsidRPr="0074424A">
        <w:rPr>
          <w:rFonts w:eastAsia="Times New Roman" w:cs="Times New Roman"/>
          <w:sz w:val="20"/>
          <w:szCs w:val="20"/>
          <w:lang w:val="en"/>
        </w:rPr>
        <w:t xml:space="preserve"> 30-hectare outdoor laboratory. </w:t>
      </w:r>
      <w:r w:rsidR="000A609D" w:rsidRPr="00145AB3">
        <w:rPr>
          <w:rFonts w:eastAsia="Times New Roman" w:cs="Times New Roman"/>
          <w:sz w:val="20"/>
          <w:szCs w:val="20"/>
          <w:lang w:val="en"/>
        </w:rPr>
        <w:t>Planned o</w:t>
      </w:r>
      <w:r w:rsidRPr="00145AB3">
        <w:rPr>
          <w:rFonts w:eastAsia="Times New Roman" w:cs="Times New Roman"/>
          <w:sz w:val="20"/>
          <w:szCs w:val="20"/>
          <w:lang w:val="en"/>
        </w:rPr>
        <w:t xml:space="preserve">utreach activities include workshops </w:t>
      </w:r>
      <w:r w:rsidR="006A2736" w:rsidRPr="00145AB3">
        <w:rPr>
          <w:rFonts w:eastAsia="Times New Roman" w:cs="Times New Roman"/>
          <w:sz w:val="20"/>
          <w:szCs w:val="20"/>
          <w:lang w:val="en"/>
        </w:rPr>
        <w:t>designed to</w:t>
      </w:r>
      <w:r w:rsidRPr="00145AB3">
        <w:rPr>
          <w:rFonts w:eastAsia="Times New Roman" w:cs="Times New Roman"/>
          <w:sz w:val="20"/>
          <w:szCs w:val="20"/>
          <w:lang w:val="en"/>
        </w:rPr>
        <w:t xml:space="preserve"> assist with </w:t>
      </w:r>
      <w:r w:rsidRPr="00145AB3">
        <w:rPr>
          <w:rFonts w:eastAsia="Times New Roman" w:cs="Times New Roman"/>
          <w:sz w:val="20"/>
          <w:szCs w:val="20"/>
        </w:rPr>
        <w:t>bushfire recovery efforts.</w:t>
      </w:r>
    </w:p>
    <w:p w14:paraId="7243B30F" w14:textId="4CD7FAF9" w:rsidR="0028522A" w:rsidRPr="0074424A" w:rsidRDefault="0028522A" w:rsidP="0028522A">
      <w:pPr>
        <w:pStyle w:val="ListNumber"/>
        <w:numPr>
          <w:ilvl w:val="0"/>
          <w:numId w:val="0"/>
        </w:numPr>
        <w:spacing w:after="240" w:line="240" w:lineRule="auto"/>
        <w:ind w:left="709"/>
        <w:rPr>
          <w:rFonts w:eastAsiaTheme="minorHAnsi" w:cs="Times New Roman"/>
          <w:sz w:val="20"/>
          <w:szCs w:val="20"/>
          <w:lang w:val="en-US"/>
        </w:rPr>
      </w:pPr>
      <w:r w:rsidRPr="0074424A">
        <w:rPr>
          <w:rFonts w:eastAsiaTheme="minorHAnsi" w:cs="Times New Roman"/>
          <w:sz w:val="20"/>
          <w:szCs w:val="20"/>
          <w:lang w:val="en-US"/>
        </w:rPr>
        <w:t>In2Science Program:</w:t>
      </w:r>
      <w:r>
        <w:rPr>
          <w:rFonts w:eastAsiaTheme="minorHAnsi" w:cs="Times New Roman"/>
          <w:sz w:val="20"/>
          <w:szCs w:val="20"/>
          <w:lang w:val="en-US"/>
        </w:rPr>
        <w:t xml:space="preserve"> </w:t>
      </w:r>
      <w:r w:rsidR="00EA37AE">
        <w:rPr>
          <w:rFonts w:eastAsiaTheme="minorHAnsi" w:cs="Times New Roman"/>
          <w:sz w:val="20"/>
          <w:szCs w:val="20"/>
          <w:lang w:val="en-US"/>
        </w:rPr>
        <w:t xml:space="preserve">Match </w:t>
      </w:r>
      <w:r w:rsidRPr="0074424A">
        <w:rPr>
          <w:rFonts w:eastAsiaTheme="minorHAnsi" w:cs="Times New Roman"/>
          <w:sz w:val="20"/>
          <w:szCs w:val="20"/>
          <w:lang w:val="en-US"/>
        </w:rPr>
        <w:t xml:space="preserve">University student </w:t>
      </w:r>
      <w:r>
        <w:rPr>
          <w:rFonts w:eastAsiaTheme="minorHAnsi" w:cs="Times New Roman"/>
          <w:sz w:val="20"/>
          <w:szCs w:val="20"/>
          <w:lang w:val="en-US"/>
        </w:rPr>
        <w:t xml:space="preserve">mentors </w:t>
      </w:r>
      <w:r w:rsidRPr="0074424A">
        <w:rPr>
          <w:rFonts w:eastAsiaTheme="minorHAnsi" w:cs="Times New Roman"/>
          <w:sz w:val="20"/>
          <w:szCs w:val="20"/>
          <w:lang w:val="en-US"/>
        </w:rPr>
        <w:t xml:space="preserve">with STEM classes or small groups of students in low </w:t>
      </w:r>
      <w:r>
        <w:rPr>
          <w:rFonts w:eastAsiaTheme="minorHAnsi" w:cs="Times New Roman"/>
          <w:sz w:val="20"/>
          <w:szCs w:val="20"/>
          <w:lang w:val="en-US"/>
        </w:rPr>
        <w:t>SES</w:t>
      </w:r>
      <w:r w:rsidRPr="0074424A">
        <w:rPr>
          <w:rFonts w:eastAsiaTheme="minorHAnsi" w:cs="Times New Roman"/>
          <w:sz w:val="20"/>
          <w:szCs w:val="20"/>
          <w:lang w:val="en-US"/>
        </w:rPr>
        <w:t xml:space="preserve"> </w:t>
      </w:r>
      <w:r w:rsidR="00393577">
        <w:rPr>
          <w:rFonts w:eastAsiaTheme="minorHAnsi" w:cs="Times New Roman"/>
          <w:sz w:val="20"/>
          <w:szCs w:val="20"/>
          <w:lang w:val="en-US"/>
        </w:rPr>
        <w:t xml:space="preserve">and </w:t>
      </w:r>
      <w:r w:rsidRPr="00393577">
        <w:rPr>
          <w:rFonts w:eastAsiaTheme="minorHAnsi" w:cs="Times New Roman"/>
          <w:sz w:val="20"/>
          <w:szCs w:val="20"/>
          <w:lang w:val="en-US"/>
        </w:rPr>
        <w:t>regional/rural/remote schools</w:t>
      </w:r>
      <w:r w:rsidRPr="0074424A">
        <w:rPr>
          <w:rFonts w:eastAsiaTheme="minorHAnsi" w:cs="Times New Roman"/>
          <w:sz w:val="20"/>
          <w:szCs w:val="20"/>
          <w:lang w:val="en-US"/>
        </w:rPr>
        <w:t xml:space="preserve">. </w:t>
      </w:r>
      <w:r>
        <w:rPr>
          <w:rFonts w:eastAsiaTheme="minorHAnsi" w:cs="Times New Roman"/>
          <w:sz w:val="20"/>
          <w:szCs w:val="20"/>
          <w:lang w:val="en-US"/>
        </w:rPr>
        <w:t xml:space="preserve">The Program </w:t>
      </w:r>
      <w:r w:rsidRPr="0074424A">
        <w:rPr>
          <w:rFonts w:eastAsiaTheme="minorHAnsi" w:cs="Times New Roman"/>
          <w:sz w:val="20"/>
          <w:szCs w:val="20"/>
          <w:lang w:val="en-US"/>
        </w:rPr>
        <w:t>relate</w:t>
      </w:r>
      <w:r>
        <w:rPr>
          <w:rFonts w:eastAsiaTheme="minorHAnsi" w:cs="Times New Roman"/>
          <w:sz w:val="20"/>
          <w:szCs w:val="20"/>
          <w:lang w:val="en-US"/>
        </w:rPr>
        <w:t>s</w:t>
      </w:r>
      <w:r w:rsidRPr="0074424A">
        <w:rPr>
          <w:rFonts w:eastAsiaTheme="minorHAnsi" w:cs="Times New Roman"/>
          <w:sz w:val="20"/>
          <w:szCs w:val="20"/>
          <w:lang w:val="en-US"/>
        </w:rPr>
        <w:t xml:space="preserve"> schoolwork to real-world examples</w:t>
      </w:r>
      <w:r w:rsidR="00C14687">
        <w:rPr>
          <w:rFonts w:eastAsiaTheme="minorHAnsi" w:cs="Times New Roman"/>
          <w:sz w:val="20"/>
          <w:szCs w:val="20"/>
          <w:lang w:val="en-US"/>
        </w:rPr>
        <w:t xml:space="preserve"> and encourages</w:t>
      </w:r>
      <w:r w:rsidRPr="0074424A">
        <w:rPr>
          <w:rFonts w:eastAsiaTheme="minorHAnsi" w:cs="Times New Roman"/>
          <w:sz w:val="20"/>
          <w:szCs w:val="20"/>
          <w:lang w:val="en-US"/>
        </w:rPr>
        <w:t xml:space="preserve"> </w:t>
      </w:r>
      <w:r>
        <w:rPr>
          <w:rFonts w:eastAsiaTheme="minorHAnsi" w:cs="Times New Roman"/>
          <w:sz w:val="20"/>
          <w:szCs w:val="20"/>
          <w:lang w:val="en-US"/>
        </w:rPr>
        <w:t xml:space="preserve">the </w:t>
      </w:r>
      <w:r w:rsidRPr="0074424A">
        <w:rPr>
          <w:rFonts w:eastAsiaTheme="minorHAnsi" w:cs="Times New Roman"/>
          <w:sz w:val="20"/>
          <w:szCs w:val="20"/>
          <w:lang w:val="en-US"/>
        </w:rPr>
        <w:t xml:space="preserve">pursuit of STEM study into </w:t>
      </w:r>
      <w:r w:rsidR="005D2F5A">
        <w:rPr>
          <w:rFonts w:eastAsiaTheme="minorHAnsi" w:cs="Times New Roman"/>
          <w:sz w:val="20"/>
          <w:szCs w:val="20"/>
          <w:lang w:val="en-US"/>
        </w:rPr>
        <w:t>Y</w:t>
      </w:r>
      <w:r w:rsidRPr="0074424A">
        <w:rPr>
          <w:rFonts w:eastAsiaTheme="minorHAnsi" w:cs="Times New Roman"/>
          <w:sz w:val="20"/>
          <w:szCs w:val="20"/>
          <w:lang w:val="en-US"/>
        </w:rPr>
        <w:t xml:space="preserve">ear 12 and beyond. </w:t>
      </w:r>
    </w:p>
    <w:p w14:paraId="5C02FB0F" w14:textId="77777777" w:rsidR="001B63B7" w:rsidRPr="0074424A" w:rsidRDefault="001B63B7" w:rsidP="001B63B7">
      <w:pPr>
        <w:pStyle w:val="ListParagraph"/>
        <w:numPr>
          <w:ilvl w:val="0"/>
          <w:numId w:val="34"/>
        </w:numPr>
        <w:spacing w:after="0" w:line="240" w:lineRule="auto"/>
        <w:ind w:left="709" w:hanging="283"/>
        <w:rPr>
          <w:b/>
          <w:i/>
          <w:sz w:val="20"/>
          <w:szCs w:val="20"/>
        </w:rPr>
      </w:pPr>
      <w:r w:rsidRPr="0074424A">
        <w:rPr>
          <w:b/>
          <w:i/>
          <w:sz w:val="20"/>
          <w:szCs w:val="20"/>
        </w:rPr>
        <w:t>Access (pre-entry and admissions)</w:t>
      </w:r>
    </w:p>
    <w:p w14:paraId="79664BE2" w14:textId="77777777" w:rsidR="001B63B7" w:rsidRPr="0074424A" w:rsidRDefault="001B63B7" w:rsidP="001B63B7">
      <w:pPr>
        <w:spacing w:after="0" w:line="240" w:lineRule="auto"/>
        <w:ind w:left="709"/>
        <w:rPr>
          <w:i/>
          <w:sz w:val="20"/>
          <w:szCs w:val="20"/>
        </w:rPr>
      </w:pPr>
      <w:r w:rsidRPr="0074424A">
        <w:rPr>
          <w:rFonts w:cs="Calibri"/>
          <w:color w:val="000000"/>
          <w:sz w:val="20"/>
          <w:szCs w:val="20"/>
        </w:rPr>
        <w:t xml:space="preserve">Access Scholarships: Awarded </w:t>
      </w:r>
      <w:proofErr w:type="gramStart"/>
      <w:r w:rsidRPr="0074424A">
        <w:rPr>
          <w:rFonts w:cs="Calibri"/>
          <w:color w:val="000000"/>
          <w:sz w:val="20"/>
          <w:szCs w:val="20"/>
        </w:rPr>
        <w:t>on the basis of</w:t>
      </w:r>
      <w:proofErr w:type="gramEnd"/>
      <w:r w:rsidRPr="0074424A">
        <w:rPr>
          <w:rFonts w:cs="Calibri"/>
          <w:color w:val="000000"/>
          <w:sz w:val="20"/>
          <w:szCs w:val="20"/>
        </w:rPr>
        <w:t xml:space="preserve"> educational disadvantage to support students.</w:t>
      </w:r>
    </w:p>
    <w:p w14:paraId="647A0A58" w14:textId="77777777" w:rsidR="001B63B7" w:rsidRPr="0074424A" w:rsidRDefault="001B63B7" w:rsidP="001B63B7">
      <w:pPr>
        <w:autoSpaceDE w:val="0"/>
        <w:autoSpaceDN w:val="0"/>
        <w:adjustRightInd w:val="0"/>
        <w:spacing w:after="0" w:line="240" w:lineRule="auto"/>
        <w:ind w:left="709"/>
        <w:contextualSpacing/>
        <w:rPr>
          <w:rFonts w:cs="Calibri"/>
          <w:iCs/>
          <w:color w:val="000000"/>
          <w:sz w:val="20"/>
          <w:szCs w:val="20"/>
        </w:rPr>
      </w:pPr>
    </w:p>
    <w:p w14:paraId="38EBCBE1" w14:textId="77777777" w:rsidR="001B63B7" w:rsidRPr="0074424A" w:rsidRDefault="001B63B7" w:rsidP="001B63B7">
      <w:pPr>
        <w:autoSpaceDE w:val="0"/>
        <w:autoSpaceDN w:val="0"/>
        <w:adjustRightInd w:val="0"/>
        <w:spacing w:after="0" w:line="240" w:lineRule="auto"/>
        <w:ind w:left="709"/>
        <w:contextualSpacing/>
        <w:rPr>
          <w:rFonts w:cs="Calibri"/>
          <w:color w:val="000000"/>
          <w:sz w:val="20"/>
          <w:szCs w:val="20"/>
        </w:rPr>
      </w:pPr>
      <w:r w:rsidRPr="0074424A">
        <w:rPr>
          <w:rFonts w:cs="Calibri"/>
          <w:iCs/>
          <w:color w:val="000000"/>
          <w:sz w:val="20"/>
          <w:szCs w:val="20"/>
        </w:rPr>
        <w:lastRenderedPageBreak/>
        <w:t xml:space="preserve">Bursaries for Care Leavers: </w:t>
      </w:r>
      <w:r w:rsidRPr="0074424A">
        <w:rPr>
          <w:rFonts w:cs="Calibri"/>
          <w:color w:val="000000"/>
          <w:sz w:val="20"/>
          <w:szCs w:val="20"/>
        </w:rPr>
        <w:t xml:space="preserve">Awarded to all commencing, domestic undergraduate students at the University who spent time in formal </w:t>
      </w:r>
      <w:proofErr w:type="spellStart"/>
      <w:r w:rsidRPr="0074424A">
        <w:rPr>
          <w:rFonts w:cs="Calibri"/>
          <w:color w:val="000000"/>
          <w:sz w:val="20"/>
          <w:szCs w:val="20"/>
        </w:rPr>
        <w:t>out-of-home</w:t>
      </w:r>
      <w:proofErr w:type="spellEnd"/>
      <w:r w:rsidRPr="0074424A">
        <w:rPr>
          <w:rFonts w:cs="Calibri"/>
          <w:color w:val="000000"/>
          <w:sz w:val="20"/>
          <w:szCs w:val="20"/>
        </w:rPr>
        <w:t xml:space="preserve"> care (i.e. foster care, residential care, kinship care, ward of the State).</w:t>
      </w:r>
    </w:p>
    <w:p w14:paraId="2394AFF2" w14:textId="77777777" w:rsidR="00AB4D5C" w:rsidRDefault="00AB4D5C" w:rsidP="001B63B7">
      <w:pPr>
        <w:autoSpaceDE w:val="0"/>
        <w:autoSpaceDN w:val="0"/>
        <w:adjustRightInd w:val="0"/>
        <w:spacing w:after="0" w:line="240" w:lineRule="auto"/>
        <w:ind w:left="709"/>
        <w:contextualSpacing/>
        <w:rPr>
          <w:rFonts w:cs="Calibri"/>
          <w:iCs/>
          <w:color w:val="000000"/>
          <w:sz w:val="20"/>
          <w:szCs w:val="20"/>
        </w:rPr>
      </w:pPr>
    </w:p>
    <w:p w14:paraId="1CE04E9C" w14:textId="17F4C0C9" w:rsidR="001B63B7" w:rsidRPr="0074424A" w:rsidRDefault="001B63B7" w:rsidP="001B63B7">
      <w:pPr>
        <w:autoSpaceDE w:val="0"/>
        <w:autoSpaceDN w:val="0"/>
        <w:adjustRightInd w:val="0"/>
        <w:spacing w:after="0" w:line="240" w:lineRule="auto"/>
        <w:ind w:left="709"/>
        <w:contextualSpacing/>
        <w:rPr>
          <w:rFonts w:cs="Calibri"/>
          <w:color w:val="000000"/>
          <w:sz w:val="20"/>
          <w:szCs w:val="20"/>
        </w:rPr>
      </w:pPr>
      <w:r w:rsidRPr="0074424A">
        <w:rPr>
          <w:rFonts w:cs="Calibri"/>
          <w:iCs/>
          <w:color w:val="000000"/>
          <w:sz w:val="20"/>
          <w:szCs w:val="20"/>
        </w:rPr>
        <w:t xml:space="preserve">Bursaries for Students from Refugee Backgrounds: </w:t>
      </w:r>
      <w:r w:rsidRPr="0074424A">
        <w:rPr>
          <w:rFonts w:cs="Calibri"/>
          <w:color w:val="000000"/>
          <w:sz w:val="20"/>
          <w:szCs w:val="20"/>
        </w:rPr>
        <w:t xml:space="preserve">Awarded to commencing, domestic undergraduate students at the University who entered on humanitarian visas. </w:t>
      </w:r>
    </w:p>
    <w:p w14:paraId="6434656D" w14:textId="77777777" w:rsidR="001B63B7" w:rsidRPr="0074424A" w:rsidRDefault="001B63B7" w:rsidP="001B63B7">
      <w:pPr>
        <w:autoSpaceDE w:val="0"/>
        <w:autoSpaceDN w:val="0"/>
        <w:adjustRightInd w:val="0"/>
        <w:spacing w:after="0" w:line="240" w:lineRule="auto"/>
        <w:ind w:left="709"/>
        <w:contextualSpacing/>
        <w:rPr>
          <w:rFonts w:cs="Calibri"/>
          <w:color w:val="000000"/>
          <w:sz w:val="20"/>
          <w:szCs w:val="20"/>
        </w:rPr>
      </w:pPr>
    </w:p>
    <w:p w14:paraId="4923EDA0" w14:textId="17638381" w:rsidR="001B63B7" w:rsidRPr="0074424A" w:rsidRDefault="001B63B7" w:rsidP="001B63B7">
      <w:pPr>
        <w:autoSpaceDE w:val="0"/>
        <w:autoSpaceDN w:val="0"/>
        <w:adjustRightInd w:val="0"/>
        <w:spacing w:after="0" w:line="240" w:lineRule="auto"/>
        <w:ind w:left="709"/>
        <w:contextualSpacing/>
        <w:rPr>
          <w:rFonts w:cs="Calibri"/>
          <w:color w:val="000000"/>
          <w:sz w:val="20"/>
          <w:szCs w:val="20"/>
        </w:rPr>
      </w:pPr>
      <w:r w:rsidRPr="0074424A">
        <w:rPr>
          <w:rFonts w:cs="Calibri"/>
          <w:color w:val="000000"/>
          <w:sz w:val="20"/>
          <w:szCs w:val="20"/>
        </w:rPr>
        <w:t xml:space="preserve">La Trobe University and Country Education Foundation scholarships: </w:t>
      </w:r>
      <w:r w:rsidR="000C42BA">
        <w:rPr>
          <w:rFonts w:cs="Calibri"/>
          <w:color w:val="000000"/>
          <w:sz w:val="20"/>
          <w:szCs w:val="20"/>
        </w:rPr>
        <w:t>Provided to</w:t>
      </w:r>
      <w:r w:rsidR="00D3610C">
        <w:rPr>
          <w:rFonts w:cs="Calibri"/>
          <w:color w:val="000000"/>
          <w:sz w:val="20"/>
          <w:szCs w:val="20"/>
        </w:rPr>
        <w:t xml:space="preserve"> </w:t>
      </w:r>
      <w:r w:rsidRPr="0074424A">
        <w:rPr>
          <w:rFonts w:cs="Calibri"/>
          <w:color w:val="000000"/>
          <w:sz w:val="20"/>
          <w:szCs w:val="20"/>
        </w:rPr>
        <w:t>young school leavers from rural and regional Australia</w:t>
      </w:r>
      <w:r w:rsidR="000C42BA">
        <w:rPr>
          <w:rFonts w:cs="Calibri"/>
          <w:color w:val="000000"/>
          <w:sz w:val="20"/>
          <w:szCs w:val="20"/>
        </w:rPr>
        <w:t xml:space="preserve"> to assist</w:t>
      </w:r>
      <w:r w:rsidRPr="0074424A">
        <w:rPr>
          <w:rFonts w:cs="Calibri"/>
          <w:color w:val="000000"/>
          <w:sz w:val="20"/>
          <w:szCs w:val="20"/>
        </w:rPr>
        <w:t xml:space="preserve"> with the direct costs associated with education including transport, accommodation, textbooks, equipment and fieldwork.</w:t>
      </w:r>
    </w:p>
    <w:p w14:paraId="025FE39A" w14:textId="77777777" w:rsidR="001B63B7" w:rsidRPr="0074424A" w:rsidRDefault="001B63B7" w:rsidP="001B63B7">
      <w:pPr>
        <w:autoSpaceDE w:val="0"/>
        <w:autoSpaceDN w:val="0"/>
        <w:adjustRightInd w:val="0"/>
        <w:spacing w:after="0" w:line="240" w:lineRule="auto"/>
        <w:contextualSpacing/>
        <w:rPr>
          <w:rFonts w:cs="Calibri"/>
          <w:color w:val="000000"/>
          <w:sz w:val="20"/>
          <w:szCs w:val="20"/>
        </w:rPr>
      </w:pPr>
    </w:p>
    <w:p w14:paraId="33AB4192" w14:textId="77777777" w:rsidR="001B63B7" w:rsidRPr="0074424A" w:rsidRDefault="001B63B7" w:rsidP="001B63B7">
      <w:pPr>
        <w:pStyle w:val="ListParagraph"/>
        <w:numPr>
          <w:ilvl w:val="0"/>
          <w:numId w:val="34"/>
        </w:numPr>
        <w:spacing w:after="0" w:line="240" w:lineRule="auto"/>
        <w:ind w:left="709" w:hanging="283"/>
        <w:rPr>
          <w:b/>
          <w:i/>
          <w:sz w:val="20"/>
          <w:szCs w:val="20"/>
        </w:rPr>
      </w:pPr>
      <w:r w:rsidRPr="0074424A">
        <w:rPr>
          <w:b/>
          <w:i/>
          <w:sz w:val="20"/>
          <w:szCs w:val="20"/>
        </w:rPr>
        <w:t>Participation (transition and progression during studies)</w:t>
      </w:r>
    </w:p>
    <w:p w14:paraId="302DD95F" w14:textId="31B21AA6" w:rsidR="00FC4FFD" w:rsidRDefault="001B63B7" w:rsidP="00FC4FFD">
      <w:pPr>
        <w:pStyle w:val="ListNumber"/>
        <w:numPr>
          <w:ilvl w:val="0"/>
          <w:numId w:val="0"/>
        </w:numPr>
        <w:spacing w:after="0" w:line="240" w:lineRule="auto"/>
        <w:ind w:left="709"/>
        <w:rPr>
          <w:rFonts w:eastAsiaTheme="minorHAnsi" w:cs="Times New Roman"/>
          <w:sz w:val="20"/>
          <w:szCs w:val="20"/>
        </w:rPr>
      </w:pPr>
      <w:r w:rsidRPr="0074424A">
        <w:rPr>
          <w:rFonts w:eastAsiaTheme="minorHAnsi"/>
          <w:sz w:val="20"/>
          <w:szCs w:val="20"/>
        </w:rPr>
        <w:t xml:space="preserve">Succeed Program: </w:t>
      </w:r>
      <w:r w:rsidR="00D65316">
        <w:rPr>
          <w:rFonts w:eastAsiaTheme="minorHAnsi" w:cs="Times New Roman"/>
          <w:sz w:val="20"/>
          <w:szCs w:val="20"/>
        </w:rPr>
        <w:t>I</w:t>
      </w:r>
      <w:r w:rsidRPr="0074424A">
        <w:rPr>
          <w:rFonts w:eastAsiaTheme="minorHAnsi" w:cs="Times New Roman"/>
          <w:sz w:val="20"/>
          <w:szCs w:val="20"/>
        </w:rPr>
        <w:t xml:space="preserve">dentify and engage commencing undergraduate students at risk of disengagement. </w:t>
      </w:r>
      <w:r w:rsidR="00FE59BA">
        <w:rPr>
          <w:rFonts w:eastAsiaTheme="minorHAnsi" w:cs="Times New Roman"/>
          <w:sz w:val="20"/>
          <w:szCs w:val="20"/>
        </w:rPr>
        <w:t>Th</w:t>
      </w:r>
      <w:r w:rsidR="00350E48">
        <w:rPr>
          <w:rFonts w:eastAsiaTheme="minorHAnsi" w:cs="Times New Roman"/>
          <w:sz w:val="20"/>
          <w:szCs w:val="20"/>
        </w:rPr>
        <w:t xml:space="preserve">is University-wide communication and referral strategy </w:t>
      </w:r>
      <w:r w:rsidR="00FE59BA">
        <w:rPr>
          <w:rFonts w:eastAsiaTheme="minorHAnsi" w:cs="Times New Roman"/>
          <w:sz w:val="20"/>
          <w:szCs w:val="20"/>
        </w:rPr>
        <w:t>is informed by predictive and learning analytics.</w:t>
      </w:r>
    </w:p>
    <w:p w14:paraId="0C6CB8C0" w14:textId="77777777" w:rsidR="00FC4FFD" w:rsidRDefault="00FC4FFD" w:rsidP="00FC4FFD">
      <w:pPr>
        <w:pStyle w:val="ListNumber"/>
        <w:numPr>
          <w:ilvl w:val="0"/>
          <w:numId w:val="0"/>
        </w:numPr>
        <w:spacing w:after="0" w:line="240" w:lineRule="auto"/>
        <w:ind w:left="709"/>
        <w:rPr>
          <w:rFonts w:eastAsiaTheme="minorHAnsi" w:cs="Times New Roman"/>
          <w:sz w:val="20"/>
          <w:szCs w:val="20"/>
        </w:rPr>
      </w:pPr>
    </w:p>
    <w:p w14:paraId="32457486" w14:textId="77A7C63F" w:rsidR="001B63B7" w:rsidRPr="00FC4FFD" w:rsidRDefault="001B63B7" w:rsidP="00FC4FFD">
      <w:pPr>
        <w:pStyle w:val="ListNumber"/>
        <w:numPr>
          <w:ilvl w:val="0"/>
          <w:numId w:val="0"/>
        </w:numPr>
        <w:spacing w:after="0" w:line="240" w:lineRule="auto"/>
        <w:ind w:left="709"/>
        <w:rPr>
          <w:rFonts w:eastAsiaTheme="minorHAnsi" w:cs="Times New Roman"/>
          <w:sz w:val="20"/>
          <w:szCs w:val="20"/>
        </w:rPr>
      </w:pPr>
      <w:r w:rsidRPr="0074424A">
        <w:rPr>
          <w:sz w:val="20"/>
          <w:szCs w:val="20"/>
        </w:rPr>
        <w:t xml:space="preserve">Subject Support Tutor Program: </w:t>
      </w:r>
      <w:r w:rsidR="00BC7C21">
        <w:rPr>
          <w:sz w:val="20"/>
          <w:szCs w:val="20"/>
        </w:rPr>
        <w:t xml:space="preserve">Provide </w:t>
      </w:r>
      <w:r w:rsidRPr="0074424A">
        <w:rPr>
          <w:sz w:val="20"/>
          <w:szCs w:val="20"/>
        </w:rPr>
        <w:t xml:space="preserve">discipline and course-specific academic support for academically under-prepared students. </w:t>
      </w:r>
    </w:p>
    <w:p w14:paraId="2D940ACD" w14:textId="77777777" w:rsidR="001B63B7" w:rsidRPr="0074424A" w:rsidRDefault="001B63B7" w:rsidP="00C41083">
      <w:pPr>
        <w:pStyle w:val="ListNumber"/>
        <w:numPr>
          <w:ilvl w:val="0"/>
          <w:numId w:val="0"/>
        </w:numPr>
        <w:spacing w:after="240" w:line="240" w:lineRule="auto"/>
        <w:ind w:left="709"/>
        <w:rPr>
          <w:sz w:val="20"/>
          <w:szCs w:val="20"/>
        </w:rPr>
      </w:pPr>
    </w:p>
    <w:p w14:paraId="236F3750" w14:textId="58336F11" w:rsidR="001B63B7" w:rsidRPr="0074424A" w:rsidRDefault="001B63B7" w:rsidP="00C41083">
      <w:pPr>
        <w:pStyle w:val="ListNumber"/>
        <w:numPr>
          <w:ilvl w:val="0"/>
          <w:numId w:val="0"/>
        </w:numPr>
        <w:spacing w:after="240" w:line="240" w:lineRule="auto"/>
        <w:ind w:left="709"/>
        <w:rPr>
          <w:sz w:val="20"/>
          <w:szCs w:val="20"/>
        </w:rPr>
      </w:pPr>
      <w:r w:rsidRPr="0074424A">
        <w:rPr>
          <w:sz w:val="20"/>
          <w:szCs w:val="20"/>
        </w:rPr>
        <w:t>Peer Learning Advisers: Provide academic skills advice, numeracy, and literacy advice to students.</w:t>
      </w:r>
    </w:p>
    <w:p w14:paraId="45A2D275" w14:textId="77777777" w:rsidR="0074424A" w:rsidRPr="0074424A" w:rsidRDefault="0074424A" w:rsidP="00C41083">
      <w:pPr>
        <w:pStyle w:val="ListNumber"/>
        <w:numPr>
          <w:ilvl w:val="0"/>
          <w:numId w:val="0"/>
        </w:numPr>
        <w:spacing w:after="240" w:line="240" w:lineRule="auto"/>
        <w:ind w:left="709"/>
        <w:rPr>
          <w:sz w:val="20"/>
          <w:szCs w:val="20"/>
        </w:rPr>
      </w:pPr>
    </w:p>
    <w:p w14:paraId="0B97019F" w14:textId="315E51D8" w:rsidR="0074424A" w:rsidRPr="0028522A" w:rsidRDefault="0074424A" w:rsidP="0028522A">
      <w:pPr>
        <w:pStyle w:val="ListNumber"/>
        <w:numPr>
          <w:ilvl w:val="0"/>
          <w:numId w:val="0"/>
        </w:numPr>
        <w:spacing w:after="240" w:line="240" w:lineRule="auto"/>
        <w:ind w:left="709"/>
        <w:rPr>
          <w:rFonts w:eastAsiaTheme="minorHAnsi" w:cs="Times New Roman"/>
          <w:sz w:val="20"/>
          <w:szCs w:val="20"/>
        </w:rPr>
      </w:pPr>
      <w:proofErr w:type="spellStart"/>
      <w:r w:rsidRPr="0074424A">
        <w:rPr>
          <w:rFonts w:eastAsiaTheme="minorHAnsi" w:cs="Times New Roman"/>
          <w:sz w:val="20"/>
          <w:szCs w:val="20"/>
          <w:lang w:val="en-US"/>
        </w:rPr>
        <w:t>Maths</w:t>
      </w:r>
      <w:proofErr w:type="spellEnd"/>
      <w:r w:rsidRPr="0074424A">
        <w:rPr>
          <w:rFonts w:eastAsiaTheme="minorHAnsi" w:cs="Times New Roman"/>
          <w:sz w:val="20"/>
          <w:szCs w:val="20"/>
          <w:lang w:val="en-US"/>
        </w:rPr>
        <w:t xml:space="preserve"> </w:t>
      </w:r>
      <w:r w:rsidR="006A7538">
        <w:rPr>
          <w:rFonts w:eastAsiaTheme="minorHAnsi" w:cs="Times New Roman"/>
          <w:sz w:val="20"/>
          <w:szCs w:val="20"/>
          <w:lang w:val="en-US"/>
        </w:rPr>
        <w:t xml:space="preserve">and Science </w:t>
      </w:r>
      <w:r w:rsidRPr="0074424A">
        <w:rPr>
          <w:rFonts w:eastAsiaTheme="minorHAnsi" w:cs="Times New Roman"/>
          <w:sz w:val="20"/>
          <w:szCs w:val="20"/>
          <w:lang w:val="en-US"/>
        </w:rPr>
        <w:t>Hub</w:t>
      </w:r>
      <w:r w:rsidR="006A7538">
        <w:rPr>
          <w:rFonts w:eastAsiaTheme="minorHAnsi" w:cs="Times New Roman"/>
          <w:sz w:val="20"/>
          <w:szCs w:val="20"/>
          <w:lang w:val="en-US"/>
        </w:rPr>
        <w:t>s</w:t>
      </w:r>
      <w:r w:rsidRPr="0074424A">
        <w:rPr>
          <w:rFonts w:eastAsiaTheme="minorHAnsi" w:cs="Times New Roman"/>
          <w:sz w:val="20"/>
          <w:szCs w:val="20"/>
          <w:lang w:val="en-US"/>
        </w:rPr>
        <w:t xml:space="preserve">: </w:t>
      </w:r>
      <w:r w:rsidR="002F1470">
        <w:rPr>
          <w:rFonts w:eastAsiaTheme="minorHAnsi" w:cs="Times New Roman"/>
          <w:sz w:val="20"/>
          <w:szCs w:val="20"/>
          <w:lang w:val="en-US"/>
        </w:rPr>
        <w:t xml:space="preserve">Assist students </w:t>
      </w:r>
      <w:r w:rsidRPr="0074424A">
        <w:rPr>
          <w:rFonts w:eastAsiaTheme="minorHAnsi" w:cs="Times New Roman"/>
          <w:sz w:val="20"/>
          <w:szCs w:val="20"/>
          <w:lang w:val="en-US"/>
        </w:rPr>
        <w:t xml:space="preserve">who are lacking in </w:t>
      </w:r>
      <w:r w:rsidR="006A7538">
        <w:rPr>
          <w:rFonts w:eastAsiaTheme="minorHAnsi" w:cs="Times New Roman"/>
          <w:sz w:val="20"/>
          <w:szCs w:val="20"/>
          <w:lang w:val="en-US"/>
        </w:rPr>
        <w:t xml:space="preserve">the discipline </w:t>
      </w:r>
      <w:r w:rsidRPr="0074424A">
        <w:rPr>
          <w:rFonts w:eastAsiaTheme="minorHAnsi" w:cs="Times New Roman"/>
          <w:sz w:val="20"/>
          <w:szCs w:val="20"/>
          <w:lang w:val="en-US"/>
        </w:rPr>
        <w:t>skills</w:t>
      </w:r>
      <w:r w:rsidR="006A7538">
        <w:rPr>
          <w:rFonts w:eastAsiaTheme="minorHAnsi" w:cs="Times New Roman"/>
          <w:sz w:val="20"/>
          <w:szCs w:val="20"/>
          <w:lang w:val="en-US"/>
        </w:rPr>
        <w:t xml:space="preserve"> </w:t>
      </w:r>
      <w:r w:rsidRPr="0074424A">
        <w:rPr>
          <w:rFonts w:eastAsiaTheme="minorHAnsi" w:cs="Times New Roman"/>
          <w:sz w:val="20"/>
          <w:szCs w:val="20"/>
          <w:lang w:val="en-US"/>
        </w:rPr>
        <w:t xml:space="preserve">of </w:t>
      </w:r>
      <w:proofErr w:type="spellStart"/>
      <w:r w:rsidR="006A7538">
        <w:rPr>
          <w:rFonts w:eastAsiaTheme="minorHAnsi" w:cs="Times New Roman"/>
          <w:sz w:val="20"/>
          <w:szCs w:val="20"/>
          <w:lang w:val="en-US"/>
        </w:rPr>
        <w:t>Maths</w:t>
      </w:r>
      <w:proofErr w:type="spellEnd"/>
      <w:r w:rsidR="006A7538">
        <w:rPr>
          <w:rFonts w:eastAsiaTheme="minorHAnsi" w:cs="Times New Roman"/>
          <w:sz w:val="20"/>
          <w:szCs w:val="20"/>
          <w:lang w:val="en-US"/>
        </w:rPr>
        <w:t xml:space="preserve">, </w:t>
      </w:r>
      <w:r w:rsidRPr="0074424A">
        <w:rPr>
          <w:rFonts w:eastAsiaTheme="minorHAnsi" w:cs="Times New Roman"/>
          <w:sz w:val="20"/>
          <w:szCs w:val="20"/>
          <w:lang w:val="en-US"/>
        </w:rPr>
        <w:t>Anatomy, Physiology, Biology, Chemistry and Physics.</w:t>
      </w:r>
    </w:p>
    <w:p w14:paraId="4A144959" w14:textId="77777777" w:rsidR="001B63B7" w:rsidRPr="0074424A" w:rsidRDefault="001B63B7" w:rsidP="00C41083">
      <w:pPr>
        <w:pStyle w:val="ListNumber"/>
        <w:numPr>
          <w:ilvl w:val="0"/>
          <w:numId w:val="0"/>
        </w:numPr>
        <w:spacing w:after="240" w:line="240" w:lineRule="auto"/>
        <w:ind w:left="709"/>
        <w:rPr>
          <w:rFonts w:cs="Arial"/>
          <w:sz w:val="20"/>
          <w:szCs w:val="20"/>
        </w:rPr>
      </w:pPr>
    </w:p>
    <w:p w14:paraId="725B0136" w14:textId="4FB0E0D7" w:rsidR="001B63B7" w:rsidRDefault="001B63B7" w:rsidP="00C41083">
      <w:pPr>
        <w:pStyle w:val="ListNumber"/>
        <w:numPr>
          <w:ilvl w:val="0"/>
          <w:numId w:val="0"/>
        </w:numPr>
        <w:spacing w:after="240" w:line="240" w:lineRule="auto"/>
        <w:ind w:left="709"/>
        <w:rPr>
          <w:sz w:val="20"/>
          <w:szCs w:val="20"/>
        </w:rPr>
      </w:pPr>
      <w:r w:rsidRPr="0074424A">
        <w:rPr>
          <w:rFonts w:cs="Arial"/>
          <w:sz w:val="20"/>
          <w:szCs w:val="20"/>
        </w:rPr>
        <w:t>Student Support Coordinator</w:t>
      </w:r>
      <w:r w:rsidR="0074424A" w:rsidRPr="0074424A">
        <w:rPr>
          <w:rFonts w:cs="Arial"/>
          <w:sz w:val="20"/>
          <w:szCs w:val="20"/>
        </w:rPr>
        <w:t xml:space="preserve"> program</w:t>
      </w:r>
      <w:r w:rsidRPr="0074424A">
        <w:rPr>
          <w:rFonts w:cs="Arial"/>
          <w:sz w:val="20"/>
          <w:szCs w:val="20"/>
        </w:rPr>
        <w:t xml:space="preserve">: </w:t>
      </w:r>
      <w:r w:rsidR="005329B1">
        <w:rPr>
          <w:sz w:val="20"/>
          <w:szCs w:val="20"/>
          <w:lang w:val="en"/>
        </w:rPr>
        <w:t>A</w:t>
      </w:r>
      <w:r w:rsidR="0074424A" w:rsidRPr="0074424A">
        <w:rPr>
          <w:sz w:val="20"/>
          <w:szCs w:val="20"/>
          <w:lang w:val="en"/>
        </w:rPr>
        <w:t xml:space="preserve">ssist </w:t>
      </w:r>
      <w:r w:rsidR="0074424A" w:rsidRPr="00460C87">
        <w:rPr>
          <w:sz w:val="20"/>
          <w:szCs w:val="20"/>
          <w:lang w:val="en"/>
        </w:rPr>
        <w:t>low SES</w:t>
      </w:r>
      <w:r w:rsidR="0074424A" w:rsidRPr="0074424A">
        <w:rPr>
          <w:sz w:val="20"/>
          <w:szCs w:val="20"/>
        </w:rPr>
        <w:t xml:space="preserve"> students to develop a sustainable education plan, ensure students are connected to the right supports for individual success, and design and deliver</w:t>
      </w:r>
      <w:r w:rsidR="0074424A" w:rsidRPr="00C41083">
        <w:rPr>
          <w:sz w:val="20"/>
          <w:szCs w:val="20"/>
        </w:rPr>
        <w:t xml:space="preserve"> specialist programs and activities.</w:t>
      </w:r>
    </w:p>
    <w:p w14:paraId="4FAE69ED" w14:textId="77777777" w:rsidR="003351C2" w:rsidRPr="0074424A" w:rsidRDefault="003351C2" w:rsidP="00C41083">
      <w:pPr>
        <w:pStyle w:val="ListNumber"/>
        <w:numPr>
          <w:ilvl w:val="0"/>
          <w:numId w:val="0"/>
        </w:numPr>
        <w:spacing w:after="240" w:line="240" w:lineRule="auto"/>
        <w:ind w:left="709"/>
        <w:rPr>
          <w:rFonts w:cs="Arial"/>
          <w:sz w:val="20"/>
          <w:szCs w:val="20"/>
        </w:rPr>
      </w:pPr>
    </w:p>
    <w:p w14:paraId="74291241" w14:textId="074CC77B" w:rsidR="00FC4FFD" w:rsidRDefault="00FC4FFD" w:rsidP="00FC4FFD">
      <w:pPr>
        <w:pStyle w:val="ListNumber"/>
        <w:numPr>
          <w:ilvl w:val="0"/>
          <w:numId w:val="0"/>
        </w:numPr>
        <w:spacing w:after="240" w:line="240" w:lineRule="auto"/>
        <w:ind w:left="709"/>
        <w:rPr>
          <w:rFonts w:cs="Arial"/>
          <w:sz w:val="20"/>
          <w:szCs w:val="20"/>
        </w:rPr>
      </w:pPr>
      <w:r w:rsidRPr="0074424A">
        <w:rPr>
          <w:rFonts w:cs="Arial"/>
          <w:sz w:val="20"/>
          <w:szCs w:val="20"/>
        </w:rPr>
        <w:t>Predictive Analytics Project: Provide the student-facing services at La Trobe with predictive and learning analytics to identify risks of failure and attrition</w:t>
      </w:r>
      <w:r w:rsidR="00CC1F74">
        <w:rPr>
          <w:rFonts w:cs="Arial"/>
          <w:sz w:val="20"/>
          <w:szCs w:val="20"/>
        </w:rPr>
        <w:t xml:space="preserve">, with a focus on </w:t>
      </w:r>
      <w:r w:rsidRPr="0074424A">
        <w:rPr>
          <w:rFonts w:cs="Arial"/>
          <w:sz w:val="20"/>
          <w:szCs w:val="20"/>
        </w:rPr>
        <w:t xml:space="preserve">low SES </w:t>
      </w:r>
      <w:r>
        <w:rPr>
          <w:rFonts w:cs="Arial"/>
          <w:sz w:val="20"/>
          <w:szCs w:val="20"/>
        </w:rPr>
        <w:t xml:space="preserve">students. </w:t>
      </w:r>
    </w:p>
    <w:p w14:paraId="6F61007C" w14:textId="77777777" w:rsidR="0028522A" w:rsidRDefault="0028522A" w:rsidP="0028522A">
      <w:pPr>
        <w:pStyle w:val="ListNumber"/>
        <w:numPr>
          <w:ilvl w:val="0"/>
          <w:numId w:val="0"/>
        </w:numPr>
        <w:spacing w:after="240" w:line="240" w:lineRule="auto"/>
        <w:ind w:left="709"/>
        <w:rPr>
          <w:rFonts w:cs="Arial"/>
          <w:sz w:val="20"/>
          <w:szCs w:val="20"/>
        </w:rPr>
      </w:pPr>
    </w:p>
    <w:p w14:paraId="4C480469" w14:textId="70DA9283" w:rsidR="001B63B7" w:rsidRPr="0074424A" w:rsidRDefault="0028522A" w:rsidP="0028522A">
      <w:pPr>
        <w:pStyle w:val="ListNumber"/>
        <w:numPr>
          <w:ilvl w:val="0"/>
          <w:numId w:val="0"/>
        </w:numPr>
        <w:spacing w:after="240" w:line="240" w:lineRule="auto"/>
        <w:ind w:left="709"/>
        <w:rPr>
          <w:rFonts w:cs="Arial"/>
          <w:sz w:val="20"/>
          <w:szCs w:val="20"/>
        </w:rPr>
      </w:pPr>
      <w:r w:rsidRPr="0074424A">
        <w:rPr>
          <w:sz w:val="20"/>
          <w:szCs w:val="20"/>
        </w:rPr>
        <w:t>Equity and Diversity Centre: P</w:t>
      </w:r>
      <w:r w:rsidRPr="0074424A">
        <w:rPr>
          <w:rFonts w:cs="Arial"/>
          <w:sz w:val="20"/>
          <w:szCs w:val="20"/>
        </w:rPr>
        <w:t>romote equal participation of all students and staff of the University and fosters an environment free of discrimination and harassment.</w:t>
      </w:r>
    </w:p>
    <w:p w14:paraId="01DE154D" w14:textId="77777777" w:rsidR="001B63B7" w:rsidRPr="0074424A" w:rsidRDefault="001B63B7" w:rsidP="001B63B7">
      <w:pPr>
        <w:pStyle w:val="ListParagraph"/>
        <w:numPr>
          <w:ilvl w:val="0"/>
          <w:numId w:val="34"/>
        </w:numPr>
        <w:spacing w:after="0" w:line="240" w:lineRule="auto"/>
        <w:ind w:left="709" w:hanging="283"/>
        <w:rPr>
          <w:b/>
          <w:i/>
          <w:sz w:val="20"/>
          <w:szCs w:val="20"/>
        </w:rPr>
      </w:pPr>
      <w:r w:rsidRPr="0074424A">
        <w:rPr>
          <w:b/>
          <w:i/>
          <w:sz w:val="20"/>
          <w:szCs w:val="20"/>
        </w:rPr>
        <w:t xml:space="preserve">Progress and attainment (successful completion and preparation for graduate employment) </w:t>
      </w:r>
    </w:p>
    <w:p w14:paraId="2515E53A" w14:textId="5DC68EA0" w:rsidR="001B63B7" w:rsidRDefault="001B63B7" w:rsidP="00B40096">
      <w:pPr>
        <w:pStyle w:val="Default"/>
        <w:ind w:left="709"/>
        <w:contextualSpacing/>
        <w:rPr>
          <w:rFonts w:asciiTheme="minorHAnsi" w:eastAsiaTheme="minorEastAsia" w:hAnsiTheme="minorHAnsi"/>
          <w:sz w:val="20"/>
          <w:szCs w:val="20"/>
          <w:lang w:eastAsia="en-US"/>
        </w:rPr>
      </w:pPr>
      <w:r w:rsidRPr="0074424A">
        <w:rPr>
          <w:rFonts w:asciiTheme="minorHAnsi" w:eastAsiaTheme="minorEastAsia" w:hAnsiTheme="minorHAnsi"/>
          <w:sz w:val="20"/>
          <w:szCs w:val="20"/>
          <w:lang w:eastAsia="en-US"/>
        </w:rPr>
        <w:t xml:space="preserve">Employability Grants: Awarded </w:t>
      </w:r>
      <w:proofErr w:type="gramStart"/>
      <w:r w:rsidRPr="0074424A">
        <w:rPr>
          <w:rFonts w:asciiTheme="minorHAnsi" w:eastAsiaTheme="minorEastAsia" w:hAnsiTheme="minorHAnsi"/>
          <w:sz w:val="20"/>
          <w:szCs w:val="20"/>
          <w:lang w:eastAsia="en-US"/>
        </w:rPr>
        <w:t>on the basis of</w:t>
      </w:r>
      <w:proofErr w:type="gramEnd"/>
      <w:r w:rsidRPr="0074424A">
        <w:rPr>
          <w:rFonts w:asciiTheme="minorHAnsi" w:eastAsiaTheme="minorEastAsia" w:hAnsiTheme="minorHAnsi"/>
          <w:sz w:val="20"/>
          <w:szCs w:val="20"/>
          <w:lang w:eastAsia="en-US"/>
        </w:rPr>
        <w:t xml:space="preserve"> financial disadvantage to assist low SES students with placements and internships. </w:t>
      </w:r>
    </w:p>
    <w:p w14:paraId="255A7940" w14:textId="77777777" w:rsidR="00AB4D5C" w:rsidRPr="0074424A" w:rsidRDefault="00AB4D5C" w:rsidP="00B40096">
      <w:pPr>
        <w:pStyle w:val="Default"/>
        <w:ind w:left="709"/>
        <w:contextualSpacing/>
        <w:rPr>
          <w:rFonts w:asciiTheme="minorHAnsi" w:eastAsiaTheme="minorEastAsia" w:hAnsiTheme="minorHAnsi"/>
          <w:sz w:val="20"/>
          <w:szCs w:val="20"/>
          <w:lang w:eastAsia="en-US"/>
        </w:rPr>
      </w:pPr>
    </w:p>
    <w:p w14:paraId="5407B324" w14:textId="77777777" w:rsidR="001B63B7" w:rsidRPr="0074424A" w:rsidRDefault="001B63B7" w:rsidP="001B63B7">
      <w:pPr>
        <w:autoSpaceDE w:val="0"/>
        <w:autoSpaceDN w:val="0"/>
        <w:adjustRightInd w:val="0"/>
        <w:spacing w:after="0" w:line="240" w:lineRule="auto"/>
        <w:ind w:left="709"/>
        <w:contextualSpacing/>
        <w:rPr>
          <w:rFonts w:cs="Calibri"/>
          <w:color w:val="000000"/>
          <w:sz w:val="20"/>
          <w:szCs w:val="20"/>
        </w:rPr>
      </w:pPr>
      <w:r w:rsidRPr="0074424A">
        <w:rPr>
          <w:rFonts w:cs="Calibri"/>
          <w:iCs/>
          <w:color w:val="000000"/>
          <w:sz w:val="20"/>
          <w:szCs w:val="20"/>
        </w:rPr>
        <w:t>Student Mobility Assistance Scholarships</w:t>
      </w:r>
      <w:r w:rsidRPr="0074424A">
        <w:rPr>
          <w:rFonts w:cs="Calibri"/>
          <w:color w:val="000000"/>
          <w:sz w:val="20"/>
          <w:szCs w:val="20"/>
        </w:rPr>
        <w:t xml:space="preserve">: Awarded </w:t>
      </w:r>
      <w:proofErr w:type="gramStart"/>
      <w:r w:rsidRPr="0074424A">
        <w:rPr>
          <w:rFonts w:cs="Calibri"/>
          <w:color w:val="000000"/>
          <w:sz w:val="20"/>
          <w:szCs w:val="20"/>
        </w:rPr>
        <w:t>on the basis of</w:t>
      </w:r>
      <w:proofErr w:type="gramEnd"/>
      <w:r w:rsidRPr="0074424A">
        <w:rPr>
          <w:rFonts w:cs="Calibri"/>
          <w:color w:val="000000"/>
          <w:sz w:val="20"/>
          <w:szCs w:val="20"/>
        </w:rPr>
        <w:t xml:space="preserve"> financial disadvantage to assist low SES students participating in an overseas exchange. </w:t>
      </w:r>
    </w:p>
    <w:p w14:paraId="23178D6C" w14:textId="7FD3CCB8" w:rsidR="00395311" w:rsidRPr="00395311" w:rsidRDefault="00395311" w:rsidP="00395311">
      <w:pPr>
        <w:pStyle w:val="ListNumber"/>
        <w:numPr>
          <w:ilvl w:val="0"/>
          <w:numId w:val="0"/>
        </w:numPr>
        <w:spacing w:after="240" w:line="240" w:lineRule="auto"/>
        <w:rPr>
          <w:sz w:val="24"/>
        </w:rPr>
      </w:pPr>
    </w:p>
    <w:p w14:paraId="7178F1A7" w14:textId="683C5C99" w:rsidR="00C41083" w:rsidRPr="00C41083" w:rsidRDefault="00E75A27" w:rsidP="00C41083">
      <w:pPr>
        <w:pStyle w:val="ListNumber"/>
        <w:numPr>
          <w:ilvl w:val="0"/>
          <w:numId w:val="27"/>
        </w:numPr>
        <w:spacing w:after="240" w:line="240" w:lineRule="auto"/>
        <w:rPr>
          <w:sz w:val="20"/>
          <w:szCs w:val="20"/>
        </w:rPr>
      </w:pPr>
      <w:r w:rsidRPr="00C41083">
        <w:rPr>
          <w:b/>
          <w:sz w:val="20"/>
          <w:szCs w:val="20"/>
        </w:rPr>
        <w:t>Evaluation</w:t>
      </w:r>
      <w:r w:rsidRPr="00C41083">
        <w:rPr>
          <w:sz w:val="20"/>
          <w:szCs w:val="20"/>
        </w:rPr>
        <w:t>: how the university plans to evaluate the effectiveness of the equity strategies.</w:t>
      </w:r>
    </w:p>
    <w:p w14:paraId="01A0EEB5" w14:textId="77777777" w:rsidR="00C41083" w:rsidRPr="00C41083" w:rsidRDefault="00C41083" w:rsidP="00C41083">
      <w:pPr>
        <w:pStyle w:val="ListNumber"/>
        <w:numPr>
          <w:ilvl w:val="0"/>
          <w:numId w:val="0"/>
        </w:numPr>
        <w:spacing w:after="240" w:line="240" w:lineRule="auto"/>
        <w:ind w:left="360" w:hanging="360"/>
        <w:rPr>
          <w:sz w:val="20"/>
          <w:szCs w:val="20"/>
        </w:rPr>
      </w:pPr>
    </w:p>
    <w:p w14:paraId="3970D8C4" w14:textId="4BC071F3" w:rsidR="00C41083" w:rsidRPr="00284049" w:rsidRDefault="00C41083" w:rsidP="00284049">
      <w:pPr>
        <w:pStyle w:val="ListNumber"/>
        <w:numPr>
          <w:ilvl w:val="0"/>
          <w:numId w:val="0"/>
        </w:numPr>
        <w:spacing w:after="240" w:line="240" w:lineRule="auto"/>
        <w:ind w:left="360" w:hanging="360"/>
        <w:rPr>
          <w:sz w:val="20"/>
          <w:szCs w:val="20"/>
        </w:rPr>
      </w:pPr>
      <w:r w:rsidRPr="00C41083">
        <w:rPr>
          <w:sz w:val="20"/>
          <w:szCs w:val="20"/>
        </w:rPr>
        <w:t>The evaluation and monitoring processes deployed:</w:t>
      </w:r>
    </w:p>
    <w:p w14:paraId="3938A787" w14:textId="6FA3F360" w:rsidR="00C41083" w:rsidRPr="00C41083" w:rsidRDefault="00C41083" w:rsidP="00C41083">
      <w:pPr>
        <w:pStyle w:val="ListNumber"/>
        <w:numPr>
          <w:ilvl w:val="0"/>
          <w:numId w:val="36"/>
        </w:numPr>
        <w:spacing w:after="0" w:line="240" w:lineRule="auto"/>
        <w:rPr>
          <w:rFonts w:cs="Calibri"/>
          <w:color w:val="000000" w:themeColor="text1"/>
          <w:sz w:val="20"/>
          <w:szCs w:val="20"/>
        </w:rPr>
      </w:pPr>
      <w:r w:rsidRPr="00C41083">
        <w:rPr>
          <w:rFonts w:cs="Calibri"/>
          <w:color w:val="000000" w:themeColor="text1"/>
          <w:sz w:val="20"/>
          <w:szCs w:val="20"/>
        </w:rPr>
        <w:t>The Centre for Higher Education Equity and Diversity R</w:t>
      </w:r>
      <w:r w:rsidRPr="00460C87">
        <w:rPr>
          <w:rFonts w:cs="Calibri"/>
          <w:color w:val="000000" w:themeColor="text1"/>
          <w:sz w:val="20"/>
          <w:szCs w:val="20"/>
        </w:rPr>
        <w:t xml:space="preserve">esearch (CHEEDR) will continue its role </w:t>
      </w:r>
      <w:r w:rsidR="00460C87" w:rsidRPr="00460C87">
        <w:rPr>
          <w:rFonts w:cs="Calibri"/>
          <w:color w:val="000000" w:themeColor="text1"/>
          <w:sz w:val="20"/>
          <w:szCs w:val="20"/>
        </w:rPr>
        <w:t>of program</w:t>
      </w:r>
      <w:r w:rsidRPr="00460C87">
        <w:rPr>
          <w:rFonts w:cs="Calibri"/>
          <w:color w:val="000000" w:themeColor="text1"/>
          <w:sz w:val="20"/>
          <w:szCs w:val="20"/>
        </w:rPr>
        <w:t xml:space="preserve"> evaluation for internal projects, while</w:t>
      </w:r>
      <w:r w:rsidRPr="00C41083">
        <w:rPr>
          <w:rFonts w:cs="Calibri"/>
          <w:color w:val="000000" w:themeColor="text1"/>
          <w:sz w:val="20"/>
          <w:szCs w:val="20"/>
        </w:rPr>
        <w:t xml:space="preserve"> building capacity among other units for self-evaluation through developing evaluation frameworks and internal communications;</w:t>
      </w:r>
    </w:p>
    <w:p w14:paraId="4D7FB518" w14:textId="77777777" w:rsidR="00C41083" w:rsidRPr="00C41083" w:rsidRDefault="00C41083" w:rsidP="00C41083">
      <w:pPr>
        <w:pStyle w:val="ListNumber"/>
        <w:numPr>
          <w:ilvl w:val="0"/>
          <w:numId w:val="36"/>
        </w:numPr>
        <w:spacing w:after="0" w:line="240" w:lineRule="auto"/>
        <w:rPr>
          <w:rFonts w:cs="Calibri"/>
          <w:color w:val="000000" w:themeColor="text1"/>
          <w:sz w:val="20"/>
          <w:szCs w:val="20"/>
        </w:rPr>
      </w:pPr>
      <w:r w:rsidRPr="00C41083">
        <w:rPr>
          <w:rFonts w:cs="Calibri"/>
          <w:color w:val="000000" w:themeColor="text1"/>
          <w:sz w:val="20"/>
          <w:szCs w:val="20"/>
        </w:rPr>
        <w:t>HEPPP project managers will provide project evaluations based on student geo-demographics and indicators including access, success, retention, and completion;</w:t>
      </w:r>
    </w:p>
    <w:p w14:paraId="37532566" w14:textId="77777777" w:rsidR="00C41083" w:rsidRPr="00C41083" w:rsidRDefault="00C41083" w:rsidP="00C41083">
      <w:pPr>
        <w:pStyle w:val="ListNumber"/>
        <w:numPr>
          <w:ilvl w:val="0"/>
          <w:numId w:val="36"/>
        </w:numPr>
        <w:spacing w:after="0" w:line="240" w:lineRule="auto"/>
        <w:rPr>
          <w:rFonts w:cs="Calibri"/>
          <w:color w:val="000000" w:themeColor="text1"/>
          <w:sz w:val="20"/>
          <w:szCs w:val="20"/>
        </w:rPr>
      </w:pPr>
      <w:r w:rsidRPr="00C41083">
        <w:rPr>
          <w:rFonts w:cstheme="minorHAnsi"/>
          <w:color w:val="000000" w:themeColor="text1"/>
          <w:sz w:val="20"/>
          <w:szCs w:val="20"/>
        </w:rPr>
        <w:t>Overall access, participation, satisfaction, and success rates of under-represented students, as well as graduate outcomes, will continue to be monitored through the University’s Student Information System and surveys such as the SES, CEQ, and GOS.</w:t>
      </w:r>
    </w:p>
    <w:p w14:paraId="2142A186" w14:textId="598F8235" w:rsidR="00395311" w:rsidRPr="00C41083" w:rsidRDefault="00395311" w:rsidP="00395311">
      <w:pPr>
        <w:pStyle w:val="ListNumber"/>
        <w:numPr>
          <w:ilvl w:val="0"/>
          <w:numId w:val="0"/>
        </w:numPr>
        <w:spacing w:after="240" w:line="240" w:lineRule="auto"/>
        <w:rPr>
          <w:sz w:val="20"/>
          <w:szCs w:val="20"/>
        </w:rPr>
      </w:pPr>
    </w:p>
    <w:p w14:paraId="0EAC248C" w14:textId="22133D7F" w:rsidR="00E75A27" w:rsidRPr="00C41083" w:rsidRDefault="00E75A27" w:rsidP="00E12873">
      <w:pPr>
        <w:pStyle w:val="ListNumber"/>
        <w:numPr>
          <w:ilvl w:val="0"/>
          <w:numId w:val="27"/>
        </w:numPr>
        <w:spacing w:after="240" w:line="240" w:lineRule="auto"/>
        <w:rPr>
          <w:sz w:val="20"/>
          <w:szCs w:val="20"/>
        </w:rPr>
      </w:pPr>
      <w:r w:rsidRPr="00C41083">
        <w:rPr>
          <w:b/>
          <w:sz w:val="20"/>
          <w:szCs w:val="20"/>
        </w:rPr>
        <w:t>Partnerships and collaboration</w:t>
      </w:r>
      <w:r w:rsidRPr="00C41083">
        <w:rPr>
          <w:sz w:val="20"/>
          <w:szCs w:val="20"/>
        </w:rPr>
        <w:t>: who the university will partner and collaborate with and how this will improve equity performance</w:t>
      </w:r>
      <w:r w:rsidR="00B00D12" w:rsidRPr="00C41083">
        <w:rPr>
          <w:sz w:val="20"/>
          <w:szCs w:val="20"/>
        </w:rPr>
        <w:t>.</w:t>
      </w:r>
    </w:p>
    <w:p w14:paraId="031017CA" w14:textId="14EEA2A0" w:rsidR="009C0EA3" w:rsidRDefault="00C41083" w:rsidP="00F764AD">
      <w:pPr>
        <w:spacing w:after="0" w:line="240" w:lineRule="auto"/>
        <w:contextualSpacing/>
        <w:rPr>
          <w:rFonts w:ascii="Calibri" w:eastAsiaTheme="majorEastAsia" w:hAnsi="Calibri" w:cstheme="majorBidi"/>
          <w:b/>
          <w:bCs/>
        </w:rPr>
      </w:pPr>
      <w:r w:rsidRPr="00C41083">
        <w:rPr>
          <w:rFonts w:cs="Times New Roman"/>
          <w:sz w:val="20"/>
          <w:szCs w:val="20"/>
          <w:lang w:val="en-GB"/>
        </w:rPr>
        <w:t xml:space="preserve">The University has partnerships </w:t>
      </w:r>
      <w:r w:rsidRPr="00145AB3">
        <w:rPr>
          <w:rFonts w:cs="Times New Roman"/>
          <w:sz w:val="20"/>
          <w:szCs w:val="20"/>
          <w:lang w:val="en-GB"/>
        </w:rPr>
        <w:t>with low SES schools,</w:t>
      </w:r>
      <w:r w:rsidRPr="00C41083">
        <w:rPr>
          <w:rFonts w:cs="Times New Roman"/>
          <w:sz w:val="20"/>
          <w:szCs w:val="20"/>
          <w:lang w:val="en-GB"/>
        </w:rPr>
        <w:t xml:space="preserve"> flexible learning centres, and a range of broader strategic partnerships with groups such as the Centre for Excellence in Child and Family Welfare, the peak body for the Victorian welfare sector. The partnerships include strategies to raise university aspirations, access, awareness, and achievement </w:t>
      </w:r>
      <w:r w:rsidR="00006490">
        <w:rPr>
          <w:rFonts w:cs="Times New Roman"/>
          <w:sz w:val="20"/>
          <w:szCs w:val="20"/>
          <w:lang w:val="en-GB"/>
        </w:rPr>
        <w:t xml:space="preserve">of </w:t>
      </w:r>
      <w:r w:rsidRPr="00C41083">
        <w:rPr>
          <w:rFonts w:cs="Times New Roman"/>
          <w:sz w:val="20"/>
          <w:szCs w:val="20"/>
          <w:lang w:val="en-GB"/>
        </w:rPr>
        <w:t>low SES students</w:t>
      </w:r>
      <w:r w:rsidR="00701C64">
        <w:rPr>
          <w:rFonts w:cs="Times New Roman"/>
          <w:sz w:val="20"/>
          <w:szCs w:val="20"/>
          <w:lang w:val="en-GB"/>
        </w:rPr>
        <w:t>.</w:t>
      </w:r>
    </w:p>
    <w:sectPr w:rsidR="009C0EA3" w:rsidSect="00424B4E">
      <w:headerReference w:type="default" r:id="rId11"/>
      <w:footerReference w:type="default" r:id="rId12"/>
      <w:headerReference w:type="first" r:id="rId13"/>
      <w:pgSz w:w="11906" w:h="16838"/>
      <w:pgMar w:top="567" w:right="851" w:bottom="85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1FC5" w14:textId="77777777" w:rsidR="00152D18" w:rsidRDefault="00152D18" w:rsidP="00130923">
      <w:pPr>
        <w:spacing w:after="0" w:line="240" w:lineRule="auto"/>
      </w:pPr>
      <w:r>
        <w:separator/>
      </w:r>
    </w:p>
  </w:endnote>
  <w:endnote w:type="continuationSeparator" w:id="0">
    <w:p w14:paraId="4F991FC6" w14:textId="77777777" w:rsidR="00152D18" w:rsidRDefault="00152D18"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FC8" w14:textId="73D86DA0" w:rsidR="00152D18" w:rsidRDefault="00C63629"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sidR="001F510A">
          <w:rPr>
            <w:noProof/>
          </w:rPr>
          <w:t>3</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91FC3" w14:textId="77777777" w:rsidR="00152D18" w:rsidRDefault="00152D18" w:rsidP="00130923">
      <w:pPr>
        <w:spacing w:after="0" w:line="240" w:lineRule="auto"/>
      </w:pPr>
      <w:r>
        <w:separator/>
      </w:r>
    </w:p>
  </w:footnote>
  <w:footnote w:type="continuationSeparator" w:id="0">
    <w:p w14:paraId="4F991FC4" w14:textId="77777777" w:rsidR="00152D18" w:rsidRDefault="00152D18"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FC7" w14:textId="09B926EA" w:rsidR="00152D18" w:rsidRPr="00B632C2" w:rsidRDefault="00152D18" w:rsidP="00A66052">
    <w:pPr>
      <w:pStyle w:val="Header"/>
      <w:spacing w:after="480"/>
      <w:jc w:val="right"/>
    </w:pPr>
    <w:r w:rsidRPr="00B632C2">
      <w:t>Ac</w:t>
    </w:r>
    <w:r w:rsidR="00B825B8" w:rsidRPr="00B632C2">
      <w:t>cess and Participation Plan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9373" w14:textId="034452D6" w:rsidR="00B632C2" w:rsidRDefault="00B632C2" w:rsidP="00B632C2">
    <w:pPr>
      <w:pStyle w:val="ListParagraph"/>
      <w:tabs>
        <w:tab w:val="left" w:pos="3018"/>
      </w:tabs>
      <w:ind w:left="0"/>
      <w:contextualSpacing w:val="0"/>
      <w:jc w:val="right"/>
      <w:rPr>
        <w:rFonts w:ascii="Calibri" w:hAnsi="Calibri" w:cstheme="minorHAnsi"/>
      </w:rPr>
    </w:pPr>
    <w:r w:rsidRPr="00B632C2">
      <w:rPr>
        <w:rFonts w:ascii="Calibri" w:hAnsi="Calibri" w:cstheme="minorHAnsi"/>
      </w:rPr>
      <w:t xml:space="preserve"> </w:t>
    </w:r>
    <w:r>
      <w:rPr>
        <w:rFonts w:ascii="Calibri" w:hAnsi="Calibri" w:cstheme="minorHAnsi"/>
      </w:rPr>
      <w:tab/>
    </w:r>
    <w:r w:rsidRPr="00B632C2">
      <w:rPr>
        <w:rFonts w:ascii="Calibri" w:hAnsi="Calibri" w:cstheme="minorHAnsi"/>
      </w:rPr>
      <w:t>Access and Participation Plan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84733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7"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CF3046D"/>
    <w:multiLevelType w:val="hybridMultilevel"/>
    <w:tmpl w:val="F5846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C65E3"/>
    <w:multiLevelType w:val="hybridMultilevel"/>
    <w:tmpl w:val="74348F06"/>
    <w:lvl w:ilvl="0" w:tplc="7DB0475E">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F687DB3"/>
    <w:multiLevelType w:val="hybridMultilevel"/>
    <w:tmpl w:val="CA7EE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2387451"/>
    <w:multiLevelType w:val="hybridMultilevel"/>
    <w:tmpl w:val="4A08685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4"/>
  </w:num>
  <w:num w:numId="15">
    <w:abstractNumId w:val="11"/>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17"/>
  </w:num>
  <w:num w:numId="22">
    <w:abstractNumId w:val="21"/>
  </w:num>
  <w:num w:numId="23">
    <w:abstractNumId w:val="14"/>
  </w:num>
  <w:num w:numId="24">
    <w:abstractNumId w:val="16"/>
  </w:num>
  <w:num w:numId="25">
    <w:abstractNumId w:val="14"/>
  </w:num>
  <w:num w:numId="26">
    <w:abstractNumId w:val="1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 w:numId="31">
    <w:abstractNumId w:val="26"/>
  </w:num>
  <w:num w:numId="32">
    <w:abstractNumId w:val="20"/>
  </w:num>
  <w:num w:numId="33">
    <w:abstractNumId w:val="22"/>
  </w:num>
  <w:num w:numId="34">
    <w:abstractNumId w:val="19"/>
  </w:num>
  <w:num w:numId="35">
    <w:abstractNumId w:val="1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55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76175"/>
    <w:rsid w:val="0000170B"/>
    <w:rsid w:val="00002721"/>
    <w:rsid w:val="00006490"/>
    <w:rsid w:val="00007E0C"/>
    <w:rsid w:val="00024E24"/>
    <w:rsid w:val="00034EAA"/>
    <w:rsid w:val="00057389"/>
    <w:rsid w:val="0006541D"/>
    <w:rsid w:val="000861A6"/>
    <w:rsid w:val="00093122"/>
    <w:rsid w:val="000A352E"/>
    <w:rsid w:val="000A609D"/>
    <w:rsid w:val="000B49A7"/>
    <w:rsid w:val="000B6408"/>
    <w:rsid w:val="000C42BA"/>
    <w:rsid w:val="000D7FD3"/>
    <w:rsid w:val="000E7E7B"/>
    <w:rsid w:val="000F00C8"/>
    <w:rsid w:val="000F3BA2"/>
    <w:rsid w:val="00103F8C"/>
    <w:rsid w:val="001175BF"/>
    <w:rsid w:val="00130923"/>
    <w:rsid w:val="00132B66"/>
    <w:rsid w:val="001414F3"/>
    <w:rsid w:val="00143FCD"/>
    <w:rsid w:val="00145AB3"/>
    <w:rsid w:val="00152D18"/>
    <w:rsid w:val="00164FFD"/>
    <w:rsid w:val="00167F21"/>
    <w:rsid w:val="001A495D"/>
    <w:rsid w:val="001B63B7"/>
    <w:rsid w:val="001B6467"/>
    <w:rsid w:val="001C48A7"/>
    <w:rsid w:val="001E1600"/>
    <w:rsid w:val="001E4F28"/>
    <w:rsid w:val="001F510A"/>
    <w:rsid w:val="00203F57"/>
    <w:rsid w:val="002076E6"/>
    <w:rsid w:val="0021596A"/>
    <w:rsid w:val="00222463"/>
    <w:rsid w:val="00223EB1"/>
    <w:rsid w:val="00236917"/>
    <w:rsid w:val="00241465"/>
    <w:rsid w:val="0024390F"/>
    <w:rsid w:val="00243D6B"/>
    <w:rsid w:val="0026291C"/>
    <w:rsid w:val="0026793C"/>
    <w:rsid w:val="002758D7"/>
    <w:rsid w:val="00276954"/>
    <w:rsid w:val="002822BD"/>
    <w:rsid w:val="00284049"/>
    <w:rsid w:val="0028522A"/>
    <w:rsid w:val="002A11FB"/>
    <w:rsid w:val="002A7FA2"/>
    <w:rsid w:val="002B06E6"/>
    <w:rsid w:val="002C1423"/>
    <w:rsid w:val="002C33DF"/>
    <w:rsid w:val="002C3AA1"/>
    <w:rsid w:val="002D271F"/>
    <w:rsid w:val="002D6386"/>
    <w:rsid w:val="002D7D13"/>
    <w:rsid w:val="002F1470"/>
    <w:rsid w:val="002F1999"/>
    <w:rsid w:val="002F7719"/>
    <w:rsid w:val="00303892"/>
    <w:rsid w:val="00305B35"/>
    <w:rsid w:val="0031036F"/>
    <w:rsid w:val="003155A7"/>
    <w:rsid w:val="003155A8"/>
    <w:rsid w:val="003166C5"/>
    <w:rsid w:val="003242B9"/>
    <w:rsid w:val="003351C2"/>
    <w:rsid w:val="00336DFB"/>
    <w:rsid w:val="00345E84"/>
    <w:rsid w:val="0034671D"/>
    <w:rsid w:val="00350E48"/>
    <w:rsid w:val="00355342"/>
    <w:rsid w:val="003723BB"/>
    <w:rsid w:val="00372FD1"/>
    <w:rsid w:val="003753C7"/>
    <w:rsid w:val="00376582"/>
    <w:rsid w:val="0038467B"/>
    <w:rsid w:val="00391889"/>
    <w:rsid w:val="0039342F"/>
    <w:rsid w:val="00393577"/>
    <w:rsid w:val="00395311"/>
    <w:rsid w:val="003961AA"/>
    <w:rsid w:val="003979FC"/>
    <w:rsid w:val="003B6141"/>
    <w:rsid w:val="003B6B48"/>
    <w:rsid w:val="003D67FC"/>
    <w:rsid w:val="00406E5A"/>
    <w:rsid w:val="0041265D"/>
    <w:rsid w:val="0041715E"/>
    <w:rsid w:val="00424B4E"/>
    <w:rsid w:val="0042619D"/>
    <w:rsid w:val="00443110"/>
    <w:rsid w:val="00446370"/>
    <w:rsid w:val="00455B34"/>
    <w:rsid w:val="00460C87"/>
    <w:rsid w:val="00480559"/>
    <w:rsid w:val="00481F02"/>
    <w:rsid w:val="0048529F"/>
    <w:rsid w:val="0048762C"/>
    <w:rsid w:val="004B256F"/>
    <w:rsid w:val="004D705F"/>
    <w:rsid w:val="004E4494"/>
    <w:rsid w:val="004F15A7"/>
    <w:rsid w:val="005113B6"/>
    <w:rsid w:val="00525DD4"/>
    <w:rsid w:val="00531817"/>
    <w:rsid w:val="005329B1"/>
    <w:rsid w:val="005405A1"/>
    <w:rsid w:val="00560CA0"/>
    <w:rsid w:val="005624F3"/>
    <w:rsid w:val="005811EF"/>
    <w:rsid w:val="00581FB8"/>
    <w:rsid w:val="00585156"/>
    <w:rsid w:val="005A012A"/>
    <w:rsid w:val="005B0878"/>
    <w:rsid w:val="005B41A6"/>
    <w:rsid w:val="005B66CA"/>
    <w:rsid w:val="005C15C0"/>
    <w:rsid w:val="005D2F5A"/>
    <w:rsid w:val="005F24F0"/>
    <w:rsid w:val="00610654"/>
    <w:rsid w:val="0062410D"/>
    <w:rsid w:val="006318B9"/>
    <w:rsid w:val="00654D02"/>
    <w:rsid w:val="0067026C"/>
    <w:rsid w:val="006974EB"/>
    <w:rsid w:val="006A2736"/>
    <w:rsid w:val="006A519E"/>
    <w:rsid w:val="006A7538"/>
    <w:rsid w:val="006E2D49"/>
    <w:rsid w:val="00701C64"/>
    <w:rsid w:val="00712BE3"/>
    <w:rsid w:val="0074424A"/>
    <w:rsid w:val="007468FC"/>
    <w:rsid w:val="00782F1B"/>
    <w:rsid w:val="00792CA3"/>
    <w:rsid w:val="007B2FDD"/>
    <w:rsid w:val="007D307D"/>
    <w:rsid w:val="007D58FB"/>
    <w:rsid w:val="007E0574"/>
    <w:rsid w:val="007F3297"/>
    <w:rsid w:val="0080308D"/>
    <w:rsid w:val="008163BB"/>
    <w:rsid w:val="00832FB2"/>
    <w:rsid w:val="0083468A"/>
    <w:rsid w:val="00834E65"/>
    <w:rsid w:val="00835B93"/>
    <w:rsid w:val="00837827"/>
    <w:rsid w:val="00842D43"/>
    <w:rsid w:val="00845040"/>
    <w:rsid w:val="00856D1C"/>
    <w:rsid w:val="00876AC0"/>
    <w:rsid w:val="008873FA"/>
    <w:rsid w:val="008B6F50"/>
    <w:rsid w:val="008E5219"/>
    <w:rsid w:val="008E5AC8"/>
    <w:rsid w:val="008E773B"/>
    <w:rsid w:val="008F534E"/>
    <w:rsid w:val="00903408"/>
    <w:rsid w:val="00903B18"/>
    <w:rsid w:val="00905AD9"/>
    <w:rsid w:val="009116EA"/>
    <w:rsid w:val="00931E30"/>
    <w:rsid w:val="00933671"/>
    <w:rsid w:val="009508DC"/>
    <w:rsid w:val="0095386D"/>
    <w:rsid w:val="00971D09"/>
    <w:rsid w:val="00972BF7"/>
    <w:rsid w:val="00972DD5"/>
    <w:rsid w:val="00984879"/>
    <w:rsid w:val="00985632"/>
    <w:rsid w:val="00991B63"/>
    <w:rsid w:val="009B2428"/>
    <w:rsid w:val="009B5CB7"/>
    <w:rsid w:val="009C0EA3"/>
    <w:rsid w:val="009D31F4"/>
    <w:rsid w:val="009D3C4D"/>
    <w:rsid w:val="009E6EB9"/>
    <w:rsid w:val="009F3E64"/>
    <w:rsid w:val="009F3FA7"/>
    <w:rsid w:val="00A03B0A"/>
    <w:rsid w:val="00A0490D"/>
    <w:rsid w:val="00A0528A"/>
    <w:rsid w:val="00A1074C"/>
    <w:rsid w:val="00A145A2"/>
    <w:rsid w:val="00A24D5E"/>
    <w:rsid w:val="00A31242"/>
    <w:rsid w:val="00A35F82"/>
    <w:rsid w:val="00A40A2D"/>
    <w:rsid w:val="00A438E5"/>
    <w:rsid w:val="00A475CB"/>
    <w:rsid w:val="00A50604"/>
    <w:rsid w:val="00A52530"/>
    <w:rsid w:val="00A551BF"/>
    <w:rsid w:val="00A571B1"/>
    <w:rsid w:val="00A571DC"/>
    <w:rsid w:val="00A66052"/>
    <w:rsid w:val="00A70524"/>
    <w:rsid w:val="00A7142F"/>
    <w:rsid w:val="00A73406"/>
    <w:rsid w:val="00A83CBA"/>
    <w:rsid w:val="00AA464D"/>
    <w:rsid w:val="00AB2766"/>
    <w:rsid w:val="00AB4D5C"/>
    <w:rsid w:val="00AC65DA"/>
    <w:rsid w:val="00AD09E4"/>
    <w:rsid w:val="00AD4D6E"/>
    <w:rsid w:val="00AD5D0A"/>
    <w:rsid w:val="00AE5608"/>
    <w:rsid w:val="00AE78E8"/>
    <w:rsid w:val="00AF0014"/>
    <w:rsid w:val="00AF1737"/>
    <w:rsid w:val="00B00D12"/>
    <w:rsid w:val="00B03A53"/>
    <w:rsid w:val="00B2722A"/>
    <w:rsid w:val="00B40096"/>
    <w:rsid w:val="00B4243F"/>
    <w:rsid w:val="00B4447B"/>
    <w:rsid w:val="00B60E3A"/>
    <w:rsid w:val="00B618BA"/>
    <w:rsid w:val="00B632C2"/>
    <w:rsid w:val="00B64C9F"/>
    <w:rsid w:val="00B801AB"/>
    <w:rsid w:val="00B82137"/>
    <w:rsid w:val="00B825B8"/>
    <w:rsid w:val="00B827D1"/>
    <w:rsid w:val="00B95503"/>
    <w:rsid w:val="00BA282D"/>
    <w:rsid w:val="00BA4D57"/>
    <w:rsid w:val="00BA58C4"/>
    <w:rsid w:val="00BB6260"/>
    <w:rsid w:val="00BC117A"/>
    <w:rsid w:val="00BC2A70"/>
    <w:rsid w:val="00BC7C21"/>
    <w:rsid w:val="00BD5551"/>
    <w:rsid w:val="00BE4F09"/>
    <w:rsid w:val="00BF6463"/>
    <w:rsid w:val="00C03C81"/>
    <w:rsid w:val="00C05E74"/>
    <w:rsid w:val="00C10C19"/>
    <w:rsid w:val="00C143B8"/>
    <w:rsid w:val="00C14687"/>
    <w:rsid w:val="00C17D02"/>
    <w:rsid w:val="00C26D54"/>
    <w:rsid w:val="00C33682"/>
    <w:rsid w:val="00C41083"/>
    <w:rsid w:val="00C4330B"/>
    <w:rsid w:val="00C52261"/>
    <w:rsid w:val="00C53225"/>
    <w:rsid w:val="00C5649C"/>
    <w:rsid w:val="00C605F9"/>
    <w:rsid w:val="00C63629"/>
    <w:rsid w:val="00C66021"/>
    <w:rsid w:val="00C75486"/>
    <w:rsid w:val="00C7770D"/>
    <w:rsid w:val="00C8202C"/>
    <w:rsid w:val="00C91576"/>
    <w:rsid w:val="00C92A5B"/>
    <w:rsid w:val="00CA46EC"/>
    <w:rsid w:val="00CA7C7F"/>
    <w:rsid w:val="00CB6EC3"/>
    <w:rsid w:val="00CC1F74"/>
    <w:rsid w:val="00CD29E8"/>
    <w:rsid w:val="00CD3A7B"/>
    <w:rsid w:val="00CE2AA2"/>
    <w:rsid w:val="00D05B29"/>
    <w:rsid w:val="00D12BEB"/>
    <w:rsid w:val="00D1394D"/>
    <w:rsid w:val="00D14D3E"/>
    <w:rsid w:val="00D27C2D"/>
    <w:rsid w:val="00D3610C"/>
    <w:rsid w:val="00D47740"/>
    <w:rsid w:val="00D51B3A"/>
    <w:rsid w:val="00D65316"/>
    <w:rsid w:val="00D812B9"/>
    <w:rsid w:val="00D903FD"/>
    <w:rsid w:val="00D93652"/>
    <w:rsid w:val="00D94BC5"/>
    <w:rsid w:val="00D96C08"/>
    <w:rsid w:val="00DC0C24"/>
    <w:rsid w:val="00DC3052"/>
    <w:rsid w:val="00DD022D"/>
    <w:rsid w:val="00DE5F75"/>
    <w:rsid w:val="00DE7916"/>
    <w:rsid w:val="00DF46C4"/>
    <w:rsid w:val="00DF4CA3"/>
    <w:rsid w:val="00E02515"/>
    <w:rsid w:val="00E12873"/>
    <w:rsid w:val="00E15C96"/>
    <w:rsid w:val="00E1604B"/>
    <w:rsid w:val="00E2102F"/>
    <w:rsid w:val="00E352F8"/>
    <w:rsid w:val="00E75314"/>
    <w:rsid w:val="00E75A27"/>
    <w:rsid w:val="00E763A6"/>
    <w:rsid w:val="00E81958"/>
    <w:rsid w:val="00EA37AE"/>
    <w:rsid w:val="00EA6687"/>
    <w:rsid w:val="00EB0514"/>
    <w:rsid w:val="00EB1510"/>
    <w:rsid w:val="00EC78E7"/>
    <w:rsid w:val="00ED43D2"/>
    <w:rsid w:val="00EE3B8C"/>
    <w:rsid w:val="00EF25D6"/>
    <w:rsid w:val="00EF4A38"/>
    <w:rsid w:val="00EF5845"/>
    <w:rsid w:val="00F11B8F"/>
    <w:rsid w:val="00F21BBD"/>
    <w:rsid w:val="00F3699A"/>
    <w:rsid w:val="00F379D0"/>
    <w:rsid w:val="00F410EC"/>
    <w:rsid w:val="00F47193"/>
    <w:rsid w:val="00F501B4"/>
    <w:rsid w:val="00F5387E"/>
    <w:rsid w:val="00F74011"/>
    <w:rsid w:val="00F76175"/>
    <w:rsid w:val="00F764AD"/>
    <w:rsid w:val="00F767D6"/>
    <w:rsid w:val="00F80CFC"/>
    <w:rsid w:val="00F80DCB"/>
    <w:rsid w:val="00F958AE"/>
    <w:rsid w:val="00F97875"/>
    <w:rsid w:val="00FA32D9"/>
    <w:rsid w:val="00FB10CB"/>
    <w:rsid w:val="00FB365C"/>
    <w:rsid w:val="00FC4FFD"/>
    <w:rsid w:val="00FC5F71"/>
    <w:rsid w:val="00FD13DF"/>
    <w:rsid w:val="00FE5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styleId="FollowedHyperlink">
    <w:name w:val="FollowedHyperlink"/>
    <w:basedOn w:val="DefaultParagraphFont"/>
    <w:uiPriority w:val="99"/>
    <w:semiHidden/>
    <w:unhideWhenUsed/>
    <w:rsid w:val="00F3699A"/>
    <w:rPr>
      <w:color w:val="522761" w:themeColor="followedHyperlink"/>
      <w:u w:val="single"/>
    </w:rPr>
  </w:style>
  <w:style w:type="paragraph" w:customStyle="1" w:styleId="LTU-Body0pt">
    <w:name w:val="LTU - Body 0pt"/>
    <w:basedOn w:val="Normal"/>
    <w:qFormat/>
    <w:rsid w:val="001B63B7"/>
    <w:pPr>
      <w:spacing w:after="0" w:line="240" w:lineRule="auto"/>
    </w:pPr>
    <w:rPr>
      <w:rFonts w:ascii="Calibri" w:eastAsia="PMingLiU" w:hAnsi="Calibri" w:cs="Arial"/>
      <w:color w:val="000000"/>
      <w:sz w:val="18"/>
      <w:szCs w:val="17"/>
    </w:rPr>
  </w:style>
  <w:style w:type="paragraph" w:styleId="NormalWeb">
    <w:name w:val="Normal (Web)"/>
    <w:basedOn w:val="Normal"/>
    <w:uiPriority w:val="99"/>
    <w:semiHidden/>
    <w:unhideWhenUsed/>
    <w:rsid w:val="001B63B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862137680">
      <w:bodyDiv w:val="1"/>
      <w:marLeft w:val="0"/>
      <w:marRight w:val="0"/>
      <w:marTop w:val="0"/>
      <w:marBottom w:val="0"/>
      <w:divBdr>
        <w:top w:val="none" w:sz="0" w:space="0" w:color="auto"/>
        <w:left w:val="none" w:sz="0" w:space="0" w:color="auto"/>
        <w:bottom w:val="none" w:sz="0" w:space="0" w:color="auto"/>
        <w:right w:val="none" w:sz="0" w:space="0" w:color="auto"/>
      </w:divBdr>
    </w:div>
    <w:div w:id="1097486752">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 w:id="20885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F0FAAB01-E58C-4841-B922-14ADCC30097F}">
  <ds:schemaRefs>
    <ds:schemaRef ds:uri="http://purl.org/dc/terms/"/>
    <ds:schemaRef ds:uri="http://schemas.openxmlformats.org/package/2006/metadata/core-properties"/>
    <ds:schemaRef ds:uri="http://purl.org/dc/dcmitype/"/>
    <ds:schemaRef ds:uri="http://schemas.microsoft.com/office/infopath/2007/PartnerControls"/>
    <ds:schemaRef ds:uri="c5a0bbd5-585e-4472-9791-5df67fe41a90"/>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AC20511-5096-4681-B917-C985A88D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Hannah Beattie</cp:lastModifiedBy>
  <cp:revision>2</cp:revision>
  <cp:lastPrinted>2020-03-02T23:37:00Z</cp:lastPrinted>
  <dcterms:created xsi:type="dcterms:W3CDTF">2020-03-09T23:33:00Z</dcterms:created>
  <dcterms:modified xsi:type="dcterms:W3CDTF">2020-03-09T23:33:00Z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