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51B" w:rsidRPr="00AB2766" w:rsidRDefault="0010751B" w:rsidP="0010751B">
      <w:pPr>
        <w:pStyle w:val="Heading1"/>
        <w:jc w:val="right"/>
        <w:rPr>
          <w:color w:val="auto"/>
          <w:sz w:val="28"/>
          <w:szCs w:val="26"/>
        </w:rPr>
      </w:pPr>
      <w:bookmarkStart w:id="0" w:name="_GoBack"/>
      <w:bookmarkEnd w:id="0"/>
      <w:r>
        <w:rPr>
          <w:color w:val="auto"/>
          <w:sz w:val="28"/>
          <w:szCs w:val="26"/>
        </w:rPr>
        <w:t>A</w:t>
      </w:r>
      <w:r w:rsidRPr="00AB2766">
        <w:rPr>
          <w:color w:val="auto"/>
          <w:sz w:val="28"/>
          <w:szCs w:val="26"/>
        </w:rPr>
        <w:t>ppendix A</w:t>
      </w:r>
    </w:p>
    <w:p w:rsidR="0010751B" w:rsidRDefault="0010751B" w:rsidP="0010751B">
      <w:pPr>
        <w:pStyle w:val="Heading1"/>
      </w:pPr>
      <w:r w:rsidRPr="00E75A27">
        <w:t>AC</w:t>
      </w:r>
      <w:r>
        <w:t>CESS AND PARTICIPATION PLAN 2020</w:t>
      </w:r>
    </w:p>
    <w:p w:rsidR="0010751B" w:rsidRPr="00E75A27" w:rsidRDefault="0010751B" w:rsidP="0010751B">
      <w:pPr>
        <w:pStyle w:val="Heading2"/>
      </w:pPr>
      <w:r>
        <w:t>The University of Adelaide</w:t>
      </w:r>
    </w:p>
    <w:p w:rsidR="0010751B" w:rsidRPr="0010751B" w:rsidRDefault="0010751B" w:rsidP="0010751B">
      <w:pPr>
        <w:spacing w:after="0" w:line="240" w:lineRule="auto"/>
        <w:rPr>
          <w:rFonts w:ascii="Calibri" w:hAnsi="Calibri" w:cstheme="minorHAnsi"/>
          <w:sz w:val="12"/>
        </w:rPr>
      </w:pPr>
    </w:p>
    <w:p w:rsidR="0010751B" w:rsidRDefault="0010751B" w:rsidP="0010751B">
      <w:pPr>
        <w:pStyle w:val="ListNumber"/>
        <w:numPr>
          <w:ilvl w:val="0"/>
          <w:numId w:val="2"/>
        </w:numPr>
        <w:spacing w:after="240" w:line="240" w:lineRule="auto"/>
        <w:rPr>
          <w:sz w:val="24"/>
          <w:szCs w:val="24"/>
        </w:rPr>
      </w:pPr>
      <w:r w:rsidRPr="00BA721B">
        <w:rPr>
          <w:b/>
          <w:sz w:val="24"/>
          <w:szCs w:val="24"/>
        </w:rPr>
        <w:t>Equity outcomes and strategies</w:t>
      </w:r>
      <w:r w:rsidRPr="00BA721B">
        <w:rPr>
          <w:sz w:val="24"/>
          <w:szCs w:val="24"/>
        </w:rPr>
        <w:t xml:space="preserve">: for improving outcomes for people from a low SES background. </w:t>
      </w:r>
    </w:p>
    <w:p w:rsidR="0010751B" w:rsidRPr="007D5E20" w:rsidRDefault="0010751B" w:rsidP="0010751B">
      <w:pPr>
        <w:pStyle w:val="ListParagraph"/>
        <w:spacing w:after="0"/>
        <w:ind w:left="0"/>
        <w:jc w:val="both"/>
        <w:rPr>
          <w:rFonts w:cstheme="minorHAnsi"/>
          <w:sz w:val="20"/>
          <w:szCs w:val="20"/>
        </w:rPr>
      </w:pPr>
      <w:r w:rsidRPr="007D5E20">
        <w:rPr>
          <w:rFonts w:cstheme="minorHAnsi"/>
          <w:sz w:val="20"/>
          <w:szCs w:val="20"/>
        </w:rPr>
        <w:t xml:space="preserve">The University of </w:t>
      </w:r>
      <w:r>
        <w:rPr>
          <w:rFonts w:cstheme="minorHAnsi"/>
          <w:sz w:val="20"/>
          <w:szCs w:val="20"/>
        </w:rPr>
        <w:t>Adelaide is committed to pursuing</w:t>
      </w:r>
      <w:r w:rsidRPr="007D5E20">
        <w:rPr>
          <w:rFonts w:cstheme="minorHAnsi"/>
          <w:sz w:val="20"/>
          <w:szCs w:val="20"/>
        </w:rPr>
        <w:t xml:space="preserve"> an agenda of equity </w:t>
      </w:r>
      <w:r>
        <w:rPr>
          <w:rFonts w:cstheme="minorHAnsi"/>
          <w:sz w:val="20"/>
          <w:szCs w:val="20"/>
        </w:rPr>
        <w:t>through the implementation of activities and</w:t>
      </w:r>
      <w:r w:rsidRPr="00E109EB">
        <w:rPr>
          <w:rFonts w:cstheme="minorHAnsi"/>
          <w:sz w:val="20"/>
          <w:szCs w:val="20"/>
        </w:rPr>
        <w:t xml:space="preserve"> strategies</w:t>
      </w:r>
      <w:r>
        <w:rPr>
          <w:rFonts w:cstheme="minorHAnsi"/>
          <w:sz w:val="20"/>
          <w:szCs w:val="20"/>
        </w:rPr>
        <w:t xml:space="preserve"> that serve a diverse student background. </w:t>
      </w:r>
      <w:r w:rsidRPr="007D5E20">
        <w:rPr>
          <w:rFonts w:cstheme="minorHAnsi"/>
          <w:sz w:val="20"/>
          <w:szCs w:val="20"/>
        </w:rPr>
        <w:t xml:space="preserve">Access to a University of Adelaide experience </w:t>
      </w:r>
      <w:r>
        <w:rPr>
          <w:rFonts w:cstheme="minorHAnsi"/>
          <w:sz w:val="20"/>
          <w:szCs w:val="20"/>
        </w:rPr>
        <w:t>will continue to expand</w:t>
      </w:r>
      <w:r w:rsidRPr="007D5E20">
        <w:rPr>
          <w:rFonts w:cstheme="minorHAnsi"/>
          <w:sz w:val="20"/>
          <w:szCs w:val="20"/>
        </w:rPr>
        <w:t xml:space="preserve"> to satisfy the growing need for higher education in </w:t>
      </w:r>
      <w:r>
        <w:rPr>
          <w:rFonts w:cstheme="minorHAnsi"/>
          <w:sz w:val="20"/>
          <w:szCs w:val="20"/>
        </w:rPr>
        <w:t>an evolving society</w:t>
      </w:r>
      <w:r w:rsidRPr="007D5E20">
        <w:rPr>
          <w:rFonts w:cstheme="minorHAnsi"/>
          <w:sz w:val="20"/>
          <w:szCs w:val="20"/>
        </w:rPr>
        <w:t xml:space="preserve">. Success and retention will be addressed through reconsideration of curriculum and pedagogy, increasing opportunities for work integrated learning, </w:t>
      </w:r>
      <w:r>
        <w:rPr>
          <w:rFonts w:cstheme="minorHAnsi"/>
          <w:sz w:val="20"/>
          <w:szCs w:val="20"/>
        </w:rPr>
        <w:t xml:space="preserve">online learning, </w:t>
      </w:r>
      <w:r w:rsidRPr="007D5E20">
        <w:rPr>
          <w:rFonts w:cstheme="minorHAnsi"/>
          <w:sz w:val="20"/>
          <w:szCs w:val="20"/>
        </w:rPr>
        <w:t xml:space="preserve">improving teaching and learning </w:t>
      </w:r>
      <w:r>
        <w:rPr>
          <w:rFonts w:cstheme="minorHAnsi"/>
          <w:sz w:val="20"/>
          <w:szCs w:val="20"/>
        </w:rPr>
        <w:t>technologies</w:t>
      </w:r>
      <w:r w:rsidRPr="007D5E20">
        <w:rPr>
          <w:rFonts w:cstheme="minorHAnsi"/>
          <w:sz w:val="20"/>
          <w:szCs w:val="20"/>
        </w:rPr>
        <w:t xml:space="preserve">, providing access to social </w:t>
      </w:r>
      <w:r>
        <w:rPr>
          <w:rFonts w:cstheme="minorHAnsi"/>
          <w:sz w:val="20"/>
          <w:szCs w:val="20"/>
        </w:rPr>
        <w:t>experiences</w:t>
      </w:r>
      <w:r w:rsidRPr="007D5E20">
        <w:rPr>
          <w:rFonts w:cstheme="minorHAnsi"/>
          <w:sz w:val="20"/>
          <w:szCs w:val="20"/>
        </w:rPr>
        <w:t xml:space="preserve"> and access to high-quality academic and pastoral support. </w:t>
      </w:r>
    </w:p>
    <w:p w:rsidR="0010751B" w:rsidRPr="004B5142" w:rsidRDefault="0010751B" w:rsidP="0010751B">
      <w:pPr>
        <w:pStyle w:val="ListParagraph"/>
        <w:spacing w:after="0"/>
        <w:ind w:left="0"/>
        <w:jc w:val="both"/>
        <w:rPr>
          <w:rFonts w:cstheme="minorHAnsi"/>
          <w:sz w:val="16"/>
          <w:szCs w:val="20"/>
        </w:rPr>
      </w:pPr>
    </w:p>
    <w:p w:rsidR="0010751B" w:rsidRPr="004B5142" w:rsidRDefault="0010751B" w:rsidP="0010751B">
      <w:pPr>
        <w:pStyle w:val="ListParagraph"/>
        <w:spacing w:after="0"/>
        <w:ind w:left="0"/>
        <w:jc w:val="both"/>
        <w:rPr>
          <w:rFonts w:cstheme="minorHAnsi"/>
          <w:sz w:val="20"/>
          <w:szCs w:val="20"/>
        </w:rPr>
      </w:pPr>
      <w:r w:rsidRPr="004B5142">
        <w:rPr>
          <w:rFonts w:cstheme="minorHAnsi"/>
          <w:sz w:val="20"/>
          <w:szCs w:val="20"/>
        </w:rPr>
        <w:t xml:space="preserve">The University has several strategies in </w:t>
      </w:r>
      <w:r>
        <w:rPr>
          <w:rFonts w:cstheme="minorHAnsi"/>
          <w:sz w:val="20"/>
          <w:szCs w:val="20"/>
        </w:rPr>
        <w:t>place</w:t>
      </w:r>
      <w:r w:rsidRPr="004B5142">
        <w:rPr>
          <w:rFonts w:cstheme="minorHAnsi"/>
          <w:sz w:val="20"/>
          <w:szCs w:val="20"/>
        </w:rPr>
        <w:t xml:space="preserve"> and in development to improve student access, increase participation, encourage innovative learning and develop careers for students from low SES, Indigenous, rural and non-traditional backgrounds, including: </w:t>
      </w:r>
    </w:p>
    <w:p w:rsidR="0010751B" w:rsidRPr="008631EB" w:rsidRDefault="0010751B" w:rsidP="0010751B">
      <w:pPr>
        <w:pStyle w:val="ListParagraph"/>
        <w:numPr>
          <w:ilvl w:val="0"/>
          <w:numId w:val="6"/>
        </w:numPr>
        <w:rPr>
          <w:rFonts w:cstheme="minorHAnsi"/>
          <w:sz w:val="20"/>
          <w:szCs w:val="20"/>
        </w:rPr>
      </w:pPr>
      <w:r w:rsidRPr="008631EB">
        <w:rPr>
          <w:rFonts w:cstheme="minorHAnsi"/>
          <w:sz w:val="20"/>
          <w:szCs w:val="20"/>
        </w:rPr>
        <w:t>Children’s University Australasia (CUA)</w:t>
      </w:r>
    </w:p>
    <w:p w:rsidR="0010751B" w:rsidRPr="008631EB" w:rsidRDefault="0010751B" w:rsidP="0010751B">
      <w:pPr>
        <w:pStyle w:val="ListParagraph"/>
        <w:numPr>
          <w:ilvl w:val="0"/>
          <w:numId w:val="6"/>
        </w:numPr>
        <w:rPr>
          <w:rFonts w:cstheme="minorHAnsi"/>
          <w:sz w:val="20"/>
          <w:szCs w:val="20"/>
        </w:rPr>
      </w:pPr>
      <w:r w:rsidRPr="008631EB">
        <w:rPr>
          <w:rFonts w:cstheme="minorHAnsi"/>
          <w:sz w:val="20"/>
          <w:szCs w:val="20"/>
        </w:rPr>
        <w:t>Wirltu Yarlu</w:t>
      </w:r>
      <w:r>
        <w:rPr>
          <w:rFonts w:cstheme="minorHAnsi"/>
          <w:sz w:val="20"/>
          <w:szCs w:val="20"/>
        </w:rPr>
        <w:t xml:space="preserve"> Aboriginal Education</w:t>
      </w:r>
    </w:p>
    <w:p w:rsidR="0010751B" w:rsidRDefault="0010751B" w:rsidP="0010751B">
      <w:pPr>
        <w:pStyle w:val="ListParagraph"/>
        <w:numPr>
          <w:ilvl w:val="0"/>
          <w:numId w:val="6"/>
        </w:numPr>
        <w:spacing w:after="0"/>
        <w:jc w:val="both"/>
        <w:rPr>
          <w:rFonts w:cstheme="minorHAnsi"/>
          <w:sz w:val="20"/>
          <w:szCs w:val="20"/>
        </w:rPr>
      </w:pPr>
      <w:r w:rsidRPr="004B5142">
        <w:rPr>
          <w:rFonts w:cstheme="minorHAnsi"/>
          <w:sz w:val="20"/>
          <w:szCs w:val="20"/>
        </w:rPr>
        <w:t>Succeed@Adelaide</w:t>
      </w:r>
    </w:p>
    <w:p w:rsidR="0010751B" w:rsidRPr="004B5142" w:rsidRDefault="0010751B" w:rsidP="0010751B">
      <w:pPr>
        <w:pStyle w:val="ListParagraph"/>
        <w:numPr>
          <w:ilvl w:val="0"/>
          <w:numId w:val="6"/>
        </w:numPr>
        <w:spacing w:after="0"/>
        <w:jc w:val="both"/>
        <w:rPr>
          <w:rFonts w:cstheme="minorHAnsi"/>
          <w:sz w:val="20"/>
          <w:szCs w:val="20"/>
        </w:rPr>
      </w:pPr>
      <w:r w:rsidRPr="004B5142">
        <w:rPr>
          <w:rFonts w:cstheme="minorHAnsi"/>
          <w:sz w:val="20"/>
          <w:szCs w:val="20"/>
        </w:rPr>
        <w:t>The Student Experience Plan</w:t>
      </w:r>
    </w:p>
    <w:p w:rsidR="0010751B" w:rsidRPr="004B5142" w:rsidRDefault="0010751B" w:rsidP="0010751B">
      <w:pPr>
        <w:pStyle w:val="ListParagraph"/>
        <w:numPr>
          <w:ilvl w:val="0"/>
          <w:numId w:val="6"/>
        </w:numPr>
        <w:spacing w:after="0"/>
        <w:jc w:val="both"/>
        <w:rPr>
          <w:rFonts w:cstheme="minorHAnsi"/>
          <w:sz w:val="20"/>
          <w:szCs w:val="20"/>
        </w:rPr>
      </w:pPr>
      <w:r w:rsidRPr="004B5142">
        <w:rPr>
          <w:rFonts w:cstheme="minorHAnsi"/>
          <w:sz w:val="20"/>
          <w:szCs w:val="20"/>
        </w:rPr>
        <w:t>The Mental Health Strategy</w:t>
      </w:r>
    </w:p>
    <w:p w:rsidR="0010751B" w:rsidRPr="004B5142" w:rsidRDefault="0010751B" w:rsidP="0010751B">
      <w:pPr>
        <w:pStyle w:val="ListParagraph"/>
        <w:numPr>
          <w:ilvl w:val="0"/>
          <w:numId w:val="6"/>
        </w:numPr>
        <w:spacing w:after="0"/>
        <w:jc w:val="both"/>
        <w:rPr>
          <w:rFonts w:cstheme="minorHAnsi"/>
          <w:sz w:val="20"/>
          <w:szCs w:val="20"/>
        </w:rPr>
      </w:pPr>
      <w:r w:rsidRPr="004B5142">
        <w:rPr>
          <w:rFonts w:cstheme="minorHAnsi"/>
          <w:sz w:val="20"/>
          <w:szCs w:val="20"/>
        </w:rPr>
        <w:t>The Equity and Diversity Strategy</w:t>
      </w:r>
    </w:p>
    <w:p w:rsidR="0010751B" w:rsidRPr="00712BE3" w:rsidRDefault="0010751B" w:rsidP="0010751B">
      <w:pPr>
        <w:pStyle w:val="ListNumber"/>
        <w:numPr>
          <w:ilvl w:val="0"/>
          <w:numId w:val="0"/>
        </w:numPr>
        <w:spacing w:after="240" w:line="240" w:lineRule="auto"/>
        <w:ind w:left="357"/>
        <w:rPr>
          <w:sz w:val="24"/>
          <w:szCs w:val="24"/>
        </w:rPr>
      </w:pPr>
    </w:p>
    <w:p w:rsidR="0010751B" w:rsidRDefault="0010751B" w:rsidP="0010751B">
      <w:pPr>
        <w:pStyle w:val="ListNumber"/>
        <w:numPr>
          <w:ilvl w:val="0"/>
          <w:numId w:val="2"/>
        </w:numPr>
        <w:spacing w:after="240" w:line="240" w:lineRule="auto"/>
        <w:rPr>
          <w:sz w:val="24"/>
          <w:szCs w:val="24"/>
        </w:rPr>
      </w:pPr>
      <w:r w:rsidRPr="00712BE3">
        <w:rPr>
          <w:b/>
          <w:sz w:val="24"/>
          <w:szCs w:val="24"/>
        </w:rPr>
        <w:t>Key activities</w:t>
      </w:r>
      <w:r w:rsidRPr="00712BE3">
        <w:rPr>
          <w:sz w:val="24"/>
          <w:szCs w:val="24"/>
        </w:rPr>
        <w:t xml:space="preserve">: </w:t>
      </w:r>
      <w:r w:rsidRPr="00B60E3A">
        <w:rPr>
          <w:sz w:val="24"/>
          <w:szCs w:val="24"/>
        </w:rPr>
        <w:t>which will deliver an increase in the access, participation and success of people from a low SES background.</w:t>
      </w:r>
    </w:p>
    <w:p w:rsidR="0010751B" w:rsidRPr="005224EF" w:rsidRDefault="0010751B" w:rsidP="0010751B">
      <w:pPr>
        <w:spacing w:after="0"/>
        <w:jc w:val="both"/>
        <w:rPr>
          <w:rFonts w:cstheme="minorHAnsi"/>
          <w:b/>
          <w:sz w:val="20"/>
          <w:szCs w:val="20"/>
          <w:u w:val="single"/>
        </w:rPr>
      </w:pPr>
      <w:r w:rsidRPr="005224EF">
        <w:rPr>
          <w:rFonts w:cstheme="minorHAnsi"/>
          <w:b/>
          <w:sz w:val="20"/>
          <w:szCs w:val="20"/>
          <w:u w:val="single"/>
        </w:rPr>
        <w:t>Pre-access</w:t>
      </w:r>
    </w:p>
    <w:p w:rsidR="0010751B" w:rsidRPr="005224EF" w:rsidRDefault="0010751B" w:rsidP="0010751B">
      <w:pPr>
        <w:spacing w:after="0"/>
        <w:jc w:val="both"/>
        <w:rPr>
          <w:rFonts w:cstheme="minorHAnsi"/>
          <w:sz w:val="20"/>
          <w:szCs w:val="20"/>
        </w:rPr>
      </w:pPr>
      <w:r w:rsidRPr="005224EF">
        <w:rPr>
          <w:rFonts w:cstheme="minorHAnsi"/>
          <w:sz w:val="20"/>
          <w:szCs w:val="20"/>
        </w:rPr>
        <w:t>Children’s University Australasia (CUA)</w:t>
      </w:r>
    </w:p>
    <w:p w:rsidR="0083523F" w:rsidRPr="00E071DF" w:rsidRDefault="0010751B" w:rsidP="0083523F">
      <w:pPr>
        <w:rPr>
          <w:rFonts w:cstheme="minorHAnsi"/>
          <w:sz w:val="20"/>
          <w:szCs w:val="20"/>
        </w:rPr>
      </w:pPr>
      <w:r w:rsidRPr="005224EF">
        <w:rPr>
          <w:rFonts w:eastAsia="Calibri" w:cstheme="minorHAnsi"/>
          <w:sz w:val="20"/>
          <w:szCs w:val="20"/>
        </w:rPr>
        <w:t xml:space="preserve">CUA offers </w:t>
      </w:r>
      <w:r w:rsidRPr="005224EF">
        <w:rPr>
          <w:rFonts w:eastAsia="Times New Roman" w:cstheme="minorHAnsi"/>
          <w:color w:val="000000"/>
          <w:sz w:val="20"/>
          <w:szCs w:val="20"/>
          <w:lang w:eastAsia="zh-CN"/>
        </w:rPr>
        <w:t>superior educational experiences</w:t>
      </w:r>
      <w:r w:rsidRPr="005224EF">
        <w:rPr>
          <w:rFonts w:eastAsia="Times New Roman" w:cstheme="minorHAnsi"/>
          <w:color w:val="000000"/>
          <w:sz w:val="20"/>
          <w:szCs w:val="20"/>
          <w:shd w:val="clear" w:color="auto" w:fill="FFFFFF"/>
          <w:lang w:eastAsia="zh-CN"/>
        </w:rPr>
        <w:t xml:space="preserve"> for children aged 7-14 years and volunteering opportunities for 15 -18 year olds outside of school, recognising their achievements through the award of formal certificates. </w:t>
      </w:r>
      <w:r w:rsidRPr="005224EF">
        <w:rPr>
          <w:rFonts w:cstheme="minorHAnsi"/>
          <w:sz w:val="20"/>
          <w:szCs w:val="20"/>
        </w:rPr>
        <w:t xml:space="preserve">Through innovative learning practices, students are able to explore their capabilities and strengths, leadership skills, innovation and entrepreneurship, </w:t>
      </w:r>
      <w:r w:rsidRPr="00E071DF">
        <w:rPr>
          <w:rFonts w:cstheme="minorHAnsi"/>
          <w:sz w:val="20"/>
          <w:szCs w:val="20"/>
        </w:rPr>
        <w:t xml:space="preserve">mentoring, volunteering and future career opportunities. </w:t>
      </w:r>
    </w:p>
    <w:p w:rsidR="0083523F" w:rsidRPr="00E071DF" w:rsidRDefault="0083523F" w:rsidP="005F7819">
      <w:pPr>
        <w:jc w:val="both"/>
        <w:rPr>
          <w:rFonts w:cstheme="minorHAnsi"/>
          <w:sz w:val="20"/>
          <w:szCs w:val="20"/>
        </w:rPr>
      </w:pPr>
      <w:r w:rsidRPr="00E071DF">
        <w:rPr>
          <w:rFonts w:cstheme="minorHAnsi"/>
          <w:sz w:val="20"/>
          <w:szCs w:val="20"/>
        </w:rPr>
        <w:t>In 2020 the University looks to provide additional support to communities affected by both COVID-19 and the Bushfires. CUA has focused on creating equity of opportunity through its strategic partnerships with affected organisations, providing ongoing community learning support, enabling families involved to feel more connected to their community, contributing to comm</w:t>
      </w:r>
      <w:r w:rsidR="005F7819" w:rsidRPr="00E071DF">
        <w:rPr>
          <w:rFonts w:cstheme="minorHAnsi"/>
          <w:sz w:val="20"/>
          <w:szCs w:val="20"/>
        </w:rPr>
        <w:t>unity positivity and wellbeing, whilst</w:t>
      </w:r>
      <w:r w:rsidRPr="00E071DF">
        <w:rPr>
          <w:rFonts w:cstheme="minorHAnsi"/>
          <w:sz w:val="20"/>
          <w:szCs w:val="20"/>
        </w:rPr>
        <w:t xml:space="preserve"> drawing connection</w:t>
      </w:r>
      <w:r w:rsidR="005F7819" w:rsidRPr="00E071DF">
        <w:rPr>
          <w:rFonts w:cstheme="minorHAnsi"/>
          <w:sz w:val="20"/>
          <w:szCs w:val="20"/>
        </w:rPr>
        <w:t>s</w:t>
      </w:r>
      <w:r w:rsidRPr="00E071DF">
        <w:rPr>
          <w:rFonts w:cstheme="minorHAnsi"/>
          <w:sz w:val="20"/>
          <w:szCs w:val="20"/>
        </w:rPr>
        <w:t xml:space="preserve"> to potential careers and higher education pathways.</w:t>
      </w:r>
    </w:p>
    <w:p w:rsidR="0083523F" w:rsidRPr="00E071DF" w:rsidRDefault="0083523F" w:rsidP="005F7819">
      <w:pPr>
        <w:jc w:val="both"/>
        <w:rPr>
          <w:rFonts w:cstheme="minorHAnsi"/>
          <w:sz w:val="20"/>
          <w:szCs w:val="20"/>
        </w:rPr>
      </w:pPr>
      <w:r w:rsidRPr="00E071DF">
        <w:rPr>
          <w:rFonts w:cstheme="minorHAnsi"/>
          <w:sz w:val="20"/>
          <w:szCs w:val="20"/>
        </w:rPr>
        <w:t>CUA recently launched 3 new member schools on Kangaroo Island</w:t>
      </w:r>
      <w:r w:rsidR="00E071DF" w:rsidRPr="00E071DF">
        <w:rPr>
          <w:rFonts w:cstheme="minorHAnsi"/>
          <w:sz w:val="20"/>
          <w:szCs w:val="20"/>
        </w:rPr>
        <w:t xml:space="preserve"> (an area significantly impacted by bushfires)</w:t>
      </w:r>
      <w:r w:rsidRPr="00E071DF">
        <w:rPr>
          <w:rFonts w:cstheme="minorHAnsi"/>
          <w:sz w:val="20"/>
          <w:szCs w:val="20"/>
        </w:rPr>
        <w:t>, with 132 students joining the program. New opportunities have been created with partners across the Island to engage in learning focused on Ecology, Volunteering, Veterinary Science, STEM, Medical Health Sciences, and bushfire prevention strategies.</w:t>
      </w:r>
    </w:p>
    <w:p w:rsidR="0083523F" w:rsidRDefault="0083523F" w:rsidP="005F7819">
      <w:pPr>
        <w:jc w:val="both"/>
        <w:rPr>
          <w:rFonts w:cstheme="minorHAnsi"/>
          <w:sz w:val="20"/>
          <w:szCs w:val="20"/>
        </w:rPr>
      </w:pPr>
      <w:r w:rsidRPr="00E071DF">
        <w:rPr>
          <w:rFonts w:cstheme="minorHAnsi"/>
          <w:sz w:val="20"/>
          <w:szCs w:val="20"/>
        </w:rPr>
        <w:t>With physical visitations limited due to COVID-19, CUA</w:t>
      </w:r>
      <w:r w:rsidR="005F7819" w:rsidRPr="00E071DF">
        <w:rPr>
          <w:rFonts w:cstheme="minorHAnsi"/>
          <w:sz w:val="20"/>
          <w:szCs w:val="20"/>
        </w:rPr>
        <w:t xml:space="preserve"> has focused on moving</w:t>
      </w:r>
      <w:r w:rsidRPr="00E071DF">
        <w:rPr>
          <w:rFonts w:cstheme="minorHAnsi"/>
          <w:sz w:val="20"/>
          <w:szCs w:val="20"/>
        </w:rPr>
        <w:t xml:space="preserve"> many activities </w:t>
      </w:r>
      <w:r w:rsidR="005F7819" w:rsidRPr="00E071DF">
        <w:rPr>
          <w:rFonts w:cstheme="minorHAnsi"/>
          <w:sz w:val="20"/>
          <w:szCs w:val="20"/>
        </w:rPr>
        <w:t>online, utilising a</w:t>
      </w:r>
      <w:r w:rsidRPr="00E071DF">
        <w:rPr>
          <w:rFonts w:cstheme="minorHAnsi"/>
          <w:sz w:val="20"/>
          <w:szCs w:val="20"/>
        </w:rPr>
        <w:t xml:space="preserve"> new Portal website. </w:t>
      </w:r>
      <w:r w:rsidR="005F7819" w:rsidRPr="00E071DF">
        <w:rPr>
          <w:rFonts w:cstheme="minorHAnsi"/>
          <w:sz w:val="20"/>
          <w:szCs w:val="20"/>
        </w:rPr>
        <w:t>The site includes</w:t>
      </w:r>
      <w:r w:rsidRPr="00E071DF">
        <w:rPr>
          <w:rFonts w:cstheme="minorHAnsi"/>
          <w:sz w:val="20"/>
          <w:szCs w:val="20"/>
        </w:rPr>
        <w:t xml:space="preserve"> virtual holiday programs, online lecture series</w:t>
      </w:r>
      <w:r w:rsidR="005F7819" w:rsidRPr="00E071DF">
        <w:rPr>
          <w:rFonts w:cstheme="minorHAnsi"/>
          <w:sz w:val="20"/>
          <w:szCs w:val="20"/>
        </w:rPr>
        <w:t xml:space="preserve"> and LD offerings</w:t>
      </w:r>
      <w:r w:rsidRPr="00E071DF">
        <w:rPr>
          <w:rFonts w:cstheme="minorHAnsi"/>
          <w:sz w:val="20"/>
          <w:szCs w:val="20"/>
        </w:rPr>
        <w:t xml:space="preserve">. The aim has been to create the resources needed to allow children and young people involved in the program to continue to gain hours in their </w:t>
      </w:r>
      <w:r w:rsidRPr="00E071DF">
        <w:rPr>
          <w:rFonts w:cstheme="minorHAnsi"/>
          <w:i/>
          <w:sz w:val="20"/>
          <w:szCs w:val="20"/>
        </w:rPr>
        <w:t>Passports to Learning</w:t>
      </w:r>
      <w:r w:rsidRPr="00E071DF">
        <w:rPr>
          <w:rFonts w:cstheme="minorHAnsi"/>
          <w:sz w:val="20"/>
          <w:szCs w:val="20"/>
        </w:rPr>
        <w:t>. CUA also partnered with Australian Communities Media to publish a weekly printable page of activities to support regional and disadvantaged children who do not have access to internet at home.</w:t>
      </w:r>
    </w:p>
    <w:p w:rsidR="0010751B" w:rsidRPr="005224EF" w:rsidRDefault="0010751B" w:rsidP="0010751B">
      <w:pPr>
        <w:spacing w:after="0"/>
        <w:jc w:val="both"/>
        <w:rPr>
          <w:rFonts w:cstheme="minorHAnsi"/>
          <w:sz w:val="20"/>
          <w:szCs w:val="20"/>
        </w:rPr>
      </w:pPr>
      <w:r w:rsidRPr="005224EF">
        <w:rPr>
          <w:rFonts w:cstheme="minorHAnsi"/>
          <w:sz w:val="20"/>
          <w:szCs w:val="20"/>
        </w:rPr>
        <w:t>Wirltu Yarlu</w:t>
      </w:r>
    </w:p>
    <w:p w:rsidR="0010751B" w:rsidRPr="005224EF" w:rsidRDefault="0010751B" w:rsidP="0010751B">
      <w:pPr>
        <w:spacing w:after="0" w:line="240" w:lineRule="auto"/>
        <w:rPr>
          <w:rFonts w:cstheme="minorHAnsi"/>
          <w:sz w:val="20"/>
          <w:szCs w:val="20"/>
        </w:rPr>
      </w:pPr>
      <w:r w:rsidRPr="005224EF">
        <w:rPr>
          <w:rFonts w:cstheme="minorHAnsi"/>
          <w:sz w:val="20"/>
          <w:szCs w:val="20"/>
        </w:rPr>
        <w:t xml:space="preserve">Wirltu Yarlu delivers the Marni Wingku (year 7-10) and Karnkanthi (year 11-12) programs to increase education capacity, develop resilience and prepare Indigenous students to succeed at university </w:t>
      </w:r>
      <w:r w:rsidRPr="005224EF">
        <w:rPr>
          <w:rFonts w:eastAsia="Times New Roman" w:cstheme="minorHAnsi"/>
          <w:color w:val="000000"/>
          <w:sz w:val="20"/>
          <w:szCs w:val="20"/>
          <w:shd w:val="clear" w:color="auto" w:fill="FFFFFF"/>
          <w:lang w:eastAsia="zh-CN"/>
        </w:rPr>
        <w:t>by building on their unique personal, academic, and cultural strengths.</w:t>
      </w:r>
      <w:r w:rsidRPr="005224EF">
        <w:rPr>
          <w:rFonts w:cstheme="minorHAnsi"/>
          <w:sz w:val="20"/>
          <w:szCs w:val="20"/>
        </w:rPr>
        <w:t xml:space="preserve"> </w:t>
      </w:r>
    </w:p>
    <w:p w:rsidR="0010751B" w:rsidRPr="005224EF" w:rsidRDefault="0010751B" w:rsidP="0010751B">
      <w:pPr>
        <w:pStyle w:val="ListNumber"/>
        <w:numPr>
          <w:ilvl w:val="0"/>
          <w:numId w:val="0"/>
        </w:numPr>
        <w:spacing w:after="0" w:line="240" w:lineRule="auto"/>
        <w:jc w:val="both"/>
        <w:rPr>
          <w:rFonts w:cstheme="minorHAnsi"/>
          <w:sz w:val="16"/>
          <w:szCs w:val="20"/>
          <w:highlight w:val="yellow"/>
        </w:rPr>
      </w:pPr>
    </w:p>
    <w:p w:rsidR="0010751B" w:rsidRPr="005224EF" w:rsidRDefault="0010751B" w:rsidP="0010751B">
      <w:pPr>
        <w:pStyle w:val="ListNumber"/>
        <w:numPr>
          <w:ilvl w:val="0"/>
          <w:numId w:val="0"/>
        </w:numPr>
        <w:spacing w:after="0" w:line="240" w:lineRule="auto"/>
        <w:jc w:val="both"/>
        <w:rPr>
          <w:rFonts w:cstheme="minorHAnsi"/>
          <w:b/>
          <w:sz w:val="20"/>
          <w:szCs w:val="20"/>
          <w:u w:val="single"/>
        </w:rPr>
      </w:pPr>
      <w:r w:rsidRPr="005224EF">
        <w:rPr>
          <w:rFonts w:cstheme="minorHAnsi"/>
          <w:b/>
          <w:sz w:val="20"/>
          <w:szCs w:val="20"/>
          <w:u w:val="single"/>
        </w:rPr>
        <w:t>Access</w:t>
      </w:r>
    </w:p>
    <w:p w:rsidR="0010751B" w:rsidRPr="005224EF" w:rsidRDefault="0010751B" w:rsidP="0010751B">
      <w:pPr>
        <w:pStyle w:val="ListParagraph"/>
        <w:numPr>
          <w:ilvl w:val="0"/>
          <w:numId w:val="4"/>
        </w:numPr>
        <w:spacing w:after="0"/>
        <w:ind w:left="426"/>
        <w:jc w:val="both"/>
        <w:rPr>
          <w:rFonts w:cstheme="minorHAnsi"/>
          <w:sz w:val="20"/>
          <w:szCs w:val="20"/>
        </w:rPr>
      </w:pPr>
      <w:r w:rsidRPr="005224EF">
        <w:rPr>
          <w:rFonts w:cstheme="minorHAnsi"/>
          <w:sz w:val="20"/>
          <w:szCs w:val="20"/>
        </w:rPr>
        <w:t>Aboriginal &amp; Torres Strait Islander Access Scheme; providing access to students who may not have otherwise qualified for university entrance (both school l</w:t>
      </w:r>
      <w:r>
        <w:rPr>
          <w:rFonts w:cstheme="minorHAnsi"/>
          <w:sz w:val="20"/>
          <w:szCs w:val="20"/>
        </w:rPr>
        <w:t>eavers and non-school leavers).</w:t>
      </w:r>
    </w:p>
    <w:p w:rsidR="0010751B" w:rsidRPr="005224EF" w:rsidRDefault="0010751B" w:rsidP="0010751B">
      <w:pPr>
        <w:pStyle w:val="ListParagraph"/>
        <w:numPr>
          <w:ilvl w:val="0"/>
          <w:numId w:val="4"/>
        </w:numPr>
        <w:spacing w:after="0"/>
        <w:ind w:left="426"/>
        <w:jc w:val="both"/>
        <w:rPr>
          <w:rFonts w:cstheme="minorHAnsi"/>
          <w:sz w:val="20"/>
          <w:szCs w:val="20"/>
        </w:rPr>
      </w:pPr>
      <w:r w:rsidRPr="005224EF">
        <w:rPr>
          <w:rFonts w:cstheme="minorHAnsi"/>
          <w:sz w:val="20"/>
          <w:szCs w:val="20"/>
        </w:rPr>
        <w:t>Scholarships for low-SES students and entry schemes that are not reliant on the ATAR alone</w:t>
      </w:r>
    </w:p>
    <w:p w:rsidR="0010751B" w:rsidRPr="005224EF" w:rsidRDefault="0010751B" w:rsidP="0010751B">
      <w:pPr>
        <w:pStyle w:val="ListParagraph"/>
        <w:numPr>
          <w:ilvl w:val="0"/>
          <w:numId w:val="4"/>
        </w:numPr>
        <w:spacing w:after="0"/>
        <w:ind w:left="426"/>
        <w:jc w:val="both"/>
        <w:rPr>
          <w:rFonts w:cstheme="minorHAnsi"/>
          <w:sz w:val="20"/>
          <w:szCs w:val="20"/>
        </w:rPr>
      </w:pPr>
      <w:r w:rsidRPr="005224EF">
        <w:rPr>
          <w:rFonts w:cstheme="minorHAnsi"/>
          <w:sz w:val="20"/>
          <w:szCs w:val="20"/>
        </w:rPr>
        <w:t>Dual Offer pathways, entry and credit arrangements with TAFE SA (VET provider)</w:t>
      </w:r>
    </w:p>
    <w:p w:rsidR="0010751B" w:rsidRPr="005224EF" w:rsidRDefault="0010751B" w:rsidP="0010751B">
      <w:pPr>
        <w:spacing w:after="0" w:line="240" w:lineRule="auto"/>
        <w:rPr>
          <w:rFonts w:cstheme="minorHAnsi"/>
          <w:sz w:val="20"/>
          <w:szCs w:val="20"/>
        </w:rPr>
      </w:pPr>
    </w:p>
    <w:p w:rsidR="0010751B" w:rsidRPr="005224EF" w:rsidRDefault="0010751B" w:rsidP="0010751B">
      <w:pPr>
        <w:spacing w:after="0" w:line="240" w:lineRule="auto"/>
        <w:rPr>
          <w:rFonts w:cstheme="minorHAnsi"/>
          <w:sz w:val="20"/>
          <w:szCs w:val="20"/>
        </w:rPr>
      </w:pPr>
      <w:r w:rsidRPr="005224EF">
        <w:rPr>
          <w:rFonts w:cstheme="minorHAnsi"/>
          <w:sz w:val="20"/>
          <w:szCs w:val="20"/>
        </w:rPr>
        <w:lastRenderedPageBreak/>
        <w:t xml:space="preserve">University Preparatory Program (UPP) </w:t>
      </w:r>
      <w:r w:rsidRPr="005224EF">
        <w:rPr>
          <w:rFonts w:cstheme="minorHAnsi"/>
          <w:sz w:val="20"/>
          <w:szCs w:val="20"/>
        </w:rPr>
        <w:br/>
        <w:t xml:space="preserve">The University Preparatory Program (UPP) is a one year program for anyone who wants to get ready to enter university. It has been designed for those who have never been to university or have not studied for a long period of time. There are no prerequisites for entry into the UPP. </w:t>
      </w:r>
    </w:p>
    <w:p w:rsidR="0010751B" w:rsidRPr="005224EF" w:rsidRDefault="0010751B" w:rsidP="0010751B">
      <w:pPr>
        <w:pStyle w:val="ListNumber"/>
        <w:numPr>
          <w:ilvl w:val="0"/>
          <w:numId w:val="0"/>
        </w:numPr>
        <w:spacing w:after="0" w:line="240" w:lineRule="auto"/>
        <w:ind w:left="360" w:hanging="360"/>
        <w:jc w:val="both"/>
        <w:rPr>
          <w:rFonts w:cstheme="minorHAnsi"/>
          <w:sz w:val="16"/>
          <w:szCs w:val="20"/>
          <w:highlight w:val="yellow"/>
        </w:rPr>
      </w:pPr>
    </w:p>
    <w:p w:rsidR="0010751B" w:rsidRPr="005224EF" w:rsidRDefault="0010751B" w:rsidP="0010751B">
      <w:pPr>
        <w:tabs>
          <w:tab w:val="left" w:pos="426"/>
        </w:tabs>
        <w:spacing w:after="0"/>
        <w:jc w:val="both"/>
        <w:rPr>
          <w:rFonts w:eastAsia="Calibri" w:cstheme="minorHAnsi"/>
          <w:b/>
          <w:sz w:val="20"/>
          <w:szCs w:val="20"/>
          <w:u w:val="single"/>
        </w:rPr>
      </w:pPr>
      <w:r w:rsidRPr="005224EF">
        <w:rPr>
          <w:rFonts w:eastAsia="Calibri" w:cstheme="minorHAnsi"/>
          <w:b/>
          <w:sz w:val="20"/>
          <w:szCs w:val="20"/>
          <w:u w:val="single"/>
        </w:rPr>
        <w:t>Participation</w:t>
      </w:r>
    </w:p>
    <w:p w:rsidR="0010751B" w:rsidRPr="005224EF" w:rsidRDefault="0010751B" w:rsidP="0010751B">
      <w:pPr>
        <w:pStyle w:val="ListParagraph"/>
        <w:numPr>
          <w:ilvl w:val="0"/>
          <w:numId w:val="4"/>
        </w:numPr>
        <w:spacing w:after="0"/>
        <w:ind w:left="426"/>
        <w:jc w:val="both"/>
        <w:rPr>
          <w:rFonts w:cstheme="minorHAnsi"/>
          <w:sz w:val="20"/>
          <w:szCs w:val="20"/>
        </w:rPr>
      </w:pPr>
      <w:r w:rsidRPr="005224EF">
        <w:rPr>
          <w:rFonts w:cstheme="minorHAnsi"/>
          <w:sz w:val="20"/>
          <w:szCs w:val="20"/>
        </w:rPr>
        <w:t>Academic Support through PASS</w:t>
      </w:r>
      <w:r>
        <w:rPr>
          <w:rFonts w:cstheme="minorHAnsi"/>
          <w:sz w:val="20"/>
          <w:szCs w:val="20"/>
        </w:rPr>
        <w:t xml:space="preserve"> (Peer Assisted Study Sessions)/</w:t>
      </w:r>
      <w:r w:rsidRPr="005224EF">
        <w:rPr>
          <w:rFonts w:cstheme="minorHAnsi"/>
          <w:sz w:val="20"/>
          <w:szCs w:val="20"/>
        </w:rPr>
        <w:t xml:space="preserve"> Maths Learning Centre</w:t>
      </w:r>
      <w:r>
        <w:rPr>
          <w:rFonts w:cstheme="minorHAnsi"/>
          <w:sz w:val="20"/>
          <w:szCs w:val="20"/>
        </w:rPr>
        <w:t>/</w:t>
      </w:r>
      <w:r w:rsidRPr="005224EF">
        <w:rPr>
          <w:rFonts w:cstheme="minorHAnsi"/>
          <w:sz w:val="20"/>
          <w:szCs w:val="20"/>
        </w:rPr>
        <w:t xml:space="preserve"> Writing Centre</w:t>
      </w:r>
    </w:p>
    <w:p w:rsidR="0010751B" w:rsidRPr="005224EF" w:rsidRDefault="0010751B" w:rsidP="0010751B">
      <w:pPr>
        <w:pStyle w:val="ListParagraph"/>
        <w:numPr>
          <w:ilvl w:val="0"/>
          <w:numId w:val="4"/>
        </w:numPr>
        <w:spacing w:after="0"/>
        <w:ind w:left="426"/>
        <w:jc w:val="both"/>
        <w:rPr>
          <w:rFonts w:cstheme="minorHAnsi"/>
          <w:sz w:val="20"/>
          <w:szCs w:val="20"/>
        </w:rPr>
      </w:pPr>
      <w:r w:rsidRPr="005224EF">
        <w:rPr>
          <w:rFonts w:cstheme="minorHAnsi"/>
          <w:sz w:val="20"/>
          <w:szCs w:val="20"/>
        </w:rPr>
        <w:t>Pastoral Support including counselling and disability services</w:t>
      </w:r>
    </w:p>
    <w:p w:rsidR="0010751B" w:rsidRDefault="0010751B" w:rsidP="0010751B">
      <w:pPr>
        <w:pStyle w:val="ListParagraph"/>
        <w:numPr>
          <w:ilvl w:val="0"/>
          <w:numId w:val="4"/>
        </w:numPr>
        <w:spacing w:after="0"/>
        <w:ind w:left="426"/>
        <w:jc w:val="both"/>
        <w:rPr>
          <w:rFonts w:cstheme="minorHAnsi"/>
          <w:sz w:val="20"/>
          <w:szCs w:val="20"/>
        </w:rPr>
      </w:pPr>
      <w:r w:rsidRPr="005224EF">
        <w:rPr>
          <w:rFonts w:cstheme="minorHAnsi"/>
          <w:sz w:val="20"/>
          <w:szCs w:val="20"/>
        </w:rPr>
        <w:t>Faculty based support and</w:t>
      </w:r>
      <w:r>
        <w:rPr>
          <w:rFonts w:cstheme="minorHAnsi"/>
          <w:sz w:val="20"/>
          <w:szCs w:val="20"/>
        </w:rPr>
        <w:t xml:space="preserve"> other</w:t>
      </w:r>
      <w:r w:rsidRPr="005224EF">
        <w:rPr>
          <w:rFonts w:cstheme="minorHAnsi"/>
          <w:sz w:val="20"/>
          <w:szCs w:val="20"/>
        </w:rPr>
        <w:t xml:space="preserve"> peer mentor programs</w:t>
      </w:r>
    </w:p>
    <w:p w:rsidR="0010751B" w:rsidRPr="00BB0E72" w:rsidRDefault="0010751B" w:rsidP="0010751B">
      <w:pPr>
        <w:pStyle w:val="ListParagraph"/>
        <w:numPr>
          <w:ilvl w:val="0"/>
          <w:numId w:val="4"/>
        </w:numPr>
        <w:spacing w:after="0"/>
        <w:ind w:left="426"/>
        <w:jc w:val="both"/>
        <w:rPr>
          <w:rFonts w:cstheme="minorHAnsi"/>
          <w:sz w:val="20"/>
          <w:szCs w:val="20"/>
        </w:rPr>
      </w:pPr>
      <w:r w:rsidRPr="005224EF">
        <w:rPr>
          <w:rFonts w:cstheme="minorHAnsi"/>
          <w:sz w:val="20"/>
          <w:szCs w:val="20"/>
        </w:rPr>
        <w:t>Availability of enrolment sessions, student advisors and tertiary transfer information</w:t>
      </w:r>
    </w:p>
    <w:p w:rsidR="0010751B" w:rsidRPr="005224EF" w:rsidRDefault="0010751B" w:rsidP="0010751B">
      <w:pPr>
        <w:spacing w:after="0"/>
        <w:jc w:val="both"/>
        <w:rPr>
          <w:rFonts w:cstheme="minorHAnsi"/>
          <w:sz w:val="20"/>
          <w:szCs w:val="20"/>
        </w:rPr>
      </w:pPr>
    </w:p>
    <w:p w:rsidR="0010751B" w:rsidRPr="005224EF" w:rsidRDefault="0010751B" w:rsidP="0010751B">
      <w:pPr>
        <w:spacing w:after="0"/>
        <w:jc w:val="both"/>
        <w:rPr>
          <w:rFonts w:cstheme="minorHAnsi"/>
          <w:sz w:val="20"/>
          <w:szCs w:val="20"/>
        </w:rPr>
      </w:pPr>
      <w:r w:rsidRPr="005224EF">
        <w:rPr>
          <w:rFonts w:cstheme="minorHAnsi"/>
          <w:sz w:val="20"/>
          <w:szCs w:val="20"/>
        </w:rPr>
        <w:t>Succeed@Adelaide</w:t>
      </w:r>
    </w:p>
    <w:p w:rsidR="0010751B" w:rsidRPr="005224EF" w:rsidRDefault="0010751B" w:rsidP="0010751B">
      <w:pPr>
        <w:spacing w:after="0"/>
        <w:jc w:val="both"/>
        <w:rPr>
          <w:rFonts w:cstheme="minorHAnsi"/>
          <w:sz w:val="20"/>
          <w:szCs w:val="20"/>
        </w:rPr>
      </w:pPr>
      <w:r w:rsidRPr="005224EF">
        <w:rPr>
          <w:rFonts w:cstheme="minorHAnsi"/>
          <w:sz w:val="20"/>
          <w:szCs w:val="20"/>
        </w:rPr>
        <w:t>Phone and email referrals to support services based on demographic and/or behavioural triggers (i.e. low participation, non-attendance or poor grades for undergraduate commencing students</w:t>
      </w:r>
      <w:r>
        <w:rPr>
          <w:rFonts w:cstheme="minorHAnsi"/>
          <w:sz w:val="20"/>
          <w:szCs w:val="20"/>
        </w:rPr>
        <w:t>), in 2020 this service will be broadened in response to COVID-19.</w:t>
      </w:r>
    </w:p>
    <w:p w:rsidR="0010751B" w:rsidRPr="005224EF" w:rsidRDefault="0010751B" w:rsidP="0010751B">
      <w:pPr>
        <w:spacing w:after="0"/>
        <w:jc w:val="both"/>
        <w:rPr>
          <w:rFonts w:cstheme="minorHAnsi"/>
          <w:sz w:val="20"/>
          <w:szCs w:val="20"/>
        </w:rPr>
      </w:pPr>
    </w:p>
    <w:p w:rsidR="0010751B" w:rsidRPr="005224EF" w:rsidRDefault="0010751B" w:rsidP="0010751B">
      <w:pPr>
        <w:spacing w:after="0"/>
        <w:jc w:val="both"/>
        <w:rPr>
          <w:rFonts w:cstheme="minorHAnsi"/>
          <w:sz w:val="20"/>
          <w:szCs w:val="20"/>
        </w:rPr>
      </w:pPr>
      <w:r w:rsidRPr="005224EF">
        <w:rPr>
          <w:rFonts w:cstheme="minorHAnsi"/>
          <w:sz w:val="20"/>
          <w:szCs w:val="20"/>
        </w:rPr>
        <w:t>Wirltu Yarlu</w:t>
      </w:r>
    </w:p>
    <w:p w:rsidR="0010751B" w:rsidRPr="005224EF" w:rsidRDefault="0010751B" w:rsidP="0010751B">
      <w:pPr>
        <w:pStyle w:val="ListParagraph"/>
        <w:numPr>
          <w:ilvl w:val="0"/>
          <w:numId w:val="7"/>
        </w:numPr>
        <w:spacing w:after="0"/>
        <w:jc w:val="both"/>
        <w:rPr>
          <w:rFonts w:cstheme="minorHAnsi"/>
          <w:sz w:val="20"/>
          <w:szCs w:val="20"/>
        </w:rPr>
      </w:pPr>
      <w:r>
        <w:rPr>
          <w:rFonts w:cstheme="minorHAnsi"/>
          <w:sz w:val="20"/>
          <w:szCs w:val="20"/>
        </w:rPr>
        <w:t>S</w:t>
      </w:r>
      <w:r w:rsidRPr="005224EF">
        <w:rPr>
          <w:rFonts w:cstheme="minorHAnsi"/>
          <w:sz w:val="20"/>
          <w:szCs w:val="20"/>
        </w:rPr>
        <w:t>tudents are provided tailored support focusing on malleable and stable characteristics from an early intervention standpoint to address any barriers to accessing Higher Education</w:t>
      </w:r>
    </w:p>
    <w:p w:rsidR="0010751B" w:rsidRPr="005224EF" w:rsidRDefault="0010751B" w:rsidP="0010751B">
      <w:pPr>
        <w:pStyle w:val="ListParagraph"/>
        <w:numPr>
          <w:ilvl w:val="0"/>
          <w:numId w:val="7"/>
        </w:numPr>
        <w:spacing w:after="0"/>
        <w:jc w:val="both"/>
        <w:rPr>
          <w:rFonts w:cstheme="minorHAnsi"/>
          <w:sz w:val="20"/>
          <w:szCs w:val="20"/>
        </w:rPr>
      </w:pPr>
      <w:r w:rsidRPr="005224EF">
        <w:rPr>
          <w:rFonts w:cstheme="minorHAnsi"/>
          <w:sz w:val="20"/>
          <w:szCs w:val="20"/>
        </w:rPr>
        <w:t xml:space="preserve">General support which includes academic mentoring, administrative support (enrolment, academic progress, scholarships and student life programs) </w:t>
      </w:r>
    </w:p>
    <w:p w:rsidR="0010751B" w:rsidRPr="005224EF" w:rsidRDefault="0010751B" w:rsidP="0010751B">
      <w:pPr>
        <w:pStyle w:val="ListParagraph"/>
        <w:numPr>
          <w:ilvl w:val="0"/>
          <w:numId w:val="7"/>
        </w:numPr>
        <w:spacing w:after="0"/>
        <w:jc w:val="both"/>
        <w:rPr>
          <w:rFonts w:cstheme="minorHAnsi"/>
          <w:sz w:val="20"/>
          <w:szCs w:val="20"/>
        </w:rPr>
      </w:pPr>
      <w:r w:rsidRPr="005224EF">
        <w:rPr>
          <w:rFonts w:cstheme="minorHAnsi"/>
          <w:sz w:val="20"/>
          <w:szCs w:val="20"/>
        </w:rPr>
        <w:t>Tailored orientation program</w:t>
      </w:r>
      <w:r>
        <w:rPr>
          <w:rFonts w:cstheme="minorHAnsi"/>
          <w:sz w:val="20"/>
          <w:szCs w:val="20"/>
        </w:rPr>
        <w:t>s</w:t>
      </w:r>
      <w:r w:rsidRPr="005224EF">
        <w:rPr>
          <w:rFonts w:cstheme="minorHAnsi"/>
          <w:sz w:val="20"/>
          <w:szCs w:val="20"/>
        </w:rPr>
        <w:t xml:space="preserve"> that </w:t>
      </w:r>
      <w:r>
        <w:rPr>
          <w:rFonts w:cstheme="minorHAnsi"/>
          <w:sz w:val="20"/>
          <w:szCs w:val="20"/>
        </w:rPr>
        <w:t>do</w:t>
      </w:r>
      <w:r w:rsidRPr="005224EF">
        <w:rPr>
          <w:rFonts w:cstheme="minorHAnsi"/>
          <w:sz w:val="20"/>
          <w:szCs w:val="20"/>
        </w:rPr>
        <w:t xml:space="preserve"> not duplicate </w:t>
      </w:r>
      <w:r>
        <w:rPr>
          <w:rFonts w:cstheme="minorHAnsi"/>
          <w:sz w:val="20"/>
          <w:szCs w:val="20"/>
        </w:rPr>
        <w:t>those</w:t>
      </w:r>
      <w:r w:rsidRPr="005224EF">
        <w:rPr>
          <w:rFonts w:cstheme="minorHAnsi"/>
          <w:sz w:val="20"/>
          <w:szCs w:val="20"/>
        </w:rPr>
        <w:t xml:space="preserve"> offered by the mainstream university</w:t>
      </w:r>
    </w:p>
    <w:p w:rsidR="0010751B" w:rsidRPr="005224EF" w:rsidRDefault="0010751B" w:rsidP="0010751B">
      <w:pPr>
        <w:rPr>
          <w:rFonts w:cstheme="minorHAnsi"/>
          <w:sz w:val="20"/>
          <w:szCs w:val="20"/>
        </w:rPr>
      </w:pPr>
      <w:r w:rsidRPr="005224EF">
        <w:rPr>
          <w:rFonts w:cstheme="minorHAnsi"/>
          <w:sz w:val="20"/>
          <w:szCs w:val="20"/>
        </w:rPr>
        <w:br/>
      </w:r>
      <w:r>
        <w:rPr>
          <w:rFonts w:cstheme="minorHAnsi"/>
          <w:sz w:val="20"/>
          <w:szCs w:val="20"/>
        </w:rPr>
        <w:t>In conjunction with the Student Union, t</w:t>
      </w:r>
      <w:r w:rsidRPr="005224EF">
        <w:rPr>
          <w:rFonts w:cstheme="minorHAnsi"/>
          <w:sz w:val="20"/>
          <w:szCs w:val="20"/>
        </w:rPr>
        <w:t xml:space="preserve">he University </w:t>
      </w:r>
      <w:r>
        <w:rPr>
          <w:rFonts w:cstheme="minorHAnsi"/>
          <w:sz w:val="20"/>
          <w:szCs w:val="20"/>
        </w:rPr>
        <w:t>is providing</w:t>
      </w:r>
      <w:r w:rsidRPr="005224EF">
        <w:rPr>
          <w:rFonts w:cstheme="minorHAnsi"/>
          <w:sz w:val="20"/>
          <w:szCs w:val="20"/>
        </w:rPr>
        <w:t xml:space="preserve"> virtual engagement opportunities (</w:t>
      </w:r>
      <w:r>
        <w:rPr>
          <w:rFonts w:cstheme="minorHAnsi"/>
          <w:sz w:val="20"/>
          <w:szCs w:val="20"/>
        </w:rPr>
        <w:t>via video conferencing and chat</w:t>
      </w:r>
      <w:r w:rsidRPr="005224EF">
        <w:rPr>
          <w:rFonts w:cstheme="minorHAnsi"/>
          <w:sz w:val="20"/>
          <w:szCs w:val="20"/>
        </w:rPr>
        <w:t xml:space="preserve">) to communicate with students in isolation as a result of COVID-19. </w:t>
      </w:r>
      <w:r w:rsidRPr="005224EF">
        <w:rPr>
          <w:rFonts w:cstheme="minorHAnsi"/>
          <w:sz w:val="20"/>
          <w:szCs w:val="20"/>
        </w:rPr>
        <w:br/>
      </w:r>
      <w:r w:rsidRPr="005224EF">
        <w:rPr>
          <w:rFonts w:eastAsia="Calibri" w:cstheme="minorHAnsi"/>
          <w:b/>
          <w:sz w:val="20"/>
          <w:szCs w:val="20"/>
          <w:u w:val="single"/>
        </w:rPr>
        <w:br/>
        <w:t>Progress and Attainment</w:t>
      </w:r>
    </w:p>
    <w:p w:rsidR="0010751B" w:rsidRPr="005224EF" w:rsidRDefault="0010751B" w:rsidP="0010751B">
      <w:pPr>
        <w:pStyle w:val="ListParagraph"/>
        <w:numPr>
          <w:ilvl w:val="0"/>
          <w:numId w:val="4"/>
        </w:numPr>
        <w:spacing w:after="0"/>
        <w:ind w:left="426"/>
        <w:jc w:val="both"/>
        <w:rPr>
          <w:rFonts w:cstheme="minorHAnsi"/>
          <w:sz w:val="20"/>
          <w:szCs w:val="20"/>
        </w:rPr>
      </w:pPr>
      <w:r w:rsidRPr="005224EF">
        <w:rPr>
          <w:rFonts w:cstheme="minorHAnsi"/>
          <w:sz w:val="20"/>
          <w:szCs w:val="20"/>
        </w:rPr>
        <w:t>Monitoring of student academic performance through the Academic Progress process</w:t>
      </w:r>
    </w:p>
    <w:p w:rsidR="0010751B" w:rsidRPr="005224EF" w:rsidRDefault="0010751B" w:rsidP="0010751B">
      <w:pPr>
        <w:pStyle w:val="ListParagraph"/>
        <w:numPr>
          <w:ilvl w:val="0"/>
          <w:numId w:val="4"/>
        </w:numPr>
        <w:spacing w:after="0"/>
        <w:ind w:left="426"/>
        <w:jc w:val="both"/>
        <w:rPr>
          <w:rFonts w:cstheme="minorHAnsi"/>
          <w:sz w:val="20"/>
          <w:szCs w:val="20"/>
        </w:rPr>
      </w:pPr>
      <w:r w:rsidRPr="005224EF">
        <w:rPr>
          <w:rFonts w:cstheme="minorHAnsi"/>
          <w:sz w:val="20"/>
          <w:szCs w:val="20"/>
        </w:rPr>
        <w:t>Provision of the Adelaide Graduate Award</w:t>
      </w:r>
    </w:p>
    <w:p w:rsidR="0010751B" w:rsidRPr="005224EF" w:rsidRDefault="0010751B" w:rsidP="0010751B">
      <w:pPr>
        <w:pStyle w:val="ListParagraph"/>
        <w:numPr>
          <w:ilvl w:val="0"/>
          <w:numId w:val="4"/>
        </w:numPr>
        <w:spacing w:after="0"/>
        <w:ind w:left="426"/>
        <w:jc w:val="both"/>
        <w:rPr>
          <w:rFonts w:cstheme="minorHAnsi"/>
          <w:sz w:val="20"/>
          <w:szCs w:val="20"/>
        </w:rPr>
      </w:pPr>
      <w:r w:rsidRPr="005224EF">
        <w:rPr>
          <w:rFonts w:cstheme="minorHAnsi"/>
          <w:sz w:val="20"/>
          <w:szCs w:val="20"/>
        </w:rPr>
        <w:t>Careers support through mentoring and online resources</w:t>
      </w:r>
    </w:p>
    <w:p w:rsidR="0010751B" w:rsidRPr="00395311" w:rsidRDefault="0010751B" w:rsidP="0010751B">
      <w:pPr>
        <w:pStyle w:val="ListNumber"/>
        <w:numPr>
          <w:ilvl w:val="0"/>
          <w:numId w:val="0"/>
        </w:numPr>
        <w:spacing w:after="240" w:line="240" w:lineRule="auto"/>
        <w:rPr>
          <w:sz w:val="24"/>
        </w:rPr>
      </w:pPr>
    </w:p>
    <w:p w:rsidR="0010751B" w:rsidRDefault="0010751B" w:rsidP="0010751B">
      <w:pPr>
        <w:pStyle w:val="ListNumber"/>
        <w:numPr>
          <w:ilvl w:val="0"/>
          <w:numId w:val="2"/>
        </w:numPr>
        <w:spacing w:after="240" w:line="240" w:lineRule="auto"/>
        <w:rPr>
          <w:sz w:val="24"/>
        </w:rPr>
      </w:pPr>
      <w:r w:rsidRPr="00CB6EC3">
        <w:rPr>
          <w:b/>
          <w:sz w:val="24"/>
        </w:rPr>
        <w:t>Evaluation</w:t>
      </w:r>
      <w:r w:rsidRPr="00CB6EC3">
        <w:rPr>
          <w:sz w:val="24"/>
        </w:rPr>
        <w:t>: how the university plans to evaluate the effectiveness of the equity strategies.</w:t>
      </w:r>
    </w:p>
    <w:p w:rsidR="0010751B" w:rsidRPr="00A06CB1" w:rsidRDefault="0010751B" w:rsidP="0010751B">
      <w:pPr>
        <w:shd w:val="clear" w:color="auto" w:fill="FFFFFF" w:themeFill="background1"/>
        <w:spacing w:after="0"/>
        <w:jc w:val="both"/>
        <w:rPr>
          <w:sz w:val="20"/>
          <w:szCs w:val="20"/>
        </w:rPr>
      </w:pPr>
      <w:r w:rsidRPr="00A06CB1">
        <w:rPr>
          <w:sz w:val="20"/>
          <w:szCs w:val="20"/>
        </w:rPr>
        <w:t>A range of evaluation processes are in place, dependant on the particular activity;</w:t>
      </w:r>
    </w:p>
    <w:p w:rsidR="0010751B" w:rsidRPr="00A06CB1" w:rsidRDefault="0010751B" w:rsidP="0010751B">
      <w:pPr>
        <w:pStyle w:val="ListParagraph"/>
        <w:numPr>
          <w:ilvl w:val="0"/>
          <w:numId w:val="4"/>
        </w:numPr>
        <w:spacing w:after="0"/>
        <w:ind w:left="426"/>
        <w:jc w:val="both"/>
        <w:rPr>
          <w:rFonts w:cstheme="minorHAnsi"/>
          <w:sz w:val="20"/>
          <w:szCs w:val="20"/>
        </w:rPr>
      </w:pPr>
      <w:r w:rsidRPr="00A06CB1">
        <w:rPr>
          <w:rFonts w:cstheme="minorHAnsi"/>
          <w:sz w:val="20"/>
          <w:szCs w:val="20"/>
        </w:rPr>
        <w:t>CUA quantitative and qualitative data is collected annually and comparison of participation and impact data is shared through the national network. CUA also contributes to evaluations of the program globally. The CUA Advisory Board monitors KPIs and reviews the targets, impact, growth and success of the program. An independen</w:t>
      </w:r>
      <w:r>
        <w:rPr>
          <w:rFonts w:cstheme="minorHAnsi"/>
          <w:sz w:val="20"/>
          <w:szCs w:val="20"/>
        </w:rPr>
        <w:t>t evaluation is planned for 2020</w:t>
      </w:r>
      <w:r w:rsidRPr="00A06CB1">
        <w:rPr>
          <w:rFonts w:cstheme="minorHAnsi"/>
          <w:sz w:val="20"/>
          <w:szCs w:val="20"/>
        </w:rPr>
        <w:t xml:space="preserve"> dependant on funding.</w:t>
      </w:r>
    </w:p>
    <w:p w:rsidR="0010751B" w:rsidRPr="00A06CB1" w:rsidRDefault="0010751B" w:rsidP="0010751B">
      <w:pPr>
        <w:pStyle w:val="ListParagraph"/>
        <w:numPr>
          <w:ilvl w:val="0"/>
          <w:numId w:val="4"/>
        </w:numPr>
        <w:spacing w:after="0"/>
        <w:ind w:left="426"/>
        <w:jc w:val="both"/>
        <w:rPr>
          <w:rFonts w:cstheme="minorHAnsi"/>
          <w:sz w:val="20"/>
          <w:szCs w:val="20"/>
        </w:rPr>
      </w:pPr>
      <w:r w:rsidRPr="00A06CB1">
        <w:rPr>
          <w:rFonts w:cstheme="minorHAnsi"/>
          <w:sz w:val="20"/>
          <w:szCs w:val="20"/>
        </w:rPr>
        <w:t xml:space="preserve">Wirltu Yarlu undertake formal evaluation of the Student Success plans that identify goals and strategies for each student for their university years. These studies will explore the longitudinal impact of these plans, focusing on the impact on attrition rates for Indigenous students. The aim is to inform further support models and best practice model for Indigenous student success and retention. </w:t>
      </w:r>
    </w:p>
    <w:p w:rsidR="0010751B" w:rsidRPr="00A06CB1" w:rsidRDefault="0010751B" w:rsidP="0010751B">
      <w:pPr>
        <w:pStyle w:val="ListParagraph"/>
        <w:numPr>
          <w:ilvl w:val="0"/>
          <w:numId w:val="4"/>
        </w:numPr>
        <w:spacing w:after="0"/>
        <w:ind w:left="426"/>
        <w:jc w:val="both"/>
        <w:rPr>
          <w:rFonts w:cstheme="minorHAnsi"/>
          <w:sz w:val="20"/>
          <w:szCs w:val="20"/>
        </w:rPr>
      </w:pPr>
      <w:r w:rsidRPr="00A06CB1">
        <w:rPr>
          <w:rFonts w:cstheme="minorHAnsi"/>
          <w:sz w:val="20"/>
          <w:szCs w:val="20"/>
        </w:rPr>
        <w:t>Succeed@Adelaide is evaluated and reported to the Student Retention and Success Committee and the University Learning Committee. Comparison of retention rates from previous years and performance data of students are key indicators of success.</w:t>
      </w:r>
    </w:p>
    <w:p w:rsidR="0010751B" w:rsidRDefault="0010751B" w:rsidP="0010751B">
      <w:pPr>
        <w:spacing w:after="0"/>
        <w:jc w:val="both"/>
        <w:rPr>
          <w:rFonts w:cstheme="minorHAnsi"/>
          <w:sz w:val="20"/>
          <w:szCs w:val="20"/>
          <w:highlight w:val="yellow"/>
        </w:rPr>
      </w:pPr>
    </w:p>
    <w:p w:rsidR="0010751B" w:rsidRDefault="0010751B" w:rsidP="0010751B">
      <w:pPr>
        <w:spacing w:after="0"/>
        <w:jc w:val="both"/>
        <w:rPr>
          <w:sz w:val="24"/>
        </w:rPr>
      </w:pPr>
      <w:r>
        <w:rPr>
          <w:rFonts w:cstheme="minorHAnsi"/>
          <w:sz w:val="20"/>
          <w:szCs w:val="20"/>
        </w:rPr>
        <w:t xml:space="preserve">The University employs an </w:t>
      </w:r>
      <w:r w:rsidRPr="005C169B">
        <w:rPr>
          <w:rFonts w:cstheme="minorHAnsi"/>
          <w:sz w:val="20"/>
          <w:szCs w:val="20"/>
        </w:rPr>
        <w:t>Insights and Evaluation Manager</w:t>
      </w:r>
      <w:r>
        <w:rPr>
          <w:rFonts w:cstheme="minorHAnsi"/>
          <w:sz w:val="20"/>
          <w:szCs w:val="20"/>
        </w:rPr>
        <w:t xml:space="preserve"> who assists with m</w:t>
      </w:r>
      <w:r w:rsidRPr="005115C9">
        <w:rPr>
          <w:rFonts w:cstheme="minorHAnsi"/>
          <w:sz w:val="20"/>
          <w:szCs w:val="20"/>
        </w:rPr>
        <w:t xml:space="preserve">onitoring and KPI </w:t>
      </w:r>
      <w:r>
        <w:rPr>
          <w:rFonts w:cstheme="minorHAnsi"/>
          <w:sz w:val="20"/>
          <w:szCs w:val="20"/>
        </w:rPr>
        <w:t>and the University also participates in</w:t>
      </w:r>
      <w:r w:rsidRPr="005115C9">
        <w:rPr>
          <w:rFonts w:cstheme="minorHAnsi"/>
          <w:sz w:val="20"/>
          <w:szCs w:val="20"/>
        </w:rPr>
        <w:t xml:space="preserve"> standard evaluations such as the Student Experience Survey and International Student Survey. All strategies</w:t>
      </w:r>
      <w:r w:rsidRPr="00A06CB1">
        <w:rPr>
          <w:rFonts w:cstheme="minorHAnsi"/>
          <w:sz w:val="20"/>
          <w:szCs w:val="20"/>
        </w:rPr>
        <w:t xml:space="preserve"> that employ HEPPP funding are reported on through the Final Report.</w:t>
      </w:r>
      <w:r>
        <w:rPr>
          <w:rFonts w:cstheme="minorHAnsi"/>
          <w:sz w:val="20"/>
          <w:szCs w:val="20"/>
        </w:rPr>
        <w:t xml:space="preserve"> </w:t>
      </w:r>
    </w:p>
    <w:p w:rsidR="0010751B" w:rsidRPr="00CB6EC3" w:rsidRDefault="0010751B" w:rsidP="0010751B">
      <w:pPr>
        <w:pStyle w:val="ListNumber"/>
        <w:numPr>
          <w:ilvl w:val="0"/>
          <w:numId w:val="0"/>
        </w:numPr>
        <w:spacing w:after="240" w:line="240" w:lineRule="auto"/>
        <w:rPr>
          <w:sz w:val="24"/>
        </w:rPr>
      </w:pPr>
    </w:p>
    <w:p w:rsidR="0010751B" w:rsidRPr="00BA721B" w:rsidRDefault="0010751B" w:rsidP="0010751B">
      <w:pPr>
        <w:pStyle w:val="ListNumber"/>
        <w:numPr>
          <w:ilvl w:val="0"/>
          <w:numId w:val="2"/>
        </w:numPr>
        <w:spacing w:after="0" w:line="240" w:lineRule="auto"/>
        <w:rPr>
          <w:rFonts w:ascii="Calibri" w:hAnsi="Calibri" w:cstheme="minorHAnsi"/>
        </w:rPr>
      </w:pPr>
      <w:r w:rsidRPr="00BA721B">
        <w:rPr>
          <w:b/>
          <w:sz w:val="24"/>
        </w:rPr>
        <w:t>Partnerships and collaboration</w:t>
      </w:r>
      <w:r w:rsidRPr="00BA721B">
        <w:rPr>
          <w:sz w:val="24"/>
        </w:rPr>
        <w:t>: who the university will partner and collaborate with and how this will improve equity performance.</w:t>
      </w:r>
      <w:r>
        <w:rPr>
          <w:sz w:val="24"/>
        </w:rPr>
        <w:br/>
      </w:r>
    </w:p>
    <w:p w:rsidR="0010751B" w:rsidRDefault="0010751B" w:rsidP="0010751B">
      <w:pPr>
        <w:pStyle w:val="ListNumber"/>
        <w:numPr>
          <w:ilvl w:val="0"/>
          <w:numId w:val="0"/>
        </w:numPr>
        <w:spacing w:after="60"/>
        <w:rPr>
          <w:rFonts w:cstheme="minorHAnsi"/>
          <w:sz w:val="20"/>
          <w:szCs w:val="20"/>
        </w:rPr>
      </w:pPr>
      <w:r w:rsidRPr="005B1140">
        <w:rPr>
          <w:rFonts w:cstheme="minorHAnsi"/>
          <w:sz w:val="20"/>
          <w:szCs w:val="20"/>
        </w:rPr>
        <w:t>Along with community, industry and government departments, the University of Adelaide partners with the following organisations in the delivery of the above initiatives to reach a greater number of students and to leverage existing programs:</w:t>
      </w:r>
    </w:p>
    <w:p w:rsidR="0010751B" w:rsidRPr="005B1140" w:rsidRDefault="0010751B" w:rsidP="0010751B">
      <w:pPr>
        <w:pStyle w:val="ListNumber"/>
        <w:numPr>
          <w:ilvl w:val="0"/>
          <w:numId w:val="8"/>
        </w:numPr>
        <w:spacing w:after="60"/>
        <w:rPr>
          <w:rFonts w:cstheme="minorHAnsi"/>
          <w:sz w:val="20"/>
          <w:szCs w:val="20"/>
        </w:rPr>
      </w:pPr>
      <w:r w:rsidRPr="005B1140">
        <w:rPr>
          <w:rFonts w:cstheme="minorHAnsi"/>
          <w:sz w:val="20"/>
          <w:szCs w:val="20"/>
        </w:rPr>
        <w:lastRenderedPageBreak/>
        <w:t>Metro and regional schools</w:t>
      </w:r>
    </w:p>
    <w:p w:rsidR="0010751B" w:rsidRPr="005B1140" w:rsidRDefault="0010751B" w:rsidP="0010751B">
      <w:pPr>
        <w:pStyle w:val="ListNumber"/>
        <w:numPr>
          <w:ilvl w:val="0"/>
          <w:numId w:val="5"/>
        </w:numPr>
        <w:spacing w:after="60"/>
        <w:rPr>
          <w:rFonts w:cstheme="minorHAnsi"/>
          <w:sz w:val="20"/>
          <w:szCs w:val="20"/>
        </w:rPr>
      </w:pPr>
      <w:r w:rsidRPr="005B1140">
        <w:rPr>
          <w:rFonts w:cstheme="minorHAnsi"/>
          <w:sz w:val="20"/>
          <w:szCs w:val="20"/>
        </w:rPr>
        <w:t>Power Community Limited</w:t>
      </w:r>
    </w:p>
    <w:p w:rsidR="0010751B" w:rsidRDefault="0010751B" w:rsidP="0010751B">
      <w:pPr>
        <w:pStyle w:val="ListNumber"/>
        <w:numPr>
          <w:ilvl w:val="0"/>
          <w:numId w:val="5"/>
        </w:numPr>
        <w:spacing w:after="60"/>
        <w:rPr>
          <w:rFonts w:cstheme="minorHAnsi"/>
          <w:sz w:val="20"/>
          <w:szCs w:val="20"/>
        </w:rPr>
      </w:pPr>
      <w:r w:rsidRPr="005B1140">
        <w:rPr>
          <w:rFonts w:cstheme="minorHAnsi"/>
          <w:sz w:val="20"/>
          <w:szCs w:val="20"/>
        </w:rPr>
        <w:t>SAASTA</w:t>
      </w:r>
    </w:p>
    <w:p w:rsidR="0010751B" w:rsidRPr="005B1140" w:rsidRDefault="0010751B" w:rsidP="0010751B">
      <w:pPr>
        <w:pStyle w:val="ListNumber"/>
        <w:numPr>
          <w:ilvl w:val="0"/>
          <w:numId w:val="5"/>
        </w:numPr>
        <w:spacing w:after="60"/>
        <w:rPr>
          <w:rFonts w:cstheme="minorHAnsi"/>
          <w:sz w:val="20"/>
          <w:szCs w:val="20"/>
        </w:rPr>
      </w:pPr>
      <w:r>
        <w:rPr>
          <w:rFonts w:cstheme="minorHAnsi"/>
          <w:sz w:val="20"/>
          <w:szCs w:val="20"/>
        </w:rPr>
        <w:t>Netball SA</w:t>
      </w:r>
    </w:p>
    <w:p w:rsidR="0010751B" w:rsidRDefault="0010751B" w:rsidP="0010751B">
      <w:pPr>
        <w:pStyle w:val="ListNumber"/>
        <w:numPr>
          <w:ilvl w:val="0"/>
          <w:numId w:val="5"/>
        </w:numPr>
        <w:spacing w:after="60"/>
        <w:rPr>
          <w:rFonts w:cstheme="minorHAnsi"/>
          <w:sz w:val="20"/>
          <w:szCs w:val="20"/>
        </w:rPr>
      </w:pPr>
      <w:r>
        <w:rPr>
          <w:rFonts w:cstheme="minorHAnsi"/>
          <w:sz w:val="20"/>
          <w:szCs w:val="20"/>
        </w:rPr>
        <w:t>TAFE SA</w:t>
      </w:r>
    </w:p>
    <w:p w:rsidR="0010751B" w:rsidRDefault="0010751B" w:rsidP="0010751B">
      <w:pPr>
        <w:pStyle w:val="ListNumber"/>
        <w:numPr>
          <w:ilvl w:val="0"/>
          <w:numId w:val="5"/>
        </w:numPr>
        <w:spacing w:after="60"/>
        <w:rPr>
          <w:rFonts w:cstheme="minorHAnsi"/>
          <w:sz w:val="20"/>
          <w:szCs w:val="20"/>
        </w:rPr>
      </w:pPr>
      <w:r>
        <w:rPr>
          <w:rFonts w:cstheme="minorHAnsi"/>
          <w:sz w:val="20"/>
          <w:szCs w:val="20"/>
        </w:rPr>
        <w:t>Studiosity</w:t>
      </w:r>
    </w:p>
    <w:p w:rsidR="0010751B" w:rsidRDefault="0010751B" w:rsidP="0010751B">
      <w:pPr>
        <w:pStyle w:val="ListNumber"/>
        <w:numPr>
          <w:ilvl w:val="0"/>
          <w:numId w:val="5"/>
        </w:numPr>
      </w:pPr>
      <w:r w:rsidRPr="005C169B">
        <w:rPr>
          <w:rFonts w:cstheme="minorHAnsi"/>
          <w:sz w:val="20"/>
          <w:szCs w:val="20"/>
        </w:rPr>
        <w:t>Student Union</w:t>
      </w:r>
    </w:p>
    <w:sectPr w:rsidR="0010751B" w:rsidSect="0010751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51B" w:rsidRDefault="0010751B" w:rsidP="0010751B">
      <w:pPr>
        <w:spacing w:after="0" w:line="240" w:lineRule="auto"/>
      </w:pPr>
      <w:r>
        <w:separator/>
      </w:r>
    </w:p>
  </w:endnote>
  <w:endnote w:type="continuationSeparator" w:id="0">
    <w:p w:rsidR="0010751B" w:rsidRDefault="0010751B" w:rsidP="00107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51B" w:rsidRDefault="0010751B" w:rsidP="0010751B">
      <w:pPr>
        <w:spacing w:after="0" w:line="240" w:lineRule="auto"/>
      </w:pPr>
      <w:r>
        <w:separator/>
      </w:r>
    </w:p>
  </w:footnote>
  <w:footnote w:type="continuationSeparator" w:id="0">
    <w:p w:rsidR="0010751B" w:rsidRDefault="0010751B" w:rsidP="00107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1E25"/>
    <w:multiLevelType w:val="hybridMultilevel"/>
    <w:tmpl w:val="57748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25765127"/>
    <w:multiLevelType w:val="hybridMultilevel"/>
    <w:tmpl w:val="78D06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711C37"/>
    <w:multiLevelType w:val="hybridMultilevel"/>
    <w:tmpl w:val="565EE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F53EEB"/>
    <w:multiLevelType w:val="hybridMultilevel"/>
    <w:tmpl w:val="DB9A6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C46797"/>
    <w:multiLevelType w:val="hybridMultilevel"/>
    <w:tmpl w:val="CBB8F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3"/>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1B"/>
    <w:rsid w:val="0010751B"/>
    <w:rsid w:val="002552DE"/>
    <w:rsid w:val="005F7819"/>
    <w:rsid w:val="0083523F"/>
    <w:rsid w:val="00D96823"/>
    <w:rsid w:val="00DC2447"/>
    <w:rsid w:val="00E071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AF575-0AC4-4A91-96E5-7ABB1D89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751B"/>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10751B"/>
    <w:pPr>
      <w:spacing w:before="200" w:after="0" w:line="276" w:lineRule="auto"/>
      <w:outlineLvl w:val="1"/>
    </w:pPr>
    <w:rPr>
      <w:rFonts w:ascii="Calibri" w:eastAsiaTheme="majorEastAsia" w:hAnsi="Calibr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51B"/>
  </w:style>
  <w:style w:type="paragraph" w:styleId="Footer">
    <w:name w:val="footer"/>
    <w:basedOn w:val="Normal"/>
    <w:link w:val="FooterChar"/>
    <w:uiPriority w:val="99"/>
    <w:unhideWhenUsed/>
    <w:rsid w:val="00107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51B"/>
  </w:style>
  <w:style w:type="character" w:customStyle="1" w:styleId="Heading1Char">
    <w:name w:val="Heading 1 Char"/>
    <w:basedOn w:val="DefaultParagraphFont"/>
    <w:link w:val="Heading1"/>
    <w:uiPriority w:val="9"/>
    <w:rsid w:val="0010751B"/>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10751B"/>
    <w:rPr>
      <w:rFonts w:ascii="Calibri" w:eastAsiaTheme="majorEastAsia" w:hAnsi="Calibri" w:cstheme="majorBidi"/>
      <w:b/>
      <w:bCs/>
      <w:sz w:val="28"/>
      <w:szCs w:val="26"/>
    </w:rPr>
  </w:style>
  <w:style w:type="character" w:styleId="Hyperlink">
    <w:name w:val="Hyperlink"/>
    <w:basedOn w:val="DefaultParagraphFont"/>
    <w:uiPriority w:val="99"/>
    <w:unhideWhenUsed/>
    <w:rsid w:val="0010751B"/>
    <w:rPr>
      <w:color w:val="44546A" w:themeColor="text2"/>
      <w:u w:val="single"/>
    </w:rPr>
  </w:style>
  <w:style w:type="paragraph" w:styleId="Subtitle">
    <w:name w:val="Subtitle"/>
    <w:basedOn w:val="Normal"/>
    <w:next w:val="Normal"/>
    <w:link w:val="SubtitleChar"/>
    <w:uiPriority w:val="11"/>
    <w:qFormat/>
    <w:rsid w:val="0010751B"/>
    <w:pPr>
      <w:spacing w:after="240" w:line="276" w:lineRule="auto"/>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10751B"/>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10751B"/>
    <w:pPr>
      <w:spacing w:after="0" w:line="240" w:lineRule="auto"/>
    </w:pPr>
    <w:rPr>
      <w:rFonts w:eastAsiaTheme="minorEastAsia"/>
    </w:rPr>
  </w:style>
  <w:style w:type="paragraph" w:styleId="ListParagraph">
    <w:name w:val="List Paragraph"/>
    <w:basedOn w:val="Normal"/>
    <w:link w:val="ListParagraphChar"/>
    <w:uiPriority w:val="34"/>
    <w:qFormat/>
    <w:rsid w:val="0010751B"/>
    <w:pPr>
      <w:spacing w:after="200" w:line="276" w:lineRule="auto"/>
      <w:ind w:left="720"/>
      <w:contextualSpacing/>
    </w:pPr>
    <w:rPr>
      <w:rFonts w:eastAsiaTheme="minorEastAsia"/>
    </w:rPr>
  </w:style>
  <w:style w:type="paragraph" w:styleId="ListNumber">
    <w:name w:val="List Number"/>
    <w:basedOn w:val="Normal"/>
    <w:uiPriority w:val="99"/>
    <w:unhideWhenUsed/>
    <w:rsid w:val="0010751B"/>
    <w:pPr>
      <w:numPr>
        <w:numId w:val="1"/>
      </w:numPr>
      <w:spacing w:after="120" w:line="276" w:lineRule="auto"/>
      <w:contextualSpacing/>
    </w:pPr>
    <w:rPr>
      <w:rFonts w:eastAsiaTheme="minorEastAsia"/>
    </w:rPr>
  </w:style>
  <w:style w:type="paragraph" w:styleId="ListNumber2">
    <w:name w:val="List Number 2"/>
    <w:basedOn w:val="Normal"/>
    <w:uiPriority w:val="99"/>
    <w:unhideWhenUsed/>
    <w:rsid w:val="0010751B"/>
    <w:pPr>
      <w:numPr>
        <w:ilvl w:val="1"/>
        <w:numId w:val="1"/>
      </w:numPr>
      <w:tabs>
        <w:tab w:val="left" w:pos="1134"/>
      </w:tabs>
      <w:spacing w:after="120" w:line="276" w:lineRule="auto"/>
      <w:ind w:left="936" w:hanging="567"/>
      <w:contextualSpacing/>
    </w:pPr>
    <w:rPr>
      <w:rFonts w:eastAsiaTheme="minorEastAsia"/>
    </w:rPr>
  </w:style>
  <w:style w:type="paragraph" w:styleId="ListNumber3">
    <w:name w:val="List Number 3"/>
    <w:basedOn w:val="Normal"/>
    <w:uiPriority w:val="99"/>
    <w:unhideWhenUsed/>
    <w:rsid w:val="0010751B"/>
    <w:pPr>
      <w:numPr>
        <w:ilvl w:val="2"/>
        <w:numId w:val="1"/>
      </w:numPr>
      <w:spacing w:after="120" w:line="276" w:lineRule="auto"/>
      <w:ind w:left="1701" w:hanging="765"/>
      <w:contextualSpacing/>
    </w:pPr>
    <w:rPr>
      <w:rFonts w:eastAsiaTheme="minorEastAsia"/>
    </w:rPr>
  </w:style>
  <w:style w:type="paragraph" w:styleId="ListNumber4">
    <w:name w:val="List Number 4"/>
    <w:basedOn w:val="Normal"/>
    <w:uiPriority w:val="99"/>
    <w:unhideWhenUsed/>
    <w:rsid w:val="0010751B"/>
    <w:pPr>
      <w:numPr>
        <w:ilvl w:val="3"/>
        <w:numId w:val="1"/>
      </w:numPr>
      <w:spacing w:after="120" w:line="276" w:lineRule="auto"/>
      <w:ind w:left="2637" w:hanging="936"/>
      <w:contextualSpacing/>
    </w:pPr>
    <w:rPr>
      <w:rFonts w:eastAsiaTheme="minorEastAsia"/>
    </w:rPr>
  </w:style>
  <w:style w:type="character" w:customStyle="1" w:styleId="NoSpacingChar">
    <w:name w:val="No Spacing Char"/>
    <w:basedOn w:val="DefaultParagraphFont"/>
    <w:link w:val="NoSpacing"/>
    <w:uiPriority w:val="1"/>
    <w:rsid w:val="0010751B"/>
    <w:rPr>
      <w:rFonts w:eastAsiaTheme="minorEastAsia"/>
    </w:rPr>
  </w:style>
  <w:style w:type="character" w:customStyle="1" w:styleId="ListParagraphChar">
    <w:name w:val="List Paragraph Char"/>
    <w:link w:val="ListParagraph"/>
    <w:uiPriority w:val="34"/>
    <w:locked/>
    <w:rsid w:val="0010751B"/>
    <w:rPr>
      <w:rFonts w:eastAsiaTheme="minorEastAsia"/>
    </w:rPr>
  </w:style>
  <w:style w:type="paragraph" w:styleId="FootnoteText">
    <w:name w:val="footnote text"/>
    <w:basedOn w:val="Normal"/>
    <w:link w:val="FootnoteTextChar"/>
    <w:uiPriority w:val="99"/>
    <w:semiHidden/>
    <w:unhideWhenUsed/>
    <w:rsid w:val="0010751B"/>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10751B"/>
    <w:rPr>
      <w:rFonts w:eastAsiaTheme="minorEastAsia"/>
      <w:sz w:val="20"/>
      <w:szCs w:val="20"/>
    </w:rPr>
  </w:style>
  <w:style w:type="character" w:styleId="FootnoteReference">
    <w:name w:val="footnote reference"/>
    <w:basedOn w:val="DefaultParagraphFont"/>
    <w:uiPriority w:val="99"/>
    <w:semiHidden/>
    <w:unhideWhenUsed/>
    <w:rsid w:val="001075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Kenneally</dc:creator>
  <cp:keywords/>
  <dc:description/>
  <cp:lastModifiedBy>KLEIN,Isobel</cp:lastModifiedBy>
  <cp:revision>4</cp:revision>
  <dcterms:created xsi:type="dcterms:W3CDTF">2020-08-12T02:11:00Z</dcterms:created>
  <dcterms:modified xsi:type="dcterms:W3CDTF">2020-08-13T01:08:00Z</dcterms:modified>
</cp:coreProperties>
</file>