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57" w:rsidRPr="00016293" w:rsidRDefault="00163FF0" w:rsidP="00247653">
      <w:pPr>
        <w:tabs>
          <w:tab w:val="left" w:pos="1553"/>
        </w:tabs>
        <w:spacing w:before="240"/>
        <w:rPr>
          <w:rStyle w:val="TitleChar"/>
        </w:rPr>
      </w:pPr>
      <w:sdt>
        <w:sdtPr>
          <w:rPr>
            <w:rStyle w:val="TitleChar"/>
          </w:rPr>
          <w:alias w:val="Title"/>
          <w:tag w:val=""/>
          <w:id w:val="-19171197"/>
          <w:placeholder>
            <w:docPart w:val="BE6EF11209244E1F8E97CE0AC9EFBA0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TitleChar"/>
          </w:rPr>
        </w:sdtEndPr>
        <w:sdtContent>
          <w:r w:rsidR="002C657A">
            <w:rPr>
              <w:rStyle w:val="TitleChar"/>
            </w:rPr>
            <w:t>Career aspirations and opportunities</w:t>
          </w:r>
        </w:sdtContent>
      </w:sdt>
    </w:p>
    <w:p w:rsidR="00585457" w:rsidRPr="00DB7F58" w:rsidRDefault="00585457" w:rsidP="00585457">
      <w:pPr>
        <w:pStyle w:val="Subtitle"/>
        <w:rPr>
          <w:sz w:val="36"/>
          <w:szCs w:val="36"/>
        </w:rPr>
      </w:pPr>
      <w:r w:rsidRPr="00DB7F58">
        <w:rPr>
          <w:sz w:val="36"/>
          <w:szCs w:val="36"/>
        </w:rPr>
        <w:t xml:space="preserve">Insights from the Longitudinal Surveys of Australian Youth </w:t>
      </w:r>
    </w:p>
    <w:p w:rsidR="00585457" w:rsidRPr="00A23CE2" w:rsidRDefault="00585457" w:rsidP="00585457">
      <w:pPr>
        <w:pStyle w:val="Heading1"/>
      </w:pPr>
      <w:r w:rsidRPr="00A81413">
        <w:t>Overview</w:t>
      </w:r>
    </w:p>
    <w:p w:rsidR="002C657A" w:rsidRDefault="00585457" w:rsidP="00247653">
      <w:r>
        <w:t>The relationship between career goals and decisions young people</w:t>
      </w:r>
      <w:r w:rsidR="002C657A">
        <w:rPr>
          <w:rStyle w:val="FootnoteReference"/>
        </w:rPr>
        <w:footnoteReference w:id="1"/>
      </w:r>
      <w:r w:rsidR="002C657A">
        <w:t xml:space="preserve"> </w:t>
      </w:r>
      <w:r>
        <w:t>make about where to live is complex.  Over the last ten years increasing numbers of young people are m</w:t>
      </w:r>
      <w:r w:rsidR="002C657A">
        <w:t>oving away from non-metro areas,</w:t>
      </w:r>
      <w:r w:rsidR="00515FF3">
        <w:rPr>
          <w:rStyle w:val="FootnoteReference"/>
        </w:rPr>
        <w:footnoteReference w:id="2"/>
      </w:r>
      <w:r w:rsidR="002C657A">
        <w:t xml:space="preserve"> often to</w:t>
      </w:r>
      <w:r w:rsidR="00421712">
        <w:t xml:space="preserve"> pursue post-school education</w:t>
      </w:r>
      <w:r w:rsidR="00F73A5F">
        <w:t xml:space="preserve"> and employment opportunities</w:t>
      </w:r>
      <w:r w:rsidR="00421712">
        <w:t>.</w:t>
      </w:r>
      <w:r>
        <w:t xml:space="preserve"> </w:t>
      </w:r>
      <w:r w:rsidR="00F73A5F">
        <w:t>T</w:t>
      </w:r>
      <w:r w:rsidR="00421712">
        <w:t>he Longitudinal Surveys of Australian Youth (LSAY)</w:t>
      </w:r>
      <w:r w:rsidR="00F73A5F" w:rsidRPr="00F73A5F">
        <w:rPr>
          <w:rStyle w:val="FootnoteReference"/>
        </w:rPr>
        <w:t xml:space="preserve"> </w:t>
      </w:r>
      <w:bookmarkStart w:id="0" w:name="_Ref32846316"/>
      <w:r w:rsidR="00F73A5F">
        <w:rPr>
          <w:rStyle w:val="FootnoteReference"/>
        </w:rPr>
        <w:footnoteReference w:id="3"/>
      </w:r>
      <w:bookmarkEnd w:id="0"/>
      <w:r w:rsidR="00421712">
        <w:t xml:space="preserve"> </w:t>
      </w:r>
      <w:r w:rsidR="00515FF3">
        <w:t>shows that non-metro areas experienced a net loss of 18 per cent of their young people</w:t>
      </w:r>
      <w:r w:rsidR="002C657A">
        <w:t xml:space="preserve"> between 2006 and 2016</w:t>
      </w:r>
      <w:r w:rsidR="00515FF3">
        <w:t>.</w:t>
      </w:r>
      <w:r w:rsidR="00F23022" w:rsidRPr="00F23022">
        <w:rPr>
          <w:rStyle w:val="FootnoteReference"/>
        </w:rPr>
        <w:t xml:space="preserve"> </w:t>
      </w:r>
      <w:r w:rsidR="002C657A">
        <w:t xml:space="preserve">The data also allows for an examination of career aspirations and the extent to which they are realised. </w:t>
      </w:r>
      <w:r>
        <w:t>LSAY, in combination with other data sources, highlight</w:t>
      </w:r>
      <w:r w:rsidR="00193160">
        <w:t>s</w:t>
      </w:r>
      <w:r>
        <w:t xml:space="preserve"> a potential relationship between </w:t>
      </w:r>
      <w:r w:rsidR="00EF56B6">
        <w:t xml:space="preserve">where young people live, their </w:t>
      </w:r>
      <w:r w:rsidR="00016293">
        <w:t xml:space="preserve">career aspirations, </w:t>
      </w:r>
      <w:r w:rsidR="00F83BC8">
        <w:t xml:space="preserve">job availability, </w:t>
      </w:r>
      <w:r w:rsidR="00EF56B6">
        <w:t xml:space="preserve">and </w:t>
      </w:r>
      <w:r w:rsidR="00F83BC8">
        <w:t>post-school study choices</w:t>
      </w:r>
      <w:r w:rsidRPr="00DA1ECA">
        <w:t>.</w:t>
      </w:r>
    </w:p>
    <w:p w:rsidR="00D14618" w:rsidRDefault="00D14618" w:rsidP="00D14618">
      <w:pPr>
        <w:pStyle w:val="Heading2"/>
      </w:pPr>
      <w:r w:rsidRPr="00C05FFB">
        <w:t>Key Findings</w:t>
      </w:r>
    </w:p>
    <w:p w:rsidR="00D14618" w:rsidRDefault="00D14618" w:rsidP="00D14618">
      <w:pPr>
        <w:pStyle w:val="ListParagraph"/>
        <w:numPr>
          <w:ilvl w:val="0"/>
          <w:numId w:val="15"/>
        </w:numPr>
        <w:spacing w:after="0" w:line="276" w:lineRule="auto"/>
        <w:ind w:hanging="357"/>
      </w:pPr>
      <w:r w:rsidRPr="00827D3D">
        <w:t>Young Australians from both metro and non-metro areas have high career aspirations</w:t>
      </w:r>
      <w:r w:rsidR="00610CAD">
        <w:t>. I</w:t>
      </w:r>
      <w:r>
        <w:t>n 2016 nearly two thirds of all young people wanted to work in the most highly skilled occupation groups, Managers and Professionals</w:t>
      </w:r>
      <w:r w:rsidRPr="00827D3D">
        <w:t xml:space="preserve">. </w:t>
      </w:r>
    </w:p>
    <w:p w:rsidR="00D14618" w:rsidRDefault="00D14618" w:rsidP="00D14618">
      <w:pPr>
        <w:pStyle w:val="ListParagraph"/>
        <w:numPr>
          <w:ilvl w:val="0"/>
          <w:numId w:val="15"/>
        </w:numPr>
        <w:spacing w:after="0" w:line="276" w:lineRule="auto"/>
        <w:ind w:hanging="357"/>
      </w:pPr>
      <w:r>
        <w:t>Less than half of all young people were working in their desired occupation by age 25.</w:t>
      </w:r>
    </w:p>
    <w:p w:rsidR="00D14618" w:rsidRPr="00827D3D" w:rsidRDefault="00D14618" w:rsidP="00D14618">
      <w:pPr>
        <w:pStyle w:val="ListParagraph"/>
        <w:numPr>
          <w:ilvl w:val="0"/>
          <w:numId w:val="15"/>
        </w:numPr>
        <w:spacing w:after="0" w:line="276" w:lineRule="auto"/>
        <w:ind w:hanging="357"/>
      </w:pPr>
      <w:r>
        <w:t>Over 40 per cent</w:t>
      </w:r>
      <w:r w:rsidRPr="00827D3D">
        <w:t xml:space="preserve"> young people want</w:t>
      </w:r>
      <w:r>
        <w:t>ed</w:t>
      </w:r>
      <w:r w:rsidRPr="00827D3D">
        <w:t xml:space="preserve"> to wo</w:t>
      </w:r>
      <w:r>
        <w:t>rk as a Professional by age 30.</w:t>
      </w:r>
    </w:p>
    <w:p w:rsidR="00D14618" w:rsidRPr="00827D3D" w:rsidRDefault="00D14618" w:rsidP="00D14618">
      <w:pPr>
        <w:pStyle w:val="ListParagraph"/>
        <w:numPr>
          <w:ilvl w:val="1"/>
          <w:numId w:val="15"/>
        </w:numPr>
        <w:spacing w:after="0" w:line="276" w:lineRule="auto"/>
        <w:ind w:hanging="357"/>
      </w:pPr>
      <w:r w:rsidRPr="00827D3D">
        <w:t>Young people from non-metro areas</w:t>
      </w:r>
      <w:r>
        <w:t xml:space="preserve"> were</w:t>
      </w:r>
      <w:r w:rsidRPr="00827D3D">
        <w:t xml:space="preserve"> more likely to move to</w:t>
      </w:r>
      <w:r>
        <w:t xml:space="preserve"> a</w:t>
      </w:r>
      <w:r w:rsidRPr="00827D3D">
        <w:t xml:space="preserve"> metro area if they aim</w:t>
      </w:r>
      <w:r>
        <w:t>ed</w:t>
      </w:r>
      <w:r w:rsidRPr="00827D3D">
        <w:t xml:space="preserve"> to work in the Professional occupation </w:t>
      </w:r>
      <w:r>
        <w:t>groups</w:t>
      </w:r>
      <w:r w:rsidRPr="00827D3D">
        <w:t xml:space="preserve"> of Business, Human Resources and Marketing or D</w:t>
      </w:r>
      <w:r>
        <w:t xml:space="preserve">esign, Science and Engineering </w:t>
      </w:r>
      <w:r w:rsidRPr="00827D3D">
        <w:t xml:space="preserve">where there </w:t>
      </w:r>
      <w:r>
        <w:t>were</w:t>
      </w:r>
      <w:r w:rsidRPr="00827D3D">
        <w:t xml:space="preserve"> higher proportions of jobs in metro areas.</w:t>
      </w:r>
    </w:p>
    <w:p w:rsidR="00D14618" w:rsidRDefault="00D14618" w:rsidP="00D14618">
      <w:pPr>
        <w:pStyle w:val="ListParagraph"/>
        <w:numPr>
          <w:ilvl w:val="0"/>
          <w:numId w:val="15"/>
        </w:numPr>
        <w:spacing w:after="0" w:line="276" w:lineRule="auto"/>
        <w:ind w:hanging="357"/>
      </w:pPr>
      <w:r w:rsidRPr="00827D3D">
        <w:t xml:space="preserve">Compared to those who move to undertake post-school study, young people who stay in </w:t>
      </w:r>
      <w:r w:rsidR="00474824">
        <w:t>non</w:t>
      </w:r>
      <w:r w:rsidR="00474824">
        <w:noBreakHyphen/>
        <w:t xml:space="preserve">metro </w:t>
      </w:r>
      <w:r w:rsidRPr="00827D3D">
        <w:t>areas are more likely to live there five years later.</w:t>
      </w:r>
    </w:p>
    <w:p w:rsidR="00D14618" w:rsidRPr="00247653" w:rsidRDefault="00D14618" w:rsidP="00D14618">
      <w:pPr>
        <w:pStyle w:val="ListParagraph"/>
        <w:numPr>
          <w:ilvl w:val="1"/>
          <w:numId w:val="15"/>
        </w:numPr>
        <w:spacing w:after="0" w:line="276" w:lineRule="auto"/>
        <w:ind w:hanging="357"/>
      </w:pPr>
      <w:r w:rsidRPr="00827D3D">
        <w:t xml:space="preserve">Those who aspire to work in the Technicians and Trades occupation </w:t>
      </w:r>
      <w:r>
        <w:t>wer</w:t>
      </w:r>
      <w:r w:rsidRPr="00827D3D">
        <w:t xml:space="preserve">e less likely to move to a metro area and those living in a non-metro area </w:t>
      </w:r>
      <w:r>
        <w:t xml:space="preserve">were </w:t>
      </w:r>
      <w:r w:rsidRPr="00827D3D">
        <w:t xml:space="preserve">less likely to meet this career goal </w:t>
      </w:r>
      <w:r>
        <w:t>by age 25 than those living in a metro area.</w:t>
      </w:r>
    </w:p>
    <w:p w:rsidR="00585457" w:rsidRPr="00A23CE2" w:rsidRDefault="00585457" w:rsidP="00585457">
      <w:pPr>
        <w:pStyle w:val="Heading1"/>
      </w:pPr>
      <w:r w:rsidRPr="0027281C">
        <w:lastRenderedPageBreak/>
        <w:t>Career aspirations</w:t>
      </w:r>
    </w:p>
    <w:p w:rsidR="00585457" w:rsidRDefault="00D7502D" w:rsidP="00585457">
      <w:pPr>
        <w:keepNext/>
      </w:pPr>
      <w:r>
        <w:t xml:space="preserve">Nearly </w:t>
      </w:r>
      <w:r w:rsidR="00585457" w:rsidRPr="00DD769B">
        <w:t xml:space="preserve">two thirds of </w:t>
      </w:r>
      <w:r w:rsidR="00610CAD">
        <w:t>25-year-</w:t>
      </w:r>
      <w:r w:rsidR="00844507">
        <w:t xml:space="preserve">olds </w:t>
      </w:r>
      <w:r w:rsidR="00585457" w:rsidRPr="00DD769B">
        <w:t>would like to work in the most highly skilled occupation groups, Managers</w:t>
      </w:r>
      <w:r w:rsidR="001879CC">
        <w:t xml:space="preserve"> (21%)</w:t>
      </w:r>
      <w:r w:rsidR="00585457" w:rsidRPr="00DD769B">
        <w:t xml:space="preserve"> and Professionals</w:t>
      </w:r>
      <w:r>
        <w:t xml:space="preserve"> (</w:t>
      </w:r>
      <w:r w:rsidR="001879CC">
        <w:t>44</w:t>
      </w:r>
      <w:r>
        <w:t>%)</w:t>
      </w:r>
      <w:r w:rsidR="00585457" w:rsidRPr="00DD769B">
        <w:t xml:space="preserve">. </w:t>
      </w:r>
      <w:r w:rsidR="00585457">
        <w:t>Many young people from both metro (47%) and non</w:t>
      </w:r>
      <w:r w:rsidR="0048490E">
        <w:noBreakHyphen/>
      </w:r>
      <w:r w:rsidR="00585457">
        <w:t>metro areas (39%) aspire</w:t>
      </w:r>
      <w:r w:rsidR="008155DA">
        <w:t>d</w:t>
      </w:r>
      <w:r w:rsidR="00585457">
        <w:t xml:space="preserve"> to work in </w:t>
      </w:r>
      <w:r w:rsidR="00C31F98">
        <w:t xml:space="preserve">the most popular occupation </w:t>
      </w:r>
      <w:r w:rsidR="00585457">
        <w:t>Professional</w:t>
      </w:r>
      <w:r w:rsidR="008155DA">
        <w:t xml:space="preserve">s </w:t>
      </w:r>
      <w:r w:rsidR="00585457">
        <w:t>by age 30. Managers</w:t>
      </w:r>
      <w:r w:rsidR="00585457" w:rsidRPr="00736F9E">
        <w:t xml:space="preserve"> </w:t>
      </w:r>
      <w:r w:rsidR="008155DA">
        <w:t xml:space="preserve">was </w:t>
      </w:r>
      <w:r w:rsidR="00585457" w:rsidRPr="00736F9E">
        <w:t xml:space="preserve">the second most </w:t>
      </w:r>
      <w:r w:rsidR="00585457">
        <w:t>popular</w:t>
      </w:r>
      <w:r w:rsidR="00585457" w:rsidRPr="00736F9E">
        <w:t xml:space="preserve"> occupation category for </w:t>
      </w:r>
      <w:r w:rsidR="00585457">
        <w:t xml:space="preserve">those </w:t>
      </w:r>
      <w:r w:rsidR="00844507">
        <w:t>from</w:t>
      </w:r>
      <w:r w:rsidR="00585457" w:rsidRPr="00736F9E">
        <w:t xml:space="preserve"> metro areas </w:t>
      </w:r>
      <w:r w:rsidR="00585457">
        <w:t xml:space="preserve">(22%) and </w:t>
      </w:r>
      <w:r w:rsidR="00585457" w:rsidRPr="00736F9E">
        <w:t xml:space="preserve">was only slightly less popular with those from </w:t>
      </w:r>
      <w:r w:rsidR="00585457">
        <w:t>non-metro</w:t>
      </w:r>
      <w:r w:rsidR="00585457" w:rsidRPr="00736F9E">
        <w:t xml:space="preserve"> areas (19%) (</w:t>
      </w:r>
      <w:proofErr w:type="gramStart"/>
      <w:r w:rsidR="00585457">
        <w:t>s</w:t>
      </w:r>
      <w:r w:rsidR="00585457" w:rsidRPr="00736F9E">
        <w:t>ee</w:t>
      </w:r>
      <w:proofErr w:type="gramEnd"/>
      <w:r w:rsidR="00585457" w:rsidRPr="00736F9E">
        <w:t xml:space="preserve"> Figure 1). </w:t>
      </w:r>
      <w:r w:rsidR="00585457">
        <w:t>The third most popular occupation for those</w:t>
      </w:r>
      <w:r w:rsidR="00585457" w:rsidRPr="00736F9E">
        <w:t xml:space="preserve"> from </w:t>
      </w:r>
      <w:r w:rsidR="00585457">
        <w:t>non-metro</w:t>
      </w:r>
      <w:r w:rsidR="00585457" w:rsidRPr="00736F9E">
        <w:t xml:space="preserve"> areas </w:t>
      </w:r>
      <w:r w:rsidR="00585457">
        <w:t xml:space="preserve">was </w:t>
      </w:r>
      <w:r w:rsidR="00585457" w:rsidRPr="00736F9E">
        <w:t xml:space="preserve">Technicians and </w:t>
      </w:r>
      <w:r w:rsidR="00585457">
        <w:t xml:space="preserve">Trades </w:t>
      </w:r>
      <w:r w:rsidR="00585457" w:rsidRPr="00736F9E">
        <w:t xml:space="preserve">(17%). </w:t>
      </w:r>
      <w:r w:rsidR="0094195A">
        <w:t>More specifically</w:t>
      </w:r>
      <w:r w:rsidR="00585457">
        <w:t xml:space="preserve"> </w:t>
      </w:r>
      <w:r w:rsidR="00585457" w:rsidRPr="00736F9E">
        <w:t>Education Professionals, Health Professionals and Specialist Managers were the three most aspired to occupation groups</w:t>
      </w:r>
      <w:r w:rsidR="00585457" w:rsidRPr="00736F9E">
        <w:rPr>
          <w:rStyle w:val="FootnoteReference"/>
        </w:rPr>
        <w:footnoteReference w:id="4"/>
      </w:r>
      <w:r w:rsidR="00585457">
        <w:t xml:space="preserve"> for youth from both metro and non-metro areas at age 25</w:t>
      </w:r>
      <w:r w:rsidR="00585457" w:rsidRPr="00736F9E">
        <w:t>.</w:t>
      </w:r>
    </w:p>
    <w:p w:rsidR="00585457" w:rsidRDefault="0048490E" w:rsidP="00585457">
      <w:pPr>
        <w:pStyle w:val="Figuretitle"/>
        <w:rPr>
          <w:noProof/>
          <w:color w:val="522761"/>
          <w:spacing w:val="13"/>
          <w:sz w:val="40"/>
          <w:szCs w:val="24"/>
          <w:lang w:eastAsia="en-AU"/>
        </w:rPr>
      </w:pPr>
      <w:r>
        <w:t>Figure 1:</w:t>
      </w:r>
      <w:r w:rsidR="00585457" w:rsidRPr="0027281C">
        <w:t xml:space="preserve"> </w:t>
      </w:r>
      <w:r w:rsidR="00585457">
        <w:t>Expected</w:t>
      </w:r>
      <w:r w:rsidR="00585457" w:rsidRPr="0027281C">
        <w:t xml:space="preserve"> occupation</w:t>
      </w:r>
      <w:r w:rsidR="00585457" w:rsidRPr="0027281C">
        <w:rPr>
          <w:vertAlign w:val="superscript"/>
        </w:rPr>
        <w:footnoteReference w:id="5"/>
      </w:r>
      <w:r w:rsidR="000520EB">
        <w:t xml:space="preserve"> at age 30</w:t>
      </w:r>
      <w:r w:rsidR="00F83BC8" w:rsidRPr="00F83BC8">
        <w:rPr>
          <w:vertAlign w:val="superscript"/>
        </w:rPr>
        <w:fldChar w:fldCharType="begin"/>
      </w:r>
      <w:r w:rsidR="00F83BC8" w:rsidRPr="00F83BC8">
        <w:rPr>
          <w:vertAlign w:val="superscript"/>
        </w:rPr>
        <w:instrText xml:space="preserve"> NOTEREF _Ref32846316 \h </w:instrText>
      </w:r>
      <w:r w:rsidR="00F83BC8">
        <w:rPr>
          <w:vertAlign w:val="superscript"/>
        </w:rPr>
        <w:instrText xml:space="preserve"> \* MERGEFORMAT </w:instrText>
      </w:r>
      <w:r w:rsidR="00F83BC8" w:rsidRPr="00F83BC8">
        <w:rPr>
          <w:vertAlign w:val="superscript"/>
        </w:rPr>
      </w:r>
      <w:r w:rsidR="00F83BC8" w:rsidRPr="00F83BC8">
        <w:rPr>
          <w:vertAlign w:val="superscript"/>
        </w:rPr>
        <w:fldChar w:fldCharType="separate"/>
      </w:r>
      <w:r w:rsidR="009071F7">
        <w:rPr>
          <w:vertAlign w:val="superscript"/>
        </w:rPr>
        <w:t>3</w:t>
      </w:r>
      <w:r w:rsidR="00F83BC8" w:rsidRPr="00F83BC8">
        <w:rPr>
          <w:vertAlign w:val="superscript"/>
        </w:rPr>
        <w:fldChar w:fldCharType="end"/>
      </w:r>
      <w:r w:rsidR="000520EB">
        <w:rPr>
          <w:vertAlign w:val="superscript"/>
        </w:rPr>
        <w:t xml:space="preserve"> </w:t>
      </w:r>
      <w:r w:rsidR="008155DA" w:rsidRPr="0064577B">
        <w:rPr>
          <w:sz w:val="16"/>
          <w:szCs w:val="16"/>
        </w:rPr>
        <w:t xml:space="preserve"> </w:t>
      </w:r>
      <w:r w:rsidR="000520EB">
        <w:t xml:space="preserve">by </w:t>
      </w:r>
      <w:r w:rsidR="00610CAD">
        <w:t>initial area of</w:t>
      </w:r>
      <w:r w:rsidR="000520EB">
        <w:t xml:space="preserve"> residence</w:t>
      </w:r>
      <w:r w:rsidR="00585457" w:rsidRPr="0027281C">
        <w:rPr>
          <w:noProof/>
          <w:color w:val="522761"/>
          <w:spacing w:val="13"/>
          <w:sz w:val="40"/>
          <w:szCs w:val="24"/>
          <w:lang w:eastAsia="en-AU"/>
        </w:rPr>
        <w:t xml:space="preserve"> </w:t>
      </w:r>
    </w:p>
    <w:p w:rsidR="00BD1D3F" w:rsidRPr="0049775D" w:rsidRDefault="00BD1D3F" w:rsidP="00585457">
      <w:pPr>
        <w:pStyle w:val="Figuretitle"/>
      </w:pPr>
      <w:r>
        <w:rPr>
          <w:noProof/>
          <w:lang w:eastAsia="en-AU"/>
        </w:rPr>
        <w:drawing>
          <wp:inline distT="0" distB="0" distL="0" distR="0" wp14:anchorId="21434DB9">
            <wp:extent cx="6084570" cy="3230880"/>
            <wp:effectExtent l="0" t="0" r="0" b="7620"/>
            <wp:docPr id="6" name="Picture 6" descr="Figure 1 compares the expected occupation at age 30 of young people from metro and non-metro areas. Professionals was the most popular for both groups, followed by Managers, as described in th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323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56B6" w:rsidRDefault="00EF56B6" w:rsidP="00EF56B6">
      <w:pPr>
        <w:pStyle w:val="Heading1"/>
      </w:pPr>
      <w:r>
        <w:t>Relocation</w:t>
      </w:r>
    </w:p>
    <w:p w:rsidR="00585457" w:rsidRPr="00A938FB" w:rsidRDefault="00515FF3" w:rsidP="00585457">
      <w:r>
        <w:t>O</w:t>
      </w:r>
      <w:r w:rsidR="00585457" w:rsidRPr="003C3B18">
        <w:t xml:space="preserve">ne third </w:t>
      </w:r>
      <w:r>
        <w:t>(34</w:t>
      </w:r>
      <w:r w:rsidR="00585457">
        <w:t xml:space="preserve">%) </w:t>
      </w:r>
      <w:r w:rsidR="00585457" w:rsidRPr="003C3B18">
        <w:t xml:space="preserve">of young people who resided in </w:t>
      </w:r>
      <w:r w:rsidR="00474824">
        <w:t>non-metro</w:t>
      </w:r>
      <w:r w:rsidR="00585457" w:rsidRPr="003C3B18">
        <w:t xml:space="preserve"> areas at age 15 </w:t>
      </w:r>
      <w:r w:rsidR="00585457">
        <w:t>were</w:t>
      </w:r>
      <w:r w:rsidR="00585457" w:rsidRPr="003C3B18">
        <w:t xml:space="preserve"> living in metro areas at the age of 25</w:t>
      </w:r>
      <w:r w:rsidR="00585457">
        <w:t xml:space="preserve">. This equates to 10 per cent of all young people. </w:t>
      </w:r>
      <w:r w:rsidR="00585457" w:rsidRPr="00016293">
        <w:t>The decision to relocate appears to be driven by a number of factors, including study options in their home location, career aspirations, and the availability of jobs in their chosen field.</w:t>
      </w:r>
    </w:p>
    <w:p w:rsidR="00F23022" w:rsidRPr="00F23022" w:rsidRDefault="00585457" w:rsidP="00F23022">
      <w:r>
        <w:t>Research</w:t>
      </w:r>
      <w:r w:rsidRPr="003C3B18">
        <w:t xml:space="preserve"> using the Australian Census Longitudinal Dataset</w:t>
      </w:r>
      <w:r w:rsidRPr="003C3B18">
        <w:rPr>
          <w:rStyle w:val="FootnoteReference"/>
        </w:rPr>
        <w:footnoteReference w:id="6"/>
      </w:r>
      <w:r w:rsidRPr="003C3B18">
        <w:t xml:space="preserve"> </w:t>
      </w:r>
      <w:r>
        <w:t xml:space="preserve">(ACLD) has shown that the number of young people relocating to metro areas </w:t>
      </w:r>
      <w:r w:rsidRPr="00B31252">
        <w:rPr>
          <w:b/>
        </w:rPr>
        <w:t>for study</w:t>
      </w:r>
      <w:r>
        <w:t xml:space="preserve"> increased substantially over the last decade. The ACLD shows that less than one in five young people who moved for study returned to non-metro areas after five years, a trend that is </w:t>
      </w:r>
      <w:r w:rsidRPr="003C3B18">
        <w:t>also reflected in LSAY</w:t>
      </w:r>
      <w:r w:rsidR="00016293">
        <w:t xml:space="preserve"> data</w:t>
      </w:r>
      <w:r w:rsidRPr="003C3B18">
        <w:t>.</w:t>
      </w:r>
      <w:r>
        <w:t xml:space="preserve">  </w:t>
      </w:r>
      <w:r w:rsidR="00F573A1">
        <w:t>Conversely over three quarters of those who stay in a non-metro areas to undertake post-school study are living there five years later.</w:t>
      </w:r>
      <w:r w:rsidR="00E31136">
        <w:rPr>
          <w:rStyle w:val="FootnoteReference"/>
        </w:rPr>
        <w:t>6</w:t>
      </w:r>
    </w:p>
    <w:p w:rsidR="00772E86" w:rsidRDefault="00772E86" w:rsidP="00772E86">
      <w:r>
        <w:lastRenderedPageBreak/>
        <w:t xml:space="preserve">Flows between metro and non-metro areas are not one-way, as young people move in both directions. LSAY shows that </w:t>
      </w:r>
      <w:r w:rsidR="0048490E">
        <w:t>seven</w:t>
      </w:r>
      <w:r>
        <w:t xml:space="preserve"> per cent of the youth population from metro areas had relocated to non-metro areas by the age of 25.</w:t>
      </w:r>
      <w:r w:rsidRPr="009E369A">
        <w:t xml:space="preserve"> </w:t>
      </w:r>
      <w:r w:rsidR="0048490E">
        <w:t>This accounts for five</w:t>
      </w:r>
      <w:r>
        <w:t xml:space="preserve"> per cent of all young people (see Figure 2). </w:t>
      </w:r>
    </w:p>
    <w:p w:rsidR="00D94EEF" w:rsidRDefault="00634DEF" w:rsidP="004A74B6">
      <w:pPr>
        <w:pStyle w:val="Figuretitle"/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257175</wp:posOffset>
            </wp:positionV>
            <wp:extent cx="5862320" cy="3219450"/>
            <wp:effectExtent l="0" t="0" r="5080" b="0"/>
            <wp:wrapTight wrapText="bothSides">
              <wp:wrapPolygon edited="0">
                <wp:start x="0" y="0"/>
                <wp:lineTo x="0" y="21472"/>
                <wp:lineTo x="21549" y="21472"/>
                <wp:lineTo x="21549" y="0"/>
                <wp:lineTo x="0" y="0"/>
              </wp:wrapPolygon>
            </wp:wrapTight>
            <wp:docPr id="5" name="Picture 5" descr="Figure 2 shows the movement of young people to and from metro areas between ages 15 and 25. 7 per cent of young people from metro areas move to non-metro areas and 34 per cent of young people from non-metro areas move to metro are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32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618">
        <w:t xml:space="preserve">Figure 2: </w:t>
      </w:r>
      <w:r w:rsidR="00772E86">
        <w:t>Flows of young people from and to metro area</w:t>
      </w:r>
      <w:r w:rsidR="00D14618">
        <w:t>s between the ages of 15 and 25</w:t>
      </w:r>
    </w:p>
    <w:p w:rsidR="00EF56B6" w:rsidRPr="00EF56B6" w:rsidRDefault="00EF56B6" w:rsidP="00EF56B6">
      <w:pPr>
        <w:pStyle w:val="Heading1"/>
      </w:pPr>
      <w:r>
        <w:t>Career opportunities</w:t>
      </w:r>
    </w:p>
    <w:p w:rsidR="00F23022" w:rsidRDefault="00585457" w:rsidP="00772E86">
      <w:r w:rsidRPr="00EF56B6">
        <w:t>Career opportunities</w:t>
      </w:r>
      <w:r>
        <w:t xml:space="preserve"> may </w:t>
      </w:r>
      <w:r w:rsidRPr="00822B55">
        <w:t xml:space="preserve">impact on young people’s decisions to move away from or </w:t>
      </w:r>
      <w:r>
        <w:t>return</w:t>
      </w:r>
      <w:r w:rsidRPr="00822B55">
        <w:t xml:space="preserve"> to </w:t>
      </w:r>
      <w:r>
        <w:t>non-metro</w:t>
      </w:r>
      <w:r w:rsidRPr="00822B55">
        <w:t xml:space="preserve"> areas. </w:t>
      </w:r>
      <w:r w:rsidR="007063D0">
        <w:t>In 2016</w:t>
      </w:r>
      <w:r w:rsidR="00C31F98">
        <w:t>,</w:t>
      </w:r>
      <w:r w:rsidR="007063D0">
        <w:t xml:space="preserve"> j</w:t>
      </w:r>
      <w:r>
        <w:t xml:space="preserve">ob opportunities in the most aspired to occupation, Professionals, </w:t>
      </w:r>
      <w:r w:rsidR="007063D0">
        <w:t>were</w:t>
      </w:r>
      <w:r>
        <w:t xml:space="preserve"> comparatively limited in non-metro areas, accounting for </w:t>
      </w:r>
      <w:r w:rsidR="008155DA">
        <w:t>16 per cent of all jobs in non-metro areas and 2</w:t>
      </w:r>
      <w:r>
        <w:t>5 per cen</w:t>
      </w:r>
      <w:r w:rsidR="008155DA">
        <w:t>t of all jobs in metro areas</w:t>
      </w:r>
      <w:r>
        <w:t>.</w:t>
      </w:r>
      <w:r w:rsidRPr="00111419">
        <w:rPr>
          <w:rStyle w:val="FootnoteReference"/>
          <w:b/>
        </w:rPr>
        <w:t xml:space="preserve"> </w:t>
      </w:r>
      <w:r w:rsidRPr="00BB37B7">
        <w:rPr>
          <w:rStyle w:val="FootnoteReference"/>
          <w:b/>
        </w:rPr>
        <w:footnoteReference w:id="7"/>
      </w:r>
      <w:r>
        <w:t xml:space="preserve"> </w:t>
      </w:r>
      <w:r w:rsidRPr="00822B55">
        <w:t>Census 2016 data</w:t>
      </w:r>
      <w:r w:rsidRPr="00822B55">
        <w:rPr>
          <w:rStyle w:val="FootnoteReference"/>
        </w:rPr>
        <w:footnoteReference w:id="8"/>
      </w:r>
      <w:r w:rsidRPr="00822B55">
        <w:t xml:space="preserve"> show</w:t>
      </w:r>
      <w:r>
        <w:t>ed increased growth in</w:t>
      </w:r>
      <w:r w:rsidRPr="00822B55">
        <w:t xml:space="preserve"> high</w:t>
      </w:r>
      <w:r>
        <w:t>er</w:t>
      </w:r>
      <w:r w:rsidRPr="00822B55">
        <w:t xml:space="preserve"> skilled jobs in </w:t>
      </w:r>
      <w:r>
        <w:t xml:space="preserve">metro, compared to non-metro areas. LSAY data shows that young people with higher occupational aspirations such as Managers </w:t>
      </w:r>
      <w:r w:rsidR="00F573A1">
        <w:t xml:space="preserve">(41%) </w:t>
      </w:r>
      <w:r>
        <w:t xml:space="preserve">and </w:t>
      </w:r>
      <w:r w:rsidRPr="001879CC">
        <w:t>Professionals</w:t>
      </w:r>
      <w:r w:rsidR="00F573A1">
        <w:t xml:space="preserve"> (42%)</w:t>
      </w:r>
      <w:r w:rsidRPr="001879CC">
        <w:t xml:space="preserve"> were more likely than average to move </w:t>
      </w:r>
      <w:r>
        <w:t>to a metro are</w:t>
      </w:r>
      <w:r w:rsidR="00F573A1">
        <w:t>a between the ages of 15 and 25.</w:t>
      </w:r>
    </w:p>
    <w:p w:rsidR="000C7381" w:rsidRDefault="00605CCC" w:rsidP="00F20784">
      <w:pPr>
        <w:keepLines/>
      </w:pPr>
      <w:r>
        <w:t xml:space="preserve">According to the Australian Bureau of Statistics </w:t>
      </w:r>
      <w:r w:rsidR="00EF56B6">
        <w:t xml:space="preserve">(ABS) </w:t>
      </w:r>
      <w:r>
        <w:t>the</w:t>
      </w:r>
      <w:r w:rsidRPr="00776E59">
        <w:t xml:space="preserve"> </w:t>
      </w:r>
      <w:r>
        <w:t xml:space="preserve">employment </w:t>
      </w:r>
      <w:r w:rsidRPr="00776E59">
        <w:t>share</w:t>
      </w:r>
      <w:r>
        <w:t>s</w:t>
      </w:r>
      <w:r w:rsidRPr="00776E59">
        <w:t xml:space="preserve"> of Health and Education Professionals </w:t>
      </w:r>
      <w:r w:rsidR="007063D0">
        <w:t>we</w:t>
      </w:r>
      <w:r w:rsidRPr="00776E59">
        <w:t xml:space="preserve">re fairly evenly </w:t>
      </w:r>
      <w:r>
        <w:t>distributed</w:t>
      </w:r>
      <w:r w:rsidRPr="00776E59">
        <w:t xml:space="preserve"> in </w:t>
      </w:r>
      <w:r>
        <w:t xml:space="preserve">both </w:t>
      </w:r>
      <w:r w:rsidRPr="00776E59">
        <w:t xml:space="preserve">metro </w:t>
      </w:r>
      <w:r>
        <w:t>and non-metro</w:t>
      </w:r>
      <w:r w:rsidRPr="00776E59">
        <w:t xml:space="preserve"> areas</w:t>
      </w:r>
      <w:r w:rsidR="00F20784">
        <w:t xml:space="preserve"> (see Figure 3). Only 26 per </w:t>
      </w:r>
      <w:r>
        <w:t>cent of LSAY respondents who aspired to be Education Professionals moved to metro areas,</w:t>
      </w:r>
      <w:r w:rsidR="00515FF3" w:rsidRPr="00515FF3">
        <w:rPr>
          <w:rStyle w:val="FootnoteReference"/>
        </w:rPr>
        <w:t xml:space="preserve"> </w:t>
      </w:r>
      <w:r w:rsidR="00515FF3" w:rsidRPr="00DC64A4">
        <w:rPr>
          <w:rStyle w:val="FootnoteReference"/>
        </w:rPr>
        <w:footnoteReference w:id="9"/>
      </w:r>
      <w:r w:rsidR="00CD5499">
        <w:t xml:space="preserve"> compared to an average of 34</w:t>
      </w:r>
      <w:r>
        <w:t>%.</w:t>
      </w:r>
      <w:r w:rsidRPr="00951006">
        <w:rPr>
          <w:rStyle w:val="FootnoteReference"/>
        </w:rPr>
        <w:t xml:space="preserve"> </w:t>
      </w:r>
      <w:r>
        <w:t xml:space="preserve"> However there </w:t>
      </w:r>
      <w:r w:rsidR="007063D0">
        <w:t>was</w:t>
      </w:r>
      <w:r>
        <w:t xml:space="preserve"> variation in the e</w:t>
      </w:r>
      <w:r w:rsidRPr="00776E59">
        <w:t xml:space="preserve">mployment opportunities available to young people in </w:t>
      </w:r>
      <w:r>
        <w:t>non-metro</w:t>
      </w:r>
      <w:r w:rsidRPr="00776E59">
        <w:t xml:space="preserve"> areas</w:t>
      </w:r>
      <w:r>
        <w:t xml:space="preserve"> within the Professional occupation class (see </w:t>
      </w:r>
      <w:r w:rsidR="00F20784">
        <w:t>Figure 3</w:t>
      </w:r>
      <w:r>
        <w:t xml:space="preserve">). Those aspiring </w:t>
      </w:r>
      <w:r w:rsidRPr="00DC64A4">
        <w:t>to work as Professionals in the Business, Human</w:t>
      </w:r>
      <w:r>
        <w:t xml:space="preserve"> Resources and Marketing or </w:t>
      </w:r>
      <w:r w:rsidRPr="00DC64A4">
        <w:t xml:space="preserve">Design, </w:t>
      </w:r>
      <w:r>
        <w:t>Eng</w:t>
      </w:r>
      <w:r w:rsidR="00F573A1">
        <w:t>ineering, Science and Transport</w:t>
      </w:r>
      <w:r>
        <w:t xml:space="preserve"> </w:t>
      </w:r>
      <w:r w:rsidR="007063D0">
        <w:t>wer</w:t>
      </w:r>
      <w:r w:rsidRPr="00F20784">
        <w:t xml:space="preserve">e more likely than average to relocate to metro areas (48%). There </w:t>
      </w:r>
      <w:r w:rsidR="007063D0">
        <w:t>were</w:t>
      </w:r>
      <w:r>
        <w:t xml:space="preserve"> also comparatively higher shares of jobs in these occupations in metro areas</w:t>
      </w:r>
      <w:r w:rsidR="00CD5499">
        <w:t xml:space="preserve"> (see Figure 3)</w:t>
      </w:r>
      <w:r>
        <w:t xml:space="preserve">, which </w:t>
      </w:r>
      <w:r w:rsidRPr="00DC64A4">
        <w:t>suggests that job availability may influence</w:t>
      </w:r>
      <w:r>
        <w:t xml:space="preserve"> the relocation decisions of</w:t>
      </w:r>
      <w:r w:rsidRPr="00DC64A4">
        <w:t xml:space="preserve"> </w:t>
      </w:r>
      <w:r>
        <w:t>young people with higher occupational aspirations</w:t>
      </w:r>
      <w:r w:rsidRPr="00DC64A4">
        <w:t>.</w:t>
      </w:r>
    </w:p>
    <w:p w:rsidR="00F20784" w:rsidRDefault="00F20784" w:rsidP="000F593F">
      <w:pPr>
        <w:keepNext/>
        <w:spacing w:after="120"/>
        <w:rPr>
          <w:rStyle w:val="FiguretitleChar"/>
          <w:rFonts w:eastAsiaTheme="minorEastAsia"/>
        </w:rPr>
      </w:pPr>
      <w:r w:rsidRPr="001C5709">
        <w:rPr>
          <w:rStyle w:val="FiguretitleChar"/>
          <w:rFonts w:eastAsiaTheme="minorEastAsia"/>
        </w:rPr>
        <w:lastRenderedPageBreak/>
        <w:t xml:space="preserve">Figure </w:t>
      </w:r>
      <w:r>
        <w:rPr>
          <w:rStyle w:val="FiguretitleChar"/>
          <w:rFonts w:eastAsiaTheme="minorEastAsia"/>
        </w:rPr>
        <w:t>3</w:t>
      </w:r>
      <w:r w:rsidRPr="001C5709">
        <w:rPr>
          <w:rStyle w:val="FiguretitleChar"/>
          <w:rFonts w:eastAsiaTheme="minorEastAsia"/>
        </w:rPr>
        <w:t>: Professional sub-group employment shares by location, ABS</w:t>
      </w:r>
      <w:bookmarkStart w:id="1" w:name="_Ref32849284"/>
      <w:r w:rsidRPr="00D54D72">
        <w:rPr>
          <w:rStyle w:val="FootnoteReference"/>
          <w:b/>
        </w:rPr>
        <w:footnoteReference w:id="10"/>
      </w:r>
      <w:bookmarkEnd w:id="1"/>
    </w:p>
    <w:p w:rsidR="00DD2B6D" w:rsidRPr="00585457" w:rsidRDefault="00DD2B6D" w:rsidP="000F593F">
      <w:pPr>
        <w:keepNext/>
        <w:spacing w:after="120"/>
        <w:rPr>
          <w:rFonts w:ascii="Calibri" w:eastAsiaTheme="majorEastAsia" w:hAnsi="Calibri" w:cstheme="majorBidi"/>
          <w:b/>
          <w:iCs/>
          <w:spacing w:val="13"/>
          <w:sz w:val="24"/>
          <w:szCs w:val="28"/>
        </w:rPr>
      </w:pPr>
      <w:r>
        <w:rPr>
          <w:rFonts w:ascii="Calibri" w:eastAsiaTheme="majorEastAsia" w:hAnsi="Calibri" w:cstheme="majorBidi"/>
          <w:b/>
          <w:iCs/>
          <w:noProof/>
          <w:spacing w:val="13"/>
          <w:sz w:val="24"/>
          <w:szCs w:val="28"/>
          <w:lang w:eastAsia="en-AU"/>
        </w:rPr>
        <w:drawing>
          <wp:inline distT="0" distB="0" distL="0" distR="0" wp14:anchorId="02D4D887">
            <wp:extent cx="6212205" cy="2018030"/>
            <wp:effectExtent l="0" t="0" r="0" b="1270"/>
            <wp:docPr id="7" name="Picture 7" descr="Figure 3 shows the proportion of jobs in 2016 in the Professional occupation sub-groups in metro and non-metro areas. Business, Human Resource and Marketing professionals (6%), Health professionals (5%) and Education professionals (5%) were most common in metro areas. For non-metro areas, Education professionals (5%) were most common followed by Health professionals (4%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166A" w:rsidRPr="00CD56F2" w:rsidRDefault="0078166A" w:rsidP="00585457">
      <w:pPr>
        <w:rPr>
          <w:rFonts w:ascii="Calibri" w:eastAsiaTheme="majorEastAsia" w:hAnsi="Calibri" w:cstheme="majorBidi"/>
          <w:b/>
          <w:iCs/>
          <w:spacing w:val="13"/>
          <w:sz w:val="28"/>
          <w:szCs w:val="28"/>
        </w:rPr>
      </w:pPr>
      <w:r>
        <w:t xml:space="preserve">Young people from non-metro areas </w:t>
      </w:r>
      <w:r w:rsidR="007063D0">
        <w:t>were</w:t>
      </w:r>
      <w:r>
        <w:t xml:space="preserve"> more likely than metro youth to aspire to and work in the Technician and Trades occupation where there </w:t>
      </w:r>
      <w:r w:rsidR="007063D0">
        <w:t xml:space="preserve">were </w:t>
      </w:r>
      <w:r>
        <w:t>relatively more job opportunities (15% of jobs in non</w:t>
      </w:r>
      <w:r w:rsidR="0048490E">
        <w:noBreakHyphen/>
      </w:r>
      <w:r>
        <w:t>metro areas, compared to 13% in metro).</w:t>
      </w:r>
      <w:r w:rsidR="00772E86" w:rsidRPr="00EF56B6">
        <w:rPr>
          <w:rStyle w:val="FootnoteReference"/>
          <w:rFonts w:eastAsiaTheme="majorEastAsia"/>
        </w:rPr>
        <w:fldChar w:fldCharType="begin"/>
      </w:r>
      <w:r w:rsidR="00772E86" w:rsidRPr="00EF56B6">
        <w:rPr>
          <w:vertAlign w:val="superscript"/>
        </w:rPr>
        <w:instrText xml:space="preserve"> NOTEREF _Ref32849284 \h </w:instrText>
      </w:r>
      <w:r w:rsidR="00EF56B6" w:rsidRPr="00EF56B6">
        <w:rPr>
          <w:rStyle w:val="FootnoteReference"/>
          <w:rFonts w:eastAsiaTheme="majorEastAsia"/>
        </w:rPr>
        <w:instrText xml:space="preserve"> \* MERGEFORMAT </w:instrText>
      </w:r>
      <w:r w:rsidR="00772E86" w:rsidRPr="00EF56B6">
        <w:rPr>
          <w:rStyle w:val="FootnoteReference"/>
          <w:rFonts w:eastAsiaTheme="majorEastAsia"/>
        </w:rPr>
      </w:r>
      <w:r w:rsidR="00772E86" w:rsidRPr="00EF56B6">
        <w:rPr>
          <w:rStyle w:val="FootnoteReference"/>
          <w:rFonts w:eastAsiaTheme="majorEastAsia"/>
        </w:rPr>
        <w:fldChar w:fldCharType="separate"/>
      </w:r>
      <w:r w:rsidR="009071F7">
        <w:rPr>
          <w:vertAlign w:val="superscript"/>
        </w:rPr>
        <w:t>10</w:t>
      </w:r>
      <w:r w:rsidR="00772E86" w:rsidRPr="00EF56B6">
        <w:rPr>
          <w:rStyle w:val="FootnoteReference"/>
          <w:rFonts w:eastAsiaTheme="majorEastAsia"/>
        </w:rPr>
        <w:fldChar w:fldCharType="end"/>
      </w:r>
      <w:r w:rsidR="00772E86" w:rsidRPr="00EF56B6">
        <w:rPr>
          <w:rFonts w:eastAsiaTheme="majorEastAsia"/>
          <w:vertAlign w:val="superscript"/>
        </w:rPr>
        <w:t xml:space="preserve"> </w:t>
      </w:r>
      <w:r w:rsidR="00CD56F2">
        <w:t xml:space="preserve">However those living in metro areas </w:t>
      </w:r>
      <w:r w:rsidR="007063D0">
        <w:t>were</w:t>
      </w:r>
      <w:r w:rsidR="00CD56F2">
        <w:t xml:space="preserve"> more likely to be working in their intended occupation of Technicians and Trades (64%) than those in non-metro areas (58%) (</w:t>
      </w:r>
      <w:proofErr w:type="gramStart"/>
      <w:r w:rsidR="00CD56F2">
        <w:t>see</w:t>
      </w:r>
      <w:proofErr w:type="gramEnd"/>
      <w:r w:rsidR="00CD56F2">
        <w:t xml:space="preserve"> Figure 4). </w:t>
      </w:r>
      <w:r w:rsidR="007063D0">
        <w:t>Overall, t</w:t>
      </w:r>
      <w:r w:rsidR="00E6613B">
        <w:t xml:space="preserve">hose who aspire to work in Technician and Trades </w:t>
      </w:r>
      <w:r w:rsidR="00772E86">
        <w:t xml:space="preserve">occupation </w:t>
      </w:r>
      <w:r w:rsidR="00E6613B">
        <w:t>ha</w:t>
      </w:r>
      <w:r w:rsidR="007063D0">
        <w:t>d</w:t>
      </w:r>
      <w:r w:rsidR="00E6613B">
        <w:t xml:space="preserve"> a higher rate of meeting their career aspiration</w:t>
      </w:r>
      <w:r w:rsidR="007063D0">
        <w:t xml:space="preserve"> than average</w:t>
      </w:r>
      <w:r w:rsidR="00EF1298">
        <w:t>. L</w:t>
      </w:r>
      <w:r w:rsidR="00E6613B">
        <w:t>ess than</w:t>
      </w:r>
      <w:r w:rsidR="00F83BC8">
        <w:t xml:space="preserve"> half of all young people </w:t>
      </w:r>
      <w:r w:rsidR="007063D0">
        <w:t>were</w:t>
      </w:r>
      <w:r w:rsidR="00F83BC8">
        <w:t xml:space="preserve"> working in their aspired to occupation by age 25 (</w:t>
      </w:r>
      <w:r w:rsidR="00E6613B">
        <w:t>48%).</w:t>
      </w:r>
    </w:p>
    <w:p w:rsidR="00585457" w:rsidRDefault="00052FDC" w:rsidP="00585457">
      <w:pPr>
        <w:pStyle w:val="Figuretitle"/>
      </w:pPr>
      <w:r>
        <w:t>Figure 4</w:t>
      </w:r>
      <w:r w:rsidR="00585457">
        <w:t xml:space="preserve">: </w:t>
      </w:r>
      <w:r w:rsidR="00610CAD">
        <w:t>Proportion of 25-year-</w:t>
      </w:r>
      <w:r w:rsidR="00585457" w:rsidRPr="001C5709">
        <w:t>olds who are working in their aspired to occupation group</w:t>
      </w:r>
      <w:r>
        <w:rPr>
          <w:rStyle w:val="FootnoteReference"/>
        </w:rPr>
        <w:footnoteReference w:id="11"/>
      </w:r>
      <w:r w:rsidR="00585457" w:rsidRPr="001C5709">
        <w:t xml:space="preserve">, by </w:t>
      </w:r>
      <w:r w:rsidR="00A64AFD">
        <w:t xml:space="preserve">occupation and </w:t>
      </w:r>
      <w:r w:rsidR="00585457" w:rsidRPr="001C5709">
        <w:t>area of residence at age 25</w:t>
      </w:r>
    </w:p>
    <w:p w:rsidR="00DD2B6D" w:rsidRDefault="00DD2B6D" w:rsidP="00585457">
      <w:pPr>
        <w:pStyle w:val="Figuretitle"/>
      </w:pPr>
      <w:r>
        <w:rPr>
          <w:noProof/>
          <w:lang w:eastAsia="en-AU"/>
        </w:rPr>
        <w:drawing>
          <wp:inline distT="0" distB="0" distL="0" distR="0" wp14:anchorId="39D92B3F">
            <wp:extent cx="5962650" cy="2639695"/>
            <wp:effectExtent l="0" t="0" r="0" b="8255"/>
            <wp:docPr id="8" name="Picture 8" descr="Figure 4 shows the proportion of 25 year olds who have achieved their aspired occupation, comparing those from metro and non-metro areas, as described in the tex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F98" w:rsidRDefault="00C31F98" w:rsidP="00C31F98">
      <w:pPr>
        <w:pStyle w:val="Figurenote"/>
      </w:pPr>
      <w:r>
        <w:t xml:space="preserve">Note: </w:t>
      </w:r>
      <w:r w:rsidR="004A74B6">
        <w:t>The a</w:t>
      </w:r>
      <w:r>
        <w:t>vera</w:t>
      </w:r>
      <w:r w:rsidR="004A74B6">
        <w:t>ge line represents the</w:t>
      </w:r>
      <w:r w:rsidR="00610CAD">
        <w:t xml:space="preserve"> proportion of all 25-year-</w:t>
      </w:r>
      <w:r>
        <w:t>olds who ac</w:t>
      </w:r>
      <w:r w:rsidR="004A74B6">
        <w:t>hieved their career aspiration (</w:t>
      </w:r>
      <w:r>
        <w:t>48%</w:t>
      </w:r>
      <w:r w:rsidR="004A74B6">
        <w:t>)</w:t>
      </w:r>
      <w:r>
        <w:t>.</w:t>
      </w:r>
    </w:p>
    <w:p w:rsidR="00CD56F2" w:rsidRPr="0049775D" w:rsidRDefault="00CD56F2" w:rsidP="00C31F98">
      <w:pPr>
        <w:spacing w:before="200"/>
      </w:pPr>
      <w:r>
        <w:t xml:space="preserve">Over half of those who wanted to work as Professionals by age 30 </w:t>
      </w:r>
      <w:bookmarkStart w:id="2" w:name="_GoBack"/>
      <w:bookmarkEnd w:id="2"/>
      <w:r>
        <w:t>were doing so at age 25 (s</w:t>
      </w:r>
      <w:r w:rsidRPr="00052FDC">
        <w:t xml:space="preserve">ee Figure 4). </w:t>
      </w:r>
      <w:r>
        <w:t>Although a similar proportion of metro and non-metro youth aspired to work in Community and Personal Services, in 2016 there was a slightly higher share of jobs in non-metro areas (12% of jobs in non-metro areas compared to 10% in metro).</w:t>
      </w:r>
      <w:r w:rsidR="00EF56B6">
        <w:rPr>
          <w:rStyle w:val="FootnoteReference"/>
          <w:rFonts w:eastAsiaTheme="majorEastAsia"/>
        </w:rPr>
        <w:fldChar w:fldCharType="begin"/>
      </w:r>
      <w:r w:rsidR="00EF56B6">
        <w:rPr>
          <w:rStyle w:val="FootnoteReference"/>
          <w:rFonts w:eastAsiaTheme="majorEastAsia"/>
        </w:rPr>
        <w:instrText xml:space="preserve"> NOTEREF _Ref32849284 \h </w:instrText>
      </w:r>
      <w:r w:rsidR="00EF56B6">
        <w:rPr>
          <w:rStyle w:val="FootnoteReference"/>
          <w:rFonts w:eastAsiaTheme="majorEastAsia"/>
        </w:rPr>
      </w:r>
      <w:r w:rsidR="00EF56B6">
        <w:rPr>
          <w:rStyle w:val="FootnoteReference"/>
          <w:rFonts w:eastAsiaTheme="majorEastAsia"/>
        </w:rPr>
        <w:fldChar w:fldCharType="separate"/>
      </w:r>
      <w:r w:rsidR="009071F7">
        <w:rPr>
          <w:rStyle w:val="FootnoteReference"/>
          <w:rFonts w:eastAsiaTheme="majorEastAsia"/>
        </w:rPr>
        <w:t>10</w:t>
      </w:r>
      <w:r w:rsidR="00EF56B6">
        <w:rPr>
          <w:rStyle w:val="FootnoteReference"/>
          <w:rFonts w:eastAsiaTheme="majorEastAsia"/>
        </w:rPr>
        <w:fldChar w:fldCharType="end"/>
      </w:r>
      <w:r w:rsidR="00EF56B6">
        <w:rPr>
          <w:rFonts w:eastAsiaTheme="majorEastAsia"/>
        </w:rPr>
        <w:t xml:space="preserve"> </w:t>
      </w:r>
      <w:r w:rsidRPr="00CD56F2">
        <w:t>Those who aspire</w:t>
      </w:r>
      <w:r w:rsidR="007063D0">
        <w:t>d</w:t>
      </w:r>
      <w:r w:rsidRPr="00CD56F2">
        <w:t xml:space="preserve"> to work in Community and Personal Services and live</w:t>
      </w:r>
      <w:r w:rsidR="007063D0">
        <w:t>d</w:t>
      </w:r>
      <w:r w:rsidRPr="00CD56F2">
        <w:t xml:space="preserve"> in a </w:t>
      </w:r>
      <w:r w:rsidR="00474824">
        <w:t>non-metro</w:t>
      </w:r>
      <w:r w:rsidRPr="00CD56F2">
        <w:t xml:space="preserve"> area at age 25 </w:t>
      </w:r>
      <w:r w:rsidR="007063D0">
        <w:t xml:space="preserve">were </w:t>
      </w:r>
      <w:r w:rsidRPr="00CD56F2">
        <w:t>also more likely to be working in that occupation (71% compared to 53% of those living in metro areas</w:t>
      </w:r>
      <w:r w:rsidR="00515FF3">
        <w:t>)</w:t>
      </w:r>
      <w:r w:rsidRPr="00CD56F2">
        <w:t>.</w:t>
      </w:r>
    </w:p>
    <w:sectPr w:rsidR="00CD56F2" w:rsidRPr="0049775D" w:rsidSect="0019316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40" w:right="1133" w:bottom="709" w:left="1134" w:header="708" w:footer="1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DC" w:rsidRDefault="007570DC" w:rsidP="0051352E">
      <w:pPr>
        <w:spacing w:after="0" w:line="240" w:lineRule="auto"/>
      </w:pPr>
      <w:r>
        <w:separator/>
      </w:r>
    </w:p>
  </w:endnote>
  <w:endnote w:type="continuationSeparator" w:id="0">
    <w:p w:rsidR="007570DC" w:rsidRDefault="007570DC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93" w:rsidRDefault="000162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519908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6293" w:rsidRPr="00016293" w:rsidRDefault="00016293">
        <w:pPr>
          <w:pStyle w:val="Footer"/>
          <w:jc w:val="right"/>
          <w:rPr>
            <w:sz w:val="20"/>
          </w:rPr>
        </w:pPr>
        <w:r w:rsidRPr="00016293">
          <w:rPr>
            <w:sz w:val="20"/>
          </w:rPr>
          <w:fldChar w:fldCharType="begin"/>
        </w:r>
        <w:r w:rsidRPr="00016293">
          <w:rPr>
            <w:sz w:val="20"/>
          </w:rPr>
          <w:instrText xml:space="preserve"> PAGE   \* MERGEFORMAT </w:instrText>
        </w:r>
        <w:r w:rsidRPr="00016293">
          <w:rPr>
            <w:sz w:val="20"/>
          </w:rPr>
          <w:fldChar w:fldCharType="separate"/>
        </w:r>
        <w:r w:rsidR="00163FF0">
          <w:rPr>
            <w:noProof/>
            <w:sz w:val="20"/>
          </w:rPr>
          <w:t>4</w:t>
        </w:r>
        <w:r w:rsidRPr="00016293">
          <w:rPr>
            <w:noProof/>
            <w:sz w:val="20"/>
          </w:rPr>
          <w:fldChar w:fldCharType="end"/>
        </w:r>
      </w:p>
    </w:sdtContent>
  </w:sdt>
  <w:p w:rsidR="00016293" w:rsidRDefault="000162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93" w:rsidRDefault="00016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DC" w:rsidRDefault="007570DC" w:rsidP="0051352E">
      <w:pPr>
        <w:spacing w:after="0" w:line="240" w:lineRule="auto"/>
      </w:pPr>
      <w:r>
        <w:separator/>
      </w:r>
    </w:p>
  </w:footnote>
  <w:footnote w:type="continuationSeparator" w:id="0">
    <w:p w:rsidR="007570DC" w:rsidRDefault="007570DC" w:rsidP="0051352E">
      <w:pPr>
        <w:spacing w:after="0" w:line="240" w:lineRule="auto"/>
      </w:pPr>
      <w:r>
        <w:continuationSeparator/>
      </w:r>
    </w:p>
  </w:footnote>
  <w:footnote w:id="1">
    <w:p w:rsidR="002C657A" w:rsidRDefault="002C657A" w:rsidP="002C657A">
      <w:pPr>
        <w:pStyle w:val="FootnoteText"/>
        <w:spacing w:before="0"/>
        <w:contextualSpacing/>
      </w:pPr>
      <w:r w:rsidRPr="0048490E">
        <w:rPr>
          <w:rStyle w:val="FootnoteReference"/>
          <w:sz w:val="16"/>
        </w:rPr>
        <w:footnoteRef/>
      </w:r>
      <w:r w:rsidR="0048490E">
        <w:rPr>
          <w:sz w:val="16"/>
        </w:rPr>
        <w:t xml:space="preserve"> </w:t>
      </w:r>
      <w:r>
        <w:rPr>
          <w:sz w:val="16"/>
        </w:rPr>
        <w:t>‘</w:t>
      </w:r>
      <w:r w:rsidRPr="00D63165">
        <w:rPr>
          <w:rStyle w:val="FigurenoteChar"/>
          <w:sz w:val="16"/>
          <w:szCs w:val="16"/>
        </w:rPr>
        <w:t xml:space="preserve">Young </w:t>
      </w:r>
      <w:r>
        <w:rPr>
          <w:rStyle w:val="FigurenoteChar"/>
          <w:sz w:val="16"/>
          <w:szCs w:val="16"/>
        </w:rPr>
        <w:t>people’</w:t>
      </w:r>
      <w:r w:rsidRPr="00D63165">
        <w:rPr>
          <w:rStyle w:val="FigurenoteChar"/>
          <w:sz w:val="16"/>
          <w:szCs w:val="16"/>
        </w:rPr>
        <w:t xml:space="preserve"> </w:t>
      </w:r>
      <w:r>
        <w:rPr>
          <w:rStyle w:val="FigurenoteChar"/>
          <w:sz w:val="16"/>
          <w:szCs w:val="16"/>
        </w:rPr>
        <w:t>or ‘young Australians’ are</w:t>
      </w:r>
      <w:r w:rsidRPr="00D63165">
        <w:rPr>
          <w:rStyle w:val="FigurenoteChar"/>
          <w:sz w:val="16"/>
          <w:szCs w:val="16"/>
        </w:rPr>
        <w:t xml:space="preserve"> defined as people between the ages of 15 and 25 (inclusive).</w:t>
      </w:r>
    </w:p>
  </w:footnote>
  <w:footnote w:id="2">
    <w:p w:rsidR="00515FF3" w:rsidRPr="003B1053" w:rsidRDefault="00515FF3" w:rsidP="003B1053">
      <w:pPr>
        <w:autoSpaceDE w:val="0"/>
        <w:autoSpaceDN w:val="0"/>
        <w:spacing w:after="0" w:line="240" w:lineRule="auto"/>
        <w:rPr>
          <w:rFonts w:eastAsiaTheme="minorEastAsia"/>
          <w:sz w:val="16"/>
          <w:szCs w:val="16"/>
        </w:rPr>
      </w:pPr>
      <w:r w:rsidRPr="0048490E">
        <w:rPr>
          <w:rStyle w:val="FootnoteReference"/>
          <w:sz w:val="16"/>
        </w:rPr>
        <w:footnoteRef/>
      </w:r>
      <w:r w:rsidR="0048490E">
        <w:rPr>
          <w:sz w:val="16"/>
          <w:szCs w:val="16"/>
        </w:rPr>
        <w:t xml:space="preserve"> </w:t>
      </w:r>
      <w:r w:rsidR="003B1053" w:rsidRPr="003B1053">
        <w:rPr>
          <w:rStyle w:val="FigurenoteChar"/>
          <w:sz w:val="16"/>
          <w:szCs w:val="16"/>
        </w:rPr>
        <w:t>Non-metro or non-metropolitan categorisation at age 15</w:t>
      </w:r>
      <w:r w:rsidR="000520EB">
        <w:rPr>
          <w:rStyle w:val="FigurenoteChar"/>
          <w:sz w:val="16"/>
          <w:szCs w:val="16"/>
        </w:rPr>
        <w:t xml:space="preserve"> (or where respondents are “from”)</w:t>
      </w:r>
      <w:r w:rsidR="003B1053" w:rsidRPr="003B1053">
        <w:rPr>
          <w:rStyle w:val="FigurenoteChar"/>
          <w:sz w:val="16"/>
          <w:szCs w:val="16"/>
        </w:rPr>
        <w:t xml:space="preserve"> is based on the Ministerial Council on Employment, Education, Training and Youth Affairs (MCEETYA) classification. Home postcode at age 25 was mapped to the Accessibility and Remoteness Index of Australia (ARIA+). An LSAY respondent is considered to live in a non-metropolitan area </w:t>
      </w:r>
      <w:r w:rsidR="003B1053">
        <w:rPr>
          <w:rStyle w:val="FigurenoteChar"/>
          <w:sz w:val="16"/>
          <w:szCs w:val="16"/>
        </w:rPr>
        <w:t xml:space="preserve">at age 25 </w:t>
      </w:r>
      <w:r w:rsidR="003B1053" w:rsidRPr="003B1053">
        <w:rPr>
          <w:rStyle w:val="FigurenoteChar"/>
          <w:sz w:val="16"/>
          <w:szCs w:val="16"/>
        </w:rPr>
        <w:t xml:space="preserve">if their home location is </w:t>
      </w:r>
      <w:r w:rsidR="005E32F7">
        <w:rPr>
          <w:rStyle w:val="FigurenoteChar"/>
          <w:sz w:val="16"/>
          <w:szCs w:val="16"/>
        </w:rPr>
        <w:t>categorised as ‘Inner Regional’</w:t>
      </w:r>
      <w:r w:rsidR="003B1053" w:rsidRPr="003B1053">
        <w:rPr>
          <w:rStyle w:val="FigurenoteChar"/>
          <w:sz w:val="16"/>
          <w:szCs w:val="16"/>
        </w:rPr>
        <w:t>, ‘Outer Regional’, ‘Remote’ or ‘Very remote’ under the ARIA+ index.</w:t>
      </w:r>
    </w:p>
  </w:footnote>
  <w:footnote w:id="3">
    <w:p w:rsidR="00F73A5F" w:rsidRPr="0064577B" w:rsidRDefault="00F73A5F" w:rsidP="00F73A5F">
      <w:pPr>
        <w:pStyle w:val="FootnoteText"/>
        <w:spacing w:before="0"/>
        <w:contextualSpacing/>
        <w:rPr>
          <w:sz w:val="16"/>
          <w:szCs w:val="16"/>
        </w:rPr>
      </w:pPr>
      <w:r w:rsidRPr="0048490E">
        <w:rPr>
          <w:rStyle w:val="FootnoteReference"/>
          <w:sz w:val="16"/>
          <w:szCs w:val="16"/>
        </w:rPr>
        <w:footnoteRef/>
      </w:r>
      <w:r w:rsidR="0048490E">
        <w:rPr>
          <w:rStyle w:val="FigurenoteChar"/>
          <w:sz w:val="16"/>
          <w:szCs w:val="16"/>
        </w:rPr>
        <w:t xml:space="preserve"> </w:t>
      </w:r>
      <w:r>
        <w:rPr>
          <w:rStyle w:val="FigurenoteChar"/>
          <w:sz w:val="16"/>
          <w:szCs w:val="16"/>
        </w:rPr>
        <w:t xml:space="preserve">Data is from the </w:t>
      </w:r>
      <w:r w:rsidRPr="0064577B">
        <w:rPr>
          <w:rStyle w:val="FigurenoteChar"/>
          <w:sz w:val="16"/>
          <w:szCs w:val="16"/>
        </w:rPr>
        <w:t xml:space="preserve">2006 </w:t>
      </w:r>
      <w:r>
        <w:rPr>
          <w:rStyle w:val="FigurenoteChar"/>
          <w:sz w:val="16"/>
          <w:szCs w:val="16"/>
        </w:rPr>
        <w:t xml:space="preserve">LSAY </w:t>
      </w:r>
      <w:r w:rsidRPr="0064577B">
        <w:rPr>
          <w:rStyle w:val="FigurenoteChar"/>
          <w:sz w:val="16"/>
          <w:szCs w:val="16"/>
        </w:rPr>
        <w:t xml:space="preserve">cohort, which is comprised of young people </w:t>
      </w:r>
      <w:r>
        <w:rPr>
          <w:rStyle w:val="FigurenoteChar"/>
          <w:sz w:val="16"/>
          <w:szCs w:val="16"/>
        </w:rPr>
        <w:t>who were aged 15 in 2006 and were</w:t>
      </w:r>
      <w:r w:rsidRPr="0064577B">
        <w:rPr>
          <w:rStyle w:val="FigurenoteChar"/>
          <w:sz w:val="16"/>
          <w:szCs w:val="16"/>
        </w:rPr>
        <w:t xml:space="preserve"> surveyed annually. </w:t>
      </w:r>
      <w:r>
        <w:rPr>
          <w:rStyle w:val="FigurenoteChar"/>
          <w:sz w:val="16"/>
          <w:szCs w:val="16"/>
        </w:rPr>
        <w:t xml:space="preserve">Data reported is weighted from </w:t>
      </w:r>
      <w:r w:rsidRPr="0064577B">
        <w:rPr>
          <w:rStyle w:val="FigurenoteChar"/>
          <w:sz w:val="16"/>
          <w:szCs w:val="16"/>
        </w:rPr>
        <w:t>2016 survey responses, collected whe</w:t>
      </w:r>
      <w:r w:rsidR="00610CAD">
        <w:rPr>
          <w:rStyle w:val="FigurenoteChar"/>
          <w:sz w:val="16"/>
          <w:szCs w:val="16"/>
        </w:rPr>
        <w:t>n respondents were 25-years-</w:t>
      </w:r>
      <w:r>
        <w:rPr>
          <w:rStyle w:val="FigurenoteChar"/>
          <w:sz w:val="16"/>
          <w:szCs w:val="16"/>
        </w:rPr>
        <w:t xml:space="preserve">old. Survey questions ask about expected occupation at age 30. Results are reported for those who plan to work at age 30. </w:t>
      </w:r>
      <w:r w:rsidR="00610CAD">
        <w:rPr>
          <w:rStyle w:val="FigurenoteChar"/>
          <w:sz w:val="16"/>
          <w:szCs w:val="16"/>
        </w:rPr>
        <w:t>Approximately 12 per cent of 25-year-</w:t>
      </w:r>
      <w:r>
        <w:rPr>
          <w:rStyle w:val="FigurenoteChar"/>
          <w:sz w:val="16"/>
          <w:szCs w:val="16"/>
        </w:rPr>
        <w:t>olds did not expect to be working at age 30.</w:t>
      </w:r>
    </w:p>
  </w:footnote>
  <w:footnote w:id="4">
    <w:p w:rsidR="00585457" w:rsidRPr="0064577B" w:rsidRDefault="00585457" w:rsidP="00585457">
      <w:pPr>
        <w:pStyle w:val="FootnoteText"/>
        <w:spacing w:before="0"/>
        <w:contextualSpacing/>
        <w:rPr>
          <w:sz w:val="16"/>
          <w:szCs w:val="16"/>
        </w:rPr>
      </w:pPr>
      <w:r w:rsidRPr="0064577B">
        <w:rPr>
          <w:rStyle w:val="FootnoteReference"/>
          <w:sz w:val="16"/>
          <w:szCs w:val="16"/>
        </w:rPr>
        <w:footnoteRef/>
      </w:r>
      <w:r w:rsidR="0048490E">
        <w:rPr>
          <w:sz w:val="16"/>
          <w:szCs w:val="16"/>
        </w:rPr>
        <w:t xml:space="preserve"> </w:t>
      </w:r>
      <w:r w:rsidRPr="0064577B">
        <w:rPr>
          <w:rStyle w:val="FigurenoteChar"/>
          <w:sz w:val="16"/>
          <w:szCs w:val="16"/>
        </w:rPr>
        <w:t>Occupation is coded at the two digit level (Sub-Major Group level) using the Australian and New Zealand Standar</w:t>
      </w:r>
      <w:r>
        <w:rPr>
          <w:rStyle w:val="FigurenoteChar"/>
          <w:sz w:val="16"/>
          <w:szCs w:val="16"/>
        </w:rPr>
        <w:t>d Classification of Occupations.</w:t>
      </w:r>
    </w:p>
  </w:footnote>
  <w:footnote w:id="5">
    <w:p w:rsidR="00585457" w:rsidRDefault="00585457" w:rsidP="00585457">
      <w:pPr>
        <w:pStyle w:val="FootnoteText"/>
        <w:spacing w:before="0"/>
        <w:contextualSpacing/>
      </w:pPr>
      <w:r w:rsidRPr="0064577B">
        <w:rPr>
          <w:rStyle w:val="FootnoteReference"/>
          <w:sz w:val="16"/>
          <w:szCs w:val="16"/>
        </w:rPr>
        <w:footnoteRef/>
      </w:r>
      <w:r w:rsidR="0048490E">
        <w:rPr>
          <w:sz w:val="16"/>
          <w:szCs w:val="16"/>
        </w:rPr>
        <w:t xml:space="preserve"> </w:t>
      </w:r>
      <w:r w:rsidRPr="0064577B">
        <w:rPr>
          <w:rStyle w:val="FigurenoteChar"/>
          <w:sz w:val="16"/>
          <w:szCs w:val="16"/>
        </w:rPr>
        <w:t>Occupation is coded at the one digit level (Major Group level) using the Australian and New Zealand Standard Classi</w:t>
      </w:r>
      <w:r>
        <w:rPr>
          <w:rStyle w:val="FigurenoteChar"/>
          <w:sz w:val="16"/>
          <w:szCs w:val="16"/>
        </w:rPr>
        <w:t>fication of Occupations</w:t>
      </w:r>
      <w:r w:rsidRPr="0064577B">
        <w:rPr>
          <w:rStyle w:val="FigurenoteChar"/>
          <w:sz w:val="16"/>
          <w:szCs w:val="16"/>
        </w:rPr>
        <w:t>.</w:t>
      </w:r>
    </w:p>
  </w:footnote>
  <w:footnote w:id="6">
    <w:p w:rsidR="00585457" w:rsidRDefault="00585457" w:rsidP="00585457">
      <w:pPr>
        <w:pStyle w:val="FootnoteText"/>
        <w:spacing w:before="0"/>
      </w:pPr>
      <w:r w:rsidRPr="0048490E">
        <w:rPr>
          <w:rStyle w:val="FootnoteReference"/>
          <w:sz w:val="16"/>
        </w:rPr>
        <w:footnoteRef/>
      </w:r>
      <w:r w:rsidR="0048490E">
        <w:t xml:space="preserve"> </w:t>
      </w:r>
      <w:r w:rsidRPr="00C11A08">
        <w:rPr>
          <w:sz w:val="16"/>
        </w:rPr>
        <w:t xml:space="preserve">The Grattan Institute, 2019, ‘More regional Australians are moving to the city to study. Few return when they’ve finished’, available online at </w:t>
      </w:r>
      <w:r w:rsidR="00F20784">
        <w:rPr>
          <w:sz w:val="16"/>
        </w:rPr>
        <w:t>&lt;</w:t>
      </w:r>
      <w:hyperlink r:id="rId1" w:history="1">
        <w:r w:rsidRPr="00C11A08">
          <w:rPr>
            <w:sz w:val="16"/>
          </w:rPr>
          <w:t>https://blog.grattan.edu.au/2019/04/more-regional-australians-are-moving-to-the-city-to-study-few-return-when-theyve-finished/</w:t>
        </w:r>
      </w:hyperlink>
      <w:r>
        <w:rPr>
          <w:sz w:val="16"/>
        </w:rPr>
        <w:t>&gt;.</w:t>
      </w:r>
    </w:p>
  </w:footnote>
  <w:footnote w:id="7">
    <w:p w:rsidR="00585457" w:rsidRDefault="00585457" w:rsidP="00585457">
      <w:pPr>
        <w:pStyle w:val="FootnoteText"/>
        <w:spacing w:before="0"/>
        <w:contextualSpacing/>
      </w:pPr>
      <w:r w:rsidRPr="0048490E">
        <w:rPr>
          <w:rStyle w:val="FootnoteReference"/>
          <w:sz w:val="16"/>
        </w:rPr>
        <w:footnoteRef/>
      </w:r>
      <w:r w:rsidR="0048490E">
        <w:t xml:space="preserve"> </w:t>
      </w:r>
      <w:r w:rsidRPr="00E212CA">
        <w:rPr>
          <w:sz w:val="16"/>
        </w:rPr>
        <w:t>Information derived from the Australian Bureau of Statistics</w:t>
      </w:r>
      <w:r>
        <w:rPr>
          <w:sz w:val="16"/>
        </w:rPr>
        <w:t xml:space="preserve">’ </w:t>
      </w:r>
      <w:proofErr w:type="spellStart"/>
      <w:r>
        <w:rPr>
          <w:sz w:val="16"/>
        </w:rPr>
        <w:t>ABS.Stat</w:t>
      </w:r>
      <w:proofErr w:type="spellEnd"/>
      <w:r>
        <w:rPr>
          <w:sz w:val="16"/>
        </w:rPr>
        <w:t>,</w:t>
      </w:r>
      <w:r w:rsidRPr="00E212CA">
        <w:rPr>
          <w:sz w:val="16"/>
        </w:rPr>
        <w:t xml:space="preserve"> </w:t>
      </w:r>
      <w:r>
        <w:rPr>
          <w:sz w:val="16"/>
        </w:rPr>
        <w:t>Census 2016 data</w:t>
      </w:r>
      <w:r w:rsidRPr="00E212CA">
        <w:rPr>
          <w:sz w:val="16"/>
        </w:rPr>
        <w:t xml:space="preserve">, </w:t>
      </w:r>
      <w:r>
        <w:rPr>
          <w:sz w:val="16"/>
        </w:rPr>
        <w:t>Table G57, ‘Occupation by Age by Sex (SA2+)’.</w:t>
      </w:r>
    </w:p>
  </w:footnote>
  <w:footnote w:id="8">
    <w:p w:rsidR="00585457" w:rsidRDefault="00585457" w:rsidP="00585457">
      <w:pPr>
        <w:pStyle w:val="FootnoteText"/>
        <w:spacing w:before="0"/>
      </w:pPr>
      <w:r w:rsidRPr="0048490E">
        <w:rPr>
          <w:rStyle w:val="FootnoteReference"/>
          <w:sz w:val="16"/>
        </w:rPr>
        <w:footnoteRef/>
      </w:r>
      <w:r w:rsidR="0048490E">
        <w:rPr>
          <w:sz w:val="16"/>
        </w:rPr>
        <w:t xml:space="preserve"> </w:t>
      </w:r>
      <w:r w:rsidRPr="00C11A08">
        <w:rPr>
          <w:sz w:val="16"/>
        </w:rPr>
        <w:t xml:space="preserve">CSIRO, 2017, ‘The growing skills gap between jobs in Australian cities and the regions’, available online at </w:t>
      </w:r>
      <w:r>
        <w:rPr>
          <w:sz w:val="16"/>
        </w:rPr>
        <w:t>&lt;</w:t>
      </w:r>
      <w:hyperlink r:id="rId2" w:history="1">
        <w:r w:rsidRPr="00C11A08">
          <w:rPr>
            <w:sz w:val="16"/>
          </w:rPr>
          <w:t>https://theconversation.com/the-growing-skills-gap-between-jobs-in-australian-cities-and-the-regions-88477</w:t>
        </w:r>
      </w:hyperlink>
      <w:r w:rsidR="00421712">
        <w:rPr>
          <w:sz w:val="16"/>
        </w:rPr>
        <w:t>&gt;.</w:t>
      </w:r>
    </w:p>
  </w:footnote>
  <w:footnote w:id="9">
    <w:p w:rsidR="00515FF3" w:rsidRPr="005C50C5" w:rsidRDefault="00515FF3" w:rsidP="00515FF3">
      <w:pPr>
        <w:pStyle w:val="FootnoteText"/>
        <w:spacing w:before="0"/>
        <w:rPr>
          <w:sz w:val="16"/>
        </w:rPr>
      </w:pPr>
      <w:r w:rsidRPr="0048490E">
        <w:rPr>
          <w:rStyle w:val="FootnoteReference"/>
          <w:sz w:val="16"/>
        </w:rPr>
        <w:footnoteRef/>
      </w:r>
      <w:r w:rsidR="0048490E">
        <w:t xml:space="preserve"> </w:t>
      </w:r>
      <w:r>
        <w:rPr>
          <w:sz w:val="16"/>
        </w:rPr>
        <w:t xml:space="preserve">Analysis on Professional occupation subgroups </w:t>
      </w:r>
      <w:r w:rsidRPr="00A13059">
        <w:rPr>
          <w:sz w:val="16"/>
        </w:rPr>
        <w:t>uses</w:t>
      </w:r>
      <w:r>
        <w:rPr>
          <w:sz w:val="16"/>
        </w:rPr>
        <w:t xml:space="preserve"> LSAY data from the Y03 and Y06 cohorts. All other analysis uses data from the Y06 cohort.</w:t>
      </w:r>
    </w:p>
  </w:footnote>
  <w:footnote w:id="10">
    <w:p w:rsidR="00F20784" w:rsidRDefault="00F20784" w:rsidP="00F20784">
      <w:pPr>
        <w:pStyle w:val="FootnoteText"/>
        <w:contextualSpacing/>
      </w:pPr>
      <w:r w:rsidRPr="0048490E">
        <w:rPr>
          <w:rStyle w:val="FootnoteReference"/>
          <w:sz w:val="16"/>
        </w:rPr>
        <w:footnoteRef/>
      </w:r>
      <w:r w:rsidR="0048490E" w:rsidRPr="0048490E">
        <w:rPr>
          <w:sz w:val="12"/>
        </w:rPr>
        <w:t xml:space="preserve"> </w:t>
      </w:r>
      <w:r w:rsidRPr="00E212CA">
        <w:rPr>
          <w:sz w:val="16"/>
        </w:rPr>
        <w:t>Information derived from the Australian Bureau of Statistics</w:t>
      </w:r>
      <w:r>
        <w:rPr>
          <w:sz w:val="16"/>
        </w:rPr>
        <w:t xml:space="preserve">, </w:t>
      </w:r>
      <w:proofErr w:type="spellStart"/>
      <w:r>
        <w:rPr>
          <w:sz w:val="16"/>
        </w:rPr>
        <w:t>Tablebuilder</w:t>
      </w:r>
      <w:proofErr w:type="spellEnd"/>
      <w:r>
        <w:rPr>
          <w:sz w:val="16"/>
        </w:rPr>
        <w:t xml:space="preserve">, </w:t>
      </w:r>
      <w:proofErr w:type="gramStart"/>
      <w:r>
        <w:rPr>
          <w:sz w:val="16"/>
        </w:rPr>
        <w:t>Census</w:t>
      </w:r>
      <w:proofErr w:type="gramEnd"/>
      <w:r>
        <w:rPr>
          <w:sz w:val="16"/>
        </w:rPr>
        <w:t xml:space="preserve"> 2016 data.</w:t>
      </w:r>
    </w:p>
  </w:footnote>
  <w:footnote w:id="11">
    <w:p w:rsidR="00052FDC" w:rsidRDefault="00052FDC" w:rsidP="00787605">
      <w:pPr>
        <w:pStyle w:val="FootnoteText"/>
        <w:spacing w:before="0"/>
      </w:pPr>
      <w:r w:rsidRPr="0048490E">
        <w:rPr>
          <w:rStyle w:val="FootnoteReference"/>
          <w:sz w:val="16"/>
        </w:rPr>
        <w:footnoteRef/>
      </w:r>
      <w:r w:rsidR="0048490E" w:rsidRPr="0048490E">
        <w:rPr>
          <w:sz w:val="12"/>
        </w:rPr>
        <w:t xml:space="preserve"> </w:t>
      </w:r>
      <w:r w:rsidRPr="00052FDC">
        <w:rPr>
          <w:sz w:val="16"/>
          <w:szCs w:val="16"/>
        </w:rPr>
        <w:t>This graph only presents data for most popular 1 digit occupation groups.</w:t>
      </w:r>
      <w:r w:rsidR="00A46C38">
        <w:rPr>
          <w:sz w:val="16"/>
          <w:szCs w:val="16"/>
        </w:rPr>
        <w:t xml:space="preserve"> With the exception of Community and Personal Service Workers, differences are not statistically significant at the 5% level.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93" w:rsidRDefault="000162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93" w:rsidRDefault="000162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93" w:rsidRDefault="00A02FDF">
    <w:pPr>
      <w:pStyle w:val="Header"/>
    </w:pPr>
    <w:r w:rsidRPr="00350FFA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DAA0FA3" wp14:editId="6026DAF2">
          <wp:simplePos x="0" y="0"/>
          <wp:positionH relativeFrom="column">
            <wp:posOffset>-742315</wp:posOffset>
          </wp:positionH>
          <wp:positionV relativeFrom="paragraph">
            <wp:posOffset>-447040</wp:posOffset>
          </wp:positionV>
          <wp:extent cx="7624445" cy="2176145"/>
          <wp:effectExtent l="0" t="0" r="0" b="0"/>
          <wp:wrapTight wrapText="bothSides">
            <wp:wrapPolygon edited="0">
              <wp:start x="0" y="0"/>
              <wp:lineTo x="0" y="21367"/>
              <wp:lineTo x="21533" y="21367"/>
              <wp:lineTo x="21533" y="0"/>
              <wp:lineTo x="0" y="0"/>
            </wp:wrapPolygon>
          </wp:wrapTight>
          <wp:docPr id="9" name="Picture 9" descr="Australian Government. Department of Education, Skills and Employm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4445" cy="217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4909185</wp:posOffset>
          </wp:positionH>
          <wp:positionV relativeFrom="paragraph">
            <wp:posOffset>43815</wp:posOffset>
          </wp:positionV>
          <wp:extent cx="1461600" cy="493753"/>
          <wp:effectExtent l="0" t="0" r="5715" b="1905"/>
          <wp:wrapTight wrapText="bothSides">
            <wp:wrapPolygon edited="0">
              <wp:start x="5914" y="0"/>
              <wp:lineTo x="0" y="1668"/>
              <wp:lineTo x="0" y="20849"/>
              <wp:lineTo x="21403" y="20849"/>
              <wp:lineTo x="21403" y="16680"/>
              <wp:lineTo x="17179" y="13344"/>
              <wp:lineTo x="19432" y="10008"/>
              <wp:lineTo x="18868" y="5004"/>
              <wp:lineTo x="7885" y="0"/>
              <wp:lineTo x="591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SAY Transparent small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493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2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D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06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BC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8A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8F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23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522CF1"/>
    <w:multiLevelType w:val="hybridMultilevel"/>
    <w:tmpl w:val="85463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67D63"/>
    <w:multiLevelType w:val="hybridMultilevel"/>
    <w:tmpl w:val="03F4F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DC"/>
    <w:rsid w:val="00016293"/>
    <w:rsid w:val="000520EB"/>
    <w:rsid w:val="00052BBC"/>
    <w:rsid w:val="00052FDC"/>
    <w:rsid w:val="0005779A"/>
    <w:rsid w:val="00087093"/>
    <w:rsid w:val="000A453D"/>
    <w:rsid w:val="000B1C4F"/>
    <w:rsid w:val="000C7381"/>
    <w:rsid w:val="000F016B"/>
    <w:rsid w:val="000F593F"/>
    <w:rsid w:val="00102C35"/>
    <w:rsid w:val="001216E4"/>
    <w:rsid w:val="00157F35"/>
    <w:rsid w:val="00163FF0"/>
    <w:rsid w:val="00180BB6"/>
    <w:rsid w:val="001879CC"/>
    <w:rsid w:val="00193160"/>
    <w:rsid w:val="001C4AA1"/>
    <w:rsid w:val="00217EAB"/>
    <w:rsid w:val="0022498C"/>
    <w:rsid w:val="00247653"/>
    <w:rsid w:val="002724D0"/>
    <w:rsid w:val="002A0F18"/>
    <w:rsid w:val="002B1CE5"/>
    <w:rsid w:val="002C657A"/>
    <w:rsid w:val="002F4DB3"/>
    <w:rsid w:val="00313862"/>
    <w:rsid w:val="00337FEE"/>
    <w:rsid w:val="00350FFA"/>
    <w:rsid w:val="00382F07"/>
    <w:rsid w:val="003B1053"/>
    <w:rsid w:val="004213C1"/>
    <w:rsid w:val="00421712"/>
    <w:rsid w:val="00453C04"/>
    <w:rsid w:val="00454BB6"/>
    <w:rsid w:val="00474824"/>
    <w:rsid w:val="0048490E"/>
    <w:rsid w:val="00497764"/>
    <w:rsid w:val="004A74B6"/>
    <w:rsid w:val="004C2888"/>
    <w:rsid w:val="0051352E"/>
    <w:rsid w:val="00515FF3"/>
    <w:rsid w:val="00517DA7"/>
    <w:rsid w:val="00520A33"/>
    <w:rsid w:val="00527AE4"/>
    <w:rsid w:val="00581B3A"/>
    <w:rsid w:val="00585457"/>
    <w:rsid w:val="005E32F7"/>
    <w:rsid w:val="005E7AD3"/>
    <w:rsid w:val="00605CCC"/>
    <w:rsid w:val="00610CAD"/>
    <w:rsid w:val="00630DDF"/>
    <w:rsid w:val="00634DEF"/>
    <w:rsid w:val="00670D57"/>
    <w:rsid w:val="006E02A5"/>
    <w:rsid w:val="006E5D6E"/>
    <w:rsid w:val="007063D0"/>
    <w:rsid w:val="00714E90"/>
    <w:rsid w:val="00721B03"/>
    <w:rsid w:val="00730A38"/>
    <w:rsid w:val="00731EB6"/>
    <w:rsid w:val="007570DC"/>
    <w:rsid w:val="00772E86"/>
    <w:rsid w:val="0078166A"/>
    <w:rsid w:val="00787605"/>
    <w:rsid w:val="007B1ABA"/>
    <w:rsid w:val="007B74C5"/>
    <w:rsid w:val="008046ED"/>
    <w:rsid w:val="008155DA"/>
    <w:rsid w:val="00827D3D"/>
    <w:rsid w:val="00844507"/>
    <w:rsid w:val="008507C1"/>
    <w:rsid w:val="00861934"/>
    <w:rsid w:val="008818F7"/>
    <w:rsid w:val="008A4F77"/>
    <w:rsid w:val="008F0AC9"/>
    <w:rsid w:val="009071F7"/>
    <w:rsid w:val="0093473D"/>
    <w:rsid w:val="0094195A"/>
    <w:rsid w:val="00972F57"/>
    <w:rsid w:val="00995280"/>
    <w:rsid w:val="00A02FDF"/>
    <w:rsid w:val="00A06B44"/>
    <w:rsid w:val="00A24E6E"/>
    <w:rsid w:val="00A43694"/>
    <w:rsid w:val="00A46C38"/>
    <w:rsid w:val="00A56FC7"/>
    <w:rsid w:val="00A64AFD"/>
    <w:rsid w:val="00A72575"/>
    <w:rsid w:val="00A74071"/>
    <w:rsid w:val="00A875EC"/>
    <w:rsid w:val="00AA124A"/>
    <w:rsid w:val="00AA2A96"/>
    <w:rsid w:val="00B100CC"/>
    <w:rsid w:val="00B6689D"/>
    <w:rsid w:val="00B72368"/>
    <w:rsid w:val="00BA3308"/>
    <w:rsid w:val="00BA39ED"/>
    <w:rsid w:val="00BA6AAD"/>
    <w:rsid w:val="00BD1D3F"/>
    <w:rsid w:val="00C31F98"/>
    <w:rsid w:val="00C54D58"/>
    <w:rsid w:val="00C573E1"/>
    <w:rsid w:val="00C86F09"/>
    <w:rsid w:val="00C95DF6"/>
    <w:rsid w:val="00CD5499"/>
    <w:rsid w:val="00CD56F2"/>
    <w:rsid w:val="00CD6167"/>
    <w:rsid w:val="00D14618"/>
    <w:rsid w:val="00D7502D"/>
    <w:rsid w:val="00D94EEF"/>
    <w:rsid w:val="00DA1B7B"/>
    <w:rsid w:val="00DB79DF"/>
    <w:rsid w:val="00DB7F58"/>
    <w:rsid w:val="00DD2B6D"/>
    <w:rsid w:val="00E2631A"/>
    <w:rsid w:val="00E31136"/>
    <w:rsid w:val="00E6613B"/>
    <w:rsid w:val="00E7176B"/>
    <w:rsid w:val="00EA047A"/>
    <w:rsid w:val="00EA32F7"/>
    <w:rsid w:val="00EF1298"/>
    <w:rsid w:val="00EF56B6"/>
    <w:rsid w:val="00F20784"/>
    <w:rsid w:val="00F23022"/>
    <w:rsid w:val="00F230CD"/>
    <w:rsid w:val="00F51C18"/>
    <w:rsid w:val="00F573A1"/>
    <w:rsid w:val="00F63EDD"/>
    <w:rsid w:val="00F73A5F"/>
    <w:rsid w:val="00F83BC8"/>
    <w:rsid w:val="00F9119E"/>
    <w:rsid w:val="00FA31E2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C1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C18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2D3F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18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4D58"/>
    <w:pPr>
      <w:spacing w:before="48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D58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CE5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100CC"/>
    <w:rPr>
      <w:rFonts w:ascii="Calibri" w:eastAsiaTheme="minorEastAsia" w:hAnsi="Calibri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51C18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C18"/>
    <w:rPr>
      <w:rFonts w:ascii="Calibri" w:eastAsiaTheme="majorEastAsia" w:hAnsi="Calibri" w:cstheme="majorBidi"/>
      <w:b/>
      <w:color w:val="002D3F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C18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972F57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457"/>
    <w:pPr>
      <w:spacing w:before="120"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45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457"/>
    <w:rPr>
      <w:vertAlign w:val="superscript"/>
    </w:rPr>
  </w:style>
  <w:style w:type="paragraph" w:customStyle="1" w:styleId="Figurenote">
    <w:name w:val="Figure note"/>
    <w:basedOn w:val="Normal"/>
    <w:link w:val="FigurenoteChar"/>
    <w:qFormat/>
    <w:rsid w:val="00585457"/>
    <w:pPr>
      <w:spacing w:after="0" w:line="240" w:lineRule="auto"/>
    </w:pPr>
    <w:rPr>
      <w:rFonts w:eastAsiaTheme="minorEastAsia"/>
      <w:sz w:val="18"/>
    </w:rPr>
  </w:style>
  <w:style w:type="character" w:customStyle="1" w:styleId="FigurenoteChar">
    <w:name w:val="Figure note Char"/>
    <w:basedOn w:val="DefaultParagraphFont"/>
    <w:link w:val="Figurenote"/>
    <w:rsid w:val="00585457"/>
    <w:rPr>
      <w:rFonts w:eastAsiaTheme="minorEastAsia"/>
      <w:sz w:val="18"/>
    </w:rPr>
  </w:style>
  <w:style w:type="paragraph" w:customStyle="1" w:styleId="Figuretitle">
    <w:name w:val="Figure title"/>
    <w:basedOn w:val="Normal"/>
    <w:link w:val="FiguretitleChar"/>
    <w:qFormat/>
    <w:rsid w:val="00585457"/>
    <w:pPr>
      <w:keepNext/>
      <w:autoSpaceDE w:val="0"/>
      <w:autoSpaceDN w:val="0"/>
      <w:adjustRightInd w:val="0"/>
      <w:spacing w:after="160" w:line="240" w:lineRule="auto"/>
    </w:pPr>
    <w:rPr>
      <w:rFonts w:ascii="Calibri" w:eastAsia="Times New Roman" w:hAnsi="Calibri" w:cs="Times New Roman"/>
      <w:b/>
      <w:bCs/>
    </w:rPr>
  </w:style>
  <w:style w:type="character" w:customStyle="1" w:styleId="FiguretitleChar">
    <w:name w:val="Figure title Char"/>
    <w:basedOn w:val="DefaultParagraphFont"/>
    <w:link w:val="Figuretitle"/>
    <w:rsid w:val="00585457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heconversation.com/the-growing-skills-gap-between-jobs-in-australian-cities-and-the-regions-88477" TargetMode="External"/><Relationship Id="rId1" Type="http://schemas.openxmlformats.org/officeDocument/2006/relationships/hyperlink" Target="https://blog.grattan.edu.au/2019/04/more-regional-australians-are-moving-to-the-city-to-study-few-return-when-theyve-finished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6EF11209244E1F8E97CE0AC9EFB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66762-2ACC-4113-A9DD-D66294D04668}"/>
      </w:docPartPr>
      <w:docPartBody>
        <w:p w:rsidR="00756713" w:rsidRDefault="00D50C23" w:rsidP="00D50C23">
          <w:pPr>
            <w:pStyle w:val="BE6EF11209244E1F8E97CE0AC9EFBA0C"/>
          </w:pPr>
          <w:r w:rsidRPr="00716CA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23"/>
    <w:rsid w:val="00756713"/>
    <w:rsid w:val="00D5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C2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C23"/>
    <w:rPr>
      <w:color w:val="808080"/>
    </w:rPr>
  </w:style>
  <w:style w:type="paragraph" w:customStyle="1" w:styleId="BE6EF11209244E1F8E97CE0AC9EFBA0C">
    <w:name w:val="BE6EF11209244E1F8E97CE0AC9EFBA0C"/>
    <w:rsid w:val="00D50C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1FA163F83FC4DA7B02D4604972D30" ma:contentTypeVersion="9" ma:contentTypeDescription="Create a new document." ma:contentTypeScope="" ma:versionID="3180f40cf209bc4f4948dd64e6f1d0a9">
  <xsd:schema xmlns:xsd="http://www.w3.org/2001/XMLSchema" xmlns:xs="http://www.w3.org/2001/XMLSchema" xmlns:p="http://schemas.microsoft.com/office/2006/metadata/properties" xmlns:ns2="e72c3662-d489-4d5c-a678-b18c0e8aeb72" targetNamespace="http://schemas.microsoft.com/office/2006/metadata/properties" ma:root="true" ma:fieldsID="3f7ad6cf21444496d772c8ce1802ec33" ns2:_="">
    <xsd:import namespace="e72c3662-d489-4d5c-a678-b18c0e8aeb72"/>
    <xsd:element name="properties">
      <xsd:complexType>
        <xsd:sequence>
          <xsd:element name="documentManagement">
            <xsd:complexType>
              <xsd:all>
                <xsd:element ref="ns2:la020d86e283469abb02d1589f8af8a1" minOccurs="0"/>
                <xsd:element ref="ns2:TaxCatchAll" minOccurs="0"/>
                <xsd:element ref="ns2:pfc532bc3d924724be3e431fa8a34286" minOccurs="0"/>
                <xsd:element ref="ns2:ItemPublishedDate" minOccurs="0"/>
                <xsd:element ref="ns2:idf49b01858c4ab7b49fec8a6554c79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la020d86e283469abb02d1589f8af8a1" ma:index="9" nillable="true" ma:taxonomy="true" ma:internalName="la020d86e283469abb02d1589f8af8a1" ma:taxonomyFieldName="ItemFunction" ma:displayName="ItemFunction" ma:default="" ma:fieldId="{5a020d86-e283-469a-bb02-d1589f8af8a1}" ma:taxonomyMulti="true" ma:sspId="e520a5ab-959b-4497-846e-ecf021209760" ma:termSetId="500dca29-876a-49bd-b8dc-c6f280456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2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temPublishedDate" ma:index="13" nillable="true" ma:displayName="ItemPublishedDate" ma:format="DateOnly" ma:internalName="ItemPublishedDate">
      <xsd:simpleType>
        <xsd:restriction base="dms:DateTime"/>
      </xsd:simpleType>
    </xsd:element>
    <xsd:element name="idf49b01858c4ab7b49fec8a6554c79a" ma:index="15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>
      <Value>1976</Value>
      <Value>1999</Value>
    </TaxCatchAll>
    <idf49b01858c4ab7b49fec8a6554c79a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60f4875c-5740-43a9-8840-cfcba2da81bd</TermId>
        </TermInfo>
      </Terms>
    </idf49b01858c4ab7b49fec8a6554c79a>
    <pfc532bc3d924724be3e431fa8a34286 xmlns="e72c3662-d489-4d5c-a678-b18c0e8aeb72">
      <Terms xmlns="http://schemas.microsoft.com/office/infopath/2007/PartnerControls"/>
    </pfc532bc3d924724be3e431fa8a34286>
    <la020d86e283469abb02d1589f8af8a1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9d5354d3-d1c2-4163-a4db-c06e4aa61e3a</TermId>
        </TermInfo>
      </Terms>
    </la020d86e283469abb02d1589f8af8a1>
    <ItemPublishedDate xmlns="e72c3662-d489-4d5c-a678-b18c0e8aeb7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3BD14-F52E-4479-8807-B806156B0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c3662-d489-4d5c-a678-b18c0e8ae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72c3662-d489-4d5c-a678-b18c0e8aeb7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CB1A83-2D75-47A4-B761-E83AF35E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9679EAFB.dotm</Template>
  <TotalTime>0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aspirations and opportunities</vt:lpstr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aspirations and opportunities</dc:title>
  <dc:subject/>
  <dc:creator/>
  <cp:keywords/>
  <dc:description/>
  <cp:lastModifiedBy/>
  <cp:revision>1</cp:revision>
  <dcterms:created xsi:type="dcterms:W3CDTF">2020-05-29T04:21:00Z</dcterms:created>
  <dcterms:modified xsi:type="dcterms:W3CDTF">2020-05-29T05:28:00Z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0x01010079A1FA163F83FC4DA7B02D4604972D30</vt:lpwstr>
  </property>
  <property fmtid="{D5CDD505-2E9C-101B-9397-08002B2CF9AE}" pid="3" name="ItemKeywords">
    <vt:lpwstr/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</Properties>
</file>